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4546D">
      <w:pPr>
        <w:spacing w:line="360" w:lineRule="auto"/>
        <w:rPr>
          <w:rFonts w:hint="default" w:ascii="Times New Roman" w:hAnsi="Times New Roman" w:eastAsia="宋体" w:cs="Times New Roman"/>
          <w:color w:val="auto"/>
        </w:rPr>
      </w:pPr>
    </w:p>
    <w:p w14:paraId="36817749">
      <w:pPr>
        <w:spacing w:line="360" w:lineRule="auto"/>
        <w:rPr>
          <w:rFonts w:hint="default" w:ascii="Times New Roman" w:hAnsi="Times New Roman" w:eastAsia="宋体" w:cs="Times New Roman"/>
          <w:color w:val="auto"/>
        </w:rPr>
      </w:pPr>
    </w:p>
    <w:p w14:paraId="46372C67">
      <w:pPr>
        <w:spacing w:line="360" w:lineRule="auto"/>
        <w:rPr>
          <w:rFonts w:hint="default" w:ascii="Times New Roman" w:hAnsi="Times New Roman" w:eastAsia="宋体" w:cs="Times New Roman"/>
          <w:color w:val="auto"/>
        </w:rPr>
      </w:pPr>
    </w:p>
    <w:p w14:paraId="7C3A0B1E">
      <w:pPr>
        <w:spacing w:line="360" w:lineRule="auto"/>
        <w:rPr>
          <w:rFonts w:hint="default" w:ascii="Times New Roman" w:hAnsi="Times New Roman" w:eastAsia="宋体" w:cs="Times New Roman"/>
          <w:color w:val="auto"/>
        </w:rPr>
      </w:pPr>
    </w:p>
    <w:p w14:paraId="5D932783">
      <w:pPr>
        <w:spacing w:line="360" w:lineRule="auto"/>
        <w:jc w:val="center"/>
        <w:rPr>
          <w:rFonts w:hint="default" w:ascii="Times New Roman" w:hAnsi="Times New Roman" w:eastAsia="宋体" w:cs="Times New Roman"/>
          <w:b/>
          <w:color w:val="auto"/>
          <w:sz w:val="52"/>
          <w:szCs w:val="52"/>
        </w:rPr>
      </w:pPr>
      <w:r>
        <w:rPr>
          <w:rFonts w:hint="default" w:ascii="Times New Roman" w:hAnsi="Times New Roman" w:eastAsia="宋体" w:cs="Times New Roman"/>
          <w:b/>
          <w:color w:val="auto"/>
          <w:sz w:val="52"/>
          <w:szCs w:val="52"/>
        </w:rPr>
        <w:t>建设项目环境影响报告表</w:t>
      </w:r>
    </w:p>
    <w:p w14:paraId="363DA494">
      <w:pPr>
        <w:spacing w:line="360" w:lineRule="auto"/>
        <w:jc w:val="center"/>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t>(</w:t>
      </w:r>
      <w:r>
        <w:rPr>
          <w:rFonts w:hint="eastAsia" w:cs="Times New Roman"/>
          <w:b/>
          <w:color w:val="auto"/>
          <w:sz w:val="36"/>
          <w:szCs w:val="36"/>
          <w:lang w:val="en-US" w:eastAsia="zh-CN"/>
        </w:rPr>
        <w:t>送审</w:t>
      </w:r>
      <w:r>
        <w:rPr>
          <w:rFonts w:hint="default" w:ascii="Times New Roman" w:hAnsi="Times New Roman" w:cs="Times New Roman"/>
          <w:b/>
          <w:color w:val="auto"/>
          <w:sz w:val="36"/>
          <w:szCs w:val="36"/>
          <w:lang w:eastAsia="zh-CN"/>
        </w:rPr>
        <w:t>本</w:t>
      </w:r>
      <w:r>
        <w:rPr>
          <w:rFonts w:hint="default" w:ascii="Times New Roman" w:hAnsi="Times New Roman" w:eastAsia="宋体" w:cs="Times New Roman"/>
          <w:b/>
          <w:color w:val="auto"/>
          <w:sz w:val="36"/>
          <w:szCs w:val="36"/>
        </w:rPr>
        <w:t>)</w:t>
      </w:r>
    </w:p>
    <w:p w14:paraId="52A391A8">
      <w:pPr>
        <w:spacing w:line="360" w:lineRule="auto"/>
        <w:rPr>
          <w:rFonts w:hint="default" w:ascii="Times New Roman" w:hAnsi="Times New Roman" w:eastAsia="宋体" w:cs="Times New Roman"/>
          <w:b/>
          <w:color w:val="auto"/>
          <w:sz w:val="36"/>
          <w:szCs w:val="36"/>
        </w:rPr>
      </w:pPr>
    </w:p>
    <w:p w14:paraId="5A839111">
      <w:pPr>
        <w:spacing w:line="360" w:lineRule="auto"/>
        <w:rPr>
          <w:rFonts w:hint="default" w:ascii="Times New Roman" w:hAnsi="Times New Roman" w:eastAsia="宋体" w:cs="Times New Roman"/>
          <w:b/>
          <w:color w:val="auto"/>
          <w:sz w:val="36"/>
          <w:szCs w:val="36"/>
        </w:rPr>
      </w:pPr>
    </w:p>
    <w:p w14:paraId="15067D6E">
      <w:pPr>
        <w:spacing w:line="360" w:lineRule="auto"/>
        <w:rPr>
          <w:rFonts w:hint="default" w:ascii="Times New Roman" w:hAnsi="Times New Roman" w:eastAsia="宋体" w:cs="Times New Roman"/>
          <w:b/>
          <w:color w:val="auto"/>
          <w:sz w:val="36"/>
          <w:szCs w:val="36"/>
        </w:rPr>
      </w:pPr>
    </w:p>
    <w:p w14:paraId="7BA4BBA7">
      <w:pPr>
        <w:spacing w:line="360" w:lineRule="auto"/>
        <w:rPr>
          <w:rFonts w:hint="default" w:ascii="Times New Roman" w:hAnsi="Times New Roman" w:eastAsia="宋体" w:cs="Times New Roman"/>
          <w:b/>
          <w:color w:val="auto"/>
          <w:sz w:val="36"/>
          <w:szCs w:val="36"/>
        </w:rPr>
      </w:pPr>
    </w:p>
    <w:p w14:paraId="4C7A40C7">
      <w:pPr>
        <w:spacing w:line="360" w:lineRule="auto"/>
        <w:rPr>
          <w:rFonts w:hint="default" w:ascii="Times New Roman" w:hAnsi="Times New Roman" w:eastAsia="宋体" w:cs="Times New Roman"/>
          <w:b/>
          <w:color w:val="auto"/>
          <w:sz w:val="36"/>
          <w:szCs w:val="36"/>
        </w:rPr>
      </w:pPr>
    </w:p>
    <w:p w14:paraId="411BCCFE">
      <w:pPr>
        <w:spacing w:line="360" w:lineRule="auto"/>
        <w:rPr>
          <w:rFonts w:hint="default" w:ascii="Times New Roman" w:hAnsi="Times New Roman" w:eastAsia="宋体" w:cs="Times New Roman"/>
          <w:b/>
          <w:color w:val="auto"/>
          <w:sz w:val="36"/>
          <w:szCs w:val="36"/>
        </w:rPr>
      </w:pPr>
    </w:p>
    <w:p w14:paraId="74F1F265">
      <w:pPr>
        <w:spacing w:line="360" w:lineRule="auto"/>
        <w:jc w:val="center"/>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项目名称：</w:t>
      </w:r>
      <w:r>
        <w:rPr>
          <w:rFonts w:hint="eastAsia" w:cs="Times New Roman"/>
          <w:b/>
          <w:color w:val="auto"/>
          <w:sz w:val="32"/>
          <w:szCs w:val="32"/>
          <w:u w:val="single"/>
          <w:lang w:eastAsia="zh-CN"/>
        </w:rPr>
        <w:t>畜禽养殖专用水泥制品及不锈钢制品项目</w:t>
      </w:r>
    </w:p>
    <w:p w14:paraId="2D51FF98">
      <w:pPr>
        <w:spacing w:line="360" w:lineRule="auto"/>
        <w:jc w:val="left"/>
        <w:rPr>
          <w:rFonts w:hint="default" w:ascii="Times New Roman" w:hAnsi="Times New Roman" w:eastAsia="宋体" w:cs="Times New Roman"/>
          <w:b/>
          <w:color w:val="auto"/>
          <w:sz w:val="32"/>
          <w:szCs w:val="32"/>
        </w:rPr>
      </w:pPr>
    </w:p>
    <w:p w14:paraId="08918CDD">
      <w:pPr>
        <w:spacing w:line="360" w:lineRule="auto"/>
        <w:jc w:val="center"/>
        <w:rPr>
          <w:rFonts w:hint="default" w:ascii="Times New Roman" w:hAnsi="Times New Roman" w:eastAsia="宋体" w:cs="Times New Roman"/>
          <w:b/>
          <w:color w:val="auto"/>
          <w:sz w:val="32"/>
          <w:szCs w:val="32"/>
          <w:u w:val="single"/>
        </w:rPr>
      </w:pPr>
      <w:r>
        <w:rPr>
          <w:rFonts w:hint="default" w:ascii="Times New Roman" w:hAnsi="Times New Roman" w:eastAsia="宋体" w:cs="Times New Roman"/>
          <w:b/>
          <w:color w:val="auto"/>
          <w:sz w:val="32"/>
          <w:szCs w:val="32"/>
        </w:rPr>
        <w:t>建设单位：</w:t>
      </w:r>
      <w:r>
        <w:rPr>
          <w:rFonts w:hint="eastAsia" w:cs="Times New Roman"/>
          <w:b/>
          <w:color w:val="auto"/>
          <w:sz w:val="32"/>
          <w:szCs w:val="32"/>
          <w:u w:val="single"/>
          <w:lang w:eastAsia="zh-CN"/>
        </w:rPr>
        <w:t>蓬溪县蓬南镇新豪杰养殖设备厂</w:t>
      </w:r>
    </w:p>
    <w:p w14:paraId="452D45A4">
      <w:pPr>
        <w:spacing w:line="360" w:lineRule="auto"/>
        <w:jc w:val="center"/>
        <w:rPr>
          <w:rFonts w:hint="default" w:ascii="Times New Roman" w:hAnsi="Times New Roman" w:eastAsia="宋体" w:cs="Times New Roman"/>
          <w:b/>
          <w:color w:val="auto"/>
          <w:sz w:val="32"/>
          <w:szCs w:val="32"/>
          <w:u w:val="single"/>
        </w:rPr>
      </w:pPr>
    </w:p>
    <w:p w14:paraId="11432967">
      <w:pPr>
        <w:spacing w:line="360" w:lineRule="auto"/>
        <w:rPr>
          <w:rFonts w:hint="default" w:ascii="Times New Roman" w:hAnsi="Times New Roman" w:eastAsia="宋体" w:cs="Times New Roman"/>
          <w:b/>
          <w:color w:val="auto"/>
          <w:sz w:val="32"/>
          <w:szCs w:val="32"/>
          <w:u w:val="single"/>
        </w:rPr>
      </w:pPr>
    </w:p>
    <w:p w14:paraId="465ACBDD">
      <w:pPr>
        <w:spacing w:line="360" w:lineRule="auto"/>
        <w:rPr>
          <w:rFonts w:hint="default" w:ascii="Times New Roman" w:hAnsi="Times New Roman" w:eastAsia="宋体" w:cs="Times New Roman"/>
          <w:b/>
          <w:color w:val="auto"/>
          <w:sz w:val="32"/>
          <w:szCs w:val="32"/>
          <w:u w:val="single"/>
        </w:rPr>
      </w:pPr>
    </w:p>
    <w:p w14:paraId="71361B5E">
      <w:pPr>
        <w:spacing w:line="360" w:lineRule="auto"/>
        <w:rPr>
          <w:rFonts w:hint="default" w:ascii="Times New Roman" w:hAnsi="Times New Roman" w:eastAsia="宋体" w:cs="Times New Roman"/>
          <w:b/>
          <w:color w:val="auto"/>
          <w:sz w:val="32"/>
          <w:szCs w:val="32"/>
          <w:u w:val="single"/>
        </w:rPr>
      </w:pPr>
    </w:p>
    <w:p w14:paraId="19B4B822">
      <w:pPr>
        <w:spacing w:line="360" w:lineRule="auto"/>
        <w:rPr>
          <w:rFonts w:hint="default" w:ascii="Times New Roman" w:hAnsi="Times New Roman" w:eastAsia="宋体" w:cs="Times New Roman"/>
          <w:b/>
          <w:color w:val="auto"/>
          <w:sz w:val="32"/>
          <w:szCs w:val="32"/>
        </w:rPr>
      </w:pPr>
    </w:p>
    <w:p w14:paraId="2FBF21ED">
      <w:pPr>
        <w:spacing w:line="360" w:lineRule="auto"/>
        <w:jc w:val="center"/>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编制日期：</w:t>
      </w:r>
      <w:r>
        <w:rPr>
          <w:rFonts w:hint="default" w:ascii="Times New Roman" w:hAnsi="Times New Roman" w:cs="Times New Roman"/>
          <w:b/>
          <w:color w:val="auto"/>
          <w:sz w:val="32"/>
          <w:szCs w:val="32"/>
          <w:lang w:val="en-US" w:eastAsia="zh-CN"/>
        </w:rPr>
        <w:t>202</w:t>
      </w:r>
      <w:r>
        <w:rPr>
          <w:rFonts w:hint="eastAsia" w:cs="Times New Roman"/>
          <w:b/>
          <w:color w:val="auto"/>
          <w:sz w:val="32"/>
          <w:szCs w:val="32"/>
          <w:lang w:val="en-US" w:eastAsia="zh-CN"/>
        </w:rPr>
        <w:t>1</w:t>
      </w:r>
      <w:r>
        <w:rPr>
          <w:rFonts w:hint="default" w:ascii="Times New Roman" w:hAnsi="Times New Roman" w:eastAsia="宋体" w:cs="Times New Roman"/>
          <w:b/>
          <w:color w:val="auto"/>
          <w:sz w:val="32"/>
          <w:szCs w:val="32"/>
        </w:rPr>
        <w:t>年</w:t>
      </w:r>
      <w:r>
        <w:rPr>
          <w:rFonts w:hint="eastAsia" w:cs="Times New Roman"/>
          <w:b/>
          <w:color w:val="auto"/>
          <w:sz w:val="32"/>
          <w:szCs w:val="32"/>
          <w:lang w:val="en-US" w:eastAsia="zh-CN"/>
        </w:rPr>
        <w:t>2</w:t>
      </w:r>
      <w:r>
        <w:rPr>
          <w:rFonts w:hint="default" w:ascii="Times New Roman" w:hAnsi="Times New Roman" w:eastAsia="宋体" w:cs="Times New Roman"/>
          <w:b/>
          <w:color w:val="auto"/>
          <w:sz w:val="32"/>
          <w:szCs w:val="32"/>
        </w:rPr>
        <w:t>月</w:t>
      </w:r>
    </w:p>
    <w:p w14:paraId="4204FB86">
      <w:pPr>
        <w:spacing w:line="360" w:lineRule="auto"/>
        <w:jc w:val="center"/>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国家环境保护部  制</w:t>
      </w:r>
    </w:p>
    <w:p w14:paraId="71D92D2D">
      <w:pPr>
        <w:spacing w:line="360" w:lineRule="auto"/>
        <w:jc w:val="center"/>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四川省环境保护厅 印</w:t>
      </w:r>
    </w:p>
    <w:p w14:paraId="606CF572">
      <w:pPr>
        <w:spacing w:line="360" w:lineRule="auto"/>
        <w:jc w:val="center"/>
        <w:rPr>
          <w:rFonts w:hint="default" w:ascii="Times New Roman" w:hAnsi="Times New Roman" w:eastAsia="宋体" w:cs="Times New Roman"/>
          <w:b/>
          <w:color w:val="auto"/>
          <w:sz w:val="32"/>
          <w:szCs w:val="32"/>
        </w:rPr>
      </w:pPr>
    </w:p>
    <w:p w14:paraId="240E03B5">
      <w:pPr>
        <w:spacing w:line="360" w:lineRule="auto"/>
        <w:jc w:val="center"/>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《建设项目环境影响报告表》编制说明</w:t>
      </w:r>
    </w:p>
    <w:p w14:paraId="12179976">
      <w:pPr>
        <w:spacing w:line="360" w:lineRule="auto"/>
        <w:rPr>
          <w:rFonts w:hint="default" w:ascii="Times New Roman" w:hAnsi="Times New Roman" w:eastAsia="宋体" w:cs="Times New Roman"/>
          <w:color w:val="auto"/>
          <w:sz w:val="28"/>
          <w:szCs w:val="28"/>
        </w:rPr>
      </w:pPr>
    </w:p>
    <w:p w14:paraId="642473BE">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《建设项目环境影响报告表》由具有从事环境影响评价工作</w:t>
      </w:r>
      <w:r>
        <w:rPr>
          <w:rFonts w:hint="eastAsia" w:cs="Times New Roman"/>
          <w:color w:val="auto"/>
          <w:sz w:val="28"/>
          <w:szCs w:val="28"/>
          <w:lang w:val="en-US" w:eastAsia="zh-CN"/>
        </w:rPr>
        <w:t>能力</w:t>
      </w:r>
      <w:r>
        <w:rPr>
          <w:rFonts w:hint="default" w:ascii="Times New Roman" w:hAnsi="Times New Roman" w:eastAsia="宋体" w:cs="Times New Roman"/>
          <w:color w:val="auto"/>
          <w:sz w:val="28"/>
          <w:szCs w:val="28"/>
        </w:rPr>
        <w:t>的单位编制。</w:t>
      </w:r>
    </w:p>
    <w:p w14:paraId="791EB483">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1、项目名称——指项目立项批复时的名称，应不超过30个字（两个英文字段作一个汉字）。</w:t>
      </w:r>
    </w:p>
    <w:p w14:paraId="24ECC078">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2、建设地点——指项目所在地详细地址，公路、铁路应填写起止地点。</w:t>
      </w:r>
    </w:p>
    <w:p w14:paraId="146B494C">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3、行业类别——按国标填写。</w:t>
      </w:r>
    </w:p>
    <w:p w14:paraId="7F2F5620">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4、总投资——指项目投资总额。</w:t>
      </w:r>
    </w:p>
    <w:p w14:paraId="5E92F8E6">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5、主要环境保护目标——指项目区周围一定范围内集中居民住宅区、学校、医院、保护文物、风景名胜区、水源地和生态敏感点等，应尽可能给出保护目标、性质、规模和距厂边界距离等。</w:t>
      </w:r>
    </w:p>
    <w:p w14:paraId="1286EC30">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14:paraId="01B618C0">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7、预审意见——由行业主管部门填写答复意见，无主管部门项目，可不填。</w:t>
      </w:r>
    </w:p>
    <w:p w14:paraId="0D457268">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8、审批意见——由负责审批该项目的环境保护行政主管部门批复。</w:t>
      </w:r>
    </w:p>
    <w:p w14:paraId="691B8237">
      <w:pPr>
        <w:spacing w:line="360" w:lineRule="auto"/>
        <w:ind w:firstLine="560" w:firstLineChars="200"/>
        <w:rPr>
          <w:rFonts w:hint="default" w:ascii="Times New Roman" w:hAnsi="Times New Roman" w:eastAsia="宋体" w:cs="Times New Roman"/>
          <w:color w:val="auto"/>
          <w:sz w:val="28"/>
          <w:szCs w:val="28"/>
        </w:rPr>
      </w:pPr>
    </w:p>
    <w:p w14:paraId="68FB7839">
      <w:pPr>
        <w:pStyle w:val="27"/>
        <w:rPr>
          <w:rFonts w:hint="default" w:ascii="Times New Roman" w:hAnsi="Times New Roman" w:eastAsia="宋体" w:cs="Times New Roman"/>
          <w:color w:val="auto"/>
          <w:sz w:val="28"/>
          <w:szCs w:val="28"/>
        </w:rPr>
      </w:pPr>
    </w:p>
    <w:p w14:paraId="4C685D95">
      <w:pPr>
        <w:pStyle w:val="27"/>
        <w:rPr>
          <w:rFonts w:hint="default" w:ascii="Times New Roman" w:hAnsi="Times New Roman" w:eastAsia="宋体" w:cs="Times New Roman"/>
          <w:color w:val="auto"/>
          <w:sz w:val="28"/>
          <w:szCs w:val="28"/>
        </w:rPr>
      </w:pPr>
    </w:p>
    <w:p w14:paraId="26999E86">
      <w:pPr>
        <w:pStyle w:val="27"/>
        <w:rPr>
          <w:rFonts w:hint="default" w:ascii="Times New Roman" w:hAnsi="Times New Roman" w:eastAsia="宋体" w:cs="Times New Roman"/>
          <w:color w:val="auto"/>
          <w:sz w:val="28"/>
          <w:szCs w:val="28"/>
        </w:rPr>
      </w:pPr>
    </w:p>
    <w:p w14:paraId="523A959B">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rPr>
      </w:pPr>
    </w:p>
    <w:p w14:paraId="37626755">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rPr>
      </w:pPr>
    </w:p>
    <w:p w14:paraId="302118AE">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目录</w:t>
      </w:r>
    </w:p>
    <w:p w14:paraId="613CFC43">
      <w:pPr>
        <w:pStyle w:val="27"/>
        <w:rPr>
          <w:rFonts w:hint="eastAsia" w:ascii="宋体" w:hAnsi="宋体" w:eastAsia="宋体" w:cs="宋体"/>
          <w:b/>
          <w:bCs/>
        </w:rPr>
      </w:pPr>
    </w:p>
    <w:p w14:paraId="3B05B0DA">
      <w:pPr>
        <w:pStyle w:val="27"/>
        <w:rPr>
          <w:rFonts w:hint="eastAsia" w:ascii="宋体" w:hAnsi="宋体" w:eastAsia="宋体" w:cs="宋体"/>
          <w:b/>
          <w:bCs/>
        </w:rPr>
      </w:pPr>
    </w:p>
    <w:p w14:paraId="029C4CF5">
      <w:pPr>
        <w:pStyle w:val="72"/>
        <w:tabs>
          <w:tab w:val="right" w:leader="dot" w:pos="9746"/>
        </w:tabs>
        <w:spacing w:line="480" w:lineRule="auto"/>
        <w:rPr>
          <w:rFonts w:hint="eastAsia" w:ascii="宋体" w:hAnsi="宋体" w:eastAsia="宋体" w:cs="宋体"/>
          <w:b w:val="0"/>
          <w:bCs w:val="0"/>
          <w:color w:val="auto"/>
          <w:sz w:val="24"/>
          <w:szCs w:val="24"/>
        </w:rPr>
      </w:pPr>
      <w:r>
        <w:rPr>
          <w:rFonts w:hint="eastAsia" w:ascii="宋体" w:hAnsi="宋体" w:eastAsia="宋体" w:cs="宋体"/>
          <w:b/>
          <w:bCs/>
        </w:rPr>
        <w:fldChar w:fldCharType="begin"/>
      </w:r>
      <w:r>
        <w:rPr>
          <w:rFonts w:hint="eastAsia" w:ascii="宋体" w:hAnsi="宋体" w:eastAsia="宋体" w:cs="宋体"/>
          <w:b/>
          <w:bCs/>
        </w:rPr>
        <w:instrText xml:space="preserve">TOC \o "1-1" \h \u </w:instrText>
      </w:r>
      <w:r>
        <w:rPr>
          <w:rFonts w:hint="eastAsia" w:ascii="宋体" w:hAnsi="宋体" w:eastAsia="宋体" w:cs="宋体"/>
          <w:b/>
          <w:bCs/>
        </w:rPr>
        <w:fldChar w:fldCharType="separate"/>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_Toc30549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建设项目基本情况                                             （表一）</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1</w:t>
      </w:r>
      <w:r>
        <w:rPr>
          <w:rFonts w:hint="eastAsia" w:ascii="宋体" w:hAnsi="宋体" w:eastAsia="宋体" w:cs="宋体"/>
          <w:b w:val="0"/>
          <w:bCs w:val="0"/>
          <w:color w:val="auto"/>
          <w:sz w:val="24"/>
          <w:szCs w:val="24"/>
        </w:rPr>
        <w:fldChar w:fldCharType="end"/>
      </w:r>
    </w:p>
    <w:p w14:paraId="0B397E13">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_Toc20691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 xml:space="preserve">建设项目所在地自然环境社会环境简况                          </w:t>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（表二）</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1</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8</w:t>
      </w:r>
    </w:p>
    <w:p w14:paraId="2242E3A6">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_Toc15722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环境质量状况                                                 （表三）</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2</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2</w:t>
      </w:r>
    </w:p>
    <w:p w14:paraId="178ED52F">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_Toc24930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 xml:space="preserve">评价适用标准                                                </w:t>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（表四）</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0</w:t>
      </w:r>
    </w:p>
    <w:p w14:paraId="01237FC7">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_Toc31086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建设项目工程分析                                             （表五）</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4</w:t>
      </w:r>
    </w:p>
    <w:p w14:paraId="0C2D4FA3">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_Toc8671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项目主要污染物产生及预计排放情况                             （表六）</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5</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6</w:t>
      </w:r>
    </w:p>
    <w:p w14:paraId="2A180186">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_Toc8579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环境影响分析                                                 （表七）</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5</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8</w:t>
      </w:r>
    </w:p>
    <w:p w14:paraId="66A90EFF">
      <w:pPr>
        <w:pStyle w:val="72"/>
        <w:tabs>
          <w:tab w:val="right" w:leader="dot" w:pos="9746"/>
        </w:tabs>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_Toc13806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建设项目拟采取的防治措施及预期治理效果                       （表八）</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9</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3</w:t>
      </w:r>
    </w:p>
    <w:p w14:paraId="3755730F">
      <w:pPr>
        <w:pStyle w:val="72"/>
        <w:tabs>
          <w:tab w:val="right" w:leader="dot" w:pos="9746"/>
        </w:tabs>
        <w:spacing w:line="480" w:lineRule="auto"/>
        <w:rPr>
          <w:rFonts w:hint="eastAsia" w:ascii="宋体" w:hAnsi="宋体" w:eastAsia="宋体" w:cs="宋体"/>
          <w:b/>
          <w:bCs/>
          <w:lang w:val="en-US"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_Toc670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结论与建议                                                   （表九）</w:t>
      </w:r>
      <w:r>
        <w:rPr>
          <w:rFonts w:hint="eastAsia" w:ascii="宋体" w:hAnsi="宋体" w:eastAsia="宋体" w:cs="宋体"/>
          <w:b w:val="0"/>
          <w:bCs w:val="0"/>
          <w:color w:val="auto"/>
          <w:sz w:val="24"/>
          <w:szCs w:val="24"/>
        </w:rPr>
        <w:tab/>
      </w:r>
      <w:r>
        <w:rPr>
          <w:rFonts w:hint="eastAsia" w:ascii="宋体" w:hAnsi="宋体" w:cs="宋体"/>
          <w:b w:val="0"/>
          <w:bCs w:val="0"/>
          <w:color w:val="auto"/>
          <w:sz w:val="24"/>
          <w:szCs w:val="24"/>
          <w:lang w:val="en-US" w:eastAsia="zh-CN"/>
        </w:rPr>
        <w:t>9</w:t>
      </w:r>
      <w:r>
        <w:rPr>
          <w:rFonts w:hint="eastAsia" w:ascii="宋体" w:hAnsi="宋体" w:eastAsia="宋体" w:cs="宋体"/>
          <w:b w:val="0"/>
          <w:bCs w:val="0"/>
          <w:color w:val="auto"/>
          <w:sz w:val="24"/>
          <w:szCs w:val="24"/>
        </w:rPr>
        <w:fldChar w:fldCharType="end"/>
      </w:r>
      <w:r>
        <w:rPr>
          <w:rFonts w:hint="eastAsia" w:ascii="宋体" w:hAnsi="宋体" w:cs="宋体"/>
          <w:b w:val="0"/>
          <w:bCs w:val="0"/>
          <w:color w:val="auto"/>
          <w:sz w:val="24"/>
          <w:szCs w:val="24"/>
          <w:lang w:val="en-US" w:eastAsia="zh-CN"/>
        </w:rPr>
        <w:t>5</w:t>
      </w:r>
    </w:p>
    <w:p w14:paraId="2ED72AEE">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r>
        <w:rPr>
          <w:rFonts w:hint="eastAsia" w:ascii="宋体" w:hAnsi="宋体" w:eastAsia="宋体" w:cs="宋体"/>
          <w:b/>
          <w:bCs/>
        </w:rPr>
        <w:fldChar w:fldCharType="end"/>
      </w:r>
      <w:bookmarkStart w:id="0" w:name="_Toc17693_WPSOffice_Level1"/>
      <w:bookmarkStart w:id="1" w:name="_Toc462_WPSOffice_Level1"/>
      <w:bookmarkStart w:id="2" w:name="_Toc19350"/>
      <w:bookmarkStart w:id="3" w:name="_Toc13592_WPSOffice_Level1"/>
      <w:bookmarkStart w:id="4" w:name="_Toc9476_WPSOffice_Level1"/>
      <w:bookmarkStart w:id="5" w:name="_Toc10210_WPSOffice_Level1"/>
      <w:bookmarkStart w:id="6" w:name="_Toc11142_WPSOffice_Level1"/>
    </w:p>
    <w:p w14:paraId="673A3CD1">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33EFE042">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0770B5B7">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1B801C2E">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52656FA8">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3F79C633">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3C9A3053">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51F906E4">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5B99675C">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14F10F36">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754C648A">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67E3E1A4">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5E88F88C">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226353E2">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p w14:paraId="239D3F5D">
      <w:pPr>
        <w:keepNext w:val="0"/>
        <w:keepLines w:val="0"/>
        <w:pageBreakBefore w:val="0"/>
        <w:widowControl w:val="0"/>
        <w:kinsoku/>
        <w:wordWrap/>
        <w:overflowPunct/>
        <w:topLinePunct w:val="0"/>
        <w:bidi w:val="0"/>
        <w:adjustRightInd/>
        <w:snapToGrid/>
        <w:spacing w:line="360" w:lineRule="auto"/>
        <w:ind w:firstLine="0" w:firstLineChars="0"/>
        <w:textAlignment w:val="auto"/>
        <w:outlineLvl w:val="9"/>
        <w:rPr>
          <w:rFonts w:hint="eastAsia" w:ascii="宋体" w:hAnsi="宋体" w:eastAsia="宋体" w:cs="宋体"/>
          <w:b/>
          <w:bCs/>
        </w:rPr>
      </w:pPr>
    </w:p>
    <w:bookmarkEnd w:id="0"/>
    <w:bookmarkEnd w:id="1"/>
    <w:bookmarkEnd w:id="2"/>
    <w:bookmarkEnd w:id="3"/>
    <w:bookmarkEnd w:id="4"/>
    <w:bookmarkEnd w:id="5"/>
    <w:bookmarkEnd w:id="6"/>
    <w:p w14:paraId="6F50CDBB">
      <w:pPr>
        <w:spacing w:line="360" w:lineRule="auto"/>
        <w:ind w:firstLine="281" w:firstLineChars="100"/>
        <w:outlineLvl w:val="0"/>
        <w:rPr>
          <w:rFonts w:hint="default" w:ascii="Times New Roman" w:hAnsi="Times New Roman" w:eastAsia="宋体" w:cs="Times New Roman"/>
          <w:b/>
          <w:color w:val="auto"/>
          <w:sz w:val="28"/>
          <w:szCs w:val="28"/>
        </w:rPr>
        <w:sectPr>
          <w:footerReference r:id="rId3" w:type="default"/>
          <w:pgSz w:w="11906" w:h="16838"/>
          <w:pgMar w:top="1134" w:right="851" w:bottom="1134" w:left="851"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275C0C40">
      <w:pPr>
        <w:spacing w:line="360" w:lineRule="auto"/>
        <w:ind w:firstLine="281" w:firstLineChars="100"/>
        <w:outlineLvl w:val="0"/>
        <w:rPr>
          <w:rFonts w:hint="default" w:ascii="Times New Roman" w:hAnsi="Times New Roman" w:eastAsia="宋体" w:cs="Times New Roman"/>
          <w:color w:val="auto"/>
          <w:sz w:val="28"/>
          <w:szCs w:val="24"/>
        </w:rPr>
      </w:pPr>
      <w:r>
        <w:rPr>
          <w:rFonts w:hint="default" w:ascii="Times New Roman" w:hAnsi="Times New Roman" w:eastAsia="宋体" w:cs="Times New Roman"/>
          <w:b/>
          <w:color w:val="auto"/>
          <w:sz w:val="28"/>
          <w:szCs w:val="28"/>
        </w:rPr>
        <w:t>建设项目基本情况                                              （表一）</w:t>
      </w:r>
    </w:p>
    <w:tbl>
      <w:tblPr>
        <w:tblStyle w:val="22"/>
        <w:tblW w:w="10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1992"/>
        <w:gridCol w:w="181"/>
        <w:gridCol w:w="1501"/>
        <w:gridCol w:w="1395"/>
        <w:gridCol w:w="2041"/>
        <w:gridCol w:w="1593"/>
      </w:tblGrid>
      <w:tr w14:paraId="2A08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74093F7F">
            <w:pPr>
              <w:spacing w:line="36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项目名称</w:t>
            </w:r>
          </w:p>
        </w:tc>
        <w:tc>
          <w:tcPr>
            <w:tcW w:w="8695" w:type="dxa"/>
            <w:gridSpan w:val="6"/>
            <w:shd w:val="clear" w:color="auto" w:fill="auto"/>
            <w:vAlign w:val="center"/>
          </w:tcPr>
          <w:p w14:paraId="0BF293C8">
            <w:pPr>
              <w:spacing w:line="360" w:lineRule="auto"/>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畜禽养殖专用水泥制品及不锈钢制品项目</w:t>
            </w:r>
          </w:p>
        </w:tc>
      </w:tr>
      <w:tr w14:paraId="740F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2C0B0151">
            <w:pPr>
              <w:spacing w:line="36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建设单位</w:t>
            </w:r>
          </w:p>
        </w:tc>
        <w:tc>
          <w:tcPr>
            <w:tcW w:w="8695" w:type="dxa"/>
            <w:gridSpan w:val="6"/>
            <w:shd w:val="clear" w:color="auto" w:fill="auto"/>
            <w:vAlign w:val="center"/>
          </w:tcPr>
          <w:p w14:paraId="17E61FBC">
            <w:pPr>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蓬溪县蓬南镇新豪杰养殖设备厂</w:t>
            </w:r>
          </w:p>
        </w:tc>
      </w:tr>
      <w:tr w14:paraId="3D02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32CDBFFA">
            <w:pPr>
              <w:spacing w:line="36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法人代表</w:t>
            </w:r>
          </w:p>
        </w:tc>
        <w:tc>
          <w:tcPr>
            <w:tcW w:w="3898" w:type="dxa"/>
            <w:gridSpan w:val="3"/>
            <w:shd w:val="clear" w:color="auto" w:fill="auto"/>
            <w:vAlign w:val="center"/>
          </w:tcPr>
          <w:p w14:paraId="301483B0">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张礼碧</w:t>
            </w:r>
          </w:p>
        </w:tc>
        <w:tc>
          <w:tcPr>
            <w:tcW w:w="1395" w:type="dxa"/>
            <w:shd w:val="clear" w:color="auto" w:fill="auto"/>
            <w:vAlign w:val="center"/>
          </w:tcPr>
          <w:p w14:paraId="19047DAE">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p>
        </w:tc>
        <w:tc>
          <w:tcPr>
            <w:tcW w:w="3402" w:type="dxa"/>
            <w:gridSpan w:val="2"/>
            <w:shd w:val="clear" w:color="auto" w:fill="auto"/>
            <w:vAlign w:val="center"/>
          </w:tcPr>
          <w:p w14:paraId="461836EC">
            <w:pPr>
              <w:spacing w:line="360" w:lineRule="auto"/>
              <w:jc w:val="center"/>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eastAsia="zh-CN"/>
              </w:rPr>
              <w:t>张礼碧</w:t>
            </w:r>
          </w:p>
        </w:tc>
      </w:tr>
      <w:tr w14:paraId="0E0F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132834FB">
            <w:pPr>
              <w:spacing w:line="36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通讯地址</w:t>
            </w:r>
          </w:p>
        </w:tc>
        <w:tc>
          <w:tcPr>
            <w:tcW w:w="8695" w:type="dxa"/>
            <w:gridSpan w:val="6"/>
            <w:shd w:val="clear" w:color="auto" w:fill="auto"/>
            <w:vAlign w:val="center"/>
          </w:tcPr>
          <w:p w14:paraId="49D9EEFF">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蓬溪县蓬南镇长石村3社</w:t>
            </w:r>
          </w:p>
        </w:tc>
      </w:tr>
      <w:tr w14:paraId="5F6A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71F502AB">
            <w:pPr>
              <w:spacing w:line="36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联系电话</w:t>
            </w:r>
          </w:p>
        </w:tc>
        <w:tc>
          <w:tcPr>
            <w:tcW w:w="1992" w:type="dxa"/>
            <w:shd w:val="clear" w:color="auto" w:fill="auto"/>
            <w:vAlign w:val="center"/>
          </w:tcPr>
          <w:p w14:paraId="1E980696">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15983073352 </w:t>
            </w:r>
          </w:p>
        </w:tc>
        <w:tc>
          <w:tcPr>
            <w:tcW w:w="1906" w:type="dxa"/>
            <w:gridSpan w:val="2"/>
            <w:shd w:val="clear" w:color="auto" w:fill="auto"/>
            <w:vAlign w:val="center"/>
          </w:tcPr>
          <w:p w14:paraId="4BD5A4F2">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传真</w:t>
            </w:r>
          </w:p>
        </w:tc>
        <w:tc>
          <w:tcPr>
            <w:tcW w:w="1395" w:type="dxa"/>
            <w:shd w:val="clear" w:color="auto" w:fill="auto"/>
            <w:vAlign w:val="center"/>
          </w:tcPr>
          <w:p w14:paraId="48A4EF3E">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041" w:type="dxa"/>
            <w:shd w:val="clear" w:color="auto" w:fill="auto"/>
            <w:vAlign w:val="center"/>
          </w:tcPr>
          <w:p w14:paraId="4F454EC3">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邮编</w:t>
            </w:r>
          </w:p>
        </w:tc>
        <w:tc>
          <w:tcPr>
            <w:tcW w:w="1361" w:type="dxa"/>
            <w:shd w:val="clear" w:color="auto" w:fill="auto"/>
            <w:vAlign w:val="center"/>
          </w:tcPr>
          <w:p w14:paraId="38C316F4">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629135</w:t>
            </w:r>
          </w:p>
        </w:tc>
      </w:tr>
      <w:tr w14:paraId="1827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655A3E1D">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建设地点</w:t>
            </w:r>
          </w:p>
        </w:tc>
        <w:tc>
          <w:tcPr>
            <w:tcW w:w="3898" w:type="dxa"/>
            <w:gridSpan w:val="3"/>
            <w:shd w:val="clear" w:color="auto" w:fill="auto"/>
            <w:vAlign w:val="center"/>
          </w:tcPr>
          <w:p w14:paraId="7D536C24">
            <w:pPr>
              <w:spacing w:line="24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 xml:space="preserve">四川省遂宁市蓬溪县蓬南镇长石村3社 </w:t>
            </w:r>
          </w:p>
        </w:tc>
        <w:tc>
          <w:tcPr>
            <w:tcW w:w="1395" w:type="dxa"/>
            <w:shd w:val="clear" w:color="auto" w:fill="auto"/>
            <w:vAlign w:val="center"/>
          </w:tcPr>
          <w:p w14:paraId="584530DF">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经纬度</w:t>
            </w:r>
          </w:p>
        </w:tc>
        <w:tc>
          <w:tcPr>
            <w:tcW w:w="3402" w:type="dxa"/>
            <w:gridSpan w:val="2"/>
            <w:shd w:val="clear" w:color="auto" w:fill="auto"/>
            <w:vAlign w:val="center"/>
          </w:tcPr>
          <w:p w14:paraId="0552E591">
            <w:pPr>
              <w:spacing w:line="240" w:lineRule="auto"/>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北纬30.421362300</w:t>
            </w:r>
            <w:r>
              <w:rPr>
                <w:rFonts w:hint="eastAsia" w:cs="Times New Roman"/>
                <w:color w:val="auto"/>
                <w:sz w:val="24"/>
                <w:szCs w:val="24"/>
                <w:lang w:val="en-US" w:eastAsia="zh-CN"/>
              </w:rPr>
              <w:t>°</w:t>
            </w:r>
          </w:p>
          <w:p w14:paraId="42A9312A">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东经105.854790508</w:t>
            </w:r>
            <w:r>
              <w:rPr>
                <w:rFonts w:hint="eastAsia" w:cs="Times New Roman"/>
                <w:color w:val="auto"/>
                <w:sz w:val="24"/>
                <w:szCs w:val="24"/>
                <w:lang w:val="en-US" w:eastAsia="zh-CN"/>
              </w:rPr>
              <w:t>°</w:t>
            </w:r>
          </w:p>
        </w:tc>
      </w:tr>
      <w:tr w14:paraId="2F3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4AB74ABF">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立项审批</w:t>
            </w:r>
          </w:p>
          <w:p w14:paraId="7322D5D5">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部门</w:t>
            </w:r>
          </w:p>
        </w:tc>
        <w:tc>
          <w:tcPr>
            <w:tcW w:w="3898" w:type="dxa"/>
            <w:gridSpan w:val="3"/>
            <w:shd w:val="clear" w:color="auto" w:fill="auto"/>
            <w:vAlign w:val="center"/>
          </w:tcPr>
          <w:p w14:paraId="771405D5">
            <w:pPr>
              <w:spacing w:line="240" w:lineRule="auto"/>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蓬溪县</w:t>
            </w:r>
            <w:r>
              <w:rPr>
                <w:rFonts w:hint="default" w:ascii="Times New Roman" w:hAnsi="Times New Roman" w:cs="Times New Roman"/>
                <w:color w:val="auto"/>
                <w:sz w:val="24"/>
                <w:szCs w:val="24"/>
                <w:lang w:eastAsia="zh-CN"/>
              </w:rPr>
              <w:t>发展和改革局</w:t>
            </w:r>
          </w:p>
        </w:tc>
        <w:tc>
          <w:tcPr>
            <w:tcW w:w="1395" w:type="dxa"/>
            <w:shd w:val="clear" w:color="auto" w:fill="auto"/>
            <w:vAlign w:val="center"/>
          </w:tcPr>
          <w:p w14:paraId="2860414B">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批准文号</w:t>
            </w:r>
          </w:p>
        </w:tc>
        <w:tc>
          <w:tcPr>
            <w:tcW w:w="3402" w:type="dxa"/>
            <w:gridSpan w:val="2"/>
            <w:shd w:val="clear" w:color="auto" w:fill="auto"/>
            <w:vAlign w:val="center"/>
          </w:tcPr>
          <w:p w14:paraId="6996BF13">
            <w:pPr>
              <w:spacing w:line="240" w:lineRule="auto"/>
              <w:jc w:val="center"/>
              <w:rPr>
                <w:rFonts w:hint="default" w:ascii="Times New Roman" w:hAnsi="Times New Roman" w:eastAsia="宋体" w:cs="Times New Roman"/>
                <w:color w:val="C00000"/>
                <w:sz w:val="24"/>
                <w:szCs w:val="24"/>
                <w:lang w:eastAsia="zh-CN"/>
              </w:rPr>
            </w:pPr>
            <w:r>
              <w:rPr>
                <w:rFonts w:hint="default" w:ascii="Times New Roman" w:hAnsi="Times New Roman" w:cs="Times New Roman"/>
                <w:color w:val="auto"/>
                <w:sz w:val="24"/>
                <w:lang w:eastAsia="zh-CN"/>
              </w:rPr>
              <w:t>川投资备</w:t>
            </w:r>
            <w:r>
              <w:rPr>
                <w:rFonts w:hint="eastAsia" w:cs="Times New Roman"/>
                <w:color w:val="auto"/>
                <w:sz w:val="24"/>
                <w:lang w:eastAsia="zh-CN"/>
              </w:rPr>
              <w:t>【2102-510921-04-01-481071】FGQB-0023号</w:t>
            </w:r>
          </w:p>
        </w:tc>
      </w:tr>
      <w:tr w14:paraId="227D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5885014A">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建设性质</w:t>
            </w:r>
          </w:p>
        </w:tc>
        <w:tc>
          <w:tcPr>
            <w:tcW w:w="3898" w:type="dxa"/>
            <w:gridSpan w:val="3"/>
            <w:shd w:val="clear" w:color="auto" w:fill="auto"/>
            <w:vAlign w:val="center"/>
          </w:tcPr>
          <w:p w14:paraId="5D01E541">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24"/>
                <w:szCs w:val="24"/>
              </w:rPr>
              <w:t xml:space="preserve">新建    </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24"/>
                <w:szCs w:val="24"/>
              </w:rPr>
              <w:t xml:space="preserve">改扩建    </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24"/>
                <w:szCs w:val="24"/>
              </w:rPr>
              <w:t>技改</w:t>
            </w:r>
          </w:p>
        </w:tc>
        <w:tc>
          <w:tcPr>
            <w:tcW w:w="1395" w:type="dxa"/>
            <w:shd w:val="clear" w:color="auto" w:fill="auto"/>
            <w:vAlign w:val="center"/>
          </w:tcPr>
          <w:p w14:paraId="4553335F">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p w14:paraId="042E79AC">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及代码</w:t>
            </w:r>
          </w:p>
        </w:tc>
        <w:tc>
          <w:tcPr>
            <w:tcW w:w="3402" w:type="dxa"/>
            <w:gridSpan w:val="2"/>
            <w:shd w:val="clear" w:color="auto" w:fill="auto"/>
            <w:vAlign w:val="center"/>
          </w:tcPr>
          <w:p w14:paraId="7EA51480">
            <w:pPr>
              <w:keepNext w:val="0"/>
              <w:keepLines w:val="0"/>
              <w:widowControl/>
              <w:suppressLineNumbers w:val="0"/>
              <w:jc w:val="left"/>
              <w:rPr>
                <w:rFonts w:hint="default" w:cs="Times New Roman"/>
                <w:color w:val="auto"/>
                <w:sz w:val="24"/>
                <w:szCs w:val="24"/>
                <w:lang w:val="en-US" w:eastAsia="zh-CN"/>
              </w:rPr>
            </w:pPr>
            <w:r>
              <w:rPr>
                <w:rFonts w:hint="eastAsia" w:cs="Times New Roman"/>
                <w:color w:val="auto"/>
                <w:sz w:val="24"/>
                <w:szCs w:val="24"/>
                <w:lang w:val="en-US" w:eastAsia="zh-CN"/>
              </w:rPr>
              <w:t>砼结构构件制造 C3022</w:t>
            </w:r>
          </w:p>
          <w:p w14:paraId="7D19149B">
            <w:pPr>
              <w:keepNext w:val="0"/>
              <w:keepLines w:val="0"/>
              <w:widowControl/>
              <w:suppressLineNumbers w:val="0"/>
              <w:jc w:val="left"/>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金属结构制造 C3311</w:t>
            </w:r>
          </w:p>
        </w:tc>
      </w:tr>
      <w:tr w14:paraId="3EA8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vAlign w:val="center"/>
          </w:tcPr>
          <w:p w14:paraId="6B77A581">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lang w:val="en-US" w:eastAsia="zh-CN"/>
              </w:rPr>
              <w:t>占地</w:t>
            </w:r>
            <w:r>
              <w:rPr>
                <w:rFonts w:hint="default" w:ascii="Times New Roman" w:hAnsi="Times New Roman" w:eastAsia="宋体" w:cs="Times New Roman"/>
                <w:b w:val="0"/>
                <w:bCs w:val="0"/>
                <w:color w:val="auto"/>
                <w:sz w:val="24"/>
                <w:szCs w:val="24"/>
              </w:rPr>
              <w:t>面积</w:t>
            </w:r>
          </w:p>
          <w:p w14:paraId="13DFED7C">
            <w:pPr>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（平方米）</w:t>
            </w:r>
          </w:p>
        </w:tc>
        <w:tc>
          <w:tcPr>
            <w:tcW w:w="3898" w:type="dxa"/>
            <w:gridSpan w:val="3"/>
            <w:shd w:val="clear" w:color="auto" w:fill="auto"/>
            <w:vAlign w:val="center"/>
          </w:tcPr>
          <w:p w14:paraId="3B079537">
            <w:pPr>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2454.84</w:t>
            </w:r>
          </w:p>
        </w:tc>
        <w:tc>
          <w:tcPr>
            <w:tcW w:w="1395" w:type="dxa"/>
            <w:shd w:val="clear" w:color="auto" w:fill="auto"/>
            <w:vAlign w:val="center"/>
          </w:tcPr>
          <w:p w14:paraId="126BEB3B">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绿化面积</w:t>
            </w:r>
          </w:p>
          <w:p w14:paraId="51AC72B1">
            <w:pPr>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（平方米）</w:t>
            </w:r>
          </w:p>
        </w:tc>
        <w:tc>
          <w:tcPr>
            <w:tcW w:w="3402" w:type="dxa"/>
            <w:gridSpan w:val="2"/>
            <w:shd w:val="clear" w:color="auto" w:fill="auto"/>
            <w:vAlign w:val="center"/>
          </w:tcPr>
          <w:p w14:paraId="25649A40">
            <w:pPr>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r>
      <w:tr w14:paraId="6EF5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8" w:type="dxa"/>
            <w:shd w:val="clear" w:color="auto" w:fill="auto"/>
            <w:vAlign w:val="center"/>
          </w:tcPr>
          <w:p w14:paraId="5A987CD5">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总投资</w:t>
            </w:r>
          </w:p>
          <w:p w14:paraId="51836CF0">
            <w:pPr>
              <w:spacing w:line="24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（万元）</w:t>
            </w:r>
          </w:p>
        </w:tc>
        <w:tc>
          <w:tcPr>
            <w:tcW w:w="2397" w:type="dxa"/>
            <w:gridSpan w:val="2"/>
            <w:shd w:val="clear" w:color="auto" w:fill="auto"/>
            <w:vAlign w:val="center"/>
          </w:tcPr>
          <w:p w14:paraId="25FFD6DD">
            <w:pPr>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w:t>
            </w:r>
          </w:p>
        </w:tc>
        <w:tc>
          <w:tcPr>
            <w:tcW w:w="1501" w:type="dxa"/>
            <w:shd w:val="clear" w:color="auto" w:fill="auto"/>
            <w:vAlign w:val="center"/>
          </w:tcPr>
          <w:p w14:paraId="0E8DA5D1">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14:paraId="594C7C1B">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395" w:type="dxa"/>
            <w:shd w:val="clear" w:color="auto" w:fill="auto"/>
            <w:vAlign w:val="center"/>
          </w:tcPr>
          <w:p w14:paraId="50E3B5C3">
            <w:pPr>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19.3</w:t>
            </w:r>
          </w:p>
        </w:tc>
        <w:tc>
          <w:tcPr>
            <w:tcW w:w="2041" w:type="dxa"/>
            <w:shd w:val="clear" w:color="auto" w:fill="auto"/>
            <w:vAlign w:val="center"/>
          </w:tcPr>
          <w:p w14:paraId="3822118C">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环保投资占总投资比例</w:t>
            </w:r>
          </w:p>
        </w:tc>
        <w:tc>
          <w:tcPr>
            <w:tcW w:w="1361" w:type="dxa"/>
            <w:shd w:val="clear" w:color="auto" w:fill="auto"/>
            <w:vAlign w:val="center"/>
          </w:tcPr>
          <w:p w14:paraId="76678233">
            <w:pPr>
              <w:spacing w:line="24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38.6</w:t>
            </w:r>
            <w:r>
              <w:rPr>
                <w:rFonts w:hint="default" w:ascii="Times New Roman" w:hAnsi="Times New Roman" w:eastAsia="宋体" w:cs="Times New Roman"/>
                <w:color w:val="auto"/>
                <w:sz w:val="24"/>
                <w:szCs w:val="24"/>
              </w:rPr>
              <w:t>%</w:t>
            </w:r>
          </w:p>
        </w:tc>
      </w:tr>
      <w:tr w14:paraId="046D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193" w:type="dxa"/>
            <w:gridSpan w:val="7"/>
            <w:shd w:val="clear" w:color="auto" w:fill="auto"/>
          </w:tcPr>
          <w:p w14:paraId="0FCC833A">
            <w:pPr>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8"/>
                <w:szCs w:val="24"/>
              </w:rPr>
              <w:t>工程内容及规模</w:t>
            </w:r>
          </w:p>
          <w:p w14:paraId="17B21DAE">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一、项目由来</w:t>
            </w:r>
          </w:p>
          <w:p w14:paraId="08FA3484">
            <w:pPr>
              <w:spacing w:line="360" w:lineRule="auto"/>
              <w:ind w:firstLine="560"/>
              <w:rPr>
                <w:rFonts w:hAnsi="宋体"/>
                <w:bCs/>
                <w:sz w:val="24"/>
              </w:rPr>
            </w:pPr>
            <w:r>
              <w:rPr>
                <w:rFonts w:hAnsi="宋体"/>
                <w:bCs/>
                <w:sz w:val="24"/>
              </w:rPr>
              <w:t>2019年8月31日以来，农业农村部会同国家发改委、财政部、自然资源部、生态环境部、交通运输部、银保监会等部门，认真</w:t>
            </w:r>
            <w:bookmarkStart w:id="8" w:name="_GoBack"/>
            <w:bookmarkEnd w:id="8"/>
            <w:r>
              <w:rPr>
                <w:rFonts w:hAnsi="宋体"/>
                <w:bCs/>
                <w:sz w:val="24"/>
              </w:rPr>
              <w:t>贯彻党中央</w:t>
            </w:r>
            <w:r>
              <w:rPr>
                <w:rFonts w:hint="eastAsia" w:hAnsi="宋体"/>
                <w:bCs/>
                <w:sz w:val="24"/>
                <w:lang w:eastAsia="zh-CN"/>
              </w:rPr>
              <w:t>、</w:t>
            </w:r>
            <w:r>
              <w:rPr>
                <w:rFonts w:hAnsi="宋体"/>
                <w:bCs/>
                <w:sz w:val="24"/>
              </w:rPr>
              <w:t>国务院决策部署，多部门相继印发文件，出台17条政策措施支持生猪生产发展。</w:t>
            </w:r>
          </w:p>
          <w:p w14:paraId="487AEE23">
            <w:pPr>
              <w:spacing w:line="360" w:lineRule="auto"/>
              <w:ind w:firstLine="560"/>
              <w:rPr>
                <w:rFonts w:hint="eastAsia" w:hAnsi="宋体"/>
                <w:bCs/>
                <w:sz w:val="24"/>
              </w:rPr>
            </w:pPr>
            <w:r>
              <w:rPr>
                <w:rFonts w:hint="eastAsia" w:hAnsi="宋体"/>
                <w:bCs/>
                <w:sz w:val="24"/>
              </w:rPr>
              <w:t>我国养猪</w:t>
            </w:r>
            <w:r>
              <w:rPr>
                <w:rFonts w:hint="eastAsia" w:hAnsi="宋体"/>
                <w:bCs/>
                <w:sz w:val="24"/>
                <w:lang w:val="en-US" w:eastAsia="zh-CN"/>
              </w:rPr>
              <w:t>行业</w:t>
            </w:r>
            <w:r>
              <w:rPr>
                <w:rFonts w:hint="eastAsia" w:hAnsi="宋体"/>
                <w:bCs/>
                <w:sz w:val="24"/>
              </w:rPr>
              <w:t>从小规模养殖转向超大规模化养殖；从人工喂养转向自动化喂养；从室外露天养殖转向室内密闭恒温养殖。</w:t>
            </w:r>
            <w:r>
              <w:rPr>
                <w:rFonts w:hAnsi="宋体"/>
                <w:bCs/>
                <w:sz w:val="24"/>
              </w:rPr>
              <w:t>在这种情况下，</w:t>
            </w:r>
            <w:r>
              <w:rPr>
                <w:rFonts w:hint="eastAsia" w:hAnsi="宋体"/>
                <w:bCs/>
                <w:sz w:val="24"/>
              </w:rPr>
              <w:t>大体量的现代化的节能、环保、绿色猪舍</w:t>
            </w:r>
            <w:r>
              <w:rPr>
                <w:rFonts w:hAnsi="宋体"/>
                <w:bCs/>
                <w:sz w:val="24"/>
              </w:rPr>
              <w:t>建设势在必行，而建设猪舍需要的漏粪板、猪用食槽等设备需求也将大幅增加</w:t>
            </w:r>
            <w:r>
              <w:rPr>
                <w:rFonts w:hint="eastAsia" w:hAnsi="宋体"/>
                <w:bCs/>
                <w:sz w:val="24"/>
              </w:rPr>
              <w:t>。</w:t>
            </w:r>
          </w:p>
          <w:p w14:paraId="6BB8F424">
            <w:pPr>
              <w:spacing w:line="360" w:lineRule="auto"/>
              <w:ind w:firstLine="560"/>
              <w:rPr>
                <w:rFonts w:hint="eastAsia" w:hAnsi="宋体"/>
                <w:bCs/>
                <w:sz w:val="24"/>
                <w:lang w:eastAsia="zh-CN"/>
              </w:rPr>
            </w:pPr>
            <w:r>
              <w:rPr>
                <w:rFonts w:hint="eastAsia" w:hAnsi="宋体"/>
                <w:bCs/>
                <w:sz w:val="24"/>
                <w:lang w:eastAsia="zh-CN"/>
              </w:rPr>
              <w:t>鉴于此，蓬溪县蓬南镇新豪杰养殖设备厂拟建设畜禽养殖专用水泥制品及不锈钢制品项目。</w:t>
            </w:r>
            <w:r>
              <w:rPr>
                <w:rFonts w:hAnsi="宋体"/>
                <w:bCs/>
                <w:sz w:val="24"/>
              </w:rPr>
              <w:t>主要生产漏粪板、</w:t>
            </w:r>
            <w:r>
              <w:rPr>
                <w:rFonts w:hint="eastAsia" w:hAnsi="宋体"/>
                <w:bCs/>
                <w:sz w:val="24"/>
                <w:lang w:val="en-US" w:eastAsia="zh-CN"/>
              </w:rPr>
              <w:t>不锈钢料槽</w:t>
            </w:r>
            <w:r>
              <w:rPr>
                <w:rFonts w:hAnsi="宋体"/>
                <w:bCs/>
                <w:sz w:val="24"/>
              </w:rPr>
              <w:t>、</w:t>
            </w:r>
            <w:r>
              <w:rPr>
                <w:rFonts w:hint="eastAsia" w:hAnsi="宋体"/>
                <w:bCs/>
                <w:sz w:val="24"/>
                <w:lang w:val="en-US" w:eastAsia="zh-CN"/>
              </w:rPr>
              <w:t>水泥</w:t>
            </w:r>
            <w:r>
              <w:rPr>
                <w:rFonts w:hAnsi="宋体"/>
                <w:bCs/>
                <w:sz w:val="24"/>
              </w:rPr>
              <w:t>料槽等，以满足猪舍建设的需求，经济效益可观</w:t>
            </w:r>
            <w:r>
              <w:rPr>
                <w:rFonts w:hint="eastAsia" w:hAnsi="宋体"/>
                <w:bCs/>
                <w:sz w:val="24"/>
                <w:lang w:eastAsia="zh-CN"/>
              </w:rPr>
              <w:t>。目前</w:t>
            </w:r>
            <w:r>
              <w:rPr>
                <w:rFonts w:hint="eastAsia" w:hAnsi="宋体"/>
                <w:bCs/>
                <w:sz w:val="24"/>
                <w:lang w:val="en-US" w:eastAsia="zh-CN"/>
              </w:rPr>
              <w:t>项目</w:t>
            </w:r>
            <w:r>
              <w:rPr>
                <w:rFonts w:hint="eastAsia" w:hAnsi="宋体"/>
                <w:bCs/>
                <w:sz w:val="24"/>
                <w:lang w:eastAsia="zh-CN"/>
              </w:rPr>
              <w:t>已取得</w:t>
            </w:r>
            <w:r>
              <w:rPr>
                <w:rFonts w:hint="eastAsia" w:hAnsi="宋体"/>
                <w:bCs/>
                <w:sz w:val="24"/>
                <w:lang w:val="en-US" w:eastAsia="zh-CN"/>
              </w:rPr>
              <w:t>蓬溪县</w:t>
            </w:r>
            <w:r>
              <w:rPr>
                <w:rFonts w:hint="eastAsia" w:hAnsi="宋体"/>
                <w:bCs/>
                <w:sz w:val="24"/>
                <w:lang w:eastAsia="zh-CN"/>
              </w:rPr>
              <w:t>发展和改革局对本项目的备案（</w:t>
            </w:r>
            <w:r>
              <w:rPr>
                <w:rFonts w:hint="default" w:ascii="Times New Roman" w:hAnsi="Times New Roman" w:cs="Times New Roman"/>
                <w:color w:val="auto"/>
                <w:sz w:val="24"/>
                <w:lang w:eastAsia="zh-CN"/>
              </w:rPr>
              <w:t>川投资备</w:t>
            </w:r>
            <w:r>
              <w:rPr>
                <w:rFonts w:hint="eastAsia" w:cs="Times New Roman"/>
                <w:color w:val="auto"/>
                <w:sz w:val="24"/>
                <w:lang w:eastAsia="zh-CN"/>
              </w:rPr>
              <w:t>【2102-510921-04-01-481071】FGQB-0023号</w:t>
            </w:r>
            <w:r>
              <w:rPr>
                <w:rFonts w:hint="eastAsia" w:hAnsi="宋体"/>
                <w:bCs/>
                <w:sz w:val="24"/>
                <w:lang w:eastAsia="zh-CN"/>
              </w:rPr>
              <w:t>）。</w:t>
            </w:r>
          </w:p>
          <w:p w14:paraId="68C4359E">
            <w:pPr>
              <w:adjustRightInd/>
              <w:spacing w:line="360" w:lineRule="auto"/>
              <w:ind w:firstLine="480" w:firstLineChars="200"/>
              <w:rPr>
                <w:rFonts w:hint="eastAsia" w:ascii="Times New Roman" w:hAnsi="宋体" w:cs="Times New Roman"/>
                <w:bCs/>
                <w:sz w:val="24"/>
                <w:lang w:val="en-US" w:eastAsia="zh-CN"/>
              </w:rPr>
            </w:pPr>
            <w:r>
              <w:rPr>
                <w:rFonts w:hint="eastAsia" w:ascii="Times New Roman" w:hAnsi="宋体" w:cs="Times New Roman"/>
                <w:bCs/>
                <w:sz w:val="24"/>
                <w:lang w:val="en-US" w:eastAsia="zh-CN"/>
              </w:rPr>
              <w:t>根据《中华人民共和国环境保护法》、《中华人民共和国环境影响评价法》、国务院令第253号《建设项目环境保护管理条例》以及国务院令第682号《国务院关于修改&lt;建设项目环境保护管理条例&gt;的决定》的相关内容，依照建设项目环境影响评价制度，为了加强建设项目的环境保护管理，严格控制新的污染，保护和改善环境，项目建设必须进行环境影响评价。同时，根据《建设项目环境影响评价分类管理名录（2021年版）》（生态环境部令 第16号），本项目属于“</w:t>
            </w:r>
            <w:r>
              <w:rPr>
                <w:rFonts w:hint="default" w:ascii="Times New Roman" w:hAnsi="宋体" w:cs="Times New Roman"/>
                <w:bCs/>
                <w:sz w:val="24"/>
                <w:lang w:val="en-US" w:eastAsia="zh-CN"/>
              </w:rPr>
              <w:t>二十七、非金属矿物制品业</w:t>
            </w:r>
            <w:r>
              <w:rPr>
                <w:rFonts w:hint="eastAsia" w:ascii="Times New Roman" w:hAnsi="宋体" w:cs="Times New Roman"/>
                <w:bCs/>
                <w:sz w:val="24"/>
                <w:lang w:val="en-US" w:eastAsia="zh-CN"/>
              </w:rPr>
              <w:t xml:space="preserve"> 30”中“55、石膏、水泥制品及类似制品制造 302”中“砼结构构件制造”和“三十、金属制造业 33”中“66、结构性金属制品制造 331”中“/”，因此本项目应当编制环境影响报告表。</w:t>
            </w:r>
          </w:p>
          <w:p w14:paraId="75CD1701">
            <w:pPr>
              <w:adjustRightInd/>
              <w:spacing w:line="360" w:lineRule="auto"/>
              <w:ind w:firstLine="480" w:firstLineChars="200"/>
              <w:rPr>
                <w:rFonts w:hint="default" w:ascii="Times New Roman" w:hAnsi="宋体" w:cs="Times New Roman"/>
                <w:bCs/>
                <w:sz w:val="24"/>
                <w:lang w:eastAsia="zh-CN"/>
              </w:rPr>
            </w:pPr>
            <w:r>
              <w:rPr>
                <w:rFonts w:hint="default" w:ascii="Times New Roman" w:hAnsi="宋体" w:cs="Times New Roman"/>
                <w:bCs/>
                <w:sz w:val="24"/>
                <w:lang w:eastAsia="zh-CN"/>
              </w:rPr>
              <w:t>为此，</w:t>
            </w:r>
            <w:r>
              <w:rPr>
                <w:rFonts w:hint="eastAsia" w:ascii="Times New Roman" w:hAnsi="宋体" w:cs="Times New Roman"/>
                <w:bCs/>
                <w:sz w:val="24"/>
                <w:lang w:eastAsia="zh-CN"/>
              </w:rPr>
              <w:t>蓬溪县蓬南镇新豪杰养殖设备厂</w:t>
            </w:r>
            <w:r>
              <w:rPr>
                <w:rFonts w:hint="default" w:ascii="Times New Roman" w:hAnsi="宋体" w:cs="Times New Roman"/>
                <w:bCs/>
                <w:sz w:val="24"/>
                <w:lang w:eastAsia="zh-CN"/>
              </w:rPr>
              <w:t>特委托</w:t>
            </w:r>
            <w:r>
              <w:rPr>
                <w:rFonts w:hint="default" w:ascii="Times New Roman" w:hAnsi="宋体" w:cs="Times New Roman"/>
                <w:bCs/>
                <w:sz w:val="24"/>
                <w:lang w:val="en-US" w:eastAsia="zh-CN"/>
              </w:rPr>
              <w:t>我单位</w:t>
            </w:r>
            <w:r>
              <w:rPr>
                <w:rFonts w:hint="default" w:ascii="Times New Roman" w:hAnsi="宋体" w:cs="Times New Roman"/>
                <w:bCs/>
                <w:sz w:val="24"/>
                <w:lang w:eastAsia="zh-CN"/>
              </w:rPr>
              <w:t>承担该项目的环境影响评价工作，委托书见附件。经过详细的调查、现场勘察，按照有关环保法规和环境影响评价技术导则等规范要求编制完成了《</w:t>
            </w:r>
            <w:r>
              <w:rPr>
                <w:rFonts w:hint="eastAsia" w:ascii="Times New Roman" w:hAnsi="宋体" w:cs="Times New Roman"/>
                <w:bCs/>
                <w:sz w:val="24"/>
                <w:lang w:eastAsia="zh-CN"/>
              </w:rPr>
              <w:t>畜禽养殖专用水泥制品及不锈钢制品项目</w:t>
            </w:r>
            <w:r>
              <w:rPr>
                <w:rFonts w:hint="default" w:ascii="Times New Roman" w:hAnsi="宋体" w:cs="Times New Roman"/>
                <w:bCs/>
                <w:sz w:val="24"/>
                <w:lang w:eastAsia="zh-CN"/>
              </w:rPr>
              <w:t>》环境影响报告表，待审批后作为开展项目建设环保整改设计及主管部门环境管理工作的依据。</w:t>
            </w:r>
          </w:p>
          <w:p w14:paraId="79637903">
            <w:pPr>
              <w:pStyle w:val="61"/>
              <w:adjustRightInd/>
              <w:snapToGrid w:val="0"/>
              <w:spacing w:line="360" w:lineRule="auto"/>
              <w:ind w:left="0" w:right="0" w:firstLine="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eastAsia="zh-CN"/>
              </w:rPr>
              <w:t>二</w:t>
            </w:r>
            <w:r>
              <w:rPr>
                <w:rFonts w:hint="default" w:ascii="Times New Roman" w:hAnsi="Times New Roman" w:eastAsia="宋体" w:cs="Times New Roman"/>
                <w:b/>
                <w:bCs w:val="0"/>
                <w:color w:val="auto"/>
                <w:sz w:val="28"/>
                <w:szCs w:val="28"/>
              </w:rPr>
              <w:t>、评价目的</w:t>
            </w:r>
            <w:r>
              <w:rPr>
                <w:rFonts w:hint="default" w:ascii="Times New Roman" w:hAnsi="Times New Roman" w:cs="Times New Roman"/>
                <w:b/>
                <w:bCs w:val="0"/>
                <w:color w:val="auto"/>
                <w:sz w:val="28"/>
                <w:szCs w:val="28"/>
                <w:lang w:eastAsia="zh-CN"/>
              </w:rPr>
              <w:t>、</w:t>
            </w:r>
            <w:r>
              <w:rPr>
                <w:rFonts w:hint="default" w:ascii="Times New Roman" w:hAnsi="Times New Roman" w:eastAsia="宋体" w:cs="Times New Roman"/>
                <w:b/>
                <w:bCs w:val="0"/>
                <w:color w:val="auto"/>
                <w:sz w:val="28"/>
                <w:szCs w:val="28"/>
              </w:rPr>
              <w:t>重点</w:t>
            </w:r>
            <w:r>
              <w:rPr>
                <w:rFonts w:hint="default" w:ascii="Times New Roman" w:hAnsi="Times New Roman" w:cs="Times New Roman"/>
                <w:b/>
                <w:bCs w:val="0"/>
                <w:color w:val="auto"/>
                <w:sz w:val="28"/>
                <w:szCs w:val="28"/>
                <w:lang w:val="en-US" w:eastAsia="zh-CN"/>
              </w:rPr>
              <w:t>及评价等级、评价范围</w:t>
            </w:r>
          </w:p>
          <w:p w14:paraId="2144DFBC">
            <w:pPr>
              <w:pStyle w:val="61"/>
              <w:adjustRightInd/>
              <w:snapToGrid w:val="0"/>
              <w:spacing w:line="360" w:lineRule="auto"/>
              <w:ind w:left="0" w:right="0" w:firstLine="482"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b/>
                <w:bCs/>
                <w:color w:val="auto"/>
                <w:szCs w:val="24"/>
                <w:lang w:val="en-US" w:eastAsia="zh-CN"/>
              </w:rPr>
              <w:t>1、评级目的及重点</w:t>
            </w:r>
          </w:p>
          <w:p w14:paraId="260EBBF5">
            <w:pPr>
              <w:pStyle w:val="61"/>
              <w:adjustRightInd/>
              <w:snapToGrid w:val="0"/>
              <w:spacing w:line="360" w:lineRule="auto"/>
              <w:ind w:left="0" w:right="0" w:firstLine="480" w:firstLineChars="20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本项目为</w:t>
            </w:r>
            <w:r>
              <w:rPr>
                <w:rFonts w:hint="default" w:ascii="Times New Roman" w:hAnsi="Times New Roman" w:eastAsia="宋体" w:cs="Times New Roman"/>
                <w:color w:val="auto"/>
                <w:szCs w:val="24"/>
                <w:lang w:eastAsia="zh-CN"/>
              </w:rPr>
              <w:t>新建项目</w:t>
            </w:r>
            <w:r>
              <w:rPr>
                <w:rFonts w:hint="default" w:ascii="Times New Roman" w:hAnsi="Times New Roman" w:eastAsia="宋体" w:cs="Times New Roman"/>
                <w:color w:val="auto"/>
                <w:szCs w:val="24"/>
              </w:rPr>
              <w:t>，本报告表在充分了解项目的工程设施，深入进行工程分析和掌握环境现状的基础上，对项目所导致的环境影响进行</w:t>
            </w:r>
            <w:r>
              <w:rPr>
                <w:rFonts w:hint="default" w:ascii="Times New Roman" w:hAnsi="Times New Roman" w:cs="Times New Roman"/>
                <w:color w:val="auto"/>
                <w:szCs w:val="24"/>
                <w:lang w:eastAsia="zh-CN"/>
              </w:rPr>
              <w:t>分析</w:t>
            </w:r>
            <w:r>
              <w:rPr>
                <w:rFonts w:hint="default" w:ascii="Times New Roman" w:hAnsi="Times New Roman" w:eastAsia="宋体" w:cs="Times New Roman"/>
                <w:color w:val="auto"/>
                <w:szCs w:val="24"/>
              </w:rPr>
              <w:t>，从环境保护的角度为主管部门提供决策依据，为业主提供环保管理文件。</w:t>
            </w:r>
          </w:p>
          <w:p w14:paraId="149588A9">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本评价的重点为：</w:t>
            </w:r>
          </w:p>
          <w:p w14:paraId="41D416F9">
            <w:pPr>
              <w:widowControl/>
              <w:numPr>
                <w:ilvl w:val="0"/>
                <w:numId w:val="2"/>
              </w:numPr>
              <w:snapToGrid w:val="0"/>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按“清洁生产、达标排放”的要求，分析该生产线的污染防治措施是否符合国家有关环境保护法规、标准规定及要求，并提出相应的污染防治整改措施。</w:t>
            </w:r>
          </w:p>
          <w:p w14:paraId="0876C9F3">
            <w:pPr>
              <w:widowControl/>
              <w:numPr>
                <w:ilvl w:val="0"/>
                <w:numId w:val="2"/>
              </w:numPr>
              <w:snapToGrid w:val="0"/>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对本工程采用的污染控制及环保治理措施进行对比分析，并对其进行经济、技术论证，提供可行性实施方案。</w:t>
            </w:r>
          </w:p>
          <w:p w14:paraId="41A8D663">
            <w:pPr>
              <w:widowControl/>
              <w:numPr>
                <w:ilvl w:val="0"/>
                <w:numId w:val="2"/>
              </w:numPr>
              <w:snapToGrid w:val="0"/>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分析生产中产生和排放的污染因子和污染源对区域环境的影响，并提出减少排放和减少环境影响的措施。</w:t>
            </w:r>
          </w:p>
          <w:p w14:paraId="4A9DD0F3">
            <w:pPr>
              <w:widowControl/>
              <w:numPr>
                <w:ilvl w:val="0"/>
                <w:numId w:val="2"/>
              </w:numPr>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sz w:val="24"/>
              </w:rPr>
              <w:t>建立环境管理与监控计划，为企业的环境保护和环境保护管理提供依据。</w:t>
            </w:r>
          </w:p>
          <w:p w14:paraId="533B8DD3">
            <w:pPr>
              <w:spacing w:line="360" w:lineRule="auto"/>
              <w:ind w:firstLine="48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2、评级等级和评价范围</w:t>
            </w:r>
          </w:p>
          <w:p w14:paraId="0FF3A85B">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根据拟建项目污染物排放特征、项目所在地区的地形特点和环境功能区划，按照《环境影响评价技术导则》所规定的方法，确定本次环境影响评价的等级。</w:t>
            </w:r>
          </w:p>
          <w:p w14:paraId="5C80403B">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1、环境空气影响评价等级</w:t>
            </w:r>
          </w:p>
          <w:p w14:paraId="025225BE">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按照《环境影响评价技术导则</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大气环境》（HJ2.2-2018），评价等级的确定应关注项目排放的可能对人体健康或生态环境有严重危害的特征污染因子，根据工程分析的结果，分别计算最大地面浓度占标率Pi（第i个污染物）及第i个污染物的地面浓度达标准限值10%时所对应的最远距离D10%，其中Pi定义为：</w:t>
            </w:r>
          </w:p>
          <w:p w14:paraId="0CF03B73">
            <w:pPr>
              <w:spacing w:line="360" w:lineRule="auto"/>
              <w:ind w:firstLine="48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0i</w:t>
            </w:r>
            <w:r>
              <w:rPr>
                <w:rFonts w:hint="default" w:ascii="Times New Roman" w:hAnsi="Times New Roman" w:eastAsia="宋体" w:cs="Times New Roman"/>
                <w:color w:val="auto"/>
                <w:sz w:val="24"/>
                <w:szCs w:val="24"/>
              </w:rPr>
              <w:t>）×100%</w:t>
            </w:r>
          </w:p>
          <w:p w14:paraId="0405A366">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－第i 个污染物的最大地面浓度占标率，%；</w:t>
            </w:r>
          </w:p>
          <w:p w14:paraId="16BACBA5">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－采用估算模型计算出的第i 个污染物的最大1h地面空气质量浓度，μg/m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366B3AD3">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0i</w:t>
            </w:r>
            <w:r>
              <w:rPr>
                <w:rFonts w:hint="default" w:ascii="Times New Roman" w:hAnsi="Times New Roman" w:eastAsia="宋体" w:cs="Times New Roman"/>
                <w:color w:val="auto"/>
                <w:sz w:val="24"/>
                <w:szCs w:val="24"/>
              </w:rPr>
              <w:t>－第i个污染物的环境空气质量浓度标准，μg/m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0EBD686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0i</w:t>
            </w:r>
            <w:r>
              <w:rPr>
                <w:rFonts w:hint="default" w:ascii="Times New Roman" w:hAnsi="Times New Roman" w:eastAsia="宋体" w:cs="Times New Roman"/>
                <w:color w:val="auto"/>
                <w:sz w:val="24"/>
                <w:szCs w:val="24"/>
              </w:rPr>
              <w:t>一般选用GB3095中1h平均质量浓度的二级浓度限值，如项目位于一类环境空气功能区，应选择相应的一级浓度限值。对仅有8h平均质量浓度限值、日平均质量浓度限值或年平均质量浓度限值的，可分别按2倍、3倍、6倍折算为1h平均质量浓度限值。</w:t>
            </w:r>
          </w:p>
          <w:p w14:paraId="4C0F6B90">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根据导则，采用AerScreen估算模型进行计算，详细预测</w:t>
            </w:r>
            <w:r>
              <w:rPr>
                <w:rFonts w:hint="default" w:ascii="Times New Roman" w:hAnsi="Times New Roman" w:eastAsia="宋体" w:cs="Times New Roman"/>
                <w:color w:val="auto"/>
                <w:sz w:val="24"/>
                <w:szCs w:val="24"/>
                <w:lang w:eastAsia="zh-CN"/>
              </w:rPr>
              <w:t>及结果</w:t>
            </w:r>
            <w:r>
              <w:rPr>
                <w:rFonts w:hint="default" w:ascii="Times New Roman" w:hAnsi="Times New Roman" w:eastAsia="宋体" w:cs="Times New Roman"/>
                <w:color w:val="auto"/>
                <w:sz w:val="24"/>
                <w:szCs w:val="24"/>
              </w:rPr>
              <w:t>见</w:t>
            </w:r>
            <w:r>
              <w:rPr>
                <w:rFonts w:hint="default" w:ascii="Times New Roman" w:hAnsi="Times New Roman" w:eastAsia="宋体" w:cs="Times New Roman"/>
                <w:color w:val="auto"/>
                <w:sz w:val="24"/>
                <w:szCs w:val="24"/>
                <w:lang w:eastAsia="zh-CN"/>
              </w:rPr>
              <w:t>“表七”</w:t>
            </w:r>
            <w:r>
              <w:rPr>
                <w:rFonts w:hint="default" w:ascii="Times New Roman" w:hAnsi="Times New Roman" w:eastAsia="宋体" w:cs="Times New Roman"/>
                <w:color w:val="auto"/>
                <w:sz w:val="24"/>
                <w:szCs w:val="24"/>
              </w:rPr>
              <w:t>章节。</w:t>
            </w:r>
          </w:p>
          <w:p w14:paraId="1D6CEB9C">
            <w:pPr>
              <w:widowControl/>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由估算结果可知，本项目各污染源各污染物的小时平均最大落地浓度占标率P</w:t>
            </w:r>
            <w:r>
              <w:rPr>
                <w:rFonts w:hint="default" w:ascii="Times New Roman" w:hAnsi="Times New Roman" w:eastAsia="宋体" w:cs="Times New Roman"/>
                <w:color w:val="auto"/>
                <w:kern w:val="0"/>
                <w:sz w:val="24"/>
                <w:szCs w:val="24"/>
                <w:vertAlign w:val="subscript"/>
              </w:rPr>
              <w:t>max</w:t>
            </w:r>
            <w:r>
              <w:rPr>
                <w:rFonts w:hint="default" w:ascii="Times New Roman" w:hAnsi="Times New Roman" w:eastAsia="宋体" w:cs="Times New Roman"/>
                <w:color w:val="auto"/>
                <w:kern w:val="0"/>
                <w:sz w:val="24"/>
                <w:szCs w:val="24"/>
              </w:rPr>
              <w:t>为</w:t>
            </w:r>
            <w:r>
              <w:rPr>
                <w:rFonts w:hint="eastAsia" w:cs="Times New Roman"/>
                <w:color w:val="auto"/>
                <w:kern w:val="0"/>
                <w:sz w:val="24"/>
                <w:szCs w:val="24"/>
                <w:lang w:val="en-US" w:eastAsia="zh-CN"/>
              </w:rPr>
              <w:t>2.17</w:t>
            </w:r>
            <w:r>
              <w:rPr>
                <w:rFonts w:hint="default" w:ascii="Times New Roman" w:hAnsi="Times New Roman" w:eastAsia="宋体" w:cs="Times New Roman"/>
                <w:color w:val="auto"/>
                <w:kern w:val="0"/>
                <w:sz w:val="24"/>
                <w:szCs w:val="24"/>
              </w:rPr>
              <w:t>%，属于</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≤P</w:t>
            </w:r>
            <w:r>
              <w:rPr>
                <w:rFonts w:hint="default" w:ascii="Times New Roman" w:hAnsi="Times New Roman" w:eastAsia="宋体" w:cs="Times New Roman"/>
                <w:color w:val="auto"/>
                <w:kern w:val="0"/>
                <w:sz w:val="24"/>
                <w:szCs w:val="24"/>
                <w:vertAlign w:val="subscript"/>
              </w:rPr>
              <w:t>max</w:t>
            </w:r>
            <w:r>
              <w:rPr>
                <w:rFonts w:hint="default" w:ascii="Times New Roman" w:hAnsi="Times New Roman" w:eastAsia="宋体" w:cs="Times New Roman"/>
                <w:color w:val="auto"/>
                <w:kern w:val="0"/>
                <w:sz w:val="24"/>
                <w:szCs w:val="24"/>
              </w:rPr>
              <w:t>＜1</w:t>
            </w:r>
            <w:r>
              <w:rPr>
                <w:rFonts w:hint="default"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w:t>
            </w:r>
          </w:p>
          <w:p w14:paraId="387A6FA4">
            <w:pPr>
              <w:widowControl/>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因此根据《环境影响评价技术导则 大气环境》（HJ2.2-2018），确定</w:t>
            </w:r>
            <w:r>
              <w:rPr>
                <w:rFonts w:hint="default" w:ascii="Times New Roman" w:hAnsi="Times New Roman" w:eastAsia="宋体" w:cs="Times New Roman"/>
                <w:b/>
                <w:bCs/>
                <w:color w:val="auto"/>
                <w:kern w:val="0"/>
                <w:sz w:val="24"/>
                <w:szCs w:val="24"/>
              </w:rPr>
              <w:t>本项目大气环境影响评价等级为</w:t>
            </w:r>
            <w:r>
              <w:rPr>
                <w:rFonts w:hint="default" w:ascii="Times New Roman" w:hAnsi="Times New Roman" w:eastAsia="宋体" w:cs="Times New Roman"/>
                <w:b/>
                <w:bCs/>
                <w:color w:val="auto"/>
                <w:kern w:val="0"/>
                <w:sz w:val="24"/>
                <w:szCs w:val="24"/>
                <w:lang w:eastAsia="zh-CN"/>
              </w:rPr>
              <w:t>二</w:t>
            </w:r>
            <w:r>
              <w:rPr>
                <w:rFonts w:hint="default" w:ascii="Times New Roman" w:hAnsi="Times New Roman" w:eastAsia="宋体" w:cs="Times New Roman"/>
                <w:b/>
                <w:bCs/>
                <w:color w:val="auto"/>
                <w:kern w:val="0"/>
                <w:sz w:val="24"/>
                <w:szCs w:val="24"/>
              </w:rPr>
              <w:t>级</w:t>
            </w:r>
            <w:r>
              <w:rPr>
                <w:rFonts w:hint="default" w:ascii="Times New Roman" w:hAnsi="Times New Roman" w:eastAsia="宋体" w:cs="Times New Roman"/>
                <w:b/>
                <w:bCs/>
                <w:color w:val="auto"/>
                <w:kern w:val="0"/>
                <w:sz w:val="24"/>
                <w:szCs w:val="24"/>
                <w:lang w:eastAsia="zh-CN"/>
              </w:rPr>
              <w:t>，二级评价仅进行污染物排放核算，不进行进一步预测分析，</w:t>
            </w:r>
            <w:r>
              <w:rPr>
                <w:rFonts w:hint="default" w:ascii="Times New Roman" w:hAnsi="Times New Roman" w:eastAsia="宋体" w:cs="Times New Roman"/>
                <w:color w:val="auto"/>
                <w:kern w:val="0"/>
                <w:sz w:val="24"/>
                <w:szCs w:val="24"/>
              </w:rPr>
              <w:t>判定依据见</w:t>
            </w:r>
            <w:r>
              <w:rPr>
                <w:rFonts w:hint="default" w:ascii="Times New Roman" w:hAnsi="Times New Roman" w:eastAsia="宋体" w:cs="Times New Roman"/>
                <w:color w:val="auto"/>
                <w:kern w:val="0"/>
                <w:sz w:val="24"/>
                <w:szCs w:val="24"/>
                <w:lang w:eastAsia="zh-CN"/>
              </w:rPr>
              <w:t>下</w:t>
            </w:r>
            <w:r>
              <w:rPr>
                <w:rFonts w:hint="default" w:ascii="Times New Roman" w:hAnsi="Times New Roman" w:eastAsia="宋体" w:cs="Times New Roman"/>
                <w:color w:val="auto"/>
                <w:kern w:val="0"/>
                <w:sz w:val="24"/>
                <w:szCs w:val="24"/>
              </w:rPr>
              <w:t>表。</w:t>
            </w:r>
          </w:p>
          <w:p w14:paraId="078202CA">
            <w:pPr>
              <w:pStyle w:val="67"/>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 xml:space="preserve"> 大气评价工作等级判别表</w:t>
            </w:r>
          </w:p>
          <w:tbl>
            <w:tblPr>
              <w:tblStyle w:val="22"/>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248"/>
              <w:gridCol w:w="6256"/>
            </w:tblGrid>
            <w:tr w14:paraId="1A41F9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 w:hRule="atLeast"/>
                <w:jc w:val="center"/>
              </w:trPr>
              <w:tc>
                <w:tcPr>
                  <w:tcW w:w="2248" w:type="dxa"/>
                  <w:shd w:val="clear" w:color="auto" w:fill="auto"/>
                  <w:noWrap w:val="0"/>
                  <w:vAlign w:val="top"/>
                </w:tcPr>
                <w:p w14:paraId="6F2EA4E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6256" w:type="dxa"/>
                  <w:shd w:val="clear" w:color="auto" w:fill="auto"/>
                  <w:noWrap w:val="0"/>
                  <w:vAlign w:val="top"/>
                </w:tcPr>
                <w:p w14:paraId="4DEEF31A">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评价工作分级判据</w:t>
                  </w:r>
                </w:p>
              </w:tc>
            </w:tr>
            <w:tr w14:paraId="3A8045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 w:hRule="atLeast"/>
                <w:jc w:val="center"/>
              </w:trPr>
              <w:tc>
                <w:tcPr>
                  <w:tcW w:w="2248" w:type="dxa"/>
                  <w:shd w:val="clear" w:color="auto" w:fill="auto"/>
                  <w:noWrap w:val="0"/>
                  <w:vAlign w:val="top"/>
                </w:tcPr>
                <w:p w14:paraId="0B8AACC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6256" w:type="dxa"/>
                  <w:shd w:val="clear" w:color="auto" w:fill="auto"/>
                  <w:noWrap w:val="0"/>
                  <w:vAlign w:val="top"/>
                </w:tcPr>
                <w:p w14:paraId="49059D24">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vertAlign w:val="subscript"/>
                    </w:rPr>
                    <w:t>max</w:t>
                  </w:r>
                  <w:r>
                    <w:rPr>
                      <w:rFonts w:hint="default" w:ascii="Times New Roman" w:hAnsi="Times New Roman" w:eastAsia="宋体" w:cs="Times New Roman"/>
                      <w:color w:val="auto"/>
                      <w:sz w:val="21"/>
                      <w:szCs w:val="21"/>
                    </w:rPr>
                    <w:t>≥10%</w:t>
                  </w:r>
                </w:p>
              </w:tc>
            </w:tr>
            <w:tr w14:paraId="126EED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 w:hRule="atLeast"/>
                <w:jc w:val="center"/>
              </w:trPr>
              <w:tc>
                <w:tcPr>
                  <w:tcW w:w="2248" w:type="dxa"/>
                  <w:shd w:val="clear" w:color="auto" w:fill="auto"/>
                  <w:noWrap w:val="0"/>
                  <w:vAlign w:val="top"/>
                </w:tcPr>
                <w:p w14:paraId="31C3632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6256" w:type="dxa"/>
                  <w:shd w:val="clear" w:color="auto" w:fill="auto"/>
                  <w:noWrap w:val="0"/>
                  <w:vAlign w:val="top"/>
                </w:tcPr>
                <w:p w14:paraId="6DD781F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 ≤Pmax ＜10% </w:t>
                  </w:r>
                </w:p>
              </w:tc>
            </w:tr>
            <w:tr w14:paraId="3ADE5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 w:hRule="atLeast"/>
                <w:jc w:val="center"/>
              </w:trPr>
              <w:tc>
                <w:tcPr>
                  <w:tcW w:w="2248" w:type="dxa"/>
                  <w:shd w:val="clear" w:color="auto" w:fill="auto"/>
                  <w:noWrap w:val="0"/>
                  <w:vAlign w:val="top"/>
                </w:tcPr>
                <w:p w14:paraId="4B56E01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6256" w:type="dxa"/>
                  <w:shd w:val="clear" w:color="auto" w:fill="auto"/>
                  <w:noWrap w:val="0"/>
                  <w:vAlign w:val="top"/>
                </w:tcPr>
                <w:p w14:paraId="4D1F787E">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Pmax ＜1% </w:t>
                  </w:r>
                </w:p>
              </w:tc>
            </w:tr>
          </w:tbl>
          <w:p w14:paraId="3B55F74A">
            <w:pPr>
              <w:snapToGrid/>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2、地表水环境影响评价等级</w:t>
            </w:r>
          </w:p>
          <w:p w14:paraId="5100149A">
            <w:pPr>
              <w:widowControl/>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default" w:ascii="Times New Roman" w:hAnsi="Times New Roman" w:cs="Times New Roman"/>
                <w:color w:val="auto"/>
                <w:kern w:val="0"/>
                <w:sz w:val="24"/>
                <w:szCs w:val="24"/>
                <w:lang w:val="en-US" w:eastAsia="zh-CN"/>
              </w:rPr>
              <w:t>废水的产生主要为生活污水和</w:t>
            </w:r>
            <w:r>
              <w:rPr>
                <w:rFonts w:hint="eastAsia" w:cs="Times New Roman"/>
                <w:color w:val="auto"/>
                <w:kern w:val="0"/>
                <w:sz w:val="24"/>
                <w:szCs w:val="24"/>
                <w:lang w:val="en-US" w:eastAsia="zh-CN"/>
              </w:rPr>
              <w:t>生产废水</w:t>
            </w:r>
            <w:r>
              <w:rPr>
                <w:rFonts w:hint="default" w:ascii="Times New Roman" w:hAnsi="Times New Roman" w:eastAsia="宋体" w:cs="Times New Roman"/>
                <w:color w:val="auto"/>
                <w:kern w:val="0"/>
                <w:sz w:val="24"/>
                <w:szCs w:val="24"/>
              </w:rPr>
              <w:t>。</w:t>
            </w:r>
          </w:p>
          <w:p w14:paraId="57D6D4E6">
            <w:pPr>
              <w:widowControl/>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lang w:val="en-US" w:eastAsia="zh-CN"/>
              </w:rPr>
              <w:t>生活污水经厂区已建化粪池收集处理后定期由周边农户清掏用于农肥；</w:t>
            </w:r>
            <w:r>
              <w:rPr>
                <w:rFonts w:hint="eastAsia" w:cs="Times New Roman"/>
                <w:color w:val="auto"/>
                <w:kern w:val="0"/>
                <w:sz w:val="24"/>
                <w:szCs w:val="24"/>
                <w:lang w:val="en-US" w:eastAsia="zh-CN"/>
              </w:rPr>
              <w:t>生产废水循环使用或自然蒸发，</w:t>
            </w:r>
            <w:r>
              <w:rPr>
                <w:rFonts w:hint="default" w:ascii="Times New Roman" w:hAnsi="Times New Roman" w:cs="Times New Roman"/>
                <w:color w:val="auto"/>
                <w:kern w:val="0"/>
                <w:sz w:val="24"/>
                <w:szCs w:val="24"/>
                <w:lang w:val="en-US" w:eastAsia="zh-CN"/>
              </w:rPr>
              <w:t>不外排</w:t>
            </w:r>
            <w:r>
              <w:rPr>
                <w:rFonts w:hint="default" w:ascii="Times New Roman" w:hAnsi="Times New Roman" w:eastAsia="宋体" w:cs="Times New Roman"/>
                <w:color w:val="auto"/>
                <w:kern w:val="0"/>
                <w:sz w:val="24"/>
                <w:szCs w:val="24"/>
              </w:rPr>
              <w:t>。</w:t>
            </w:r>
          </w:p>
          <w:p w14:paraId="16EAF79F">
            <w:pPr>
              <w:widowControl/>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经判断，本项目</w:t>
            </w:r>
            <w:r>
              <w:rPr>
                <w:rFonts w:hint="default" w:ascii="Times New Roman" w:hAnsi="Times New Roman" w:cs="Times New Roman"/>
                <w:color w:val="auto"/>
                <w:kern w:val="0"/>
                <w:sz w:val="24"/>
                <w:szCs w:val="24"/>
                <w:lang w:val="en-US" w:eastAsia="zh-CN"/>
              </w:rPr>
              <w:t>废水均不直接排放于周边地表水体</w:t>
            </w:r>
            <w:r>
              <w:rPr>
                <w:rFonts w:hint="default" w:ascii="Times New Roman" w:hAnsi="Times New Roman" w:eastAsia="宋体" w:cs="Times New Roman"/>
                <w:color w:val="auto"/>
                <w:kern w:val="0"/>
                <w:sz w:val="24"/>
                <w:szCs w:val="24"/>
              </w:rPr>
              <w:t>，根据《环境影响评价技术导则-地表水环境》（HJ2.3-2018）可知，确定</w:t>
            </w:r>
            <w:r>
              <w:rPr>
                <w:rFonts w:hint="default" w:ascii="Times New Roman" w:hAnsi="Times New Roman" w:eastAsia="宋体" w:cs="Times New Roman"/>
                <w:b/>
                <w:bCs/>
                <w:color w:val="auto"/>
                <w:kern w:val="0"/>
                <w:sz w:val="24"/>
                <w:szCs w:val="24"/>
              </w:rPr>
              <w:t>地表水环境影响评价工作等级为三级B。</w:t>
            </w:r>
          </w:p>
          <w:p w14:paraId="39595195">
            <w:pPr>
              <w:widowControl/>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3、声环境影响评价等级</w:t>
            </w:r>
          </w:p>
          <w:p w14:paraId="0F439856">
            <w:pPr>
              <w:spacing w:line="360" w:lineRule="auto"/>
              <w:ind w:firstLine="48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根据《环境影响评价技术导则-声环境》（HJ2.4-2009）评价工作等级划分中5.2.3之规定：建设项目所处的声环境功能区为GB 3096规定的2类地区，或建设项目建设前后评价范围内敏感目标噪声级增高量达3～5 dB(A) [含5 dB(A)]，或受噪声影响人口数量增加较多时，按二级评价。本项目区域为声环境功能区2类区域。按照《环境影响评价技术导则-声环境》（HJ2.4-2009）中声环境影响评价等级划分原则，确定本项目</w:t>
            </w:r>
            <w:r>
              <w:rPr>
                <w:rFonts w:hint="default" w:ascii="Times New Roman" w:hAnsi="Times New Roman" w:eastAsia="宋体" w:cs="Times New Roman"/>
                <w:b/>
                <w:bCs/>
                <w:color w:val="auto"/>
                <w:sz w:val="24"/>
                <w:szCs w:val="24"/>
              </w:rPr>
              <w:t>声环境影响评价等级为二级。</w:t>
            </w:r>
          </w:p>
          <w:p w14:paraId="4D8A005D">
            <w:pPr>
              <w:spacing w:line="360" w:lineRule="auto"/>
              <w:ind w:firstLine="480"/>
              <w:rPr>
                <w:rFonts w:hint="default" w:ascii="Times New Roman" w:hAnsi="Times New Roman" w:eastAsia="宋体" w:cs="Times New Roman"/>
                <w:color w:val="auto"/>
                <w:sz w:val="24"/>
                <w:szCs w:val="24"/>
                <w:shd w:val="clear" w:color="auto" w:fill="FFFF00"/>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4、地下水评价等级</w:t>
            </w:r>
          </w:p>
          <w:p w14:paraId="19214989">
            <w:pPr>
              <w:pStyle w:val="18"/>
              <w:widowControl w:val="0"/>
              <w:tabs>
                <w:tab w:val="right" w:leader="dot" w:pos="8640"/>
              </w:tabs>
              <w:spacing w:before="0" w:beforeAutospacing="0" w:after="0" w:afterAutospacing="0"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rPr>
              <w:t>根据《环境影响评价技术导则-地下水环境》（HJ610-2016）附录A中的地下水环境影响评价行业分类表，该项目属于“</w:t>
            </w:r>
            <w:r>
              <w:rPr>
                <w:rFonts w:hint="eastAsia" w:ascii="Times New Roman" w:hAnsi="Times New Roman" w:cs="Times New Roman"/>
                <w:bCs/>
                <w:color w:val="auto"/>
                <w:sz w:val="24"/>
                <w:lang w:val="en-US" w:eastAsia="zh-CN"/>
              </w:rPr>
              <w:t>60</w:t>
            </w:r>
            <w:r>
              <w:rPr>
                <w:rFonts w:hint="default" w:ascii="Times New Roman" w:hAnsi="Times New Roman" w:eastAsia="宋体" w:cs="Times New Roman"/>
                <w:bCs/>
                <w:color w:val="auto"/>
                <w:sz w:val="24"/>
              </w:rPr>
              <w:t>、</w:t>
            </w:r>
            <w:r>
              <w:rPr>
                <w:rFonts w:hint="eastAsia" w:ascii="Times New Roman" w:hAnsi="Times New Roman" w:cs="Times New Roman"/>
                <w:bCs/>
                <w:color w:val="auto"/>
                <w:sz w:val="24"/>
                <w:lang w:val="en-US" w:eastAsia="zh-CN"/>
              </w:rPr>
              <w:t>栓结构构件制造、商品混凝土加工</w:t>
            </w:r>
            <w:r>
              <w:rPr>
                <w:rFonts w:hint="default" w:ascii="Times New Roman" w:hAnsi="Times New Roman" w:eastAsia="宋体" w:cs="Times New Roman"/>
                <w:bCs/>
                <w:color w:val="auto"/>
                <w:sz w:val="24"/>
              </w:rPr>
              <w:t>”中</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全部</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和</w:t>
            </w:r>
            <w:r>
              <w:rPr>
                <w:rFonts w:hint="default" w:ascii="Times New Roman" w:hAnsi="Times New Roman" w:eastAsia="宋体" w:cs="Times New Roman"/>
                <w:bCs/>
                <w:color w:val="auto"/>
                <w:sz w:val="24"/>
              </w:rPr>
              <w:t>“</w:t>
            </w:r>
            <w:r>
              <w:rPr>
                <w:rFonts w:hint="eastAsia" w:ascii="Times New Roman" w:hAnsi="Times New Roman" w:cs="Times New Roman"/>
                <w:bCs/>
                <w:color w:val="auto"/>
                <w:sz w:val="24"/>
                <w:lang w:val="en-US" w:eastAsia="zh-CN"/>
              </w:rPr>
              <w:t>53</w:t>
            </w:r>
            <w:r>
              <w:rPr>
                <w:rFonts w:hint="default" w:ascii="Times New Roman" w:hAnsi="Times New Roman" w:eastAsia="宋体" w:cs="Times New Roman"/>
                <w:bCs/>
                <w:color w:val="auto"/>
                <w:sz w:val="24"/>
              </w:rPr>
              <w:t>、</w:t>
            </w:r>
            <w:r>
              <w:rPr>
                <w:rFonts w:hint="eastAsia" w:ascii="Times New Roman" w:hAnsi="Times New Roman" w:cs="Times New Roman"/>
                <w:bCs/>
                <w:color w:val="auto"/>
                <w:sz w:val="24"/>
                <w:lang w:val="en-US" w:eastAsia="zh-CN"/>
              </w:rPr>
              <w:t>金属制品加工制造</w:t>
            </w:r>
            <w:r>
              <w:rPr>
                <w:rFonts w:hint="default" w:ascii="Times New Roman" w:hAnsi="Times New Roman" w:eastAsia="宋体" w:cs="Times New Roman"/>
                <w:bCs/>
                <w:color w:val="auto"/>
                <w:sz w:val="24"/>
              </w:rPr>
              <w:t>”中</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其他</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，地下水环境影响评价项目类别为IV类，</w:t>
            </w:r>
            <w:r>
              <w:rPr>
                <w:rFonts w:hint="default" w:ascii="Times New Roman" w:hAnsi="Times New Roman" w:eastAsia="宋体" w:cs="Times New Roman"/>
                <w:b/>
                <w:bCs w:val="0"/>
                <w:color w:val="auto"/>
                <w:sz w:val="24"/>
              </w:rPr>
              <w:t>地下水环境影响评价项目类别为IV类项目可不开展地下水环境影响评价，本次评价仅</w:t>
            </w:r>
            <w:r>
              <w:rPr>
                <w:rFonts w:hint="eastAsia" w:ascii="Times New Roman" w:hAnsi="Times New Roman" w:cs="Times New Roman"/>
                <w:b/>
                <w:bCs w:val="0"/>
                <w:color w:val="auto"/>
                <w:sz w:val="24"/>
                <w:lang w:eastAsia="zh-CN"/>
              </w:rPr>
              <w:t>做</w:t>
            </w:r>
            <w:r>
              <w:rPr>
                <w:rFonts w:hint="default" w:ascii="Times New Roman" w:hAnsi="Times New Roman" w:eastAsia="宋体" w:cs="Times New Roman"/>
                <w:b/>
                <w:bCs w:val="0"/>
                <w:color w:val="auto"/>
                <w:sz w:val="24"/>
              </w:rPr>
              <w:t>简单分析。</w:t>
            </w:r>
          </w:p>
          <w:p w14:paraId="7178E9C3">
            <w:pPr>
              <w:pStyle w:val="18"/>
              <w:widowControl w:val="0"/>
              <w:tabs>
                <w:tab w:val="right" w:leader="dot" w:pos="8640"/>
              </w:tabs>
              <w:spacing w:before="0" w:beforeAutospacing="0" w:after="0" w:afterAutospacing="0" w:line="360" w:lineRule="auto"/>
              <w:ind w:firstLine="48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5、风险评价等级</w:t>
            </w:r>
          </w:p>
          <w:p w14:paraId="523B603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建筑用石加工项目，从其物理化学性质来看，这些原材料均无毒、无害，不会产生由于有毒有害物质泄漏导致的火灾、爆炸和中毒事故，不会给公众带来严重危害，造成环境污染。根据《建设项目环境风险评价技术导则》（HJ 169-2018）的要求，本项目不存在重大危险源，不涉及环境敏感区，Q＜1，因此，本项目环境风险潜势为Ⅰ。</w:t>
            </w:r>
          </w:p>
          <w:p w14:paraId="7FFBB77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按《建设项目环境风险评级技术导则》（HJ169-2018）所提供的方法，根据项目的物质危险性和功能单元重大危险源判定结果，根据环境敏感程度等因素确定项目风险评价工作级别。风险评级工作级别按下表划分。</w:t>
            </w:r>
          </w:p>
          <w:p w14:paraId="51BA5FED">
            <w:pPr>
              <w:spacing w:line="360" w:lineRule="auto"/>
              <w:ind w:firstLine="422" w:firstLineChars="200"/>
              <w:jc w:val="center"/>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bCs/>
                <w:color w:val="auto"/>
                <w:sz w:val="21"/>
                <w:szCs w:val="21"/>
              </w:rPr>
              <w:t>表</w:t>
            </w:r>
            <w:r>
              <w:rPr>
                <w:rFonts w:hint="default"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风险评级工作级别（HJ169-2018）</w:t>
            </w:r>
          </w:p>
          <w:tbl>
            <w:tblPr>
              <w:tblStyle w:val="2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701"/>
              <w:gridCol w:w="1842"/>
              <w:gridCol w:w="2268"/>
              <w:gridCol w:w="1689"/>
            </w:tblGrid>
            <w:tr w14:paraId="1B13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60" w:type="dxa"/>
                  <w:noWrap w:val="0"/>
                  <w:tcMar>
                    <w:left w:w="28" w:type="dxa"/>
                    <w:right w:w="28" w:type="dxa"/>
                  </w:tcMar>
                  <w:vAlign w:val="center"/>
                </w:tcPr>
                <w:p w14:paraId="6D3D0434">
                  <w:pPr>
                    <w:jc w:val="center"/>
                    <w:rPr>
                      <w:rFonts w:hint="default" w:ascii="Times New Roman" w:hAnsi="Times New Roman" w:cs="Times New Roman"/>
                      <w:color w:val="auto"/>
                    </w:rPr>
                  </w:pPr>
                  <w:r>
                    <w:rPr>
                      <w:rFonts w:hint="default" w:ascii="Times New Roman" w:hAnsi="Times New Roman" w:cs="Times New Roman"/>
                      <w:color w:val="auto"/>
                    </w:rPr>
                    <w:t>环境风险潜势</w:t>
                  </w:r>
                </w:p>
              </w:tc>
              <w:tc>
                <w:tcPr>
                  <w:tcW w:w="1701" w:type="dxa"/>
                  <w:noWrap w:val="0"/>
                  <w:tcMar>
                    <w:left w:w="28" w:type="dxa"/>
                    <w:right w:w="28" w:type="dxa"/>
                  </w:tcMar>
                  <w:vAlign w:val="center"/>
                </w:tcPr>
                <w:p w14:paraId="2A3BD2DD">
                  <w:pPr>
                    <w:jc w:val="center"/>
                    <w:rPr>
                      <w:rFonts w:hint="default" w:ascii="Times New Roman" w:hAnsi="Times New Roman" w:cs="Times New Roman"/>
                      <w:color w:val="auto"/>
                    </w:rPr>
                  </w:pPr>
                  <w:r>
                    <w:rPr>
                      <w:rFonts w:hint="default" w:ascii="Times New Roman" w:hAnsi="Times New Roman" w:cs="Times New Roman"/>
                      <w:color w:val="auto"/>
                    </w:rPr>
                    <w:t>Ⅵ、Ⅳ</w:t>
                  </w:r>
                  <w:r>
                    <w:rPr>
                      <w:rFonts w:hint="default" w:ascii="Times New Roman" w:hAnsi="Times New Roman" w:cs="Times New Roman"/>
                      <w:color w:val="auto"/>
                      <w:vertAlign w:val="superscript"/>
                    </w:rPr>
                    <w:t>+</w:t>
                  </w:r>
                </w:p>
              </w:tc>
              <w:tc>
                <w:tcPr>
                  <w:tcW w:w="1842" w:type="dxa"/>
                  <w:noWrap w:val="0"/>
                  <w:tcMar>
                    <w:left w:w="28" w:type="dxa"/>
                    <w:right w:w="28" w:type="dxa"/>
                  </w:tcMar>
                  <w:vAlign w:val="center"/>
                </w:tcPr>
                <w:p w14:paraId="5B7455AA">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2268" w:type="dxa"/>
                  <w:noWrap w:val="0"/>
                  <w:tcMar>
                    <w:left w:w="28" w:type="dxa"/>
                    <w:right w:w="28" w:type="dxa"/>
                  </w:tcMar>
                  <w:vAlign w:val="center"/>
                </w:tcPr>
                <w:p w14:paraId="330C329D">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1689" w:type="dxa"/>
                  <w:noWrap w:val="0"/>
                  <w:tcMar>
                    <w:left w:w="28" w:type="dxa"/>
                    <w:right w:w="28" w:type="dxa"/>
                  </w:tcMar>
                  <w:vAlign w:val="center"/>
                </w:tcPr>
                <w:p w14:paraId="3788AEF4">
                  <w:pPr>
                    <w:jc w:val="center"/>
                    <w:rPr>
                      <w:rFonts w:hint="default" w:ascii="Times New Roman" w:hAnsi="Times New Roman" w:cs="Times New Roman"/>
                      <w:b/>
                      <w:bCs/>
                      <w:color w:val="auto"/>
                    </w:rPr>
                  </w:pPr>
                  <w:r>
                    <w:rPr>
                      <w:rFonts w:hint="default" w:ascii="Times New Roman" w:hAnsi="Times New Roman" w:cs="Times New Roman"/>
                      <w:b/>
                      <w:bCs/>
                      <w:color w:val="auto"/>
                    </w:rPr>
                    <w:t>Ⅰ</w:t>
                  </w:r>
                </w:p>
              </w:tc>
            </w:tr>
            <w:tr w14:paraId="111D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noWrap w:val="0"/>
                  <w:tcMar>
                    <w:left w:w="28" w:type="dxa"/>
                    <w:right w:w="28" w:type="dxa"/>
                  </w:tcMar>
                  <w:vAlign w:val="center"/>
                </w:tcPr>
                <w:p w14:paraId="21727F3F">
                  <w:pPr>
                    <w:jc w:val="center"/>
                    <w:rPr>
                      <w:rFonts w:hint="default" w:ascii="Times New Roman" w:hAnsi="Times New Roman" w:cs="Times New Roman"/>
                      <w:color w:val="auto"/>
                    </w:rPr>
                  </w:pPr>
                  <w:r>
                    <w:rPr>
                      <w:rFonts w:hint="default" w:ascii="Times New Roman" w:hAnsi="Times New Roman" w:cs="Times New Roman"/>
                      <w:color w:val="auto"/>
                    </w:rPr>
                    <w:t>评价工作等级</w:t>
                  </w:r>
                </w:p>
              </w:tc>
              <w:tc>
                <w:tcPr>
                  <w:tcW w:w="1701" w:type="dxa"/>
                  <w:noWrap w:val="0"/>
                  <w:tcMar>
                    <w:left w:w="28" w:type="dxa"/>
                    <w:right w:w="28" w:type="dxa"/>
                  </w:tcMar>
                  <w:vAlign w:val="center"/>
                </w:tcPr>
                <w:p w14:paraId="60C9F07A">
                  <w:pPr>
                    <w:jc w:val="center"/>
                    <w:rPr>
                      <w:rFonts w:hint="default" w:ascii="Times New Roman" w:hAnsi="Times New Roman" w:cs="Times New Roman"/>
                      <w:color w:val="auto"/>
                    </w:rPr>
                  </w:pPr>
                  <w:r>
                    <w:rPr>
                      <w:rFonts w:hint="default" w:ascii="Times New Roman" w:hAnsi="Times New Roman" w:cs="Times New Roman"/>
                      <w:color w:val="auto"/>
                    </w:rPr>
                    <w:t>一</w:t>
                  </w:r>
                </w:p>
              </w:tc>
              <w:tc>
                <w:tcPr>
                  <w:tcW w:w="1842" w:type="dxa"/>
                  <w:noWrap w:val="0"/>
                  <w:tcMar>
                    <w:left w:w="28" w:type="dxa"/>
                    <w:right w:w="28" w:type="dxa"/>
                  </w:tcMar>
                  <w:vAlign w:val="center"/>
                </w:tcPr>
                <w:p w14:paraId="2D7B8E71">
                  <w:pPr>
                    <w:jc w:val="center"/>
                    <w:rPr>
                      <w:rFonts w:hint="default" w:ascii="Times New Roman" w:hAnsi="Times New Roman" w:cs="Times New Roman"/>
                      <w:color w:val="auto"/>
                    </w:rPr>
                  </w:pPr>
                  <w:r>
                    <w:rPr>
                      <w:rFonts w:hint="default" w:ascii="Times New Roman" w:hAnsi="Times New Roman" w:cs="Times New Roman"/>
                      <w:color w:val="auto"/>
                    </w:rPr>
                    <w:t>二</w:t>
                  </w:r>
                </w:p>
              </w:tc>
              <w:tc>
                <w:tcPr>
                  <w:tcW w:w="2268" w:type="dxa"/>
                  <w:noWrap w:val="0"/>
                  <w:tcMar>
                    <w:left w:w="28" w:type="dxa"/>
                    <w:right w:w="28" w:type="dxa"/>
                  </w:tcMar>
                  <w:vAlign w:val="center"/>
                </w:tcPr>
                <w:p w14:paraId="403F5452">
                  <w:pPr>
                    <w:jc w:val="center"/>
                    <w:rPr>
                      <w:rFonts w:hint="default" w:ascii="Times New Roman" w:hAnsi="Times New Roman" w:cs="Times New Roman"/>
                      <w:color w:val="auto"/>
                    </w:rPr>
                  </w:pPr>
                  <w:r>
                    <w:rPr>
                      <w:rFonts w:hint="default" w:ascii="Times New Roman" w:hAnsi="Times New Roman" w:cs="Times New Roman"/>
                      <w:color w:val="auto"/>
                    </w:rPr>
                    <w:t>三</w:t>
                  </w:r>
                </w:p>
              </w:tc>
              <w:tc>
                <w:tcPr>
                  <w:tcW w:w="1689" w:type="dxa"/>
                  <w:noWrap w:val="0"/>
                  <w:tcMar>
                    <w:left w:w="28" w:type="dxa"/>
                    <w:right w:w="28" w:type="dxa"/>
                  </w:tcMar>
                  <w:vAlign w:val="center"/>
                </w:tcPr>
                <w:p w14:paraId="6B873212">
                  <w:pPr>
                    <w:jc w:val="center"/>
                    <w:rPr>
                      <w:rFonts w:hint="default" w:ascii="Times New Roman" w:hAnsi="Times New Roman" w:cs="Times New Roman"/>
                      <w:b/>
                      <w:bCs/>
                      <w:color w:val="auto"/>
                    </w:rPr>
                  </w:pPr>
                  <w:r>
                    <w:rPr>
                      <w:rFonts w:hint="default" w:ascii="Times New Roman" w:hAnsi="Times New Roman" w:cs="Times New Roman"/>
                      <w:b/>
                      <w:bCs/>
                      <w:color w:val="auto"/>
                    </w:rPr>
                    <w:t>简单分析</w:t>
                  </w:r>
                </w:p>
              </w:tc>
            </w:tr>
            <w:tr w14:paraId="63D7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0" w:type="dxa"/>
                  <w:gridSpan w:val="5"/>
                  <w:noWrap w:val="0"/>
                  <w:tcMar>
                    <w:left w:w="28" w:type="dxa"/>
                    <w:right w:w="28" w:type="dxa"/>
                  </w:tcMar>
                  <w:vAlign w:val="center"/>
                </w:tcPr>
                <w:p w14:paraId="2D820149">
                  <w:pPr>
                    <w:jc w:val="center"/>
                    <w:rPr>
                      <w:rFonts w:hint="default" w:ascii="Times New Roman" w:hAnsi="Times New Roman" w:cs="Times New Roman"/>
                      <w:color w:val="auto"/>
                    </w:rPr>
                  </w:pPr>
                  <w:r>
                    <w:rPr>
                      <w:rFonts w:hint="default" w:ascii="Times New Roman" w:hAnsi="Times New Roman" w:cs="Times New Roman"/>
                      <w:color w:val="auto"/>
                    </w:rPr>
                    <w:t>简单分析是相对于详细评价工作内容而言，在描述危险物质、环境影响途径、环境危害后果、风险防范措施等方面给出特定的说明。</w:t>
                  </w:r>
                </w:p>
              </w:tc>
            </w:tr>
          </w:tbl>
          <w:p w14:paraId="5E4DED7F">
            <w:pPr>
              <w:pStyle w:val="18"/>
              <w:widowControl w:val="0"/>
              <w:tabs>
                <w:tab w:val="right" w:leader="dot" w:pos="8640"/>
              </w:tabs>
              <w:spacing w:before="0" w:beforeAutospacing="0" w:after="0" w:afterAutospacing="0" w:line="360" w:lineRule="auto"/>
              <w:ind w:firstLine="480"/>
              <w:jc w:val="both"/>
              <w:rPr>
                <w:rFonts w:hint="default" w:ascii="Times New Roman" w:hAnsi="Times New Roman" w:eastAsia="宋体" w:cs="Times New Roman"/>
                <w:b/>
                <w:bCs/>
                <w:color w:val="C00000"/>
                <w:sz w:val="24"/>
                <w:szCs w:val="24"/>
                <w:vertAlign w:val="baseline"/>
                <w:lang w:val="en-US" w:eastAsia="zh-CN"/>
              </w:rPr>
            </w:pPr>
            <w:r>
              <w:rPr>
                <w:rFonts w:hint="default" w:ascii="Times New Roman" w:hAnsi="Times New Roman" w:eastAsia="宋体" w:cs="Times New Roman"/>
                <w:b/>
                <w:bCs w:val="0"/>
                <w:color w:val="auto"/>
                <w:sz w:val="24"/>
                <w:szCs w:val="24"/>
              </w:rPr>
              <w:t>据上表，确定本项目环境风险评价工作等级为简单分析。</w:t>
            </w:r>
          </w:p>
          <w:p w14:paraId="58650FB6">
            <w:pPr>
              <w:pStyle w:val="18"/>
              <w:widowControl w:val="0"/>
              <w:tabs>
                <w:tab w:val="right" w:leader="dot" w:pos="8640"/>
              </w:tabs>
              <w:spacing w:before="0" w:beforeAutospacing="0" w:after="0" w:afterAutospacing="0" w:line="360" w:lineRule="auto"/>
              <w:ind w:firstLine="48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2.6、土壤评价等级</w:t>
            </w:r>
          </w:p>
          <w:p w14:paraId="726F51DF">
            <w:pPr>
              <w:pStyle w:val="2"/>
              <w:numPr>
                <w:ilvl w:val="0"/>
                <w:numId w:val="0"/>
              </w:numPr>
              <w:spacing w:line="360" w:lineRule="auto"/>
              <w:ind w:firstLine="480" w:firstLineChars="200"/>
              <w:rPr>
                <w:rFonts w:hint="default" w:ascii="Times New Roman" w:hAnsi="Times New Roman" w:cs="Times New Roman"/>
                <w:b/>
                <w:bCs/>
                <w:color w:val="auto"/>
                <w:lang w:val="en-US" w:eastAsia="zh-CN"/>
              </w:rPr>
            </w:pPr>
            <w:r>
              <w:rPr>
                <w:rFonts w:hint="default" w:ascii="Times New Roman" w:hAnsi="Times New Roman" w:cs="Times New Roman"/>
                <w:b w:val="0"/>
                <w:bCs w:val="0"/>
                <w:color w:val="auto"/>
                <w:lang w:val="en-US" w:eastAsia="zh-CN"/>
              </w:rPr>
              <w:t>土壤环境影响等级的划分应依据《环境影响评价技术导则 土壤环境（试行）》（HJ 964-2018）进行判定，详见表</w:t>
            </w:r>
            <w:r>
              <w:rPr>
                <w:rFonts w:hint="eastAsia" w:ascii="Times New Roman" w:hAnsi="Times New Roman" w:cs="Times New Roman"/>
                <w:b w:val="0"/>
                <w:bCs w:val="0"/>
                <w:color w:val="auto"/>
                <w:lang w:val="en-US" w:eastAsia="zh-CN"/>
              </w:rPr>
              <w:t>1-</w:t>
            </w:r>
            <w:r>
              <w:rPr>
                <w:rFonts w:hint="eastAsia" w:ascii="Times New Roman" w:cs="Times New Roman"/>
                <w:b w:val="0"/>
                <w:bCs w:val="0"/>
                <w:color w:val="auto"/>
                <w:lang w:val="en-US" w:eastAsia="zh-CN"/>
              </w:rPr>
              <w:t>3</w:t>
            </w:r>
            <w:r>
              <w:rPr>
                <w:rFonts w:hint="default" w:ascii="Times New Roman" w:hAnsi="Times New Roman" w:cs="Times New Roman"/>
                <w:b w:val="0"/>
                <w:bCs w:val="0"/>
                <w:color w:val="auto"/>
                <w:lang w:val="en-US" w:eastAsia="zh-CN"/>
              </w:rPr>
              <w:t>~表</w:t>
            </w:r>
            <w:r>
              <w:rPr>
                <w:rFonts w:hint="eastAsia" w:ascii="Times New Roman" w:hAnsi="Times New Roman" w:cs="Times New Roman"/>
                <w:b w:val="0"/>
                <w:bCs w:val="0"/>
                <w:color w:val="auto"/>
                <w:lang w:val="en-US" w:eastAsia="zh-CN"/>
              </w:rPr>
              <w:t>1-</w:t>
            </w:r>
            <w:r>
              <w:rPr>
                <w:rFonts w:hint="eastAsia" w:ascii="Times New Roman" w:cs="Times New Roman"/>
                <w:b w:val="0"/>
                <w:bCs w:val="0"/>
                <w:color w:val="auto"/>
                <w:lang w:val="en-US" w:eastAsia="zh-CN"/>
              </w:rPr>
              <w:t>6</w:t>
            </w:r>
            <w:r>
              <w:rPr>
                <w:rFonts w:hint="default" w:ascii="Times New Roman" w:hAnsi="Times New Roman" w:cs="Times New Roman"/>
                <w:b w:val="0"/>
                <w:bCs w:val="0"/>
                <w:color w:val="auto"/>
                <w:lang w:val="en-US" w:eastAsia="zh-CN"/>
              </w:rPr>
              <w:t>。</w:t>
            </w:r>
          </w:p>
          <w:p w14:paraId="6BB02567">
            <w:pPr>
              <w:pStyle w:val="2"/>
              <w:numPr>
                <w:ilvl w:val="0"/>
                <w:numId w:val="0"/>
              </w:numPr>
              <w:spacing w:line="360" w:lineRule="auto"/>
              <w:ind w:firstLine="480" w:firstLineChars="20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（1）行业类别判定</w:t>
            </w:r>
          </w:p>
          <w:p w14:paraId="22B89C02">
            <w:pPr>
              <w:pStyle w:val="2"/>
              <w:numPr>
                <w:ilvl w:val="0"/>
                <w:numId w:val="0"/>
              </w:numPr>
              <w:spacing w:line="360" w:lineRule="auto"/>
              <w:ind w:firstLine="422" w:firstLineChars="20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 xml:space="preserve"> 本项目所属行业类别</w:t>
            </w:r>
          </w:p>
          <w:tbl>
            <w:tblPr>
              <w:tblStyle w:val="23"/>
              <w:tblW w:w="97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99"/>
              <w:gridCol w:w="1690"/>
              <w:gridCol w:w="2522"/>
              <w:gridCol w:w="713"/>
              <w:gridCol w:w="712"/>
              <w:gridCol w:w="1931"/>
            </w:tblGrid>
            <w:tr w14:paraId="51B78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gridSpan w:val="2"/>
                  <w:vMerge w:val="restart"/>
                  <w:tcBorders>
                    <w:tl2br w:val="nil"/>
                    <w:tr2bl w:val="nil"/>
                  </w:tcBorders>
                  <w:vAlign w:val="center"/>
                </w:tcPr>
                <w:p w14:paraId="765503B0">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行业类别</w:t>
                  </w:r>
                </w:p>
              </w:tc>
              <w:tc>
                <w:tcPr>
                  <w:tcW w:w="5637" w:type="dxa"/>
                  <w:gridSpan w:val="4"/>
                  <w:tcBorders>
                    <w:tl2br w:val="nil"/>
                    <w:tr2bl w:val="nil"/>
                  </w:tcBorders>
                  <w:vAlign w:val="center"/>
                </w:tcPr>
                <w:p w14:paraId="1D9BC69B">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项目类别</w:t>
                  </w:r>
                </w:p>
              </w:tc>
              <w:tc>
                <w:tcPr>
                  <w:tcW w:w="1931" w:type="dxa"/>
                  <w:vMerge w:val="restart"/>
                  <w:tcBorders>
                    <w:tl2br w:val="nil"/>
                    <w:tr2bl w:val="nil"/>
                  </w:tcBorders>
                  <w:vAlign w:val="center"/>
                </w:tcPr>
                <w:p w14:paraId="52AB3993">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本项目类别</w:t>
                  </w:r>
                </w:p>
              </w:tc>
            </w:tr>
            <w:tr w14:paraId="79679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gridSpan w:val="2"/>
                  <w:vMerge w:val="continue"/>
                  <w:tcBorders>
                    <w:tl2br w:val="nil"/>
                    <w:tr2bl w:val="nil"/>
                  </w:tcBorders>
                  <w:vAlign w:val="center"/>
                </w:tcPr>
                <w:p w14:paraId="102F6D37">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p>
              </w:tc>
              <w:tc>
                <w:tcPr>
                  <w:tcW w:w="1690" w:type="dxa"/>
                  <w:tcBorders>
                    <w:tl2br w:val="nil"/>
                    <w:tr2bl w:val="nil"/>
                  </w:tcBorders>
                  <w:vAlign w:val="center"/>
                </w:tcPr>
                <w:p w14:paraId="58DA3A3E">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Ⅰ</w:t>
                  </w:r>
                  <w:r>
                    <w:rPr>
                      <w:rFonts w:hint="default" w:ascii="Times New Roman" w:hAnsi="Times New Roman" w:cs="Times New Roman"/>
                      <w:b w:val="0"/>
                      <w:bCs w:val="0"/>
                      <w:color w:val="auto"/>
                      <w:sz w:val="21"/>
                      <w:szCs w:val="21"/>
                      <w:vertAlign w:val="baseline"/>
                      <w:lang w:val="en-US" w:eastAsia="zh-CN"/>
                    </w:rPr>
                    <w:t>类</w:t>
                  </w:r>
                </w:p>
              </w:tc>
              <w:tc>
                <w:tcPr>
                  <w:tcW w:w="2522" w:type="dxa"/>
                  <w:tcBorders>
                    <w:tl2br w:val="nil"/>
                    <w:tr2bl w:val="nil"/>
                  </w:tcBorders>
                  <w:vAlign w:val="center"/>
                </w:tcPr>
                <w:p w14:paraId="4D44F5F9">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Ⅱ</w:t>
                  </w:r>
                  <w:r>
                    <w:rPr>
                      <w:rFonts w:hint="default" w:ascii="Times New Roman" w:hAnsi="Times New Roman" w:cs="Times New Roman"/>
                      <w:b w:val="0"/>
                      <w:bCs w:val="0"/>
                      <w:color w:val="auto"/>
                      <w:sz w:val="21"/>
                      <w:szCs w:val="21"/>
                      <w:vertAlign w:val="baseline"/>
                      <w:lang w:val="en-US" w:eastAsia="zh-CN"/>
                    </w:rPr>
                    <w:t>类</w:t>
                  </w:r>
                </w:p>
              </w:tc>
              <w:tc>
                <w:tcPr>
                  <w:tcW w:w="713" w:type="dxa"/>
                  <w:tcBorders>
                    <w:tl2br w:val="nil"/>
                    <w:tr2bl w:val="nil"/>
                  </w:tcBorders>
                  <w:vAlign w:val="center"/>
                </w:tcPr>
                <w:p w14:paraId="43C9E2F5">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Ⅲ</w:t>
                  </w:r>
                  <w:r>
                    <w:rPr>
                      <w:rFonts w:hint="default" w:ascii="Times New Roman" w:hAnsi="Times New Roman" w:cs="Times New Roman"/>
                      <w:b/>
                      <w:bCs/>
                      <w:color w:val="auto"/>
                      <w:sz w:val="21"/>
                      <w:szCs w:val="21"/>
                      <w:vertAlign w:val="baseline"/>
                      <w:lang w:val="en-US" w:eastAsia="zh-CN"/>
                    </w:rPr>
                    <w:t>类</w:t>
                  </w:r>
                </w:p>
              </w:tc>
              <w:tc>
                <w:tcPr>
                  <w:tcW w:w="712" w:type="dxa"/>
                  <w:tcBorders>
                    <w:tl2br w:val="nil"/>
                    <w:tr2bl w:val="nil"/>
                  </w:tcBorders>
                  <w:vAlign w:val="center"/>
                </w:tcPr>
                <w:p w14:paraId="5A1C9D10">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Ⅳ</w:t>
                  </w:r>
                  <w:r>
                    <w:rPr>
                      <w:rFonts w:hint="default" w:ascii="Times New Roman" w:hAnsi="Times New Roman" w:cs="Times New Roman"/>
                      <w:b w:val="0"/>
                      <w:bCs w:val="0"/>
                      <w:color w:val="auto"/>
                      <w:sz w:val="21"/>
                      <w:szCs w:val="21"/>
                      <w:vertAlign w:val="baseline"/>
                      <w:lang w:val="en-US" w:eastAsia="zh-CN"/>
                    </w:rPr>
                    <w:t>类</w:t>
                  </w:r>
                </w:p>
              </w:tc>
              <w:tc>
                <w:tcPr>
                  <w:tcW w:w="1931" w:type="dxa"/>
                  <w:vMerge w:val="continue"/>
                  <w:tcBorders>
                    <w:tl2br w:val="nil"/>
                    <w:tr2bl w:val="nil"/>
                  </w:tcBorders>
                  <w:vAlign w:val="center"/>
                </w:tcPr>
                <w:p w14:paraId="19C7CC06">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p>
              </w:tc>
            </w:tr>
            <w:tr w14:paraId="480AB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l2br w:val="nil"/>
                    <w:tr2bl w:val="nil"/>
                  </w:tcBorders>
                  <w:vAlign w:val="center"/>
                </w:tcPr>
                <w:p w14:paraId="6A62BC3E">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制造业</w:t>
                  </w:r>
                </w:p>
              </w:tc>
              <w:tc>
                <w:tcPr>
                  <w:tcW w:w="1499" w:type="dxa"/>
                  <w:tcBorders>
                    <w:tl2br w:val="nil"/>
                    <w:tr2bl w:val="nil"/>
                  </w:tcBorders>
                  <w:vAlign w:val="center"/>
                </w:tcPr>
                <w:p w14:paraId="3B7F641F">
                  <w:pPr>
                    <w:pStyle w:val="2"/>
                    <w:numPr>
                      <w:ilvl w:val="0"/>
                      <w:numId w:val="0"/>
                    </w:numPr>
                    <w:spacing w:line="240" w:lineRule="auto"/>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金属冶炼和压延加工及非金属矿物制品</w:t>
                  </w:r>
                </w:p>
              </w:tc>
              <w:tc>
                <w:tcPr>
                  <w:tcW w:w="1690" w:type="dxa"/>
                  <w:tcBorders>
                    <w:tl2br w:val="nil"/>
                    <w:tr2bl w:val="nil"/>
                  </w:tcBorders>
                  <w:vAlign w:val="center"/>
                </w:tcPr>
                <w:p w14:paraId="1DDCE012">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有色金属冶炼（含再生有色金属冶炼）</w:t>
                  </w:r>
                </w:p>
              </w:tc>
              <w:tc>
                <w:tcPr>
                  <w:tcW w:w="2522" w:type="dxa"/>
                  <w:tcBorders>
                    <w:tl2br w:val="nil"/>
                    <w:tr2bl w:val="nil"/>
                  </w:tcBorders>
                  <w:vAlign w:val="center"/>
                </w:tcPr>
                <w:p w14:paraId="66DB3E24">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有色金属铸造及合金制造；炼铁；球团；烧结炼钢；冷轧压延加工；铬铁合金制造；水泥制造；平板玻璃制造；石棉制品；含焙烧的石墨</w:t>
                  </w:r>
                </w:p>
              </w:tc>
              <w:tc>
                <w:tcPr>
                  <w:tcW w:w="713" w:type="dxa"/>
                  <w:tcBorders>
                    <w:tl2br w:val="nil"/>
                    <w:tr2bl w:val="nil"/>
                  </w:tcBorders>
                  <w:vAlign w:val="center"/>
                </w:tcPr>
                <w:p w14:paraId="7D2D86D0">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其他</w:t>
                  </w:r>
                </w:p>
              </w:tc>
              <w:tc>
                <w:tcPr>
                  <w:tcW w:w="712" w:type="dxa"/>
                  <w:tcBorders>
                    <w:tl2br w:val="nil"/>
                    <w:tr2bl w:val="nil"/>
                  </w:tcBorders>
                  <w:vAlign w:val="center"/>
                </w:tcPr>
                <w:p w14:paraId="18FC168E">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w:t>
                  </w:r>
                </w:p>
              </w:tc>
              <w:tc>
                <w:tcPr>
                  <w:tcW w:w="1931" w:type="dxa"/>
                  <w:vMerge w:val="restart"/>
                  <w:tcBorders>
                    <w:tl2br w:val="nil"/>
                    <w:tr2bl w:val="nil"/>
                  </w:tcBorders>
                  <w:vAlign w:val="center"/>
                </w:tcPr>
                <w:p w14:paraId="682072DD">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本项目</w:t>
                  </w:r>
                  <w:r>
                    <w:rPr>
                      <w:rFonts w:hint="default" w:ascii="Times New Roman" w:hAnsi="Times New Roman" w:cs="Times New Roman"/>
                      <w:b w:val="0"/>
                      <w:bCs w:val="0"/>
                      <w:color w:val="auto"/>
                      <w:sz w:val="21"/>
                      <w:szCs w:val="21"/>
                      <w:vertAlign w:val="baseline"/>
                      <w:lang w:val="en-US" w:eastAsia="zh-CN"/>
                    </w:rPr>
                    <w:t>行业类别为</w:t>
                  </w:r>
                  <w:r>
                    <w:rPr>
                      <w:rFonts w:hint="default" w:ascii="Times New Roman" w:hAnsi="Times New Roman" w:eastAsia="宋体" w:cs="Times New Roman"/>
                      <w:b w:val="0"/>
                      <w:bCs w:val="0"/>
                      <w:color w:val="auto"/>
                      <w:sz w:val="21"/>
                      <w:szCs w:val="21"/>
                      <w:vertAlign w:val="baseline"/>
                      <w:lang w:val="en-US" w:eastAsia="zh-CN"/>
                    </w:rPr>
                    <w:t>Ⅲ</w:t>
                  </w:r>
                  <w:r>
                    <w:rPr>
                      <w:rFonts w:hint="default" w:ascii="Times New Roman" w:hAnsi="Times New Roman" w:cs="Times New Roman"/>
                      <w:b w:val="0"/>
                      <w:bCs w:val="0"/>
                      <w:color w:val="auto"/>
                      <w:sz w:val="21"/>
                      <w:szCs w:val="21"/>
                      <w:vertAlign w:val="baseline"/>
                      <w:lang w:val="en-US" w:eastAsia="zh-CN"/>
                    </w:rPr>
                    <w:t>类</w:t>
                  </w:r>
                </w:p>
              </w:tc>
            </w:tr>
            <w:tr w14:paraId="2E0AD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l2br w:val="nil"/>
                    <w:tr2bl w:val="nil"/>
                  </w:tcBorders>
                  <w:vAlign w:val="center"/>
                </w:tcPr>
                <w:p w14:paraId="38B68FCD">
                  <w:pPr>
                    <w:pStyle w:val="2"/>
                    <w:numPr>
                      <w:ilvl w:val="0"/>
                      <w:numId w:val="0"/>
                    </w:numPr>
                    <w:spacing w:line="240" w:lineRule="auto"/>
                    <w:ind w:left="0" w:leftChars="0" w:firstLine="0" w:firstLineChars="0"/>
                    <w:jc w:val="center"/>
                    <w:rPr>
                      <w:rFonts w:hint="eastAsia"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制造业</w:t>
                  </w:r>
                </w:p>
              </w:tc>
              <w:tc>
                <w:tcPr>
                  <w:tcW w:w="1499" w:type="dxa"/>
                  <w:tcBorders>
                    <w:tl2br w:val="nil"/>
                    <w:tr2bl w:val="nil"/>
                  </w:tcBorders>
                  <w:vAlign w:val="center"/>
                </w:tcPr>
                <w:p w14:paraId="47FC3BD4">
                  <w:pPr>
                    <w:pStyle w:val="2"/>
                    <w:numPr>
                      <w:ilvl w:val="0"/>
                      <w:numId w:val="0"/>
                    </w:numPr>
                    <w:spacing w:line="240" w:lineRule="auto"/>
                    <w:ind w:left="0" w:leftChars="0" w:firstLine="0" w:firstLineChars="0"/>
                    <w:jc w:val="center"/>
                    <w:rPr>
                      <w:rFonts w:hint="eastAsia"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金属制品、设备制造、汽车制造及其他用品制造金属制品和压延加工及非金属矿物制品</w:t>
                  </w:r>
                </w:p>
              </w:tc>
              <w:tc>
                <w:tcPr>
                  <w:tcW w:w="1690" w:type="dxa"/>
                  <w:tcBorders>
                    <w:tl2br w:val="nil"/>
                    <w:tr2bl w:val="nil"/>
                  </w:tcBorders>
                  <w:vAlign w:val="center"/>
                </w:tcPr>
                <w:p w14:paraId="25735FF4">
                  <w:pPr>
                    <w:pStyle w:val="2"/>
                    <w:numPr>
                      <w:ilvl w:val="0"/>
                      <w:numId w:val="0"/>
                    </w:numPr>
                    <w:spacing w:line="240" w:lineRule="auto"/>
                    <w:ind w:left="0" w:leftChars="0" w:firstLine="0" w:firstLineChars="0"/>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有电镀工艺的；金属制品表面处理及热处理加工的；使用有机涂层（喷粉、喷塑和电泳除外）；有钝化工艺的热镀锌</w:t>
                  </w:r>
                </w:p>
              </w:tc>
              <w:tc>
                <w:tcPr>
                  <w:tcW w:w="2522" w:type="dxa"/>
                  <w:tcBorders>
                    <w:tl2br w:val="nil"/>
                    <w:tr2bl w:val="nil"/>
                  </w:tcBorders>
                  <w:vAlign w:val="center"/>
                </w:tcPr>
                <w:p w14:paraId="5296444A">
                  <w:pPr>
                    <w:pStyle w:val="2"/>
                    <w:numPr>
                      <w:ilvl w:val="0"/>
                      <w:numId w:val="0"/>
                    </w:numPr>
                    <w:spacing w:line="240" w:lineRule="auto"/>
                    <w:ind w:left="0" w:leftChars="0" w:firstLine="0" w:firstLineChars="0"/>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有化学处理工艺的</w:t>
                  </w:r>
                </w:p>
              </w:tc>
              <w:tc>
                <w:tcPr>
                  <w:tcW w:w="713" w:type="dxa"/>
                  <w:tcBorders>
                    <w:tl2br w:val="nil"/>
                    <w:tr2bl w:val="nil"/>
                  </w:tcBorders>
                  <w:vAlign w:val="center"/>
                </w:tcPr>
                <w:p w14:paraId="5FCBF72F">
                  <w:pPr>
                    <w:pStyle w:val="2"/>
                    <w:numPr>
                      <w:ilvl w:val="0"/>
                      <w:numId w:val="0"/>
                    </w:numPr>
                    <w:spacing w:line="240" w:lineRule="auto"/>
                    <w:ind w:left="0" w:lef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其他</w:t>
                  </w:r>
                </w:p>
              </w:tc>
              <w:tc>
                <w:tcPr>
                  <w:tcW w:w="712" w:type="dxa"/>
                  <w:tcBorders>
                    <w:tl2br w:val="nil"/>
                    <w:tr2bl w:val="nil"/>
                  </w:tcBorders>
                  <w:vAlign w:val="center"/>
                </w:tcPr>
                <w:p w14:paraId="02068AC1">
                  <w:pPr>
                    <w:pStyle w:val="2"/>
                    <w:numPr>
                      <w:ilvl w:val="0"/>
                      <w:numId w:val="0"/>
                    </w:numPr>
                    <w:spacing w:line="240" w:lineRule="auto"/>
                    <w:ind w:left="0" w:leftChars="0" w:firstLine="0" w:firstLineChars="0"/>
                    <w:jc w:val="center"/>
                    <w:rPr>
                      <w:rFonts w:hint="eastAsia"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w:t>
                  </w:r>
                </w:p>
              </w:tc>
              <w:tc>
                <w:tcPr>
                  <w:tcW w:w="1931" w:type="dxa"/>
                  <w:vMerge w:val="continue"/>
                  <w:tcBorders>
                    <w:tl2br w:val="nil"/>
                    <w:tr2bl w:val="nil"/>
                  </w:tcBorders>
                  <w:vAlign w:val="center"/>
                </w:tcPr>
                <w:p w14:paraId="31C20431">
                  <w:pPr>
                    <w:pStyle w:val="2"/>
                    <w:numPr>
                      <w:ilvl w:val="0"/>
                      <w:numId w:val="0"/>
                    </w:numPr>
                    <w:spacing w:line="240" w:lineRule="auto"/>
                    <w:jc w:val="center"/>
                    <w:rPr>
                      <w:rFonts w:hint="eastAsia" w:ascii="Times New Roman" w:cs="Times New Roman"/>
                      <w:b w:val="0"/>
                      <w:bCs w:val="0"/>
                      <w:color w:val="auto"/>
                      <w:sz w:val="21"/>
                      <w:szCs w:val="21"/>
                      <w:vertAlign w:val="baseline"/>
                      <w:lang w:val="en-US" w:eastAsia="zh-CN"/>
                    </w:rPr>
                  </w:pPr>
                </w:p>
              </w:tc>
            </w:tr>
          </w:tbl>
          <w:p w14:paraId="374042B5">
            <w:pPr>
              <w:pStyle w:val="2"/>
              <w:numPr>
                <w:ilvl w:val="0"/>
                <w:numId w:val="3"/>
              </w:numPr>
              <w:spacing w:line="360" w:lineRule="auto"/>
              <w:ind w:left="0" w:leftChars="0" w:firstLine="360" w:firstLineChars="15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占地规模判定</w:t>
            </w:r>
          </w:p>
          <w:p w14:paraId="1C8228EC">
            <w:pPr>
              <w:pStyle w:val="2"/>
              <w:numPr>
                <w:ilvl w:val="0"/>
                <w:numId w:val="0"/>
              </w:numPr>
              <w:spacing w:line="360" w:lineRule="auto"/>
              <w:ind w:leftChars="15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本项目占地规模</w:t>
            </w:r>
          </w:p>
          <w:tbl>
            <w:tblPr>
              <w:tblStyle w:val="23"/>
              <w:tblW w:w="97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49"/>
              <w:gridCol w:w="3248"/>
              <w:gridCol w:w="3249"/>
            </w:tblGrid>
            <w:tr w14:paraId="1F304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4CFB78DD">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占地规模</w:t>
                  </w:r>
                </w:p>
              </w:tc>
              <w:tc>
                <w:tcPr>
                  <w:tcW w:w="3248" w:type="dxa"/>
                  <w:tcBorders>
                    <w:tl2br w:val="nil"/>
                    <w:tr2bl w:val="nil"/>
                  </w:tcBorders>
                  <w:vAlign w:val="center"/>
                </w:tcPr>
                <w:p w14:paraId="03F9CFD1">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具体规模</w:t>
                  </w:r>
                </w:p>
              </w:tc>
              <w:tc>
                <w:tcPr>
                  <w:tcW w:w="3249" w:type="dxa"/>
                  <w:tcBorders>
                    <w:tl2br w:val="nil"/>
                    <w:tr2bl w:val="nil"/>
                  </w:tcBorders>
                  <w:vAlign w:val="center"/>
                </w:tcPr>
                <w:p w14:paraId="0B67181F">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w:t>
                  </w:r>
                </w:p>
              </w:tc>
            </w:tr>
            <w:tr w14:paraId="30794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39ED9742">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大型</w:t>
                  </w:r>
                </w:p>
              </w:tc>
              <w:tc>
                <w:tcPr>
                  <w:tcW w:w="3248" w:type="dxa"/>
                  <w:tcBorders>
                    <w:tl2br w:val="nil"/>
                    <w:tr2bl w:val="nil"/>
                  </w:tcBorders>
                  <w:vAlign w:val="center"/>
                </w:tcPr>
                <w:p w14:paraId="0EA5D2CB">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≥50hm²</w:t>
                  </w:r>
                </w:p>
              </w:tc>
              <w:tc>
                <w:tcPr>
                  <w:tcW w:w="3249" w:type="dxa"/>
                  <w:vMerge w:val="restart"/>
                  <w:tcBorders>
                    <w:tl2br w:val="nil"/>
                    <w:tr2bl w:val="nil"/>
                  </w:tcBorders>
                  <w:vAlign w:val="center"/>
                </w:tcPr>
                <w:p w14:paraId="7588AB0C">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本项目占地</w:t>
                  </w:r>
                  <w:r>
                    <w:rPr>
                      <w:rFonts w:hint="eastAsia" w:ascii="Times New Roman" w:hAnsi="Times New Roman" w:cs="Times New Roman"/>
                      <w:b w:val="0"/>
                      <w:bCs w:val="0"/>
                      <w:color w:val="auto"/>
                      <w:sz w:val="21"/>
                      <w:szCs w:val="21"/>
                      <w:vertAlign w:val="baseline"/>
                      <w:lang w:val="en-US" w:eastAsia="zh-CN"/>
                    </w:rPr>
                    <w:t>2454.84</w:t>
                  </w:r>
                  <w:r>
                    <w:rPr>
                      <w:rFonts w:hint="default" w:ascii="Times New Roman" w:hAnsi="Times New Roman" w:cs="Times New Roman"/>
                      <w:b w:val="0"/>
                      <w:bCs w:val="0"/>
                      <w:color w:val="auto"/>
                      <w:sz w:val="21"/>
                      <w:szCs w:val="21"/>
                      <w:vertAlign w:val="baseline"/>
                      <w:lang w:val="en-US" w:eastAsia="zh-CN"/>
                    </w:rPr>
                    <w:t>m²，约</w:t>
                  </w:r>
                  <w:r>
                    <w:rPr>
                      <w:rFonts w:hint="eastAsia" w:ascii="Times New Roman" w:cs="Times New Roman"/>
                      <w:b w:val="0"/>
                      <w:bCs w:val="0"/>
                      <w:color w:val="auto"/>
                      <w:sz w:val="21"/>
                      <w:szCs w:val="21"/>
                      <w:vertAlign w:val="baseline"/>
                      <w:lang w:val="en-US" w:eastAsia="zh-CN"/>
                    </w:rPr>
                    <w:t>0.245</w:t>
                  </w:r>
                  <w:r>
                    <w:rPr>
                      <w:rFonts w:hint="default" w:ascii="Times New Roman" w:hAnsi="Times New Roman" w:cs="Times New Roman"/>
                      <w:b w:val="0"/>
                      <w:bCs w:val="0"/>
                      <w:color w:val="auto"/>
                      <w:sz w:val="21"/>
                      <w:szCs w:val="21"/>
                      <w:vertAlign w:val="baseline"/>
                      <w:lang w:val="en-US" w:eastAsia="zh-CN"/>
                    </w:rPr>
                    <w:t>hm²，属于小型项目</w:t>
                  </w:r>
                </w:p>
              </w:tc>
            </w:tr>
            <w:tr w14:paraId="4B8BC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1781D6F6">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中型</w:t>
                  </w:r>
                </w:p>
              </w:tc>
              <w:tc>
                <w:tcPr>
                  <w:tcW w:w="3248" w:type="dxa"/>
                  <w:tcBorders>
                    <w:tl2br w:val="nil"/>
                    <w:tr2bl w:val="nil"/>
                  </w:tcBorders>
                  <w:vAlign w:val="center"/>
                </w:tcPr>
                <w:p w14:paraId="3FCDB5A2">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5~50hm²</w:t>
                  </w:r>
                </w:p>
              </w:tc>
              <w:tc>
                <w:tcPr>
                  <w:tcW w:w="3249" w:type="dxa"/>
                  <w:vMerge w:val="continue"/>
                  <w:tcBorders>
                    <w:tl2br w:val="nil"/>
                    <w:tr2bl w:val="nil"/>
                  </w:tcBorders>
                  <w:vAlign w:val="center"/>
                </w:tcPr>
                <w:p w14:paraId="5E777D44">
                  <w:pPr>
                    <w:pStyle w:val="2"/>
                    <w:numPr>
                      <w:ilvl w:val="0"/>
                      <w:numId w:val="0"/>
                    </w:numPr>
                    <w:spacing w:line="360" w:lineRule="auto"/>
                    <w:jc w:val="center"/>
                    <w:rPr>
                      <w:rFonts w:hint="default" w:ascii="Times New Roman" w:hAnsi="Times New Roman" w:cs="Times New Roman"/>
                      <w:b w:val="0"/>
                      <w:bCs w:val="0"/>
                      <w:color w:val="auto"/>
                      <w:sz w:val="21"/>
                      <w:szCs w:val="21"/>
                      <w:vertAlign w:val="baseline"/>
                      <w:lang w:val="en-US" w:eastAsia="zh-CN"/>
                    </w:rPr>
                  </w:pPr>
                </w:p>
              </w:tc>
            </w:tr>
            <w:tr w14:paraId="373EB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37876A75">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小型</w:t>
                  </w:r>
                </w:p>
              </w:tc>
              <w:tc>
                <w:tcPr>
                  <w:tcW w:w="3248" w:type="dxa"/>
                  <w:tcBorders>
                    <w:tl2br w:val="nil"/>
                    <w:tr2bl w:val="nil"/>
                  </w:tcBorders>
                  <w:vAlign w:val="center"/>
                </w:tcPr>
                <w:p w14:paraId="611F7BC4">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≤5hm²</w:t>
                  </w:r>
                </w:p>
              </w:tc>
              <w:tc>
                <w:tcPr>
                  <w:tcW w:w="3249" w:type="dxa"/>
                  <w:vMerge w:val="continue"/>
                  <w:tcBorders>
                    <w:tl2br w:val="nil"/>
                    <w:tr2bl w:val="nil"/>
                  </w:tcBorders>
                  <w:vAlign w:val="center"/>
                </w:tcPr>
                <w:p w14:paraId="75072E3F">
                  <w:pPr>
                    <w:pStyle w:val="2"/>
                    <w:numPr>
                      <w:ilvl w:val="0"/>
                      <w:numId w:val="0"/>
                    </w:numPr>
                    <w:spacing w:line="360" w:lineRule="auto"/>
                    <w:jc w:val="center"/>
                    <w:rPr>
                      <w:rFonts w:hint="default" w:ascii="Times New Roman" w:hAnsi="Times New Roman" w:cs="Times New Roman"/>
                      <w:b w:val="0"/>
                      <w:bCs w:val="0"/>
                      <w:color w:val="auto"/>
                      <w:sz w:val="21"/>
                      <w:szCs w:val="21"/>
                      <w:vertAlign w:val="baseline"/>
                      <w:lang w:val="en-US" w:eastAsia="zh-CN"/>
                    </w:rPr>
                  </w:pPr>
                </w:p>
              </w:tc>
            </w:tr>
          </w:tbl>
          <w:p w14:paraId="4CC543A5">
            <w:pPr>
              <w:numPr>
                <w:ilvl w:val="0"/>
                <w:numId w:val="3"/>
              </w:numPr>
              <w:spacing w:line="360" w:lineRule="auto"/>
              <w:ind w:left="0" w:leftChars="0" w:firstLine="360" w:firstLineChars="150"/>
              <w:rPr>
                <w:rFonts w:hint="default" w:ascii="Times New Roman" w:hAnsi="Times New Roman" w:cs="Times New Roman"/>
                <w:b w:val="0"/>
                <w:bCs/>
                <w:color w:val="auto"/>
                <w:sz w:val="24"/>
                <w:szCs w:val="24"/>
                <w:lang w:eastAsia="zh-CN"/>
              </w:rPr>
            </w:pPr>
            <w:r>
              <w:rPr>
                <w:rFonts w:hint="default" w:ascii="Times New Roman" w:hAnsi="Times New Roman" w:cs="Times New Roman"/>
                <w:b w:val="0"/>
                <w:bCs/>
                <w:color w:val="auto"/>
                <w:sz w:val="24"/>
                <w:szCs w:val="24"/>
                <w:lang w:eastAsia="zh-CN"/>
              </w:rPr>
              <w:t>污染影响型敏感程度分级表</w:t>
            </w:r>
          </w:p>
          <w:p w14:paraId="4342A86A">
            <w:pPr>
              <w:pStyle w:val="2"/>
              <w:numPr>
                <w:ilvl w:val="0"/>
                <w:numId w:val="0"/>
              </w:numPr>
              <w:spacing w:line="360" w:lineRule="auto"/>
              <w:ind w:leftChars="15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 xml:space="preserve"> 敏感程度分级</w:t>
            </w:r>
          </w:p>
          <w:tbl>
            <w:tblPr>
              <w:tblStyle w:val="23"/>
              <w:tblW w:w="97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5265"/>
              <w:gridCol w:w="3232"/>
            </w:tblGrid>
            <w:tr w14:paraId="60F5A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6256DFC6">
                  <w:pPr>
                    <w:pStyle w:val="2"/>
                    <w:numPr>
                      <w:ilvl w:val="0"/>
                      <w:numId w:val="0"/>
                    </w:numPr>
                    <w:spacing w:line="36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敏感程度</w:t>
                  </w:r>
                </w:p>
              </w:tc>
              <w:tc>
                <w:tcPr>
                  <w:tcW w:w="5265" w:type="dxa"/>
                  <w:tcBorders>
                    <w:tl2br w:val="nil"/>
                    <w:tr2bl w:val="nil"/>
                  </w:tcBorders>
                  <w:vAlign w:val="center"/>
                </w:tcPr>
                <w:p w14:paraId="2B8B1F11">
                  <w:pPr>
                    <w:pStyle w:val="2"/>
                    <w:numPr>
                      <w:ilvl w:val="0"/>
                      <w:numId w:val="0"/>
                    </w:numPr>
                    <w:spacing w:line="36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判别依据</w:t>
                  </w:r>
                </w:p>
              </w:tc>
              <w:tc>
                <w:tcPr>
                  <w:tcW w:w="3232" w:type="dxa"/>
                  <w:tcBorders>
                    <w:tl2br w:val="nil"/>
                    <w:tr2bl w:val="nil"/>
                  </w:tcBorders>
                  <w:vAlign w:val="center"/>
                </w:tcPr>
                <w:p w14:paraId="4C828B59">
                  <w:pPr>
                    <w:pStyle w:val="2"/>
                    <w:numPr>
                      <w:ilvl w:val="0"/>
                      <w:numId w:val="0"/>
                    </w:numPr>
                    <w:spacing w:line="36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w:t>
                  </w:r>
                </w:p>
              </w:tc>
            </w:tr>
            <w:tr w14:paraId="78982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0E7C3B08">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r>
                    <w:rPr>
                      <w:rFonts w:hint="default" w:ascii="Times New Roman" w:hAnsi="Times New Roman" w:cs="Times New Roman"/>
                      <w:b/>
                      <w:bCs/>
                      <w:color w:val="auto"/>
                      <w:sz w:val="21"/>
                      <w:szCs w:val="21"/>
                      <w:vertAlign w:val="baseline"/>
                      <w:lang w:val="en-US" w:eastAsia="zh-CN"/>
                    </w:rPr>
                    <w:t>（√）</w:t>
                  </w:r>
                </w:p>
              </w:tc>
              <w:tc>
                <w:tcPr>
                  <w:tcW w:w="5265" w:type="dxa"/>
                  <w:tcBorders>
                    <w:tl2br w:val="nil"/>
                    <w:tr2bl w:val="nil"/>
                  </w:tcBorders>
                  <w:vAlign w:val="center"/>
                </w:tcPr>
                <w:p w14:paraId="5B0D696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建设项目周边存在耕地、园地、牧草地、饮用水水源地或居民区、学校、医院、疗养院、养老院等土壤环境敏感目标的</w:t>
                  </w:r>
                </w:p>
              </w:tc>
              <w:tc>
                <w:tcPr>
                  <w:tcW w:w="3232" w:type="dxa"/>
                  <w:vMerge w:val="restart"/>
                  <w:tcBorders>
                    <w:tl2br w:val="nil"/>
                    <w:tr2bl w:val="nil"/>
                  </w:tcBorders>
                  <w:vAlign w:val="center"/>
                </w:tcPr>
                <w:p w14:paraId="1EDCFCD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本项目周围存在耕地、</w:t>
                  </w:r>
                  <w:r>
                    <w:rPr>
                      <w:rFonts w:hint="eastAsia" w:ascii="Times New Roman" w:cs="Times New Roman"/>
                      <w:color w:val="auto"/>
                      <w:sz w:val="21"/>
                      <w:szCs w:val="21"/>
                      <w:vertAlign w:val="baseline"/>
                      <w:lang w:val="en-US" w:eastAsia="zh-CN"/>
                    </w:rPr>
                    <w:t>居民</w:t>
                  </w:r>
                  <w:r>
                    <w:rPr>
                      <w:rFonts w:hint="default" w:ascii="Times New Roman" w:hAnsi="Times New Roman" w:cs="Times New Roman"/>
                      <w:color w:val="auto"/>
                      <w:sz w:val="21"/>
                      <w:szCs w:val="21"/>
                      <w:vertAlign w:val="baseline"/>
                      <w:lang w:val="en-US" w:eastAsia="zh-CN"/>
                    </w:rPr>
                    <w:t>，土壤环境敏感程度为敏感</w:t>
                  </w:r>
                </w:p>
              </w:tc>
            </w:tr>
            <w:tr w14:paraId="6665E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06970D9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5265" w:type="dxa"/>
                  <w:tcBorders>
                    <w:tl2br w:val="nil"/>
                    <w:tr2bl w:val="nil"/>
                  </w:tcBorders>
                  <w:vAlign w:val="center"/>
                </w:tcPr>
                <w:p w14:paraId="057734A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建设项目周边存在其他土壤环境敏感目标的</w:t>
                  </w:r>
                </w:p>
              </w:tc>
              <w:tc>
                <w:tcPr>
                  <w:tcW w:w="3232" w:type="dxa"/>
                  <w:vMerge w:val="continue"/>
                  <w:tcBorders>
                    <w:tl2br w:val="nil"/>
                    <w:tr2bl w:val="nil"/>
                  </w:tcBorders>
                  <w:vAlign w:val="center"/>
                </w:tcPr>
                <w:p w14:paraId="263FD2FC">
                  <w:pPr>
                    <w:pStyle w:val="2"/>
                    <w:numPr>
                      <w:ilvl w:val="0"/>
                      <w:numId w:val="0"/>
                    </w:numPr>
                    <w:spacing w:line="360" w:lineRule="auto"/>
                    <w:rPr>
                      <w:rFonts w:hint="default" w:ascii="Times New Roman" w:hAnsi="Times New Roman" w:cs="Times New Roman"/>
                      <w:color w:val="auto"/>
                      <w:sz w:val="21"/>
                      <w:szCs w:val="21"/>
                      <w:vertAlign w:val="baseline"/>
                      <w:lang w:val="en-US" w:eastAsia="zh-CN"/>
                    </w:rPr>
                  </w:pPr>
                </w:p>
              </w:tc>
            </w:tr>
            <w:tr w14:paraId="0325E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2BF6712E">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5265" w:type="dxa"/>
                  <w:tcBorders>
                    <w:tl2br w:val="nil"/>
                    <w:tr2bl w:val="nil"/>
                  </w:tcBorders>
                  <w:vAlign w:val="center"/>
                </w:tcPr>
                <w:p w14:paraId="39A3E568">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其他情况</w:t>
                  </w:r>
                </w:p>
              </w:tc>
              <w:tc>
                <w:tcPr>
                  <w:tcW w:w="3232" w:type="dxa"/>
                  <w:vMerge w:val="continue"/>
                  <w:tcBorders>
                    <w:tl2br w:val="nil"/>
                    <w:tr2bl w:val="nil"/>
                  </w:tcBorders>
                  <w:vAlign w:val="center"/>
                </w:tcPr>
                <w:p w14:paraId="484813EE">
                  <w:pPr>
                    <w:pStyle w:val="2"/>
                    <w:numPr>
                      <w:ilvl w:val="0"/>
                      <w:numId w:val="0"/>
                    </w:numPr>
                    <w:spacing w:line="360" w:lineRule="auto"/>
                    <w:rPr>
                      <w:rFonts w:hint="default" w:ascii="Times New Roman" w:hAnsi="Times New Roman" w:cs="Times New Roman"/>
                      <w:color w:val="auto"/>
                      <w:sz w:val="21"/>
                      <w:szCs w:val="21"/>
                      <w:vertAlign w:val="baseline"/>
                      <w:lang w:val="en-US" w:eastAsia="zh-CN"/>
                    </w:rPr>
                  </w:pPr>
                </w:p>
              </w:tc>
            </w:tr>
          </w:tbl>
          <w:p w14:paraId="5918A36F">
            <w:pPr>
              <w:pStyle w:val="2"/>
              <w:numPr>
                <w:ilvl w:val="0"/>
                <w:numId w:val="3"/>
              </w:numPr>
              <w:spacing w:line="360" w:lineRule="auto"/>
              <w:ind w:left="0" w:leftChars="0" w:firstLine="360" w:firstLineChars="15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评价工作等级判定</w:t>
            </w:r>
          </w:p>
          <w:p w14:paraId="1FE55655">
            <w:pPr>
              <w:pStyle w:val="2"/>
              <w:numPr>
                <w:ilvl w:val="0"/>
                <w:numId w:val="0"/>
              </w:numPr>
              <w:spacing w:line="240" w:lineRule="auto"/>
              <w:ind w:leftChars="15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4"/>
              </w:rPr>
              <mc:AlternateContent>
                <mc:Choice Requires="wps">
                  <w:drawing>
                    <wp:anchor distT="0" distB="0" distL="114300" distR="114300" simplePos="0" relativeHeight="251670528" behindDoc="0" locked="0" layoutInCell="1" allowOverlap="1">
                      <wp:simplePos x="0" y="0"/>
                      <wp:positionH relativeFrom="column">
                        <wp:posOffset>-19685</wp:posOffset>
                      </wp:positionH>
                      <wp:positionV relativeFrom="paragraph">
                        <wp:posOffset>140335</wp:posOffset>
                      </wp:positionV>
                      <wp:extent cx="723900" cy="47561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23900" cy="475615"/>
                              </a:xfrm>
                              <a:prstGeom prst="rect">
                                <a:avLst/>
                              </a:prstGeom>
                              <a:noFill/>
                              <a:ln w="15875">
                                <a:noFill/>
                              </a:ln>
                            </wps:spPr>
                            <wps:txbx>
                              <w:txbxContent>
                                <w:p w14:paraId="0CDDE267">
                                  <w:pPr>
                                    <w:rPr>
                                      <w:rFonts w:hint="eastAsia"/>
                                      <w:lang w:eastAsia="zh-CN"/>
                                    </w:rPr>
                                  </w:pPr>
                                  <w:r>
                                    <w:rPr>
                                      <w:rFonts w:hint="eastAsia"/>
                                      <w:lang w:eastAsia="zh-CN"/>
                                    </w:rPr>
                                    <w:t>评价工</w:t>
                                  </w:r>
                                </w:p>
                                <w:p w14:paraId="73530098">
                                  <w:pPr>
                                    <w:rPr>
                                      <w:rFonts w:hint="eastAsia" w:eastAsia="宋体"/>
                                      <w:lang w:eastAsia="zh-CN"/>
                                    </w:rPr>
                                  </w:pPr>
                                  <w:r>
                                    <w:rPr>
                                      <w:rFonts w:hint="eastAsia"/>
                                      <w:lang w:eastAsia="zh-CN"/>
                                    </w:rPr>
                                    <w:t>作等级</w:t>
                                  </w:r>
                                </w:p>
                              </w:txbxContent>
                            </wps:txbx>
                            <wps:bodyPr upright="1"/>
                          </wps:wsp>
                        </a:graphicData>
                      </a:graphic>
                    </wp:anchor>
                  </w:drawing>
                </mc:Choice>
                <mc:Fallback>
                  <w:pict>
                    <v:shape id="_x0000_s1026" o:spid="_x0000_s1026" o:spt="202" type="#_x0000_t202" style="position:absolute;left:0pt;margin-left:-1.55pt;margin-top:11.05pt;height:37.45pt;width:57pt;z-index:251670528;mso-width-relative:page;mso-height-relative:page;" filled="f" stroked="f" coordsize="21600,21600" o:gfxdata="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GQI7doAAAAIAQAADwAAAAAAAAABACAAAAAiAAAAZHJzL2Rvd25yZXYueG1sUEsBAhQA&#10;FAAAAAgAh07iQNTo5aq3AQAAWQMAAA4AAAAAAAAAAQAgAAAAKQEAAGRycy9lMm9Eb2MueG1sUEsF&#10;BgAAAAAGAAYAWQEAAFIFAAAAAA==&#10;">
                      <v:fill on="f" focussize="0,0"/>
                      <v:stroke on="f" weight="1.25pt"/>
                      <v:imagedata o:title=""/>
                      <o:lock v:ext="edit" aspectratio="f"/>
                      <v:textbox>
                        <w:txbxContent>
                          <w:p w14:paraId="0CDDE267">
                            <w:pPr>
                              <w:rPr>
                                <w:rFonts w:hint="eastAsia"/>
                                <w:lang w:eastAsia="zh-CN"/>
                              </w:rPr>
                            </w:pPr>
                            <w:r>
                              <w:rPr>
                                <w:rFonts w:hint="eastAsia"/>
                                <w:lang w:eastAsia="zh-CN"/>
                              </w:rPr>
                              <w:t>评价工</w:t>
                            </w:r>
                          </w:p>
                          <w:p w14:paraId="73530098">
                            <w:pPr>
                              <w:rPr>
                                <w:rFonts w:hint="eastAsia" w:eastAsia="宋体"/>
                                <w:lang w:eastAsia="zh-CN"/>
                              </w:rPr>
                            </w:pPr>
                            <w:r>
                              <w:rPr>
                                <w:rFonts w:hint="eastAsia"/>
                                <w:lang w:eastAsia="zh-CN"/>
                              </w:rPr>
                              <w:t>作等级</w:t>
                            </w:r>
                          </w:p>
                        </w:txbxContent>
                      </v:textbox>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669504" behindDoc="0" locked="0" layoutInCell="1" allowOverlap="1">
                      <wp:simplePos x="0" y="0"/>
                      <wp:positionH relativeFrom="column">
                        <wp:posOffset>675640</wp:posOffset>
                      </wp:positionH>
                      <wp:positionV relativeFrom="paragraph">
                        <wp:posOffset>144145</wp:posOffset>
                      </wp:positionV>
                      <wp:extent cx="600075" cy="4667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00075" cy="466725"/>
                              </a:xfrm>
                              <a:prstGeom prst="rect">
                                <a:avLst/>
                              </a:prstGeom>
                              <a:noFill/>
                              <a:ln w="15875">
                                <a:noFill/>
                              </a:ln>
                            </wps:spPr>
                            <wps:txbx>
                              <w:txbxContent>
                                <w:p w14:paraId="5371ABA5">
                                  <w:pPr>
                                    <w:rPr>
                                      <w:rFonts w:hint="eastAsia"/>
                                      <w:lang w:eastAsia="zh-CN"/>
                                    </w:rPr>
                                  </w:pPr>
                                  <w:r>
                                    <w:rPr>
                                      <w:rFonts w:hint="eastAsia"/>
                                      <w:lang w:eastAsia="zh-CN"/>
                                    </w:rPr>
                                    <w:t>占地</w:t>
                                  </w:r>
                                </w:p>
                                <w:p w14:paraId="5DE9CC52">
                                  <w:pPr>
                                    <w:rPr>
                                      <w:rFonts w:hint="eastAsia" w:eastAsia="宋体"/>
                                      <w:lang w:eastAsia="zh-CN"/>
                                    </w:rPr>
                                  </w:pPr>
                                  <w:r>
                                    <w:rPr>
                                      <w:rFonts w:hint="eastAsia"/>
                                      <w:lang w:eastAsia="zh-CN"/>
                                    </w:rPr>
                                    <w:t>规模</w:t>
                                  </w:r>
                                </w:p>
                              </w:txbxContent>
                            </wps:txbx>
                            <wps:bodyPr upright="1"/>
                          </wps:wsp>
                        </a:graphicData>
                      </a:graphic>
                    </wp:anchor>
                  </w:drawing>
                </mc:Choice>
                <mc:Fallback>
                  <w:pict>
                    <v:shape id="_x0000_s1026" o:spid="_x0000_s1026" o:spt="202" type="#_x0000_t202" style="position:absolute;left:0pt;margin-left:53.2pt;margin-top:11.35pt;height:36.75pt;width:47.25pt;z-index:251669504;mso-width-relative:page;mso-height-relative:page;" filled="f" stroked="f" coordsize="21600,21600" o:gfxdata="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h9A3aAAAACQEAAA8AAAAAAAAAAQAgAAAAIgAAAGRycy9kb3ducmV2LnhtbFBLAQIUABQA&#10;AAAIAIdO4kAmWBaDtQEAAFkDAAAOAAAAAAAAAAEAIAAAACkBAABkcnMvZTJvRG9jLnhtbFBLBQYA&#10;AAAABgAGAFkBAABQBQAAAAA=&#10;">
                      <v:fill on="f" focussize="0,0"/>
                      <v:stroke on="f" weight="1.25pt"/>
                      <v:imagedata o:title=""/>
                      <o:lock v:ext="edit" aspectratio="f"/>
                      <v:textbox>
                        <w:txbxContent>
                          <w:p w14:paraId="5371ABA5">
                            <w:pPr>
                              <w:rPr>
                                <w:rFonts w:hint="eastAsia"/>
                                <w:lang w:eastAsia="zh-CN"/>
                              </w:rPr>
                            </w:pPr>
                            <w:r>
                              <w:rPr>
                                <w:rFonts w:hint="eastAsia"/>
                                <w:lang w:eastAsia="zh-CN"/>
                              </w:rPr>
                              <w:t>占地</w:t>
                            </w:r>
                          </w:p>
                          <w:p w14:paraId="5DE9CC52">
                            <w:pPr>
                              <w:rPr>
                                <w:rFonts w:hint="eastAsia" w:eastAsia="宋体"/>
                                <w:lang w:eastAsia="zh-CN"/>
                              </w:rPr>
                            </w:pPr>
                            <w:r>
                              <w:rPr>
                                <w:rFonts w:hint="eastAsia"/>
                                <w:lang w:eastAsia="zh-CN"/>
                              </w:rPr>
                              <w:t>规模</w:t>
                            </w:r>
                          </w:p>
                        </w:txbxContent>
                      </v:textbox>
                    </v:shape>
                  </w:pict>
                </mc:Fallback>
              </mc:AlternateContent>
            </w: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本项目土壤环境评价工作等级表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659"/>
              <w:gridCol w:w="705"/>
              <w:gridCol w:w="737"/>
              <w:gridCol w:w="721"/>
              <w:gridCol w:w="659"/>
              <w:gridCol w:w="707"/>
              <w:gridCol w:w="657"/>
              <w:gridCol w:w="675"/>
              <w:gridCol w:w="707"/>
              <w:gridCol w:w="2062"/>
              <w:gridCol w:w="14"/>
            </w:tblGrid>
            <w:tr w14:paraId="7E982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569" w:hRule="atLeast"/>
                <w:jc w:val="center"/>
              </w:trPr>
              <w:tc>
                <w:tcPr>
                  <w:tcW w:w="842" w:type="pct"/>
                  <w:vMerge w:val="restart"/>
                  <w:tcBorders>
                    <w:tl2br w:val="nil"/>
                    <w:tr2bl w:val="nil"/>
                  </w:tcBorders>
                  <w:vAlign w:val="center"/>
                  <mc:AlternateContent>
                    <mc:Choice Requires="wpsCustomData">
                      <wpsCustomData:diagonals>
                        <wpsCustomData:diagonal from="14200" to="30000">
                          <wpsCustomData:border w:val="single" w:color="auto" w:sz="12" w:space="0"/>
                        </wpsCustomData:diagonal>
                        <wpsCustomData:diagonal from="4300" to="30000">
                          <wpsCustomData:border w:val="single" w:color="auto" w:sz="12" w:space="0"/>
                        </wpsCustomData:diagonal>
                      </wpsCustomData:diagonals>
                    </mc:Choice>
                  </mc:AlternateContent>
                </w:tcPr>
                <w:p w14:paraId="457E4C1A">
                  <w:pPr>
                    <w:pStyle w:val="2"/>
                    <w:numPr>
                      <w:ilvl w:val="0"/>
                      <w:numId w:val="0"/>
                    </w:numPr>
                    <w:snapToGrid w:val="0"/>
                    <w:spacing w:line="240" w:lineRule="auto"/>
                    <w:jc w:val="center"/>
                    <mc:AlternateContent>
                      <mc:Choice Requires="wpsCustomData">
                        <wpsCustomData:diagonalParaType/>
                      </mc:Choice>
                    </mc:AlternateContent>
                    <w:rPr>
                      <w:rFonts w:hint="default" w:ascii="Times New Roman" w:hAnsi="Times New Roman" w:cs="Times New Roman"/>
                      <w:b/>
                      <w:bCs/>
                      <w:color w:val="auto"/>
                      <w:sz w:val="21"/>
                      <w:szCs w:val="21"/>
                      <w:vertAlign w:val="baseline"/>
                      <w:lang w:val="en-US" w:eastAsia="zh-CN"/>
                    </w:rPr>
                  </w:pPr>
                </w:p>
                <w:p w14:paraId="2CD92DC2">
                  <w:pPr>
                    <w:pStyle w:val="2"/>
                    <w:numPr>
                      <w:ilvl w:val="0"/>
                      <w:numId w:val="0"/>
                    </w:numPr>
                    <w:snapToGrid w:val="0"/>
                    <w:spacing w:line="240" w:lineRule="auto"/>
                    <w:jc w:val="center"/>
                    <mc:AlternateContent>
                      <mc:Choice Requires="wpsCustomData">
                        <wpsCustomData:diagonalParaType/>
                      </mc:Choice>
                    </mc:AlternateContent>
                    <w:rPr>
                      <w:rFonts w:hint="default" w:ascii="Times New Roman" w:hAnsi="Times New Roman" w:cs="Times New Roman"/>
                      <w:b/>
                      <w:bCs/>
                      <w:color w:val="auto"/>
                      <w:sz w:val="21"/>
                      <w:szCs w:val="21"/>
                      <w:vertAlign w:val="baseline"/>
                      <w:lang w:val="en-US" w:eastAsia="zh-CN"/>
                    </w:rPr>
                  </w:pPr>
                </w:p>
                <w:p w14:paraId="12D53B05">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p>
              </w:tc>
              <w:tc>
                <w:tcPr>
                  <w:tcW w:w="1052" w:type="pct"/>
                  <w:gridSpan w:val="3"/>
                  <w:tcBorders>
                    <w:tl2br w:val="nil"/>
                    <w:tr2bl w:val="nil"/>
                  </w:tcBorders>
                  <w:vAlign w:val="center"/>
                </w:tcPr>
                <w:p w14:paraId="56539F4E">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Ⅰ</w:t>
                  </w:r>
                  <w:r>
                    <w:rPr>
                      <w:rFonts w:hint="default" w:ascii="Times New Roman" w:hAnsi="Times New Roman" w:cs="Times New Roman"/>
                      <w:b/>
                      <w:bCs/>
                      <w:color w:val="auto"/>
                      <w:sz w:val="21"/>
                      <w:szCs w:val="21"/>
                      <w:vertAlign w:val="baseline"/>
                      <w:lang w:val="en-US" w:eastAsia="zh-CN"/>
                    </w:rPr>
                    <w:t>类</w:t>
                  </w:r>
                </w:p>
              </w:tc>
              <w:tc>
                <w:tcPr>
                  <w:tcW w:w="1045" w:type="pct"/>
                  <w:gridSpan w:val="3"/>
                  <w:tcBorders>
                    <w:tl2br w:val="nil"/>
                    <w:tr2bl w:val="nil"/>
                  </w:tcBorders>
                  <w:vAlign w:val="center"/>
                </w:tcPr>
                <w:p w14:paraId="2A83B489">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Ⅱ</w:t>
                  </w:r>
                  <w:r>
                    <w:rPr>
                      <w:rFonts w:hint="default" w:ascii="Times New Roman" w:hAnsi="Times New Roman" w:cs="Times New Roman"/>
                      <w:b/>
                      <w:bCs/>
                      <w:color w:val="auto"/>
                      <w:sz w:val="21"/>
                      <w:szCs w:val="21"/>
                      <w:vertAlign w:val="baseline"/>
                      <w:lang w:val="en-US" w:eastAsia="zh-CN"/>
                    </w:rPr>
                    <w:t>类</w:t>
                  </w:r>
                </w:p>
              </w:tc>
              <w:tc>
                <w:tcPr>
                  <w:tcW w:w="1021" w:type="pct"/>
                  <w:gridSpan w:val="3"/>
                  <w:tcBorders>
                    <w:tl2br w:val="nil"/>
                    <w:tr2bl w:val="nil"/>
                  </w:tcBorders>
                  <w:vAlign w:val="center"/>
                </w:tcPr>
                <w:p w14:paraId="0A8B0B14">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Ⅲ</w:t>
                  </w:r>
                  <w:r>
                    <w:rPr>
                      <w:rFonts w:hint="default" w:ascii="Times New Roman" w:hAnsi="Times New Roman" w:cs="Times New Roman"/>
                      <w:b/>
                      <w:bCs/>
                      <w:color w:val="auto"/>
                      <w:sz w:val="21"/>
                      <w:szCs w:val="21"/>
                      <w:vertAlign w:val="baseline"/>
                      <w:lang w:val="en-US" w:eastAsia="zh-CN"/>
                    </w:rPr>
                    <w:t>类</w:t>
                  </w:r>
                </w:p>
              </w:tc>
              <w:tc>
                <w:tcPr>
                  <w:tcW w:w="1030" w:type="pct"/>
                  <w:tcBorders>
                    <w:tl2br w:val="nil"/>
                    <w:tr2bl w:val="nil"/>
                  </w:tcBorders>
                  <w:vAlign w:val="center"/>
                </w:tcPr>
                <w:p w14:paraId="32D362CA">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w:t>
                  </w:r>
                </w:p>
              </w:tc>
            </w:tr>
            <w:tr w14:paraId="5AB1A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tcBorders>
                    <w:tl2br w:val="nil"/>
                    <w:tr2bl w:val="nil"/>
                  </w:tcBorders>
                  <w:vAlign w:val="center"/>
                </w:tcPr>
                <w:p w14:paraId="64E1A66A">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c>
                <w:tcPr>
                  <w:tcW w:w="330" w:type="pct"/>
                  <w:tcBorders>
                    <w:tl2br w:val="nil"/>
                    <w:tr2bl w:val="nil"/>
                  </w:tcBorders>
                  <w:vAlign w:val="center"/>
                </w:tcPr>
                <w:p w14:paraId="60136E9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353" w:type="pct"/>
                  <w:tcBorders>
                    <w:tl2br w:val="nil"/>
                    <w:tr2bl w:val="nil"/>
                  </w:tcBorders>
                  <w:vAlign w:val="center"/>
                </w:tcPr>
                <w:p w14:paraId="401FA9D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369" w:type="pct"/>
                  <w:tcBorders>
                    <w:tl2br w:val="nil"/>
                    <w:tr2bl w:val="nil"/>
                  </w:tcBorders>
                  <w:vAlign w:val="center"/>
                </w:tcPr>
                <w:p w14:paraId="35CB553E">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361" w:type="pct"/>
                  <w:tcBorders>
                    <w:tl2br w:val="nil"/>
                    <w:tr2bl w:val="nil"/>
                  </w:tcBorders>
                  <w:vAlign w:val="center"/>
                </w:tcPr>
                <w:p w14:paraId="116FED5B">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330" w:type="pct"/>
                  <w:tcBorders>
                    <w:tl2br w:val="nil"/>
                    <w:tr2bl w:val="nil"/>
                  </w:tcBorders>
                  <w:vAlign w:val="center"/>
                </w:tcPr>
                <w:p w14:paraId="0B18927C">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354" w:type="pct"/>
                  <w:tcBorders>
                    <w:tl2br w:val="nil"/>
                    <w:tr2bl w:val="nil"/>
                  </w:tcBorders>
                  <w:vAlign w:val="center"/>
                </w:tcPr>
                <w:p w14:paraId="2D476BC0">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329" w:type="pct"/>
                  <w:tcBorders>
                    <w:tl2br w:val="nil"/>
                    <w:tr2bl w:val="nil"/>
                  </w:tcBorders>
                  <w:vAlign w:val="center"/>
                </w:tcPr>
                <w:p w14:paraId="01AC00FD">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338" w:type="pct"/>
                  <w:tcBorders>
                    <w:tl2br w:val="nil"/>
                    <w:tr2bl w:val="nil"/>
                  </w:tcBorders>
                  <w:vAlign w:val="center"/>
                </w:tcPr>
                <w:p w14:paraId="5649D3FE">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353" w:type="pct"/>
                  <w:tcBorders>
                    <w:tl2br w:val="nil"/>
                    <w:tr2bl w:val="nil"/>
                  </w:tcBorders>
                  <w:vAlign w:val="center"/>
                </w:tcPr>
                <w:p w14:paraId="6F784732">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1038" w:type="pct"/>
                  <w:gridSpan w:val="2"/>
                  <w:vMerge w:val="restart"/>
                  <w:tcBorders>
                    <w:tl2br w:val="nil"/>
                    <w:tr2bl w:val="nil"/>
                  </w:tcBorders>
                  <w:vAlign w:val="center"/>
                </w:tcPr>
                <w:p w14:paraId="4AB5D665">
                  <w:pPr>
                    <w:pStyle w:val="2"/>
                    <w:numPr>
                      <w:ilvl w:val="0"/>
                      <w:numId w:val="0"/>
                    </w:numPr>
                    <w:spacing w:line="240" w:lineRule="auto"/>
                    <w:jc w:val="both"/>
                    <w:rPr>
                      <w:rFonts w:hint="default" w:ascii="Times New Roman" w:hAnsi="Times New Roman" w:cs="Times New Roman"/>
                      <w:color w:val="auto"/>
                      <w:sz w:val="21"/>
                      <w:szCs w:val="21"/>
                      <w:vertAlign w:val="baseline"/>
                      <w:lang w:val="en-US" w:eastAsia="zh-CN"/>
                    </w:rPr>
                  </w:pPr>
                  <w:r>
                    <w:rPr>
                      <w:rFonts w:hint="default"/>
                      <w:sz w:val="21"/>
                      <w:szCs w:val="21"/>
                      <w:lang w:val="en-US" w:eastAsia="zh-CN"/>
                    </w:rPr>
                    <w:t>本项目为Ⅲ类，小型，敏感项目</w:t>
                  </w:r>
                  <w:r>
                    <w:rPr>
                      <w:rFonts w:hint="default" w:ascii="Times New Roman" w:hAnsi="Times New Roman" w:cs="Times New Roman"/>
                      <w:color w:val="auto"/>
                      <w:sz w:val="21"/>
                      <w:szCs w:val="21"/>
                      <w:vertAlign w:val="baseline"/>
                      <w:lang w:val="en-US" w:eastAsia="zh-CN"/>
                    </w:rPr>
                    <w:t>，土壤环境影响评价</w:t>
                  </w:r>
                  <w:r>
                    <w:rPr>
                      <w:rFonts w:hint="eastAsia" w:ascii="Times New Roman" w:cs="Times New Roman"/>
                      <w:color w:val="auto"/>
                      <w:sz w:val="21"/>
                      <w:szCs w:val="21"/>
                      <w:vertAlign w:val="baseline"/>
                      <w:lang w:val="en-US" w:eastAsia="zh-CN"/>
                    </w:rPr>
                    <w:t>等级为三级</w:t>
                  </w:r>
                  <w:r>
                    <w:rPr>
                      <w:rFonts w:hint="eastAsia" w:ascii="Times New Roman" w:hAnsi="Times New Roman" w:cs="Times New Roman"/>
                      <w:color w:val="auto"/>
                      <w:sz w:val="21"/>
                      <w:szCs w:val="21"/>
                      <w:vertAlign w:val="baseline"/>
                      <w:lang w:val="en-US" w:eastAsia="zh-CN"/>
                    </w:rPr>
                    <w:t>。</w:t>
                  </w:r>
                </w:p>
              </w:tc>
            </w:tr>
            <w:tr w14:paraId="6A010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l2br w:val="nil"/>
                    <w:tr2bl w:val="nil"/>
                  </w:tcBorders>
                  <w:vAlign w:val="center"/>
                </w:tcPr>
                <w:p w14:paraId="5D44B1F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330" w:type="pct"/>
                  <w:tcBorders>
                    <w:tl2br w:val="nil"/>
                    <w:tr2bl w:val="nil"/>
                  </w:tcBorders>
                  <w:vAlign w:val="center"/>
                </w:tcPr>
                <w:p w14:paraId="73F4A65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53" w:type="pct"/>
                  <w:tcBorders>
                    <w:tl2br w:val="nil"/>
                    <w:tr2bl w:val="nil"/>
                  </w:tcBorders>
                  <w:vAlign w:val="center"/>
                </w:tcPr>
                <w:p w14:paraId="79AC578B">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69" w:type="pct"/>
                  <w:tcBorders>
                    <w:tl2br w:val="nil"/>
                    <w:tr2bl w:val="nil"/>
                  </w:tcBorders>
                  <w:vAlign w:val="center"/>
                </w:tcPr>
                <w:p w14:paraId="62F93E21">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61" w:type="pct"/>
                  <w:tcBorders>
                    <w:tl2br w:val="nil"/>
                    <w:tr2bl w:val="nil"/>
                  </w:tcBorders>
                  <w:vAlign w:val="center"/>
                </w:tcPr>
                <w:p w14:paraId="45AA970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30" w:type="pct"/>
                  <w:tcBorders>
                    <w:tl2br w:val="nil"/>
                    <w:tr2bl w:val="nil"/>
                  </w:tcBorders>
                  <w:vAlign w:val="center"/>
                </w:tcPr>
                <w:p w14:paraId="0E61F01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54" w:type="pct"/>
                  <w:tcBorders>
                    <w:tl2br w:val="nil"/>
                    <w:tr2bl w:val="nil"/>
                  </w:tcBorders>
                  <w:vAlign w:val="center"/>
                </w:tcPr>
                <w:p w14:paraId="4A08269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29" w:type="pct"/>
                  <w:tcBorders>
                    <w:tl2br w:val="nil"/>
                    <w:tr2bl w:val="nil"/>
                  </w:tcBorders>
                  <w:vAlign w:val="center"/>
                </w:tcPr>
                <w:p w14:paraId="6A1A101B">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38" w:type="pct"/>
                  <w:tcBorders>
                    <w:tl2br w:val="nil"/>
                    <w:tr2bl w:val="nil"/>
                  </w:tcBorders>
                  <w:vAlign w:val="center"/>
                </w:tcPr>
                <w:p w14:paraId="29646D5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53" w:type="pct"/>
                  <w:tcBorders>
                    <w:tl2br w:val="nil"/>
                    <w:tr2bl w:val="nil"/>
                  </w:tcBorders>
                  <w:vAlign w:val="center"/>
                </w:tcPr>
                <w:p w14:paraId="4D8F2441">
                  <w:pPr>
                    <w:pStyle w:val="2"/>
                    <w:numPr>
                      <w:ilvl w:val="0"/>
                      <w:numId w:val="0"/>
                    </w:numPr>
                    <w:spacing w:line="240" w:lineRule="auto"/>
                    <w:jc w:val="center"/>
                    <w:rPr>
                      <w:rFonts w:hint="default" w:ascii="Times New Roman" w:hAnsi="Times New Roman" w:cs="Times New Roman"/>
                      <w:b/>
                      <w:bCs/>
                      <w:color w:val="auto"/>
                      <w:sz w:val="21"/>
                      <w:szCs w:val="21"/>
                      <w:shd w:val="clear" w:color="FFFFFF" w:fill="D9D9D9"/>
                      <w:vertAlign w:val="baseline"/>
                      <w:lang w:val="en-US" w:eastAsia="zh-CN"/>
                    </w:rPr>
                  </w:pPr>
                  <w:r>
                    <w:rPr>
                      <w:rFonts w:hint="default" w:ascii="Times New Roman" w:hAnsi="Times New Roman" w:cs="Times New Roman"/>
                      <w:b/>
                      <w:bCs/>
                      <w:color w:val="auto"/>
                      <w:sz w:val="21"/>
                      <w:szCs w:val="21"/>
                      <w:shd w:val="clear" w:color="FFFFFF" w:fill="D9D9D9"/>
                      <w:vertAlign w:val="baseline"/>
                      <w:lang w:val="en-US" w:eastAsia="zh-CN"/>
                    </w:rPr>
                    <w:t>三级</w:t>
                  </w:r>
                </w:p>
              </w:tc>
              <w:tc>
                <w:tcPr>
                  <w:tcW w:w="1038" w:type="pct"/>
                  <w:gridSpan w:val="2"/>
                  <w:vMerge w:val="continue"/>
                  <w:tcBorders>
                    <w:tl2br w:val="nil"/>
                    <w:tr2bl w:val="nil"/>
                  </w:tcBorders>
                  <w:vAlign w:val="center"/>
                </w:tcPr>
                <w:p w14:paraId="2525027D">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r>
            <w:tr w14:paraId="66B1E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l2br w:val="nil"/>
                    <w:tr2bl w:val="nil"/>
                  </w:tcBorders>
                  <w:vAlign w:val="center"/>
                </w:tcPr>
                <w:p w14:paraId="3B66F72F">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330" w:type="pct"/>
                  <w:tcBorders>
                    <w:tl2br w:val="nil"/>
                    <w:tr2bl w:val="nil"/>
                  </w:tcBorders>
                  <w:vAlign w:val="center"/>
                </w:tcPr>
                <w:p w14:paraId="56EEE685">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53" w:type="pct"/>
                  <w:tcBorders>
                    <w:tl2br w:val="nil"/>
                    <w:tr2bl w:val="nil"/>
                  </w:tcBorders>
                  <w:vAlign w:val="center"/>
                </w:tcPr>
                <w:p w14:paraId="1168AE63">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69" w:type="pct"/>
                  <w:tcBorders>
                    <w:tl2br w:val="nil"/>
                    <w:tr2bl w:val="nil"/>
                  </w:tcBorders>
                  <w:vAlign w:val="center"/>
                </w:tcPr>
                <w:p w14:paraId="39023C53">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61" w:type="pct"/>
                  <w:tcBorders>
                    <w:tl2br w:val="nil"/>
                    <w:tr2bl w:val="nil"/>
                  </w:tcBorders>
                  <w:vAlign w:val="center"/>
                </w:tcPr>
                <w:p w14:paraId="31872C94">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30" w:type="pct"/>
                  <w:tcBorders>
                    <w:tl2br w:val="nil"/>
                    <w:tr2bl w:val="nil"/>
                  </w:tcBorders>
                  <w:vAlign w:val="center"/>
                </w:tcPr>
                <w:p w14:paraId="6808383C">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54" w:type="pct"/>
                  <w:tcBorders>
                    <w:tl2br w:val="nil"/>
                    <w:tr2bl w:val="nil"/>
                  </w:tcBorders>
                  <w:vAlign w:val="center"/>
                </w:tcPr>
                <w:p w14:paraId="59003E85">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29" w:type="pct"/>
                  <w:tcBorders>
                    <w:tl2br w:val="nil"/>
                    <w:tr2bl w:val="nil"/>
                  </w:tcBorders>
                  <w:vAlign w:val="center"/>
                </w:tcPr>
                <w:p w14:paraId="71F7DA58">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38" w:type="pct"/>
                  <w:tcBorders>
                    <w:tl2br w:val="nil"/>
                    <w:tr2bl w:val="nil"/>
                  </w:tcBorders>
                  <w:vAlign w:val="center"/>
                </w:tcPr>
                <w:p w14:paraId="27DE1FA0">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53" w:type="pct"/>
                  <w:tcBorders>
                    <w:tl2br w:val="nil"/>
                    <w:tr2bl w:val="nil"/>
                  </w:tcBorders>
                  <w:vAlign w:val="center"/>
                </w:tcPr>
                <w:p w14:paraId="756F6ED5">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038" w:type="pct"/>
                  <w:gridSpan w:val="2"/>
                  <w:vMerge w:val="continue"/>
                  <w:tcBorders>
                    <w:tl2br w:val="nil"/>
                    <w:tr2bl w:val="nil"/>
                  </w:tcBorders>
                  <w:vAlign w:val="center"/>
                </w:tcPr>
                <w:p w14:paraId="5782975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r>
            <w:tr w14:paraId="58FAA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l2br w:val="nil"/>
                    <w:tr2bl w:val="nil"/>
                  </w:tcBorders>
                  <w:vAlign w:val="center"/>
                </w:tcPr>
                <w:p w14:paraId="0D1745BB">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330" w:type="pct"/>
                  <w:tcBorders>
                    <w:tl2br w:val="nil"/>
                    <w:tr2bl w:val="nil"/>
                  </w:tcBorders>
                  <w:vAlign w:val="center"/>
                </w:tcPr>
                <w:p w14:paraId="63F23A05">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53" w:type="pct"/>
                  <w:tcBorders>
                    <w:tl2br w:val="nil"/>
                    <w:tr2bl w:val="nil"/>
                  </w:tcBorders>
                  <w:vAlign w:val="center"/>
                </w:tcPr>
                <w:p w14:paraId="7C9E6BF8">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69" w:type="pct"/>
                  <w:tcBorders>
                    <w:tl2br w:val="nil"/>
                    <w:tr2bl w:val="nil"/>
                  </w:tcBorders>
                  <w:vAlign w:val="center"/>
                </w:tcPr>
                <w:p w14:paraId="11F28F2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61" w:type="pct"/>
                  <w:tcBorders>
                    <w:tl2br w:val="nil"/>
                    <w:tr2bl w:val="nil"/>
                  </w:tcBorders>
                  <w:vAlign w:val="center"/>
                </w:tcPr>
                <w:p w14:paraId="3AD96A0E">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30" w:type="pct"/>
                  <w:tcBorders>
                    <w:tl2br w:val="nil"/>
                    <w:tr2bl w:val="nil"/>
                  </w:tcBorders>
                  <w:vAlign w:val="center"/>
                </w:tcPr>
                <w:p w14:paraId="79B9CF3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54" w:type="pct"/>
                  <w:tcBorders>
                    <w:tl2br w:val="nil"/>
                    <w:tr2bl w:val="nil"/>
                  </w:tcBorders>
                  <w:vAlign w:val="center"/>
                </w:tcPr>
                <w:p w14:paraId="164067AF">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29" w:type="pct"/>
                  <w:tcBorders>
                    <w:tl2br w:val="nil"/>
                    <w:tr2bl w:val="nil"/>
                  </w:tcBorders>
                  <w:vAlign w:val="center"/>
                </w:tcPr>
                <w:p w14:paraId="16217728">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38" w:type="pct"/>
                  <w:tcBorders>
                    <w:tl2br w:val="nil"/>
                    <w:tr2bl w:val="nil"/>
                  </w:tcBorders>
                  <w:vAlign w:val="center"/>
                </w:tcPr>
                <w:p w14:paraId="693DDF20">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53" w:type="pct"/>
                  <w:tcBorders>
                    <w:tl2br w:val="nil"/>
                    <w:tr2bl w:val="nil"/>
                  </w:tcBorders>
                  <w:vAlign w:val="center"/>
                </w:tcPr>
                <w:p w14:paraId="753AB13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w:t>
                  </w:r>
                </w:p>
              </w:tc>
              <w:tc>
                <w:tcPr>
                  <w:tcW w:w="1038" w:type="pct"/>
                  <w:gridSpan w:val="2"/>
                  <w:vMerge w:val="continue"/>
                  <w:tcBorders>
                    <w:tl2br w:val="nil"/>
                    <w:tr2bl w:val="nil"/>
                  </w:tcBorders>
                  <w:vAlign w:val="center"/>
                </w:tcPr>
                <w:p w14:paraId="6F81B5CE">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r>
            <w:tr w14:paraId="09D5D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992" w:type="pct"/>
                  <w:gridSpan w:val="11"/>
                  <w:tcBorders>
                    <w:tl2br w:val="nil"/>
                    <w:tr2bl w:val="nil"/>
                  </w:tcBorders>
                  <w:vAlign w:val="center"/>
                </w:tcPr>
                <w:p w14:paraId="5D81D89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注：“-”表示可不开展土壤环境影响评价工作。</w:t>
                  </w:r>
                </w:p>
              </w:tc>
            </w:tr>
          </w:tbl>
          <w:p w14:paraId="63323E55">
            <w:pPr>
              <w:spacing w:line="360" w:lineRule="auto"/>
              <w:ind w:firstLine="480" w:firstLineChars="200"/>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b w:val="0"/>
                <w:bCs/>
                <w:color w:val="auto"/>
                <w:sz w:val="24"/>
                <w:szCs w:val="24"/>
                <w:lang w:eastAsia="zh-CN"/>
              </w:rPr>
              <w:t>根据表</w:t>
            </w:r>
            <w:r>
              <w:rPr>
                <w:rFonts w:hint="eastAsia" w:cs="Times New Roman"/>
                <w:b w:val="0"/>
                <w:bCs/>
                <w:color w:val="auto"/>
                <w:sz w:val="24"/>
                <w:szCs w:val="24"/>
                <w:lang w:val="en-US" w:eastAsia="zh-CN"/>
              </w:rPr>
              <w:t>1-6</w:t>
            </w:r>
            <w:r>
              <w:rPr>
                <w:rFonts w:hint="default" w:ascii="Times New Roman" w:hAnsi="Times New Roman" w:cs="Times New Roman"/>
                <w:b w:val="0"/>
                <w:bCs/>
                <w:color w:val="auto"/>
                <w:sz w:val="24"/>
                <w:szCs w:val="24"/>
                <w:lang w:val="en-US" w:eastAsia="zh-CN"/>
              </w:rPr>
              <w:t>的评价结果，</w:t>
            </w:r>
            <w:r>
              <w:rPr>
                <w:rFonts w:hint="default" w:ascii="Times New Roman" w:hAnsi="Times New Roman" w:cs="Times New Roman"/>
                <w:b/>
                <w:bCs w:val="0"/>
                <w:color w:val="auto"/>
                <w:sz w:val="24"/>
                <w:szCs w:val="24"/>
                <w:lang w:val="en-US" w:eastAsia="zh-CN"/>
              </w:rPr>
              <w:t>本项目土壤环境影响评价</w:t>
            </w:r>
            <w:r>
              <w:rPr>
                <w:rFonts w:hint="eastAsia" w:ascii="Times New Roman" w:hAnsi="Times New Roman" w:cs="Times New Roman"/>
                <w:b/>
                <w:bCs w:val="0"/>
                <w:color w:val="auto"/>
                <w:sz w:val="24"/>
                <w:szCs w:val="24"/>
                <w:lang w:val="en-US" w:eastAsia="zh-CN"/>
              </w:rPr>
              <w:t>等级为三级</w:t>
            </w:r>
            <w:r>
              <w:rPr>
                <w:rFonts w:hint="default" w:ascii="Times New Roman" w:hAnsi="Times New Roman" w:cs="Times New Roman"/>
                <w:b/>
                <w:bCs w:val="0"/>
                <w:color w:val="auto"/>
                <w:sz w:val="24"/>
                <w:szCs w:val="24"/>
                <w:lang w:val="en-US" w:eastAsia="zh-CN"/>
              </w:rPr>
              <w:t>。</w:t>
            </w:r>
          </w:p>
          <w:p w14:paraId="09C98A43">
            <w:pPr>
              <w:pStyle w:val="18"/>
              <w:widowControl w:val="0"/>
              <w:tabs>
                <w:tab w:val="right" w:leader="dot" w:pos="8640"/>
              </w:tabs>
              <w:spacing w:before="0" w:beforeAutospacing="0" w:after="0" w:afterAutospacing="0" w:line="360" w:lineRule="auto"/>
              <w:ind w:firstLine="48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2.7、评价范围</w:t>
            </w:r>
          </w:p>
          <w:p w14:paraId="46701E9A">
            <w:pPr>
              <w:pStyle w:val="18"/>
              <w:widowControl w:val="0"/>
              <w:tabs>
                <w:tab w:val="right" w:leader="dot" w:pos="8640"/>
              </w:tabs>
              <w:spacing w:before="0" w:beforeAutospacing="0" w:after="0" w:afterAutospacing="0" w:line="360" w:lineRule="auto"/>
              <w:ind w:firstLine="48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根据项目污染物排放特点及当地气象条件、自然环境状况，结合各导则的要求，确定各环境要素评价范围见下表。</w:t>
            </w:r>
          </w:p>
          <w:p w14:paraId="7E0D2990">
            <w:pPr>
              <w:pStyle w:val="18"/>
              <w:widowControl w:val="0"/>
              <w:tabs>
                <w:tab w:val="right" w:leader="dot" w:pos="8640"/>
              </w:tabs>
              <w:spacing w:before="0" w:beforeAutospacing="0" w:after="0" w:afterAutospacing="0" w:line="360" w:lineRule="auto"/>
              <w:ind w:firstLine="48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b/>
                <w:bCs/>
                <w:color w:val="auto"/>
                <w:sz w:val="21"/>
                <w:szCs w:val="21"/>
                <w:vertAlign w:val="baseline"/>
                <w:lang w:val="en-US" w:eastAsia="zh-CN"/>
              </w:rPr>
              <w:t>表</w:t>
            </w:r>
            <w:r>
              <w:rPr>
                <w:rFonts w:hint="default" w:ascii="Times New Roman" w:hAnsi="Times New Roman" w:cs="Times New Roman"/>
                <w:b/>
                <w:bCs/>
                <w:color w:val="auto"/>
                <w:sz w:val="21"/>
                <w:szCs w:val="21"/>
                <w:vertAlign w:val="baseline"/>
                <w:lang w:val="en-US" w:eastAsia="zh-CN"/>
              </w:rPr>
              <w:t>1</w:t>
            </w:r>
            <w:r>
              <w:rPr>
                <w:rFonts w:hint="default" w:ascii="Times New Roman" w:hAnsi="Times New Roman" w:eastAsia="宋体" w:cs="Times New Roman"/>
                <w:b/>
                <w:bCs/>
                <w:color w:val="auto"/>
                <w:sz w:val="21"/>
                <w:szCs w:val="21"/>
                <w:vertAlign w:val="baseline"/>
                <w:lang w:val="en-US" w:eastAsia="zh-CN"/>
              </w:rPr>
              <w:t>-</w:t>
            </w:r>
            <w:r>
              <w:rPr>
                <w:rFonts w:hint="eastAsia" w:ascii="Times New Roman" w:hAnsi="Times New Roman"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本项目环境影响评价范围表</w:t>
            </w:r>
          </w:p>
          <w:tbl>
            <w:tblPr>
              <w:tblStyle w:val="22"/>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6306"/>
            </w:tblGrid>
            <w:tr w14:paraId="2C067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2198" w:type="dxa"/>
                  <w:noWrap w:val="0"/>
                  <w:vAlign w:val="center"/>
                </w:tcPr>
                <w:p w14:paraId="5E0685BC">
                  <w:pPr>
                    <w:pStyle w:val="68"/>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评价内容</w:t>
                  </w:r>
                </w:p>
              </w:tc>
              <w:tc>
                <w:tcPr>
                  <w:tcW w:w="6306" w:type="dxa"/>
                  <w:noWrap w:val="0"/>
                  <w:vAlign w:val="center"/>
                </w:tcPr>
                <w:p w14:paraId="37940B43">
                  <w:pPr>
                    <w:pStyle w:val="68"/>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评价范围</w:t>
                  </w:r>
                </w:p>
              </w:tc>
            </w:tr>
            <w:tr w14:paraId="06558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198" w:type="dxa"/>
                  <w:noWrap w:val="0"/>
                  <w:vAlign w:val="center"/>
                </w:tcPr>
                <w:p w14:paraId="13E364F7">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大气环境影响评价</w:t>
                  </w:r>
                </w:p>
              </w:tc>
              <w:tc>
                <w:tcPr>
                  <w:tcW w:w="6306" w:type="dxa"/>
                  <w:noWrap w:val="0"/>
                  <w:vAlign w:val="center"/>
                </w:tcPr>
                <w:p w14:paraId="3B340CB5">
                  <w:pPr>
                    <w:pStyle w:val="6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大气环境影响评价范围边长取</w:t>
                  </w:r>
                  <w:r>
                    <w:rPr>
                      <w:rFonts w:hint="default" w:ascii="Times New Roman" w:hAnsi="Times New Roman" w:eastAsia="宋体" w:cs="Times New Roman"/>
                      <w:color w:val="auto"/>
                      <w:kern w:val="0"/>
                      <w:sz w:val="21"/>
                      <w:szCs w:val="21"/>
                      <w:lang w:val="en-US" w:eastAsia="zh-CN"/>
                    </w:rPr>
                    <w:t>5km</w:t>
                  </w:r>
                </w:p>
              </w:tc>
            </w:tr>
            <w:tr w14:paraId="1E0A5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198" w:type="dxa"/>
                  <w:noWrap w:val="0"/>
                  <w:vAlign w:val="center"/>
                </w:tcPr>
                <w:p w14:paraId="4A0D840E">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地表水环境影响评价</w:t>
                  </w:r>
                </w:p>
              </w:tc>
              <w:tc>
                <w:tcPr>
                  <w:tcW w:w="6306" w:type="dxa"/>
                  <w:noWrap w:val="0"/>
                  <w:vAlign w:val="center"/>
                </w:tcPr>
                <w:p w14:paraId="03F82ABC">
                  <w:pPr>
                    <w:pStyle w:val="68"/>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应满足其依托污水处理设施环境可行性分析的要求</w:t>
                  </w:r>
                </w:p>
              </w:tc>
            </w:tr>
            <w:tr w14:paraId="1A82C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198" w:type="dxa"/>
                  <w:noWrap w:val="0"/>
                  <w:vAlign w:val="center"/>
                </w:tcPr>
                <w:p w14:paraId="3F424C75">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噪声环境影响评价</w:t>
                  </w:r>
                </w:p>
              </w:tc>
              <w:tc>
                <w:tcPr>
                  <w:tcW w:w="6306" w:type="dxa"/>
                  <w:noWrap w:val="0"/>
                  <w:vAlign w:val="center"/>
                </w:tcPr>
                <w:p w14:paraId="605FAF42">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厂</w:t>
                  </w:r>
                  <w:r>
                    <w:rPr>
                      <w:rFonts w:hint="default" w:ascii="Times New Roman" w:hAnsi="Times New Roman" w:eastAsia="宋体" w:cs="Times New Roman"/>
                      <w:color w:val="auto"/>
                      <w:sz w:val="21"/>
                      <w:szCs w:val="21"/>
                    </w:rPr>
                    <w:t>界外200m范围</w:t>
                  </w:r>
                </w:p>
              </w:tc>
            </w:tr>
            <w:tr w14:paraId="3112F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198" w:type="dxa"/>
                  <w:noWrap w:val="0"/>
                  <w:vAlign w:val="center"/>
                </w:tcPr>
                <w:p w14:paraId="272DC501">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地下水环境影响评价</w:t>
                  </w:r>
                </w:p>
              </w:tc>
              <w:tc>
                <w:tcPr>
                  <w:tcW w:w="6306" w:type="dxa"/>
                  <w:noWrap w:val="0"/>
                  <w:vAlign w:val="center"/>
                </w:tcPr>
                <w:p w14:paraId="0C316BB2">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IV类建设项目不开展地下水环境影响评价。</w:t>
                  </w:r>
                </w:p>
              </w:tc>
            </w:tr>
            <w:tr w14:paraId="66762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198" w:type="dxa"/>
                  <w:noWrap w:val="0"/>
                  <w:vAlign w:val="center"/>
                </w:tcPr>
                <w:p w14:paraId="2BF1603E">
                  <w:pPr>
                    <w:pStyle w:val="68"/>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土壤环境影响评价</w:t>
                  </w:r>
                </w:p>
              </w:tc>
              <w:tc>
                <w:tcPr>
                  <w:tcW w:w="6306" w:type="dxa"/>
                  <w:noWrap w:val="0"/>
                  <w:vAlign w:val="center"/>
                </w:tcPr>
                <w:p w14:paraId="4516CAB7">
                  <w:pPr>
                    <w:pStyle w:val="68"/>
                    <w:spacing w:line="240" w:lineRule="auto"/>
                    <w:rPr>
                      <w:rFonts w:hint="default" w:ascii="Times New Roman" w:hAnsi="Times New Roman" w:eastAsia="宋体" w:cs="Times New Roman"/>
                      <w:color w:val="auto"/>
                      <w:sz w:val="21"/>
                      <w:szCs w:val="21"/>
                    </w:rPr>
                  </w:pPr>
                  <w:r>
                    <w:rPr>
                      <w:rFonts w:hint="eastAsia" w:cs="Times New Roman"/>
                      <w:color w:val="auto"/>
                      <w:sz w:val="21"/>
                      <w:szCs w:val="21"/>
                      <w:vertAlign w:val="baseline"/>
                      <w:lang w:val="en-US" w:eastAsia="zh-CN"/>
                    </w:rPr>
                    <w:t>项目占地范围内全部及项目厂界外50m范围</w:t>
                  </w:r>
                  <w:r>
                    <w:rPr>
                      <w:rFonts w:hint="eastAsia" w:ascii="Times New Roman" w:hAnsi="Times New Roman" w:cs="Times New Roman"/>
                      <w:color w:val="auto"/>
                      <w:sz w:val="21"/>
                      <w:szCs w:val="21"/>
                      <w:vertAlign w:val="baseline"/>
                      <w:lang w:val="en-US" w:eastAsia="zh-CN"/>
                    </w:rPr>
                    <w:t>。</w:t>
                  </w:r>
                </w:p>
              </w:tc>
            </w:tr>
            <w:tr w14:paraId="27E9D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198" w:type="dxa"/>
                  <w:noWrap w:val="0"/>
                  <w:vAlign w:val="center"/>
                </w:tcPr>
                <w:p w14:paraId="02958A70">
                  <w:pPr>
                    <w:pStyle w:val="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风险评价</w:t>
                  </w:r>
                </w:p>
              </w:tc>
              <w:tc>
                <w:tcPr>
                  <w:tcW w:w="6306" w:type="dxa"/>
                  <w:noWrap w:val="0"/>
                  <w:vAlign w:val="center"/>
                </w:tcPr>
                <w:p w14:paraId="1104F6E1">
                  <w:pPr>
                    <w:pStyle w:val="68"/>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大气环境风险评价范围：以</w:t>
                  </w:r>
                  <w:r>
                    <w:rPr>
                      <w:rFonts w:hint="default" w:ascii="Times New Roman" w:hAnsi="Times New Roman" w:cs="Times New Roman"/>
                      <w:color w:val="auto"/>
                      <w:kern w:val="0"/>
                      <w:sz w:val="21"/>
                      <w:szCs w:val="21"/>
                      <w:lang w:val="en-US" w:eastAsia="zh-CN"/>
                    </w:rPr>
                    <w:t>厂址</w:t>
                  </w:r>
                  <w:r>
                    <w:rPr>
                      <w:rFonts w:hint="default" w:ascii="Times New Roman" w:hAnsi="Times New Roman" w:eastAsia="宋体" w:cs="Times New Roman"/>
                      <w:color w:val="auto"/>
                      <w:kern w:val="0"/>
                      <w:sz w:val="21"/>
                      <w:szCs w:val="21"/>
                    </w:rPr>
                    <w:t>为中心自厂界外延3km圆形区域；</w:t>
                  </w:r>
                </w:p>
                <w:p w14:paraId="0F749817">
                  <w:pPr>
                    <w:pStyle w:val="68"/>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地表水环境风险评价范围：无要求；</w:t>
                  </w:r>
                </w:p>
                <w:p w14:paraId="499EE80C">
                  <w:pPr>
                    <w:pStyle w:val="68"/>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地下水环境风险评价范围：项目所在</w:t>
                  </w:r>
                  <w:r>
                    <w:rPr>
                      <w:rFonts w:hint="default" w:ascii="Times New Roman" w:hAnsi="Times New Roman" w:cs="Times New Roman"/>
                      <w:color w:val="auto"/>
                      <w:kern w:val="0"/>
                      <w:sz w:val="21"/>
                      <w:szCs w:val="21"/>
                      <w:lang w:val="en-US" w:eastAsia="zh-CN"/>
                    </w:rPr>
                    <w:t>区域地下水环境</w:t>
                  </w:r>
                </w:p>
              </w:tc>
            </w:tr>
          </w:tbl>
          <w:p w14:paraId="0334F074">
            <w:pPr>
              <w:spacing w:line="360" w:lineRule="auto"/>
              <w:rPr>
                <w:rFonts w:hint="default" w:ascii="Times New Roman" w:hAnsi="Times New Roman" w:eastAsia="宋体" w:cs="Times New Roman"/>
                <w:b/>
                <w:bCs/>
                <w:color w:val="auto"/>
                <w:sz w:val="28"/>
                <w:szCs w:val="28"/>
                <w:shd w:val="clear" w:color="auto" w:fill="auto"/>
              </w:rPr>
            </w:pPr>
            <w:r>
              <w:rPr>
                <w:rFonts w:hint="default" w:ascii="Times New Roman" w:hAnsi="Times New Roman" w:eastAsia="宋体" w:cs="Times New Roman"/>
                <w:b/>
                <w:bCs/>
                <w:color w:val="auto"/>
                <w:sz w:val="28"/>
                <w:szCs w:val="28"/>
                <w:shd w:val="clear" w:color="auto" w:fill="auto"/>
                <w:lang w:eastAsia="zh-CN"/>
              </w:rPr>
              <w:t>三</w:t>
            </w:r>
            <w:r>
              <w:rPr>
                <w:rFonts w:hint="default" w:ascii="Times New Roman" w:hAnsi="Times New Roman" w:eastAsia="宋体" w:cs="Times New Roman"/>
                <w:b/>
                <w:bCs/>
                <w:color w:val="auto"/>
                <w:sz w:val="28"/>
                <w:szCs w:val="28"/>
                <w:shd w:val="clear" w:color="auto" w:fill="auto"/>
              </w:rPr>
              <w:t>、产业政策符合性</w:t>
            </w:r>
          </w:p>
          <w:p w14:paraId="68BF6645">
            <w:pPr>
              <w:spacing w:line="360" w:lineRule="auto"/>
              <w:ind w:firstLine="480" w:firstLineChars="200"/>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根据《国民经济行业分类》（GB/T4754-2017），本项目产品主要为</w:t>
            </w:r>
            <w:r>
              <w:rPr>
                <w:rFonts w:hint="eastAsia" w:ascii="Times New Roman" w:hAnsi="Times New Roman" w:eastAsia="宋体" w:cs="Times New Roman"/>
                <w:color w:val="auto"/>
                <w:sz w:val="24"/>
                <w:szCs w:val="24"/>
                <w:shd w:val="clear" w:color="auto" w:fill="auto"/>
                <w:lang w:val="en-US" w:eastAsia="zh-CN"/>
              </w:rPr>
              <w:t>不锈钢制品和</w:t>
            </w:r>
            <w:r>
              <w:rPr>
                <w:rFonts w:hint="eastAsia" w:ascii="Times New Roman" w:hAnsi="Times New Roman" w:eastAsia="宋体" w:cs="Times New Roman"/>
                <w:color w:val="auto"/>
                <w:sz w:val="24"/>
                <w:szCs w:val="24"/>
                <w:shd w:val="clear" w:color="auto" w:fill="auto"/>
                <w:lang w:eastAsia="zh-CN"/>
              </w:rPr>
              <w:t>畜禽养殖专用水泥制品</w:t>
            </w:r>
            <w:r>
              <w:rPr>
                <w:rFonts w:hint="default" w:ascii="Times New Roman" w:hAnsi="Times New Roman" w:eastAsia="宋体" w:cs="Times New Roman"/>
                <w:color w:val="auto"/>
                <w:sz w:val="24"/>
                <w:szCs w:val="24"/>
                <w:shd w:val="clear" w:color="auto" w:fill="auto"/>
              </w:rPr>
              <w:t>等，属于</w:t>
            </w:r>
            <w:r>
              <w:rPr>
                <w:rFonts w:hint="eastAsia" w:ascii="Times New Roman" w:hAnsi="Times New Roman" w:eastAsia="宋体" w:cs="Times New Roman"/>
                <w:color w:val="auto"/>
                <w:sz w:val="24"/>
                <w:szCs w:val="24"/>
                <w:shd w:val="clear" w:color="auto" w:fill="auto"/>
                <w:lang w:val="en-US" w:eastAsia="zh-CN"/>
              </w:rPr>
              <w:t>砼结构构件制造</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C3022</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和金属结构制造</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C3311</w:t>
            </w:r>
            <w:r>
              <w:rPr>
                <w:rFonts w:hint="eastAsia" w:ascii="Times New Roman" w:hAnsi="Times New Roman"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shd w:val="clear" w:color="auto" w:fill="auto"/>
              </w:rPr>
              <w:t>。</w:t>
            </w:r>
            <w:r>
              <w:rPr>
                <w:rFonts w:hint="default" w:ascii="Times New Roman" w:hAnsi="Times New Roman" w:eastAsia="宋体" w:cs="Times New Roman"/>
                <w:color w:val="auto"/>
                <w:sz w:val="24"/>
                <w:szCs w:val="24"/>
                <w:shd w:val="clear" w:color="auto" w:fill="auto"/>
                <w:lang w:eastAsia="zh-CN"/>
              </w:rPr>
              <w:t>按照《产业结构调整指导目录（</w:t>
            </w:r>
            <w:r>
              <w:rPr>
                <w:rFonts w:hint="default" w:ascii="Times New Roman" w:hAnsi="Times New Roman" w:eastAsia="宋体" w:cs="Times New Roman"/>
                <w:color w:val="auto"/>
                <w:sz w:val="24"/>
                <w:szCs w:val="24"/>
                <w:shd w:val="clear" w:color="auto" w:fill="auto"/>
                <w:lang w:val="en-US" w:eastAsia="zh-CN"/>
              </w:rPr>
              <w:t>2019</w:t>
            </w:r>
            <w:r>
              <w:rPr>
                <w:rFonts w:hint="default" w:ascii="Times New Roman" w:hAnsi="Times New Roman" w:eastAsia="宋体" w:cs="Times New Roman"/>
                <w:color w:val="auto"/>
                <w:sz w:val="24"/>
                <w:szCs w:val="24"/>
                <w:shd w:val="clear" w:color="auto" w:fill="auto"/>
                <w:lang w:eastAsia="zh-CN"/>
              </w:rPr>
              <w:t>年本）》（中华人民共和国国家发展和改革委员会令第29号）</w:t>
            </w:r>
            <w:r>
              <w:rPr>
                <w:rFonts w:hint="default" w:ascii="Times New Roman" w:hAnsi="Times New Roman" w:eastAsia="宋体" w:cs="Times New Roman"/>
                <w:color w:val="auto"/>
                <w:sz w:val="24"/>
                <w:szCs w:val="24"/>
                <w:shd w:val="clear" w:color="auto" w:fill="auto"/>
                <w:lang w:val="en-US" w:eastAsia="zh-CN"/>
              </w:rPr>
              <w:t>的要求</w:t>
            </w:r>
            <w:r>
              <w:rPr>
                <w:rFonts w:hint="default" w:ascii="Times New Roman" w:hAnsi="Times New Roman" w:eastAsia="宋体" w:cs="Times New Roman"/>
                <w:color w:val="auto"/>
                <w:sz w:val="24"/>
                <w:szCs w:val="24"/>
                <w:shd w:val="clear" w:color="auto" w:fill="auto"/>
                <w:lang w:eastAsia="zh-CN"/>
              </w:rPr>
              <w:t>，本项目不属于</w:t>
            </w:r>
            <w:r>
              <w:rPr>
                <w:rFonts w:hint="default" w:ascii="Times New Roman" w:hAnsi="Times New Roman" w:eastAsia="宋体" w:cs="Times New Roman"/>
                <w:color w:val="auto"/>
                <w:sz w:val="24"/>
                <w:szCs w:val="24"/>
                <w:shd w:val="clear" w:color="auto" w:fill="auto"/>
                <w:lang w:val="en-US" w:eastAsia="zh-CN"/>
              </w:rPr>
              <w:t>其中的</w:t>
            </w:r>
            <w:r>
              <w:rPr>
                <w:rFonts w:hint="default" w:ascii="Times New Roman" w:hAnsi="Times New Roman" w:eastAsia="宋体" w:cs="Times New Roman"/>
                <w:color w:val="auto"/>
                <w:sz w:val="24"/>
                <w:szCs w:val="24"/>
                <w:shd w:val="clear" w:color="auto" w:fill="auto"/>
                <w:lang w:eastAsia="zh-CN"/>
              </w:rPr>
              <w:t>鼓励类、限制类和淘汰类，</w:t>
            </w:r>
            <w:r>
              <w:rPr>
                <w:rFonts w:hint="default" w:ascii="Times New Roman" w:hAnsi="Times New Roman" w:eastAsia="宋体" w:cs="Times New Roman"/>
                <w:color w:val="auto"/>
                <w:sz w:val="24"/>
                <w:szCs w:val="24"/>
                <w:shd w:val="clear" w:color="auto" w:fill="auto"/>
                <w:lang w:val="en-US" w:eastAsia="zh-CN"/>
              </w:rPr>
              <w:t>另</w:t>
            </w:r>
            <w:r>
              <w:rPr>
                <w:rFonts w:hint="default" w:ascii="Times New Roman" w:hAnsi="Times New Roman" w:eastAsia="宋体" w:cs="Times New Roman"/>
                <w:color w:val="auto"/>
                <w:sz w:val="24"/>
                <w:szCs w:val="24"/>
                <w:shd w:val="clear" w:color="auto" w:fill="auto"/>
                <w:lang w:eastAsia="zh-CN"/>
              </w:rPr>
              <w:t>根据国务院发布实施的《促进产业结构调整暂行规定》（国发[2005]40号）第十三条规定：“不属于鼓励类、限制类和淘汰类，且符合国家有关法律、法规和政策规定的为允许类。”故本项目属于允许类。</w:t>
            </w:r>
            <w:r>
              <w:rPr>
                <w:rFonts w:hint="default" w:ascii="Times New Roman" w:hAnsi="Times New Roman" w:eastAsia="宋体" w:cs="Times New Roman"/>
                <w:color w:val="auto"/>
                <w:sz w:val="24"/>
                <w:szCs w:val="24"/>
                <w:shd w:val="clear" w:color="auto" w:fill="auto"/>
              </w:rPr>
              <w:t>根据</w:t>
            </w:r>
            <w:r>
              <w:rPr>
                <w:rFonts w:hint="eastAsia" w:cs="Times New Roman"/>
                <w:color w:val="auto"/>
                <w:sz w:val="24"/>
                <w:szCs w:val="24"/>
                <w:shd w:val="clear" w:color="auto" w:fill="auto"/>
                <w:lang w:eastAsia="zh-CN"/>
              </w:rPr>
              <w:t>自然</w:t>
            </w:r>
            <w:r>
              <w:rPr>
                <w:rFonts w:hint="default" w:ascii="Times New Roman" w:hAnsi="Times New Roman" w:eastAsia="宋体" w:cs="Times New Roman"/>
                <w:color w:val="auto"/>
                <w:sz w:val="24"/>
                <w:szCs w:val="24"/>
                <w:shd w:val="clear" w:color="auto" w:fill="auto"/>
              </w:rPr>
              <w:t>资源部“关于发布实施《限制用地项目目录（2012年本）》和《禁止用地项目目录（2012年本）》的通知”，本项目的建设用地不属于限制用地和禁止用地范围。</w:t>
            </w:r>
          </w:p>
          <w:p w14:paraId="62DAFA1F">
            <w:pPr>
              <w:spacing w:line="360" w:lineRule="auto"/>
              <w:ind w:firstLine="480" w:firstLineChars="200"/>
              <w:rPr>
                <w:rFonts w:hint="default" w:ascii="Times New Roman" w:hAnsi="Times New Roman" w:eastAsia="宋体" w:cs="Times New Roman"/>
                <w:color w:val="C00000"/>
                <w:sz w:val="24"/>
                <w:szCs w:val="24"/>
                <w:shd w:val="clear" w:color="auto" w:fill="auto"/>
              </w:rPr>
            </w:pPr>
            <w:r>
              <w:rPr>
                <w:rFonts w:hint="default" w:ascii="Times New Roman" w:hAnsi="Times New Roman" w:eastAsia="宋体" w:cs="Times New Roman"/>
                <w:color w:val="auto"/>
                <w:sz w:val="24"/>
                <w:szCs w:val="24"/>
                <w:shd w:val="clear" w:color="auto" w:fill="auto"/>
              </w:rPr>
              <w:t>同时，根据</w:t>
            </w:r>
            <w:r>
              <w:rPr>
                <w:rFonts w:hint="eastAsia" w:ascii="Times New Roman" w:hAnsi="Times New Roman" w:cs="Times New Roman"/>
                <w:color w:val="auto"/>
                <w:sz w:val="24"/>
                <w:szCs w:val="24"/>
                <w:shd w:val="clear" w:color="auto" w:fill="auto"/>
                <w:lang w:val="en-US" w:eastAsia="zh-CN"/>
              </w:rPr>
              <w:t>蓬溪县</w:t>
            </w:r>
            <w:r>
              <w:rPr>
                <w:rFonts w:hint="default" w:ascii="Times New Roman" w:hAnsi="Times New Roman" w:eastAsia="宋体" w:cs="Times New Roman"/>
                <w:color w:val="auto"/>
                <w:sz w:val="24"/>
                <w:szCs w:val="24"/>
                <w:shd w:val="clear" w:color="auto" w:fill="auto"/>
                <w:lang w:val="en-US" w:eastAsia="zh-CN"/>
              </w:rPr>
              <w:t>发展和改造局</w:t>
            </w:r>
            <w:r>
              <w:rPr>
                <w:rFonts w:hint="default" w:ascii="Times New Roman" w:hAnsi="Times New Roman" w:eastAsia="宋体" w:cs="Times New Roman"/>
                <w:color w:val="auto"/>
                <w:sz w:val="24"/>
                <w:szCs w:val="24"/>
                <w:shd w:val="clear" w:color="auto" w:fill="auto"/>
              </w:rPr>
              <w:t>出具的《</w:t>
            </w:r>
            <w:r>
              <w:rPr>
                <w:rFonts w:hint="default" w:ascii="Times New Roman" w:hAnsi="Times New Roman" w:eastAsia="宋体" w:cs="Times New Roman"/>
                <w:color w:val="auto"/>
                <w:sz w:val="24"/>
                <w:szCs w:val="24"/>
                <w:shd w:val="clear" w:color="auto" w:fill="auto"/>
                <w:lang w:eastAsia="zh-CN"/>
              </w:rPr>
              <w:t>四川省固定资产投资备案表</w:t>
            </w:r>
            <w:r>
              <w:rPr>
                <w:rFonts w:hint="default" w:ascii="Times New Roman" w:hAnsi="Times New Roman" w:eastAsia="宋体" w:cs="Times New Roman"/>
                <w:color w:val="auto"/>
                <w:sz w:val="24"/>
                <w:szCs w:val="24"/>
                <w:shd w:val="clear" w:color="auto" w:fill="auto"/>
              </w:rPr>
              <w:t>》，项目备案号为：</w:t>
            </w:r>
            <w:r>
              <w:rPr>
                <w:rFonts w:hint="default" w:ascii="Times New Roman" w:hAnsi="Times New Roman" w:eastAsia="宋体" w:cs="Times New Roman"/>
                <w:color w:val="auto"/>
                <w:sz w:val="24"/>
                <w:szCs w:val="24"/>
                <w:shd w:val="clear" w:color="auto" w:fill="auto"/>
                <w:lang w:eastAsia="zh-CN"/>
              </w:rPr>
              <w:t>川投资备</w:t>
            </w:r>
            <w:r>
              <w:rPr>
                <w:rFonts w:hint="eastAsia" w:cs="Times New Roman"/>
                <w:color w:val="auto"/>
                <w:sz w:val="24"/>
                <w:szCs w:val="24"/>
                <w:shd w:val="clear" w:color="auto" w:fill="auto"/>
                <w:lang w:eastAsia="zh-CN"/>
              </w:rPr>
              <w:t>【2102-510921-04-01-481071】FGQB-0023号</w:t>
            </w:r>
            <w:r>
              <w:rPr>
                <w:rFonts w:hint="default" w:ascii="Times New Roman" w:hAnsi="Times New Roman" w:eastAsia="宋体" w:cs="Times New Roman"/>
                <w:color w:val="auto"/>
                <w:sz w:val="24"/>
                <w:szCs w:val="24"/>
                <w:shd w:val="clear" w:color="auto" w:fill="auto"/>
              </w:rPr>
              <w:t>，明确项目已完成备案。</w:t>
            </w:r>
          </w:p>
          <w:p w14:paraId="67B72A31">
            <w:pPr>
              <w:spacing w:line="360" w:lineRule="auto"/>
              <w:ind w:firstLine="480" w:firstLineChars="200"/>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综上所述，本项目建设符合国家现行相关产业政策。</w:t>
            </w:r>
          </w:p>
          <w:p w14:paraId="7BD9CB97">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eastAsia="zh-CN"/>
              </w:rPr>
              <w:t>四</w:t>
            </w:r>
            <w:r>
              <w:rPr>
                <w:rFonts w:hint="default" w:ascii="Times New Roman" w:hAnsi="Times New Roman" w:eastAsia="宋体" w:cs="Times New Roman"/>
                <w:b/>
                <w:bCs/>
                <w:color w:val="auto"/>
                <w:sz w:val="28"/>
                <w:szCs w:val="28"/>
              </w:rPr>
              <w:t>、规划符合性</w:t>
            </w:r>
          </w:p>
          <w:p w14:paraId="5271B29E">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w:t>
            </w:r>
            <w:r>
              <w:rPr>
                <w:rFonts w:hint="default" w:ascii="Times New Roman" w:hAnsi="Times New Roman" w:cs="Times New Roman"/>
                <w:b/>
                <w:color w:val="auto"/>
                <w:sz w:val="24"/>
                <w:szCs w:val="24"/>
                <w:lang w:val="en-US" w:eastAsia="zh-CN"/>
              </w:rPr>
              <w:t>区域</w:t>
            </w:r>
            <w:r>
              <w:rPr>
                <w:rFonts w:hint="default" w:ascii="Times New Roman" w:hAnsi="Times New Roman" w:eastAsia="宋体" w:cs="Times New Roman"/>
                <w:b/>
                <w:color w:val="auto"/>
                <w:sz w:val="24"/>
                <w:szCs w:val="24"/>
              </w:rPr>
              <w:t>用地规划符合性</w:t>
            </w:r>
          </w:p>
          <w:p w14:paraId="5BC12514">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bCs/>
                <w:color w:val="auto"/>
                <w:sz w:val="24"/>
                <w:szCs w:val="24"/>
              </w:rPr>
              <w:t>选址于</w:t>
            </w:r>
            <w:r>
              <w:rPr>
                <w:rFonts w:hint="eastAsia" w:cs="Times New Roman"/>
                <w:bCs/>
                <w:color w:val="auto"/>
                <w:sz w:val="24"/>
                <w:szCs w:val="24"/>
                <w:lang w:val="en-US" w:eastAsia="zh-CN"/>
              </w:rPr>
              <w:t xml:space="preserve">四川省遂宁市蓬溪县蓬南镇长石村3社 </w:t>
            </w:r>
            <w:r>
              <w:rPr>
                <w:rFonts w:hint="default" w:ascii="Times New Roman" w:hAnsi="Times New Roman" w:eastAsia="宋体" w:cs="Times New Roman"/>
                <w:bCs/>
                <w:color w:val="auto"/>
                <w:sz w:val="24"/>
                <w:szCs w:val="24"/>
              </w:rPr>
              <w:t>，根据业主提供的</w:t>
            </w:r>
            <w:r>
              <w:rPr>
                <w:rFonts w:hint="eastAsia" w:cs="Times New Roman"/>
                <w:bCs/>
                <w:color w:val="auto"/>
                <w:sz w:val="24"/>
                <w:szCs w:val="24"/>
                <w:lang w:eastAsia="zh-CN"/>
              </w:rPr>
              <w:t>《</w:t>
            </w:r>
            <w:r>
              <w:rPr>
                <w:rFonts w:hint="eastAsia" w:cs="Times New Roman"/>
                <w:bCs/>
                <w:color w:val="auto"/>
                <w:sz w:val="24"/>
                <w:szCs w:val="24"/>
                <w:lang w:val="en-US" w:eastAsia="zh-CN"/>
              </w:rPr>
              <w:t>不动产证》（川（2020）蓬溪县不动产权0009046号）</w:t>
            </w:r>
            <w:r>
              <w:rPr>
                <w:rFonts w:hint="default" w:ascii="Times New Roman" w:hAnsi="Times New Roman" w:eastAsia="宋体" w:cs="Times New Roman"/>
                <w:bCs/>
                <w:color w:val="auto"/>
                <w:sz w:val="24"/>
                <w:szCs w:val="24"/>
              </w:rPr>
              <w:t>，项目用地属于</w:t>
            </w:r>
            <w:r>
              <w:rPr>
                <w:rFonts w:hint="eastAsia" w:cs="Times New Roman"/>
                <w:bCs/>
                <w:color w:val="auto"/>
                <w:sz w:val="24"/>
                <w:szCs w:val="24"/>
                <w:lang w:val="en-US" w:eastAsia="zh-CN"/>
              </w:rPr>
              <w:t>工业用地</w:t>
            </w:r>
            <w:r>
              <w:rPr>
                <w:rFonts w:hint="default" w:ascii="Times New Roman" w:hAnsi="Times New Roman" w:eastAsia="宋体" w:cs="Times New Roman"/>
                <w:bCs/>
                <w:color w:val="auto"/>
                <w:sz w:val="24"/>
                <w:szCs w:val="24"/>
              </w:rPr>
              <w:t>，</w:t>
            </w:r>
            <w:r>
              <w:rPr>
                <w:rFonts w:hint="default" w:ascii="Times New Roman" w:hAnsi="Times New Roman" w:cs="Times New Roman"/>
                <w:bCs/>
                <w:color w:val="auto"/>
                <w:sz w:val="24"/>
                <w:szCs w:val="24"/>
                <w:lang w:val="en-US" w:eastAsia="zh-CN"/>
              </w:rPr>
              <w:t>另</w:t>
            </w:r>
            <w:r>
              <w:rPr>
                <w:rFonts w:hint="default" w:ascii="Times New Roman" w:hAnsi="Times New Roman" w:eastAsia="宋体" w:cs="Times New Roman"/>
                <w:bCs/>
                <w:color w:val="auto"/>
                <w:sz w:val="24"/>
                <w:szCs w:val="24"/>
              </w:rPr>
              <w:t>根据</w:t>
            </w:r>
            <w:r>
              <w:rPr>
                <w:rFonts w:hint="eastAsia" w:cs="Times New Roman"/>
                <w:bCs/>
                <w:color w:val="auto"/>
                <w:sz w:val="24"/>
                <w:szCs w:val="24"/>
                <w:lang w:val="en-US" w:eastAsia="zh-CN"/>
              </w:rPr>
              <w:t>蓬南</w:t>
            </w:r>
            <w:r>
              <w:rPr>
                <w:rFonts w:hint="default" w:ascii="Times New Roman" w:hAnsi="Times New Roman" w:cs="Times New Roman"/>
                <w:bCs/>
                <w:color w:val="auto"/>
                <w:sz w:val="24"/>
                <w:szCs w:val="24"/>
                <w:lang w:val="en-US" w:eastAsia="zh-CN"/>
              </w:rPr>
              <w:t>镇人民政府出具的证明（详见附件）</w:t>
            </w:r>
            <w:r>
              <w:rPr>
                <w:rFonts w:hint="default" w:ascii="Times New Roman" w:hAnsi="Times New Roman" w:eastAsia="宋体" w:cs="Times New Roman"/>
                <w:bCs/>
                <w:color w:val="auto"/>
                <w:sz w:val="24"/>
                <w:szCs w:val="24"/>
              </w:rPr>
              <w:t>，</w:t>
            </w:r>
            <w:r>
              <w:rPr>
                <w:rFonts w:hint="default" w:ascii="Times New Roman" w:hAnsi="Times New Roman" w:cs="Times New Roman"/>
                <w:bCs/>
                <w:color w:val="auto"/>
                <w:sz w:val="24"/>
                <w:szCs w:val="24"/>
                <w:lang w:val="en-US" w:eastAsia="zh-CN"/>
              </w:rPr>
              <w:t>证明中明确本项目的建设符合</w:t>
            </w:r>
            <w:r>
              <w:rPr>
                <w:rFonts w:hint="eastAsia" w:cs="Times New Roman"/>
                <w:bCs/>
                <w:color w:val="auto"/>
                <w:sz w:val="24"/>
                <w:szCs w:val="24"/>
                <w:lang w:val="en-US" w:eastAsia="zh-CN"/>
              </w:rPr>
              <w:t>蓬南</w:t>
            </w:r>
            <w:r>
              <w:rPr>
                <w:rFonts w:hint="default" w:ascii="Times New Roman" w:hAnsi="Times New Roman" w:cs="Times New Roman"/>
                <w:bCs/>
                <w:color w:val="auto"/>
                <w:sz w:val="24"/>
                <w:szCs w:val="24"/>
                <w:lang w:val="en-US" w:eastAsia="zh-CN"/>
              </w:rPr>
              <w:t>镇的总体规划</w:t>
            </w:r>
            <w:r>
              <w:rPr>
                <w:rFonts w:hint="default" w:ascii="Times New Roman" w:hAnsi="Times New Roman" w:eastAsia="宋体" w:cs="Times New Roman"/>
                <w:bCs/>
                <w:color w:val="auto"/>
                <w:sz w:val="24"/>
                <w:szCs w:val="24"/>
              </w:rPr>
              <w:t>。</w:t>
            </w:r>
          </w:p>
          <w:p w14:paraId="562BEBB4">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综上，项目用地合法，与当地规划相符。</w:t>
            </w:r>
          </w:p>
          <w:p w14:paraId="55645495">
            <w:pPr>
              <w:pStyle w:val="18"/>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482" w:firstLineChars="200"/>
              <w:jc w:val="left"/>
              <w:rPr>
                <w:rFonts w:hint="default" w:ascii="Times New Roman" w:hAnsi="Times New Roman" w:cs="Times New Roman"/>
                <w:b/>
                <w:color w:val="auto"/>
                <w:sz w:val="24"/>
                <w:szCs w:val="24"/>
                <w:lang w:val="en-US" w:eastAsia="zh-CN"/>
              </w:rPr>
            </w:pPr>
            <w:r>
              <w:rPr>
                <w:rFonts w:hint="default"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rPr>
              <w:t>与</w:t>
            </w:r>
            <w:r>
              <w:rPr>
                <w:rFonts w:hint="default" w:ascii="Times New Roman" w:hAnsi="Times New Roman" w:cs="Times New Roman"/>
                <w:b/>
                <w:color w:val="auto"/>
                <w:sz w:val="24"/>
                <w:szCs w:val="24"/>
                <w:lang w:val="en-US" w:eastAsia="zh-CN"/>
              </w:rPr>
              <w:t>相关政策的符合性分析</w:t>
            </w:r>
          </w:p>
          <w:p w14:paraId="587E7856">
            <w:pPr>
              <w:pStyle w:val="18"/>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本项目建设与四川省大气污染控制要求符合性和满足性分析。</w:t>
            </w:r>
          </w:p>
          <w:p w14:paraId="0E3AFA4B">
            <w:pPr>
              <w:pStyle w:val="18"/>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422" w:firstLineChars="200"/>
              <w:jc w:val="center"/>
              <w:rPr>
                <w:rFonts w:hint="default" w:ascii="Times New Roman" w:hAnsi="Times New Roman" w:eastAsia="宋体" w:cs="Times New Roman"/>
                <w:bCs/>
                <w:color w:val="auto"/>
                <w:sz w:val="24"/>
                <w:lang w:val="en-US" w:eastAsia="zh-CN"/>
              </w:rPr>
            </w:pPr>
            <w:r>
              <w:rPr>
                <w:rFonts w:hint="default" w:ascii="Times New Roman" w:hAnsi="Times New Roman" w:cs="Times New Roman"/>
                <w:b/>
                <w:color w:val="auto"/>
                <w:sz w:val="21"/>
                <w:szCs w:val="21"/>
                <w:lang w:val="en-US" w:eastAsia="zh-CN"/>
              </w:rPr>
              <w:t>表1-</w:t>
            </w:r>
            <w:r>
              <w:rPr>
                <w:rFonts w:hint="eastAsia" w:ascii="Times New Roman" w:hAnsi="Times New Roman" w:cs="Times New Roman"/>
                <w:b/>
                <w:color w:val="auto"/>
                <w:sz w:val="21"/>
                <w:szCs w:val="21"/>
                <w:lang w:val="en-US" w:eastAsia="zh-CN"/>
              </w:rPr>
              <w:t>8</w:t>
            </w:r>
            <w:r>
              <w:rPr>
                <w:rFonts w:hint="default" w:ascii="Times New Roman" w:hAnsi="Times New Roman" w:cs="Times New Roman"/>
                <w:b/>
                <w:color w:val="auto"/>
                <w:sz w:val="21"/>
                <w:szCs w:val="21"/>
                <w:lang w:val="en-US" w:eastAsia="zh-CN"/>
              </w:rPr>
              <w:tab/>
            </w:r>
            <w:r>
              <w:rPr>
                <w:rFonts w:hint="default" w:ascii="Times New Roman" w:hAnsi="Times New Roman" w:cs="Times New Roman"/>
                <w:b/>
                <w:color w:val="auto"/>
                <w:sz w:val="21"/>
                <w:szCs w:val="21"/>
                <w:lang w:val="en-US" w:eastAsia="zh-CN"/>
              </w:rPr>
              <w:t>项目与相关规范的符合性分析</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3592"/>
              <w:gridCol w:w="3563"/>
              <w:gridCol w:w="925"/>
            </w:tblGrid>
            <w:tr w14:paraId="3423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14:paraId="096C439C">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大气污染相关规范文件</w:t>
                  </w:r>
                </w:p>
              </w:tc>
              <w:tc>
                <w:tcPr>
                  <w:tcW w:w="3592" w:type="dxa"/>
                  <w:vAlign w:val="center"/>
                </w:tcPr>
                <w:p w14:paraId="1C67939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规范建设要求</w:t>
                  </w:r>
                </w:p>
              </w:tc>
              <w:tc>
                <w:tcPr>
                  <w:tcW w:w="3563" w:type="dxa"/>
                  <w:vAlign w:val="center"/>
                </w:tcPr>
                <w:p w14:paraId="1E985F64">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本项目建设情况</w:t>
                  </w:r>
                </w:p>
              </w:tc>
              <w:tc>
                <w:tcPr>
                  <w:tcW w:w="925" w:type="dxa"/>
                  <w:vAlign w:val="center"/>
                </w:tcPr>
                <w:p w14:paraId="1E76C78E">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符合性分析</w:t>
                  </w:r>
                </w:p>
              </w:tc>
            </w:tr>
            <w:tr w14:paraId="683A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37CE817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《四川省灰霾污染防治办法》</w:t>
                  </w:r>
                </w:p>
              </w:tc>
              <w:tc>
                <w:tcPr>
                  <w:tcW w:w="3592" w:type="dxa"/>
                  <w:vAlign w:val="center"/>
                </w:tcPr>
                <w:p w14:paraId="2859FEF1">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第十六条规定：运输矿石（粉）、煤炭、肥料、垃圾、渣土、砂石、土方、灰浆等散装、粉状、流体物料的，应当使用符合条件的车辆，密闭运输。</w:t>
                  </w:r>
                </w:p>
              </w:tc>
              <w:tc>
                <w:tcPr>
                  <w:tcW w:w="3563" w:type="dxa"/>
                  <w:vAlign w:val="center"/>
                </w:tcPr>
                <w:p w14:paraId="4F95C26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本项目原料运输车辆以及成品运输车辆均使用符合条件的车辆，密闭运输。</w:t>
                  </w:r>
                </w:p>
              </w:tc>
              <w:tc>
                <w:tcPr>
                  <w:tcW w:w="925" w:type="dxa"/>
                  <w:vAlign w:val="center"/>
                </w:tcPr>
                <w:p w14:paraId="55D282A2">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652B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71B71632">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750FED92">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第十八条规定煤炭、水泥、石灰、石膏、砂土、矿石（粉）等易产生扬尘的物料应当密闭贮存；不具备密闭贮存条件的，应当在其周围设置不低于堆放物高度的围挡，防止产生扬尘。</w:t>
                  </w:r>
                </w:p>
              </w:tc>
              <w:tc>
                <w:tcPr>
                  <w:tcW w:w="3563" w:type="dxa"/>
                  <w:vAlign w:val="center"/>
                </w:tcPr>
                <w:p w14:paraId="523958C3">
                  <w:pPr>
                    <w:spacing w:line="240" w:lineRule="auto"/>
                    <w:jc w:val="center"/>
                    <w:rPr>
                      <w:rFonts w:hint="default" w:ascii="Times New Roman" w:hAnsi="Times New Roman" w:cs="Times New Roman"/>
                      <w:color w:val="auto"/>
                      <w:szCs w:val="21"/>
                      <w:lang w:val="en-US" w:eastAsia="zh-CN"/>
                    </w:rPr>
                  </w:pPr>
                  <w:r>
                    <w:rPr>
                      <w:rFonts w:hint="eastAsia" w:cs="Times New Roman"/>
                      <w:b/>
                      <w:bCs/>
                      <w:color w:val="auto"/>
                      <w:szCs w:val="21"/>
                      <w:lang w:val="en-US" w:eastAsia="zh-CN"/>
                    </w:rPr>
                    <w:t>本项目</w:t>
                  </w:r>
                  <w:r>
                    <w:rPr>
                      <w:rFonts w:hint="default" w:ascii="Times New Roman" w:hAnsi="Times New Roman" w:cs="Times New Roman"/>
                      <w:b/>
                      <w:bCs/>
                      <w:color w:val="auto"/>
                      <w:szCs w:val="21"/>
                    </w:rPr>
                    <w:t>设置封闭式的</w:t>
                  </w:r>
                  <w:r>
                    <w:rPr>
                      <w:rFonts w:hint="default" w:ascii="Times New Roman" w:hAnsi="Times New Roman" w:cs="Times New Roman"/>
                      <w:b/>
                      <w:bCs/>
                      <w:color w:val="auto"/>
                      <w:szCs w:val="21"/>
                      <w:lang w:val="en-US" w:eastAsia="zh-CN"/>
                    </w:rPr>
                    <w:t>原料</w:t>
                  </w:r>
                  <w:r>
                    <w:rPr>
                      <w:rFonts w:hint="default" w:ascii="Times New Roman" w:hAnsi="Times New Roman" w:cs="Times New Roman"/>
                      <w:b/>
                      <w:bCs/>
                      <w:color w:val="auto"/>
                      <w:szCs w:val="21"/>
                    </w:rPr>
                    <w:t>堆场，</w:t>
                  </w:r>
                  <w:r>
                    <w:rPr>
                      <w:rFonts w:hint="default" w:ascii="Times New Roman" w:hAnsi="Times New Roman" w:cs="Times New Roman"/>
                      <w:color w:val="auto"/>
                      <w:szCs w:val="21"/>
                      <w:lang w:val="en-US" w:eastAsia="zh-CN"/>
                    </w:rPr>
                    <w:t>并设置喷淋降尘装置</w:t>
                  </w:r>
                  <w:r>
                    <w:rPr>
                      <w:rFonts w:hint="default" w:ascii="Times New Roman" w:hAnsi="Times New Roman" w:cs="Times New Roman"/>
                      <w:color w:val="auto"/>
                      <w:szCs w:val="21"/>
                    </w:rPr>
                    <w:t>，防治产生扬尘。</w:t>
                  </w:r>
                </w:p>
              </w:tc>
              <w:tc>
                <w:tcPr>
                  <w:tcW w:w="925" w:type="dxa"/>
                  <w:vAlign w:val="center"/>
                </w:tcPr>
                <w:p w14:paraId="1308944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063B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3B370D1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《四川省打赢蓝天保卫战实施方案》相关要求</w:t>
                  </w:r>
                </w:p>
              </w:tc>
              <w:tc>
                <w:tcPr>
                  <w:tcW w:w="3592" w:type="dxa"/>
                  <w:vAlign w:val="center"/>
                </w:tcPr>
                <w:p w14:paraId="26E7DD92">
                  <w:pPr>
                    <w:spacing w:line="240" w:lineRule="auto"/>
                    <w:jc w:val="center"/>
                    <w:rPr>
                      <w:rFonts w:hint="default" w:ascii="Times New Roman" w:hAnsi="Times New Roman" w:cs="Times New Roman"/>
                      <w:color w:val="auto"/>
                      <w:szCs w:val="21"/>
                    </w:rPr>
                  </w:pPr>
                </w:p>
                <w:p w14:paraId="2AA9B00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易产生扬尘的物料堆场采用封闭式库仓，不具备封闭式库仓改造的，应设置不低于料堆高度的严密围挡，并采取覆盖措施有效制扬尘污染；</w:t>
                  </w:r>
                </w:p>
              </w:tc>
              <w:tc>
                <w:tcPr>
                  <w:tcW w:w="3563" w:type="dxa"/>
                  <w:vAlign w:val="center"/>
                </w:tcPr>
                <w:p w14:paraId="091EBB48">
                  <w:pPr>
                    <w:spacing w:line="240" w:lineRule="auto"/>
                    <w:jc w:val="center"/>
                    <w:rPr>
                      <w:rFonts w:hint="default" w:ascii="Times New Roman" w:hAnsi="Times New Roman" w:cs="Times New Roman"/>
                      <w:color w:val="auto"/>
                      <w:szCs w:val="21"/>
                      <w:lang w:val="en-US" w:eastAsia="zh-CN"/>
                    </w:rPr>
                  </w:pPr>
                  <w:r>
                    <w:rPr>
                      <w:rFonts w:hint="eastAsia" w:cs="Times New Roman"/>
                      <w:b/>
                      <w:bCs/>
                      <w:color w:val="auto"/>
                      <w:szCs w:val="21"/>
                      <w:lang w:val="en-US" w:eastAsia="zh-CN"/>
                    </w:rPr>
                    <w:t>本项目</w:t>
                  </w:r>
                  <w:r>
                    <w:rPr>
                      <w:rFonts w:hint="default" w:ascii="Times New Roman" w:hAnsi="Times New Roman" w:cs="Times New Roman"/>
                      <w:b/>
                      <w:bCs/>
                      <w:color w:val="auto"/>
                      <w:szCs w:val="21"/>
                    </w:rPr>
                    <w:t>设置封闭式的</w:t>
                  </w:r>
                  <w:r>
                    <w:rPr>
                      <w:rFonts w:hint="default" w:ascii="Times New Roman" w:hAnsi="Times New Roman" w:cs="Times New Roman"/>
                      <w:b/>
                      <w:bCs/>
                      <w:color w:val="auto"/>
                      <w:szCs w:val="21"/>
                      <w:lang w:val="en-US" w:eastAsia="zh-CN"/>
                    </w:rPr>
                    <w:t>原料</w:t>
                  </w:r>
                  <w:r>
                    <w:rPr>
                      <w:rFonts w:hint="default" w:ascii="Times New Roman" w:hAnsi="Times New Roman" w:cs="Times New Roman"/>
                      <w:b/>
                      <w:bCs/>
                      <w:color w:val="auto"/>
                      <w:szCs w:val="21"/>
                    </w:rPr>
                    <w:t>堆场</w:t>
                  </w:r>
                  <w:r>
                    <w:rPr>
                      <w:rFonts w:hint="eastAsia" w:ascii="Times New Roman" w:hAnsi="Times New Roman" w:cs="Times New Roman"/>
                      <w:b/>
                      <w:bCs/>
                      <w:color w:val="auto"/>
                      <w:szCs w:val="21"/>
                      <w:lang w:eastAsia="zh-CN"/>
                    </w:rPr>
                    <w:t>，</w:t>
                  </w:r>
                  <w:r>
                    <w:rPr>
                      <w:rFonts w:hint="default" w:ascii="Times New Roman" w:hAnsi="Times New Roman" w:cs="Times New Roman"/>
                      <w:color w:val="auto"/>
                      <w:szCs w:val="21"/>
                      <w:lang w:val="en-US" w:eastAsia="zh-CN"/>
                    </w:rPr>
                    <w:t>并设置喷淋降尘装置</w:t>
                  </w:r>
                  <w:r>
                    <w:rPr>
                      <w:rFonts w:hint="default" w:ascii="Times New Roman" w:hAnsi="Times New Roman" w:cs="Times New Roman"/>
                      <w:color w:val="auto"/>
                      <w:szCs w:val="21"/>
                    </w:rPr>
                    <w:t>，防治产生扬尘。</w:t>
                  </w:r>
                </w:p>
              </w:tc>
              <w:tc>
                <w:tcPr>
                  <w:tcW w:w="925" w:type="dxa"/>
                  <w:vAlign w:val="center"/>
                </w:tcPr>
                <w:p w14:paraId="07B2008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50B9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5ED4E614">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79C078B9">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堆场内进行搅拌、粉碎、筛分等作业时应喷水抑尘，重污染天气时禁止进行产生扬尘的作业。</w:t>
                  </w:r>
                </w:p>
              </w:tc>
              <w:tc>
                <w:tcPr>
                  <w:tcW w:w="3563" w:type="dxa"/>
                  <w:vAlign w:val="center"/>
                </w:tcPr>
                <w:p w14:paraId="52508397">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w:t>
                  </w:r>
                  <w:r>
                    <w:rPr>
                      <w:rFonts w:hint="eastAsia" w:cs="Times New Roman"/>
                      <w:color w:val="auto"/>
                      <w:szCs w:val="21"/>
                      <w:lang w:val="en-US" w:eastAsia="zh-CN"/>
                    </w:rPr>
                    <w:t>搅拌工序</w:t>
                  </w:r>
                  <w:r>
                    <w:rPr>
                      <w:rFonts w:hint="default" w:ascii="Times New Roman" w:hAnsi="Times New Roman" w:cs="Times New Roman"/>
                      <w:color w:val="auto"/>
                      <w:szCs w:val="21"/>
                    </w:rPr>
                    <w:t>在密闭生产车间内进行，生产车间屋顶设置喷淋装置，要求在重污染天气停止产生扬尘作业</w:t>
                  </w:r>
                </w:p>
              </w:tc>
              <w:tc>
                <w:tcPr>
                  <w:tcW w:w="925" w:type="dxa"/>
                  <w:vAlign w:val="center"/>
                </w:tcPr>
                <w:p w14:paraId="719F1721">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62C2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4CD8F580">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20A2697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物料装卸配备喷淋等尘设施，转运物料尽量采取封闭式皮带输送。</w:t>
                  </w:r>
                </w:p>
              </w:tc>
              <w:tc>
                <w:tcPr>
                  <w:tcW w:w="3563" w:type="dxa"/>
                  <w:vAlign w:val="center"/>
                </w:tcPr>
                <w:p w14:paraId="124A0BF8">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项目厂界设置</w:t>
                  </w:r>
                  <w:r>
                    <w:rPr>
                      <w:rFonts w:hint="default" w:ascii="Times New Roman" w:hAnsi="Times New Roman" w:cs="Times New Roman"/>
                      <w:color w:val="auto"/>
                      <w:szCs w:val="21"/>
                      <w:lang w:val="en-US" w:eastAsia="zh-CN"/>
                    </w:rPr>
                    <w:t>围墙</w:t>
                  </w:r>
                  <w:r>
                    <w:rPr>
                      <w:rFonts w:hint="default" w:ascii="Times New Roman" w:hAnsi="Times New Roman" w:cs="Times New Roman"/>
                      <w:color w:val="auto"/>
                      <w:szCs w:val="21"/>
                    </w:rPr>
                    <w:t>、装卸作业过程采用喷雾除尘、洒水降尘等措施，项目物料</w:t>
                  </w:r>
                  <w:r>
                    <w:rPr>
                      <w:rFonts w:hint="eastAsia" w:cs="Times New Roman"/>
                      <w:color w:val="auto"/>
                      <w:szCs w:val="21"/>
                      <w:lang w:val="en-US" w:eastAsia="zh-CN"/>
                    </w:rPr>
                    <w:t>输送、运转均设置在密闭车间内</w:t>
                  </w:r>
                  <w:r>
                    <w:rPr>
                      <w:rFonts w:hint="default" w:ascii="Times New Roman" w:hAnsi="Times New Roman" w:cs="Times New Roman"/>
                      <w:color w:val="auto"/>
                      <w:szCs w:val="21"/>
                    </w:rPr>
                    <w:t>，且车间上方安装喷雾</w:t>
                  </w:r>
                  <w:r>
                    <w:rPr>
                      <w:rFonts w:hint="eastAsia" w:cs="Times New Roman"/>
                      <w:color w:val="auto"/>
                      <w:szCs w:val="21"/>
                      <w:lang w:val="en-US" w:eastAsia="zh-CN"/>
                    </w:rPr>
                    <w:t>和</w:t>
                  </w:r>
                  <w:r>
                    <w:rPr>
                      <w:rFonts w:hint="default" w:ascii="Times New Roman" w:hAnsi="Times New Roman" w:cs="Times New Roman"/>
                      <w:color w:val="auto"/>
                      <w:szCs w:val="21"/>
                    </w:rPr>
                    <w:t>除尘装置</w:t>
                  </w:r>
                </w:p>
              </w:tc>
              <w:tc>
                <w:tcPr>
                  <w:tcW w:w="925" w:type="dxa"/>
                  <w:vAlign w:val="center"/>
                </w:tcPr>
                <w:p w14:paraId="02B627A7">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7D2B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2CD12123">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73807F7C">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厂区主要运输通道实施硬化并定期冲洗或湿式清扫，堆场进出口设置车辆冲洗设运输车辆实施密闭或全覆盖，及时收集清理堆场外道路上撒落物料。</w:t>
                  </w:r>
                </w:p>
              </w:tc>
              <w:tc>
                <w:tcPr>
                  <w:tcW w:w="3563" w:type="dxa"/>
                  <w:vAlign w:val="center"/>
                </w:tcPr>
                <w:p w14:paraId="237FEE01">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厂区</w:t>
                  </w:r>
                  <w:r>
                    <w:rPr>
                      <w:rFonts w:hint="default" w:ascii="Times New Roman" w:hAnsi="Times New Roman" w:cs="Times New Roman"/>
                      <w:color w:val="auto"/>
                      <w:szCs w:val="21"/>
                    </w:rPr>
                    <w:t>道路地面进行硬化；设置</w:t>
                  </w:r>
                  <w:r>
                    <w:rPr>
                      <w:rFonts w:hint="eastAsia" w:cs="Times New Roman"/>
                      <w:color w:val="auto"/>
                      <w:szCs w:val="21"/>
                      <w:lang w:val="en-US" w:eastAsia="zh-CN"/>
                    </w:rPr>
                    <w:t>喷淋装置</w:t>
                  </w:r>
                  <w:r>
                    <w:rPr>
                      <w:rFonts w:hint="default" w:ascii="Times New Roman" w:hAnsi="Times New Roman" w:cs="Times New Roman"/>
                      <w:color w:val="auto"/>
                      <w:szCs w:val="21"/>
                    </w:rPr>
                    <w:t>，定时对汽车和行使路面进行喷雾降尘；</w:t>
                  </w:r>
                  <w:r>
                    <w:rPr>
                      <w:rFonts w:hint="default" w:ascii="Times New Roman" w:hAnsi="Times New Roman" w:cs="Times New Roman"/>
                      <w:b/>
                      <w:bCs/>
                      <w:color w:val="auto"/>
                      <w:szCs w:val="21"/>
                      <w:lang w:val="en-US" w:eastAsia="zh-CN"/>
                    </w:rPr>
                    <w:t>在</w:t>
                  </w:r>
                  <w:r>
                    <w:rPr>
                      <w:rFonts w:hint="default" w:ascii="Times New Roman" w:hAnsi="Times New Roman" w:cs="Times New Roman"/>
                      <w:b/>
                      <w:bCs/>
                      <w:color w:val="auto"/>
                      <w:szCs w:val="21"/>
                    </w:rPr>
                    <w:t>厂区大门出入口设置</w:t>
                  </w:r>
                  <w:r>
                    <w:rPr>
                      <w:rFonts w:hint="eastAsia" w:cs="Times New Roman"/>
                      <w:b/>
                      <w:bCs/>
                      <w:color w:val="auto"/>
                      <w:szCs w:val="21"/>
                      <w:lang w:val="en-US" w:eastAsia="zh-CN"/>
                    </w:rPr>
                    <w:t>洗车平台</w:t>
                  </w:r>
                  <w:r>
                    <w:rPr>
                      <w:rFonts w:hint="default" w:ascii="Times New Roman" w:hAnsi="Times New Roman" w:cs="Times New Roman"/>
                      <w:b/>
                      <w:bCs/>
                      <w:color w:val="auto"/>
                      <w:szCs w:val="21"/>
                    </w:rPr>
                    <w:t>，</w:t>
                  </w:r>
                  <w:r>
                    <w:rPr>
                      <w:rFonts w:hint="default" w:ascii="Times New Roman" w:hAnsi="Times New Roman" w:cs="Times New Roman"/>
                      <w:color w:val="auto"/>
                      <w:szCs w:val="21"/>
                    </w:rPr>
                    <w:t>清洗车轮泥土；车辆原辅材料、成品运输过程，车辆加盖防尘帆布，不得超重、超载</w:t>
                  </w:r>
                </w:p>
              </w:tc>
              <w:tc>
                <w:tcPr>
                  <w:tcW w:w="925" w:type="dxa"/>
                  <w:vAlign w:val="center"/>
                </w:tcPr>
                <w:p w14:paraId="4C65DEEB">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bl>
          <w:p w14:paraId="5134D24A">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2" w:firstLineChars="200"/>
              <w:jc w:val="left"/>
              <w:rPr>
                <w:rFonts w:hint="default" w:ascii="Times New Roman" w:hAnsi="Times New Roman" w:cs="Times New Roman"/>
                <w:b/>
                <w:bCs/>
                <w:color w:val="auto"/>
                <w:kern w:val="2"/>
                <w:sz w:val="24"/>
                <w:szCs w:val="24"/>
                <w:lang w:val="en-US" w:eastAsia="zh-CN" w:bidi="ar"/>
              </w:rPr>
            </w:pPr>
            <w:r>
              <w:rPr>
                <w:rFonts w:hint="eastAsia" w:ascii="Times New Roman" w:hAnsi="Times New Roman" w:cs="Times New Roman"/>
                <w:b/>
                <w:bCs/>
                <w:color w:val="auto"/>
                <w:kern w:val="2"/>
                <w:sz w:val="24"/>
                <w:szCs w:val="24"/>
                <w:lang w:val="en-US" w:eastAsia="zh-CN" w:bidi="ar"/>
              </w:rPr>
              <w:t>3、</w:t>
            </w:r>
            <w:r>
              <w:rPr>
                <w:rFonts w:hint="default" w:ascii="Times New Roman" w:hAnsi="Times New Roman" w:cs="Times New Roman"/>
                <w:b/>
                <w:bCs/>
                <w:color w:val="auto"/>
                <w:kern w:val="2"/>
                <w:sz w:val="24"/>
                <w:szCs w:val="24"/>
                <w:lang w:val="en-US" w:eastAsia="zh-CN" w:bidi="ar"/>
              </w:rPr>
              <w:t>与《水污染防治行动计划》的符合性分析</w:t>
            </w:r>
          </w:p>
          <w:p w14:paraId="777A0B8C">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0" w:firstLineChars="200"/>
              <w:jc w:val="left"/>
              <w:rPr>
                <w:rFonts w:hint="default" w:ascii="Times New Roman" w:hAnsi="Times New Roman" w:cs="Times New Roman"/>
                <w:b w:val="0"/>
                <w:bCs w:val="0"/>
                <w:color w:val="auto"/>
                <w:kern w:val="2"/>
                <w:sz w:val="24"/>
                <w:szCs w:val="24"/>
                <w:lang w:val="en-US" w:eastAsia="zh-CN" w:bidi="ar"/>
              </w:rPr>
            </w:pPr>
            <w:r>
              <w:rPr>
                <w:rFonts w:hint="default" w:ascii="Times New Roman" w:hAnsi="Times New Roman" w:cs="Times New Roman"/>
                <w:b w:val="0"/>
                <w:bCs w:val="0"/>
                <w:color w:val="auto"/>
                <w:kern w:val="2"/>
                <w:sz w:val="24"/>
                <w:szCs w:val="24"/>
                <w:lang w:val="en-US" w:eastAsia="zh-CN" w:bidi="ar"/>
              </w:rPr>
              <w:t xml:space="preserve">根据《水污染防治行动计划》（国发[2015]17 号）：“加快农村环境综合整治。以县级行政区域为单元，实行农村污水处理统一规划、统一建设、统一管理，有条件的地区积极推进城镇污水处理设施和服务向农村延伸。深化“以奖促治”政策，实施农村清洁工程，开展河道清淤疏浚，推进农村环境连片整治。到2020年，新增完成环境综合整治的建制村13万个。” </w:t>
            </w:r>
          </w:p>
          <w:p w14:paraId="0121CC24">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0" w:firstLineChars="200"/>
              <w:jc w:val="left"/>
              <w:rPr>
                <w:rFonts w:hint="default" w:ascii="Times New Roman" w:hAnsi="Times New Roman" w:cs="Times New Roman"/>
                <w:b w:val="0"/>
                <w:bCs w:val="0"/>
                <w:color w:val="C00000"/>
                <w:kern w:val="2"/>
                <w:sz w:val="24"/>
                <w:szCs w:val="24"/>
                <w:lang w:val="en-US" w:eastAsia="zh-CN" w:bidi="ar"/>
              </w:rPr>
            </w:pPr>
            <w:r>
              <w:rPr>
                <w:rFonts w:hint="default" w:ascii="Times New Roman" w:hAnsi="Times New Roman" w:cs="Times New Roman"/>
                <w:b w:val="0"/>
                <w:bCs w:val="0"/>
                <w:color w:val="auto"/>
                <w:kern w:val="2"/>
                <w:sz w:val="24"/>
                <w:szCs w:val="24"/>
                <w:lang w:val="en-US" w:eastAsia="zh-CN" w:bidi="ar"/>
              </w:rPr>
              <w:t>本项目</w:t>
            </w:r>
            <w:r>
              <w:rPr>
                <w:rFonts w:hint="eastAsia" w:ascii="Times New Roman" w:hAnsi="Times New Roman" w:cs="Times New Roman"/>
                <w:b w:val="0"/>
                <w:bCs w:val="0"/>
                <w:color w:val="auto"/>
                <w:kern w:val="2"/>
                <w:sz w:val="24"/>
                <w:szCs w:val="24"/>
                <w:lang w:val="en-US" w:eastAsia="zh-CN" w:bidi="ar"/>
              </w:rPr>
              <w:t xml:space="preserve">遂宁市四川省遂宁市蓬溪县蓬南镇长石村3社 </w:t>
            </w:r>
            <w:r>
              <w:rPr>
                <w:rFonts w:hint="default" w:ascii="Times New Roman" w:hAnsi="Times New Roman" w:cs="Times New Roman"/>
                <w:b w:val="0"/>
                <w:bCs w:val="0"/>
                <w:color w:val="auto"/>
                <w:kern w:val="2"/>
                <w:sz w:val="24"/>
                <w:szCs w:val="24"/>
                <w:lang w:val="en-US" w:eastAsia="zh-CN" w:bidi="ar"/>
              </w:rPr>
              <w:t>，</w:t>
            </w:r>
            <w:r>
              <w:rPr>
                <w:rFonts w:hint="eastAsia" w:ascii="Times New Roman" w:hAnsi="Times New Roman" w:cs="Times New Roman"/>
                <w:b w:val="0"/>
                <w:bCs w:val="0"/>
                <w:color w:val="auto"/>
                <w:kern w:val="2"/>
                <w:sz w:val="24"/>
                <w:szCs w:val="24"/>
                <w:lang w:val="en-US" w:eastAsia="zh-CN" w:bidi="ar"/>
              </w:rPr>
              <w:t>选址位于农村区域，同时本项目设置化粪池和沉淀池以处理项目生产废水和生活污水，生产废水经沉淀处理后循环使用不外排，生活污水处理后由周边农户清捞用于农肥，不向外环境排放污水，故项目的建设不会影响区域农村地表水环境</w:t>
            </w:r>
            <w:r>
              <w:rPr>
                <w:rFonts w:hint="default" w:ascii="Times New Roman" w:hAnsi="Times New Roman" w:cs="Times New Roman"/>
                <w:b w:val="0"/>
                <w:bCs w:val="0"/>
                <w:color w:val="auto"/>
                <w:kern w:val="2"/>
                <w:sz w:val="24"/>
                <w:szCs w:val="24"/>
                <w:lang w:val="en-US" w:eastAsia="zh-CN" w:bidi="ar"/>
              </w:rPr>
              <w:t xml:space="preserve">。因此，本项目与《水污染防治行动计划》相符。 </w:t>
            </w:r>
          </w:p>
          <w:p w14:paraId="20B905A7">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2" w:firstLineChars="200"/>
              <w:jc w:val="left"/>
              <w:rPr>
                <w:rFonts w:hint="default" w:ascii="Times New Roman" w:hAnsi="Times New Roman" w:cs="Times New Roman"/>
                <w:b/>
                <w:bCs/>
                <w:color w:val="auto"/>
                <w:kern w:val="2"/>
                <w:sz w:val="24"/>
                <w:szCs w:val="24"/>
                <w:lang w:val="en-US" w:eastAsia="zh-CN" w:bidi="ar"/>
              </w:rPr>
            </w:pPr>
            <w:r>
              <w:rPr>
                <w:rFonts w:hint="eastAsia" w:ascii="Times New Roman" w:hAnsi="Times New Roman" w:cs="Times New Roman"/>
                <w:b/>
                <w:bCs/>
                <w:color w:val="auto"/>
                <w:kern w:val="2"/>
                <w:sz w:val="24"/>
                <w:szCs w:val="24"/>
                <w:lang w:val="en-US" w:eastAsia="zh-CN" w:bidi="ar"/>
              </w:rPr>
              <w:t>4、</w:t>
            </w:r>
            <w:r>
              <w:rPr>
                <w:rFonts w:hint="default" w:ascii="Times New Roman" w:hAnsi="Times New Roman" w:cs="Times New Roman"/>
                <w:b/>
                <w:bCs/>
                <w:color w:val="auto"/>
                <w:kern w:val="2"/>
                <w:sz w:val="24"/>
                <w:szCs w:val="24"/>
                <w:lang w:val="en-US" w:eastAsia="zh-CN" w:bidi="ar"/>
              </w:rPr>
              <w:t>与《重点流域水污染防治规划（2016-2020）》的符合性分析</w:t>
            </w:r>
          </w:p>
          <w:p w14:paraId="7614B5E5">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0" w:firstLineChars="200"/>
              <w:jc w:val="left"/>
              <w:rPr>
                <w:rFonts w:hint="default" w:ascii="Times New Roman" w:hAnsi="Times New Roman" w:cs="Times New Roman"/>
                <w:b w:val="0"/>
                <w:bCs w:val="0"/>
                <w:color w:val="auto"/>
                <w:kern w:val="2"/>
                <w:sz w:val="24"/>
                <w:szCs w:val="24"/>
                <w:lang w:val="en-US" w:eastAsia="zh-CN" w:bidi="ar"/>
              </w:rPr>
            </w:pPr>
            <w:r>
              <w:rPr>
                <w:rFonts w:hint="default" w:ascii="Times New Roman" w:hAnsi="Times New Roman" w:cs="Times New Roman"/>
                <w:b w:val="0"/>
                <w:bCs w:val="0"/>
                <w:color w:val="auto"/>
                <w:kern w:val="2"/>
                <w:sz w:val="24"/>
                <w:szCs w:val="24"/>
                <w:lang w:val="en-US" w:eastAsia="zh-CN" w:bidi="ar"/>
              </w:rPr>
              <w:t xml:space="preserve">根据《重点流域水污染防治规划（2016-2020）》（环水体[2017]142 号）第二章“水环境质量改善总体要求”相关要求：“到2020年，全国地表水环境质量得到阶段性改善，水质优良水体有所增加，污染严重水体较大幅度减少，饮用水安全保障水平持续提升。长江流域总体水质由轻度污染改善到良好，其他流域总体水质在现状基础上进一步改善。”同时，根据第三章“规划重点任务”相关要求：“加强工业污染防治——严格环境准入。根据控制单元水质目标和主体功能区规划要求，细化功能分区，实施差别化环境准入政策。全面取缔“十小”企业。全面排查装备水平低、环保设施差的小型工业企业。” </w:t>
            </w:r>
          </w:p>
          <w:p w14:paraId="04973BE8">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0" w:firstLineChars="200"/>
              <w:jc w:val="left"/>
              <w:rPr>
                <w:rFonts w:hint="default" w:ascii="Times New Roman" w:hAnsi="Times New Roman" w:cs="Times New Roman"/>
                <w:b w:val="0"/>
                <w:bCs w:val="0"/>
                <w:color w:val="auto"/>
                <w:kern w:val="2"/>
                <w:sz w:val="24"/>
                <w:szCs w:val="24"/>
                <w:lang w:val="en-US" w:eastAsia="zh-CN" w:bidi="ar"/>
              </w:rPr>
            </w:pPr>
            <w:r>
              <w:rPr>
                <w:rFonts w:hint="default" w:ascii="Times New Roman" w:hAnsi="Times New Roman" w:cs="Times New Roman"/>
                <w:b w:val="0"/>
                <w:bCs w:val="0"/>
                <w:color w:val="auto"/>
                <w:kern w:val="2"/>
                <w:sz w:val="24"/>
                <w:szCs w:val="24"/>
                <w:lang w:val="en-US" w:eastAsia="zh-CN" w:bidi="ar"/>
              </w:rPr>
              <w:t>本项目为</w:t>
            </w:r>
            <w:r>
              <w:rPr>
                <w:rFonts w:hint="eastAsia" w:ascii="Times New Roman" w:hAnsi="Times New Roman" w:eastAsia="宋体" w:cs="Times New Roman"/>
                <w:color w:val="auto"/>
                <w:sz w:val="24"/>
                <w:szCs w:val="24"/>
                <w:shd w:val="clear" w:color="auto" w:fill="auto"/>
                <w:lang w:val="en-US" w:eastAsia="zh-CN"/>
              </w:rPr>
              <w:t>不锈钢制品和</w:t>
            </w:r>
            <w:r>
              <w:rPr>
                <w:rFonts w:hint="eastAsia" w:ascii="Times New Roman" w:hAnsi="Times New Roman" w:eastAsia="宋体" w:cs="Times New Roman"/>
                <w:color w:val="auto"/>
                <w:sz w:val="24"/>
                <w:szCs w:val="24"/>
                <w:shd w:val="clear" w:color="auto" w:fill="auto"/>
                <w:lang w:eastAsia="zh-CN"/>
              </w:rPr>
              <w:t>畜禽养殖专用水泥制品</w:t>
            </w:r>
            <w:r>
              <w:rPr>
                <w:rFonts w:hint="default" w:ascii="Times New Roman" w:hAnsi="Times New Roman" w:eastAsia="宋体" w:cs="Times New Roman"/>
                <w:color w:val="auto"/>
                <w:sz w:val="24"/>
                <w:szCs w:val="24"/>
                <w:shd w:val="clear" w:color="auto" w:fill="auto"/>
              </w:rPr>
              <w:t>等，属于</w:t>
            </w:r>
            <w:r>
              <w:rPr>
                <w:rFonts w:hint="eastAsia" w:ascii="Times New Roman" w:hAnsi="Times New Roman" w:eastAsia="宋体" w:cs="Times New Roman"/>
                <w:color w:val="auto"/>
                <w:sz w:val="24"/>
                <w:szCs w:val="24"/>
                <w:shd w:val="clear" w:color="auto" w:fill="auto"/>
                <w:lang w:val="en-US" w:eastAsia="zh-CN"/>
              </w:rPr>
              <w:t>砼结构构件制造</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C3022</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和金属结构制造</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C3311</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cs="Times New Roman"/>
                <w:b w:val="0"/>
                <w:bCs w:val="0"/>
                <w:color w:val="auto"/>
                <w:kern w:val="2"/>
                <w:sz w:val="24"/>
                <w:szCs w:val="24"/>
                <w:lang w:val="en-US" w:eastAsia="zh-CN" w:bidi="ar"/>
              </w:rPr>
              <w:t>，不属于装备水平低、环保设施差的小型工业企业，同时项目属于允许类项目，符合环境准入，项目建设同时配制由化粪池等系列水污染治理设施，废水经处理后均不向周边地表水体排放，不会对周边地表水体产生负面影响</w:t>
            </w:r>
            <w:r>
              <w:rPr>
                <w:rFonts w:hint="default" w:ascii="Times New Roman" w:hAnsi="Times New Roman" w:cs="Times New Roman"/>
                <w:b w:val="0"/>
                <w:bCs w:val="0"/>
                <w:color w:val="auto"/>
                <w:kern w:val="2"/>
                <w:sz w:val="24"/>
                <w:szCs w:val="24"/>
                <w:lang w:val="en-US" w:eastAsia="zh-CN" w:bidi="ar"/>
              </w:rPr>
              <w:t>。 因此，本项目与《重点流域水污染防治规划（2016-2020）》相符。</w:t>
            </w:r>
          </w:p>
          <w:p w14:paraId="320B2AAE">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2" w:firstLineChars="200"/>
              <w:jc w:val="left"/>
              <w:rPr>
                <w:rFonts w:hint="default" w:ascii="Times New Roman" w:hAnsi="Times New Roman" w:cs="Times New Roman"/>
                <w:b/>
                <w:bCs/>
                <w:color w:val="auto"/>
                <w:kern w:val="2"/>
                <w:sz w:val="24"/>
                <w:szCs w:val="24"/>
                <w:lang w:val="en-US" w:eastAsia="zh-CN" w:bidi="ar"/>
              </w:rPr>
            </w:pPr>
            <w:r>
              <w:rPr>
                <w:rFonts w:hint="eastAsia" w:ascii="Times New Roman" w:hAnsi="Times New Roman" w:cs="Times New Roman"/>
                <w:b/>
                <w:bCs/>
                <w:color w:val="auto"/>
                <w:kern w:val="2"/>
                <w:sz w:val="24"/>
                <w:szCs w:val="24"/>
                <w:lang w:val="en-US" w:eastAsia="zh-CN" w:bidi="ar"/>
              </w:rPr>
              <w:t>5、</w:t>
            </w:r>
            <w:r>
              <w:rPr>
                <w:rFonts w:hint="default" w:ascii="Times New Roman" w:hAnsi="Times New Roman" w:cs="Times New Roman"/>
                <w:b/>
                <w:bCs/>
                <w:color w:val="auto"/>
                <w:kern w:val="2"/>
                <w:sz w:val="24"/>
                <w:szCs w:val="24"/>
                <w:lang w:val="en-US" w:eastAsia="zh-CN" w:bidi="ar"/>
              </w:rPr>
              <w:t>与《土壤污染防治行动计划》的符合性分析</w:t>
            </w:r>
          </w:p>
          <w:p w14:paraId="60D19B24">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0" w:firstLineChars="200"/>
              <w:jc w:val="left"/>
              <w:rPr>
                <w:rFonts w:hint="default" w:ascii="Times New Roman" w:hAnsi="Times New Roman" w:cs="Times New Roman"/>
                <w:b w:val="0"/>
                <w:bCs w:val="0"/>
                <w:color w:val="auto"/>
                <w:kern w:val="2"/>
                <w:sz w:val="24"/>
                <w:szCs w:val="24"/>
                <w:lang w:val="en-US" w:eastAsia="zh-CN" w:bidi="ar"/>
              </w:rPr>
            </w:pPr>
            <w:r>
              <w:rPr>
                <w:rFonts w:hint="default" w:ascii="Times New Roman" w:hAnsi="Times New Roman" w:cs="Times New Roman"/>
                <w:b w:val="0"/>
                <w:bCs w:val="0"/>
                <w:color w:val="auto"/>
                <w:kern w:val="2"/>
                <w:sz w:val="24"/>
                <w:szCs w:val="24"/>
                <w:lang w:val="en-US" w:eastAsia="zh-CN" w:bidi="ar"/>
              </w:rPr>
              <w:t xml:space="preserve">根据《土壤污染防治行动计划》（国发[2016]31 号）：“防范建设用地新增污染。 ——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 施落实情况的监督管理工作。” </w:t>
            </w:r>
          </w:p>
          <w:p w14:paraId="5893B92B">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0" w:firstLineChars="200"/>
              <w:jc w:val="left"/>
              <w:rPr>
                <w:rFonts w:hint="default" w:ascii="Times New Roman" w:hAnsi="Times New Roman" w:cs="Times New Roman"/>
                <w:b w:val="0"/>
                <w:bCs w:val="0"/>
                <w:color w:val="auto"/>
                <w:kern w:val="2"/>
                <w:sz w:val="24"/>
                <w:szCs w:val="24"/>
                <w:lang w:val="en-US" w:eastAsia="zh-CN" w:bidi="ar"/>
              </w:rPr>
            </w:pPr>
            <w:r>
              <w:rPr>
                <w:rFonts w:hint="default" w:ascii="Times New Roman" w:hAnsi="Times New Roman" w:cs="Times New Roman"/>
                <w:b w:val="0"/>
                <w:bCs w:val="0"/>
                <w:color w:val="auto"/>
                <w:kern w:val="2"/>
                <w:sz w:val="24"/>
                <w:szCs w:val="24"/>
                <w:lang w:val="en-US" w:eastAsia="zh-CN" w:bidi="ar"/>
              </w:rPr>
              <w:t>本环评提出了严格的土壤、地下水污染防范措施，并要求企业严格执行“三同时” 制度。因此，本项目与《土壤污染防治行动计划》相符。</w:t>
            </w:r>
          </w:p>
          <w:p w14:paraId="1F01CA7E">
            <w:pPr>
              <w:pStyle w:val="18"/>
              <w:keepNext w:val="0"/>
              <w:keepLines w:val="0"/>
              <w:widowControl w:val="0"/>
              <w:suppressLineNumbers w:val="0"/>
              <w:autoSpaceDE w:val="0"/>
              <w:autoSpaceDN/>
              <w:spacing w:before="0" w:beforeLines="0" w:beforeAutospacing="0" w:after="0" w:afterLines="0" w:afterAutospacing="0" w:line="360" w:lineRule="auto"/>
              <w:ind w:right="0" w:rightChars="0" w:firstLine="482" w:firstLineChars="200"/>
              <w:jc w:val="left"/>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cs="Times New Roman"/>
                <w:b/>
                <w:bCs/>
                <w:color w:val="auto"/>
                <w:kern w:val="2"/>
                <w:sz w:val="24"/>
                <w:szCs w:val="24"/>
                <w:lang w:val="en-US" w:eastAsia="zh-CN" w:bidi="ar"/>
              </w:rPr>
              <w:t>6</w:t>
            </w:r>
            <w:r>
              <w:rPr>
                <w:rFonts w:hint="default" w:ascii="Times New Roman" w:hAnsi="Times New Roman" w:eastAsia="宋体" w:cs="Times New Roman"/>
                <w:b/>
                <w:bCs/>
                <w:color w:val="auto"/>
                <w:kern w:val="2"/>
                <w:sz w:val="24"/>
                <w:szCs w:val="24"/>
                <w:lang w:val="en-US" w:eastAsia="zh-CN" w:bidi="ar"/>
              </w:rPr>
              <w:t>、本项目三线一单情况分析：</w:t>
            </w:r>
          </w:p>
          <w:p w14:paraId="0B78E427">
            <w:pPr>
              <w:adjustRightInd w:val="0"/>
              <w:spacing w:line="360" w:lineRule="auto"/>
              <w:ind w:firstLine="470" w:firstLineChars="196"/>
              <w:textAlignment w:val="baseline"/>
              <w:rPr>
                <w:rFonts w:hint="eastAsia"/>
                <w:sz w:val="24"/>
                <w:szCs w:val="24"/>
              </w:rPr>
            </w:pPr>
            <w:r>
              <w:rPr>
                <w:rFonts w:hint="eastAsia"/>
                <w:sz w:val="24"/>
                <w:szCs w:val="24"/>
              </w:rPr>
              <w:t>（1）与生态保护红线符合性分析，根据《四川省人民政府关于印发四川省生态保护红线方案的通知》（川府发〔2018〕24号）中附件四川省生态保护红线分布图以及遂宁市生态保护红线图，本项目位于遂宁市</w:t>
            </w:r>
            <w:r>
              <w:rPr>
                <w:rFonts w:hint="eastAsia"/>
                <w:sz w:val="24"/>
                <w:szCs w:val="24"/>
                <w:lang w:val="en-US" w:eastAsia="zh-CN"/>
              </w:rPr>
              <w:t>经济技术开发区创新工业园</w:t>
            </w:r>
            <w:r>
              <w:rPr>
                <w:rFonts w:hint="eastAsia"/>
                <w:sz w:val="24"/>
                <w:szCs w:val="24"/>
              </w:rPr>
              <w:t>，不在生态红线范围内。</w:t>
            </w:r>
          </w:p>
          <w:p w14:paraId="2DA83996">
            <w:pPr>
              <w:adjustRightInd w:val="0"/>
              <w:spacing w:line="360" w:lineRule="auto"/>
              <w:ind w:firstLine="470" w:firstLineChars="196"/>
              <w:textAlignment w:val="baseline"/>
              <w:rPr>
                <w:rFonts w:hint="eastAsia"/>
                <w:sz w:val="24"/>
                <w:szCs w:val="24"/>
              </w:rPr>
            </w:pPr>
            <w:r>
              <w:rPr>
                <w:rFonts w:hint="eastAsia"/>
                <w:sz w:val="24"/>
                <w:szCs w:val="24"/>
              </w:rPr>
              <w:t>（2）与“环境质量底线”符合性分析，根据《201</w:t>
            </w:r>
            <w:r>
              <w:rPr>
                <w:rFonts w:hint="eastAsia"/>
                <w:sz w:val="24"/>
                <w:szCs w:val="24"/>
                <w:lang w:val="en-US" w:eastAsia="zh-CN"/>
              </w:rPr>
              <w:t>9</w:t>
            </w:r>
            <w:r>
              <w:rPr>
                <w:rFonts w:hint="eastAsia"/>
                <w:sz w:val="24"/>
                <w:szCs w:val="24"/>
              </w:rPr>
              <w:t xml:space="preserve"> 年</w:t>
            </w:r>
            <w:r>
              <w:rPr>
                <w:rFonts w:hint="eastAsia"/>
                <w:sz w:val="24"/>
                <w:szCs w:val="24"/>
                <w:lang w:val="en-US" w:eastAsia="zh-CN"/>
              </w:rPr>
              <w:t>遂宁市</w:t>
            </w:r>
            <w:r>
              <w:rPr>
                <w:rFonts w:hint="eastAsia"/>
                <w:sz w:val="24"/>
                <w:szCs w:val="24"/>
              </w:rPr>
              <w:t>环境质量信息公告》</w:t>
            </w:r>
            <w:r>
              <w:rPr>
                <w:rFonts w:hint="eastAsia"/>
                <w:sz w:val="24"/>
                <w:szCs w:val="24"/>
                <w:lang w:val="en-US" w:eastAsia="zh-CN"/>
              </w:rPr>
              <w:t>、四川甲乙环境检测有限公司</w:t>
            </w:r>
            <w:r>
              <w:rPr>
                <w:rFonts w:hint="eastAsia"/>
                <w:sz w:val="24"/>
                <w:szCs w:val="24"/>
              </w:rPr>
              <w:t>20</w:t>
            </w:r>
            <w:r>
              <w:rPr>
                <w:rFonts w:hint="eastAsia"/>
                <w:sz w:val="24"/>
                <w:szCs w:val="24"/>
                <w:lang w:val="en-US" w:eastAsia="zh-CN"/>
              </w:rPr>
              <w:t>21</w:t>
            </w:r>
            <w:r>
              <w:rPr>
                <w:rFonts w:hint="eastAsia"/>
                <w:sz w:val="24"/>
                <w:szCs w:val="24"/>
              </w:rPr>
              <w:t>年</w:t>
            </w:r>
            <w:r>
              <w:rPr>
                <w:rFonts w:hint="eastAsia"/>
                <w:sz w:val="24"/>
                <w:szCs w:val="24"/>
                <w:lang w:val="en-US" w:eastAsia="zh-CN"/>
              </w:rPr>
              <w:t>1</w:t>
            </w:r>
            <w:r>
              <w:rPr>
                <w:rFonts w:hint="eastAsia"/>
                <w:sz w:val="24"/>
                <w:szCs w:val="24"/>
              </w:rPr>
              <w:t>月</w:t>
            </w:r>
            <w:r>
              <w:rPr>
                <w:rFonts w:hint="eastAsia"/>
                <w:sz w:val="24"/>
                <w:szCs w:val="24"/>
                <w:lang w:val="en-US" w:eastAsia="zh-CN"/>
              </w:rPr>
              <w:t>6</w:t>
            </w:r>
            <w:r>
              <w:rPr>
                <w:rFonts w:hint="eastAsia"/>
                <w:sz w:val="24"/>
                <w:szCs w:val="24"/>
              </w:rPr>
              <w:t>日~</w:t>
            </w:r>
            <w:r>
              <w:rPr>
                <w:rFonts w:hint="eastAsia"/>
                <w:sz w:val="24"/>
                <w:szCs w:val="24"/>
                <w:lang w:val="en-US" w:eastAsia="zh-CN"/>
              </w:rPr>
              <w:t>1</w:t>
            </w:r>
            <w:r>
              <w:rPr>
                <w:rFonts w:hint="eastAsia"/>
                <w:sz w:val="24"/>
                <w:szCs w:val="24"/>
              </w:rPr>
              <w:t>月</w:t>
            </w:r>
            <w:r>
              <w:rPr>
                <w:rFonts w:hint="eastAsia"/>
                <w:sz w:val="24"/>
                <w:szCs w:val="24"/>
                <w:lang w:val="en-US" w:eastAsia="zh-CN"/>
              </w:rPr>
              <w:t>12</w:t>
            </w:r>
            <w:r>
              <w:rPr>
                <w:rFonts w:hint="eastAsia"/>
                <w:sz w:val="24"/>
                <w:szCs w:val="24"/>
              </w:rPr>
              <w:t>日对</w:t>
            </w:r>
            <w:r>
              <w:rPr>
                <w:rFonts w:hint="eastAsia"/>
                <w:sz w:val="24"/>
                <w:szCs w:val="24"/>
                <w:lang w:val="en-US" w:eastAsia="zh-CN"/>
              </w:rPr>
              <w:t>本项目</w:t>
            </w:r>
            <w:r>
              <w:rPr>
                <w:rFonts w:hint="eastAsia"/>
                <w:sz w:val="24"/>
                <w:szCs w:val="24"/>
              </w:rPr>
              <w:t>的监测报告</w:t>
            </w:r>
            <w:r>
              <w:rPr>
                <w:rFonts w:hint="eastAsia"/>
                <w:sz w:val="24"/>
                <w:szCs w:val="24"/>
                <w:lang w:eastAsia="zh-CN"/>
              </w:rPr>
              <w:t>（</w:t>
            </w:r>
            <w:r>
              <w:rPr>
                <w:rFonts w:hint="eastAsia"/>
                <w:sz w:val="24"/>
                <w:szCs w:val="24"/>
              </w:rPr>
              <w:t>甲乙检字（</w:t>
            </w:r>
            <w:r>
              <w:rPr>
                <w:rFonts w:hint="eastAsia"/>
                <w:sz w:val="24"/>
                <w:szCs w:val="24"/>
                <w:lang w:eastAsia="zh-CN"/>
              </w:rPr>
              <w:t>202</w:t>
            </w:r>
            <w:r>
              <w:rPr>
                <w:rFonts w:hint="eastAsia"/>
                <w:sz w:val="24"/>
                <w:szCs w:val="24"/>
                <w:lang w:val="en-US" w:eastAsia="zh-CN"/>
              </w:rPr>
              <w:t>1</w:t>
            </w:r>
            <w:r>
              <w:rPr>
                <w:rFonts w:hint="eastAsia"/>
                <w:sz w:val="24"/>
                <w:szCs w:val="24"/>
              </w:rPr>
              <w:t>）第</w:t>
            </w:r>
            <w:r>
              <w:rPr>
                <w:rFonts w:hint="eastAsia"/>
                <w:sz w:val="24"/>
                <w:szCs w:val="24"/>
                <w:lang w:val="en-US" w:eastAsia="zh-CN"/>
              </w:rPr>
              <w:t>01017</w:t>
            </w:r>
            <w:r>
              <w:rPr>
                <w:rFonts w:hint="eastAsia"/>
                <w:sz w:val="24"/>
                <w:szCs w:val="24"/>
              </w:rPr>
              <w:t>W号</w:t>
            </w:r>
            <w:r>
              <w:rPr>
                <w:rFonts w:hint="eastAsia"/>
                <w:sz w:val="24"/>
                <w:szCs w:val="24"/>
                <w:lang w:eastAsia="zh-CN"/>
              </w:rPr>
              <w:t>）</w:t>
            </w:r>
            <w:r>
              <w:rPr>
                <w:rFonts w:hint="eastAsia"/>
                <w:sz w:val="24"/>
                <w:szCs w:val="24"/>
              </w:rPr>
              <w:t>，表明项目区环境质量较好，不存在环境质量恶化的情况。</w:t>
            </w:r>
          </w:p>
          <w:p w14:paraId="7AB19D29">
            <w:pPr>
              <w:adjustRightInd w:val="0"/>
              <w:spacing w:line="360" w:lineRule="auto"/>
              <w:ind w:firstLine="470" w:firstLineChars="196"/>
              <w:textAlignment w:val="baseline"/>
              <w:rPr>
                <w:rFonts w:hint="eastAsia"/>
                <w:sz w:val="24"/>
                <w:szCs w:val="24"/>
              </w:rPr>
            </w:pPr>
            <w:r>
              <w:rPr>
                <w:rFonts w:hint="eastAsia"/>
                <w:sz w:val="24"/>
                <w:szCs w:val="24"/>
              </w:rPr>
              <w:t>（3）与“资源利用上线”符合性分析，本项目</w:t>
            </w:r>
            <w:r>
              <w:rPr>
                <w:rFonts w:hint="eastAsia"/>
                <w:sz w:val="24"/>
                <w:szCs w:val="24"/>
                <w:lang w:val="en-US" w:eastAsia="zh-CN"/>
              </w:rPr>
              <w:t>进行栓结构制品和金属制品生产，属于非金属矿物制品和金属制品制造业</w:t>
            </w:r>
            <w:r>
              <w:rPr>
                <w:rFonts w:hint="eastAsia"/>
                <w:sz w:val="24"/>
                <w:szCs w:val="24"/>
              </w:rPr>
              <w:t>，所用土地为工业用地。施工期涉及的水、电、原材料等材料均取自当地，不存在项目区资源过度使用的情况。</w:t>
            </w:r>
          </w:p>
          <w:p w14:paraId="2BB55438">
            <w:pPr>
              <w:adjustRightInd w:val="0"/>
              <w:spacing w:line="360" w:lineRule="auto"/>
              <w:ind w:firstLine="470" w:firstLineChars="196"/>
              <w:textAlignment w:val="baseline"/>
              <w:rPr>
                <w:rFonts w:hint="eastAsia"/>
                <w:sz w:val="24"/>
                <w:szCs w:val="24"/>
              </w:rPr>
            </w:pPr>
            <w:r>
              <w:rPr>
                <w:rFonts w:hint="eastAsia"/>
                <w:sz w:val="24"/>
                <w:szCs w:val="24"/>
              </w:rPr>
              <w:t>（4）环境准入负面清单</w:t>
            </w:r>
          </w:p>
          <w:p w14:paraId="7AFE03DD">
            <w:pPr>
              <w:adjustRightInd w:val="0"/>
              <w:spacing w:line="360" w:lineRule="auto"/>
              <w:ind w:firstLine="470" w:firstLineChars="196"/>
              <w:textAlignment w:val="baseline"/>
              <w:rPr>
                <w:rFonts w:hint="eastAsia"/>
                <w:sz w:val="24"/>
                <w:szCs w:val="24"/>
              </w:rPr>
            </w:pPr>
            <w:r>
              <w:rPr>
                <w:rFonts w:hint="eastAsia"/>
                <w:sz w:val="24"/>
                <w:szCs w:val="24"/>
              </w:rPr>
              <w:t>本项目与环境准入负面清单相关文件相符性分析内容见表1-</w:t>
            </w:r>
            <w:r>
              <w:rPr>
                <w:rFonts w:hint="eastAsia"/>
                <w:sz w:val="24"/>
                <w:szCs w:val="24"/>
                <w:lang w:val="en-US" w:eastAsia="zh-CN"/>
              </w:rPr>
              <w:t>9</w:t>
            </w:r>
            <w:r>
              <w:rPr>
                <w:rFonts w:hint="eastAsia"/>
                <w:sz w:val="24"/>
                <w:szCs w:val="24"/>
              </w:rPr>
              <w:t>。</w:t>
            </w:r>
          </w:p>
          <w:p w14:paraId="78940D21">
            <w:pPr>
              <w:pStyle w:val="67"/>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表1-</w:t>
            </w:r>
            <w:r>
              <w:rPr>
                <w:rFonts w:hint="eastAsia" w:cs="Times New Roman"/>
                <w:lang w:val="en-US" w:eastAsia="zh-CN"/>
              </w:rPr>
              <w:t>9</w:t>
            </w:r>
            <w:r>
              <w:rPr>
                <w:rFonts w:hint="eastAsia" w:ascii="Times New Roman" w:hAnsi="Times New Roman" w:cs="Times New Roman"/>
                <w:lang w:val="en-US" w:eastAsia="zh-CN"/>
              </w:rPr>
              <w:t xml:space="preserve">   环境准入负面清单分析对照表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3771"/>
              <w:gridCol w:w="5354"/>
            </w:tblGrid>
            <w:tr w14:paraId="7E4E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25" w:type="pct"/>
                  <w:noWrap w:val="0"/>
                  <w:vAlign w:val="center"/>
                </w:tcPr>
                <w:p w14:paraId="00613F99">
                  <w:pPr>
                    <w:adjustRightInd w:val="0"/>
                    <w:snapToGrid w:val="0"/>
                    <w:jc w:val="center"/>
                    <w:rPr>
                      <w:rFonts w:hint="eastAsia"/>
                    </w:rPr>
                  </w:pPr>
                  <w:r>
                    <w:rPr>
                      <w:rFonts w:hint="eastAsia"/>
                    </w:rPr>
                    <w:t>序号</w:t>
                  </w:r>
                </w:p>
              </w:tc>
              <w:tc>
                <w:tcPr>
                  <w:tcW w:w="1890" w:type="pct"/>
                  <w:noWrap w:val="0"/>
                  <w:vAlign w:val="center"/>
                </w:tcPr>
                <w:p w14:paraId="0B63CA97">
                  <w:pPr>
                    <w:adjustRightInd w:val="0"/>
                    <w:snapToGrid w:val="0"/>
                    <w:jc w:val="center"/>
                    <w:rPr>
                      <w:rFonts w:hint="eastAsia"/>
                    </w:rPr>
                  </w:pPr>
                  <w:r>
                    <w:rPr>
                      <w:rFonts w:hint="eastAsia"/>
                    </w:rPr>
                    <w:t>文件</w:t>
                  </w:r>
                </w:p>
              </w:tc>
              <w:tc>
                <w:tcPr>
                  <w:tcW w:w="2683" w:type="pct"/>
                  <w:noWrap w:val="0"/>
                  <w:vAlign w:val="center"/>
                </w:tcPr>
                <w:p w14:paraId="7DDB735D">
                  <w:pPr>
                    <w:adjustRightInd w:val="0"/>
                    <w:snapToGrid w:val="0"/>
                    <w:jc w:val="center"/>
                    <w:rPr>
                      <w:rFonts w:hint="eastAsia"/>
                    </w:rPr>
                  </w:pPr>
                  <w:r>
                    <w:rPr>
                      <w:rFonts w:hint="eastAsia"/>
                    </w:rPr>
                    <w:t>相符性分析</w:t>
                  </w:r>
                </w:p>
              </w:tc>
            </w:tr>
            <w:tr w14:paraId="7768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25" w:type="pct"/>
                  <w:noWrap w:val="0"/>
                  <w:vAlign w:val="center"/>
                </w:tcPr>
                <w:p w14:paraId="0558BFD1">
                  <w:pPr>
                    <w:adjustRightInd w:val="0"/>
                    <w:snapToGrid w:val="0"/>
                    <w:jc w:val="center"/>
                    <w:rPr>
                      <w:rFonts w:hint="eastAsia"/>
                    </w:rPr>
                  </w:pPr>
                  <w:r>
                    <w:rPr>
                      <w:rFonts w:hint="eastAsia"/>
                    </w:rPr>
                    <w:t>1</w:t>
                  </w:r>
                </w:p>
              </w:tc>
              <w:tc>
                <w:tcPr>
                  <w:tcW w:w="1890" w:type="pct"/>
                  <w:noWrap w:val="0"/>
                  <w:vAlign w:val="center"/>
                </w:tcPr>
                <w:p w14:paraId="32B675B6">
                  <w:pPr>
                    <w:adjustRightInd w:val="0"/>
                    <w:snapToGrid w:val="0"/>
                    <w:jc w:val="center"/>
                    <w:rPr>
                      <w:rFonts w:hint="eastAsia"/>
                    </w:rPr>
                  </w:pPr>
                  <w:r>
                    <w:rPr>
                      <w:rFonts w:hint="eastAsia"/>
                    </w:rPr>
                    <w:t>《市场准入负面清单（</w:t>
                  </w:r>
                  <w:r>
                    <w:rPr>
                      <w:rFonts w:hint="eastAsia"/>
                      <w:lang w:val="en-US" w:eastAsia="zh-CN"/>
                    </w:rPr>
                    <w:t>2019年版</w:t>
                  </w:r>
                  <w:r>
                    <w:rPr>
                      <w:rFonts w:hint="eastAsia"/>
                    </w:rPr>
                    <w:t>）》</w:t>
                  </w:r>
                </w:p>
              </w:tc>
              <w:tc>
                <w:tcPr>
                  <w:tcW w:w="2683" w:type="pct"/>
                  <w:noWrap w:val="0"/>
                  <w:vAlign w:val="center"/>
                </w:tcPr>
                <w:p w14:paraId="35CEA712">
                  <w:pPr>
                    <w:adjustRightInd w:val="0"/>
                    <w:snapToGrid w:val="0"/>
                    <w:jc w:val="center"/>
                    <w:rPr>
                      <w:rFonts w:hint="eastAsia"/>
                    </w:rPr>
                  </w:pPr>
                  <w:r>
                    <w:rPr>
                      <w:rFonts w:hint="eastAsia"/>
                    </w:rPr>
                    <w:t>不属于禁止准入和限制准入类项目</w:t>
                  </w:r>
                </w:p>
              </w:tc>
            </w:tr>
            <w:tr w14:paraId="4436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val="0"/>
                  <w:vAlign w:val="center"/>
                </w:tcPr>
                <w:p w14:paraId="0B529C0B">
                  <w:pPr>
                    <w:adjustRightInd w:val="0"/>
                    <w:snapToGrid w:val="0"/>
                    <w:jc w:val="center"/>
                    <w:rPr>
                      <w:rFonts w:hint="eastAsia"/>
                    </w:rPr>
                  </w:pPr>
                  <w:r>
                    <w:rPr>
                      <w:rFonts w:hint="eastAsia"/>
                    </w:rPr>
                    <w:t>2</w:t>
                  </w:r>
                </w:p>
              </w:tc>
              <w:tc>
                <w:tcPr>
                  <w:tcW w:w="1890" w:type="pct"/>
                  <w:noWrap w:val="0"/>
                  <w:vAlign w:val="center"/>
                </w:tcPr>
                <w:p w14:paraId="4CDAB589">
                  <w:pPr>
                    <w:adjustRightInd w:val="0"/>
                    <w:snapToGrid w:val="0"/>
                    <w:jc w:val="center"/>
                    <w:rPr>
                      <w:rFonts w:hint="eastAsia"/>
                    </w:rPr>
                  </w:pPr>
                  <w:r>
                    <w:rPr>
                      <w:rFonts w:hint="eastAsia"/>
                    </w:rPr>
                    <w:t>《产业结构调整指导目录（201</w:t>
                  </w:r>
                  <w:r>
                    <w:rPr>
                      <w:rFonts w:hint="eastAsia"/>
                      <w:lang w:val="en-US" w:eastAsia="zh-CN"/>
                    </w:rPr>
                    <w:t>9</w:t>
                  </w:r>
                  <w:r>
                    <w:rPr>
                      <w:rFonts w:hint="eastAsia"/>
                    </w:rPr>
                    <w:t>年本）》</w:t>
                  </w:r>
                </w:p>
              </w:tc>
              <w:tc>
                <w:tcPr>
                  <w:tcW w:w="2683" w:type="pct"/>
                  <w:noWrap w:val="0"/>
                  <w:vAlign w:val="center"/>
                </w:tcPr>
                <w:p w14:paraId="59352E4A">
                  <w:pPr>
                    <w:adjustRightInd w:val="0"/>
                    <w:snapToGrid w:val="0"/>
                    <w:jc w:val="center"/>
                    <w:rPr>
                      <w:rFonts w:hint="eastAsia"/>
                    </w:rPr>
                  </w:pPr>
                  <w:r>
                    <w:rPr>
                      <w:rFonts w:hint="eastAsia"/>
                    </w:rPr>
                    <w:t>本项目属于《产业结构调整指导目录（201</w:t>
                  </w:r>
                  <w:r>
                    <w:rPr>
                      <w:rFonts w:hint="eastAsia"/>
                      <w:lang w:val="en-US" w:eastAsia="zh-CN"/>
                    </w:rPr>
                    <w:t>9</w:t>
                  </w:r>
                  <w:r>
                    <w:rPr>
                      <w:rFonts w:hint="eastAsia"/>
                    </w:rPr>
                    <w:t>年本）》（国家发展和改革委员会</w:t>
                  </w:r>
                  <w:r>
                    <w:rPr>
                      <w:rFonts w:hint="eastAsia"/>
                      <w:lang w:val="en-US" w:eastAsia="zh-CN"/>
                    </w:rPr>
                    <w:t xml:space="preserve"> </w:t>
                  </w:r>
                  <w:r>
                    <w:rPr>
                      <w:rFonts w:hint="eastAsia"/>
                    </w:rPr>
                    <w:t>201</w:t>
                  </w:r>
                  <w:r>
                    <w:rPr>
                      <w:rFonts w:hint="eastAsia"/>
                      <w:lang w:val="en-US" w:eastAsia="zh-CN"/>
                    </w:rPr>
                    <w:t>9</w:t>
                  </w:r>
                  <w:r>
                    <w:rPr>
                      <w:rFonts w:hint="eastAsia"/>
                    </w:rPr>
                    <w:t xml:space="preserve"> 第</w:t>
                  </w:r>
                  <w:r>
                    <w:rPr>
                      <w:rFonts w:hint="eastAsia"/>
                      <w:lang w:val="en-US" w:eastAsia="zh-CN"/>
                    </w:rPr>
                    <w:t>29</w:t>
                  </w:r>
                  <w:r>
                    <w:rPr>
                      <w:rFonts w:hint="eastAsia"/>
                    </w:rPr>
                    <w:t>号）中鼓励类</w:t>
                  </w:r>
                  <w:r>
                    <w:rPr>
                      <w:rFonts w:hint="eastAsia"/>
                      <w:lang w:val="en-US" w:eastAsia="zh-CN"/>
                    </w:rPr>
                    <w:t>和</w:t>
                  </w:r>
                  <w:r>
                    <w:rPr>
                      <w:rFonts w:hint="eastAsia"/>
                    </w:rPr>
                    <w:t>允许类项目</w:t>
                  </w:r>
                </w:p>
              </w:tc>
            </w:tr>
            <w:tr w14:paraId="0BB3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val="0"/>
                  <w:vAlign w:val="center"/>
                </w:tcPr>
                <w:p w14:paraId="5B8EBE7B">
                  <w:pPr>
                    <w:adjustRightInd w:val="0"/>
                    <w:snapToGrid w:val="0"/>
                    <w:jc w:val="center"/>
                    <w:rPr>
                      <w:rFonts w:hint="eastAsia"/>
                    </w:rPr>
                  </w:pPr>
                  <w:r>
                    <w:rPr>
                      <w:rFonts w:hint="eastAsia"/>
                    </w:rPr>
                    <w:t>3</w:t>
                  </w:r>
                </w:p>
              </w:tc>
              <w:tc>
                <w:tcPr>
                  <w:tcW w:w="1890" w:type="pct"/>
                  <w:noWrap w:val="0"/>
                  <w:vAlign w:val="center"/>
                </w:tcPr>
                <w:p w14:paraId="5A04376C">
                  <w:pPr>
                    <w:adjustRightInd w:val="0"/>
                    <w:snapToGrid w:val="0"/>
                    <w:jc w:val="center"/>
                    <w:rPr>
                      <w:rFonts w:hint="eastAsia"/>
                    </w:rPr>
                  </w:pPr>
                  <w:r>
                    <w:rPr>
                      <w:rFonts w:hint="eastAsia"/>
                    </w:rPr>
                    <w:t>《限制用地项目目录（2012年本）》</w:t>
                  </w:r>
                </w:p>
                <w:p w14:paraId="688D9F21">
                  <w:pPr>
                    <w:adjustRightInd w:val="0"/>
                    <w:snapToGrid w:val="0"/>
                    <w:jc w:val="center"/>
                    <w:rPr>
                      <w:rFonts w:hint="eastAsia"/>
                    </w:rPr>
                  </w:pPr>
                  <w:r>
                    <w:rPr>
                      <w:rFonts w:hint="eastAsia"/>
                    </w:rPr>
                    <w:t>《禁止用地项目目录（2012年本）》</w:t>
                  </w:r>
                </w:p>
              </w:tc>
              <w:tc>
                <w:tcPr>
                  <w:tcW w:w="2683" w:type="pct"/>
                  <w:noWrap w:val="0"/>
                  <w:vAlign w:val="center"/>
                </w:tcPr>
                <w:p w14:paraId="3E5AC047">
                  <w:pPr>
                    <w:adjustRightInd w:val="0"/>
                    <w:snapToGrid w:val="0"/>
                    <w:jc w:val="center"/>
                    <w:rPr>
                      <w:rFonts w:hint="eastAsia"/>
                    </w:rPr>
                  </w:pPr>
                  <w:r>
                    <w:rPr>
                      <w:rFonts w:hint="eastAsia"/>
                    </w:rPr>
                    <w:t>不属于限制和禁止用地</w:t>
                  </w:r>
                </w:p>
              </w:tc>
            </w:tr>
            <w:tr w14:paraId="7997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val="0"/>
                  <w:vAlign w:val="center"/>
                </w:tcPr>
                <w:p w14:paraId="4ABD8168">
                  <w:pPr>
                    <w:adjustRightInd w:val="0"/>
                    <w:snapToGrid w:val="0"/>
                    <w:jc w:val="center"/>
                    <w:rPr>
                      <w:rFonts w:hint="eastAsia"/>
                      <w:lang w:val="en-US" w:eastAsia="zh-CN"/>
                    </w:rPr>
                  </w:pPr>
                  <w:r>
                    <w:rPr>
                      <w:rFonts w:hint="eastAsia"/>
                      <w:lang w:val="en-US" w:eastAsia="zh-CN"/>
                    </w:rPr>
                    <w:t>4</w:t>
                  </w:r>
                </w:p>
              </w:tc>
              <w:tc>
                <w:tcPr>
                  <w:tcW w:w="1890" w:type="pct"/>
                  <w:noWrap w:val="0"/>
                  <w:vAlign w:val="center"/>
                </w:tcPr>
                <w:p w14:paraId="5E3BC61E">
                  <w:pPr>
                    <w:adjustRightInd w:val="0"/>
                    <w:snapToGrid w:val="0"/>
                    <w:jc w:val="center"/>
                    <w:rPr>
                      <w:rFonts w:hint="eastAsia"/>
                      <w:lang w:val="en-US" w:eastAsia="zh-CN"/>
                    </w:rPr>
                  </w:pPr>
                  <w:r>
                    <w:rPr>
                      <w:rFonts w:hint="eastAsia"/>
                      <w:lang w:eastAsia="zh-CN"/>
                    </w:rPr>
                    <w:t>《</w:t>
                  </w:r>
                  <w:r>
                    <w:rPr>
                      <w:rFonts w:hint="eastAsia"/>
                      <w:lang w:val="en-US" w:eastAsia="zh-CN"/>
                    </w:rPr>
                    <w:t>四川长江经济带发展负面清单实施细则（试行）》</w:t>
                  </w:r>
                </w:p>
              </w:tc>
              <w:tc>
                <w:tcPr>
                  <w:tcW w:w="2683" w:type="pct"/>
                  <w:noWrap w:val="0"/>
                  <w:vAlign w:val="center"/>
                </w:tcPr>
                <w:p w14:paraId="6FD5E351">
                  <w:pPr>
                    <w:adjustRightInd w:val="0"/>
                    <w:snapToGrid w:val="0"/>
                    <w:jc w:val="center"/>
                    <w:rPr>
                      <w:rFonts w:hint="eastAsia"/>
                      <w:lang w:val="en-US" w:eastAsia="zh-CN"/>
                    </w:rPr>
                  </w:pPr>
                  <w:r>
                    <w:rPr>
                      <w:rFonts w:hint="eastAsia"/>
                      <w:lang w:val="en-US" w:eastAsia="zh-CN"/>
                    </w:rPr>
                    <w:t>本项目建设在合规的工业园区内，不涉及饮用水源保护区、风景名胜区、水产种质资源保护区、国家湿地等，不在实施细则清单范围内</w:t>
                  </w:r>
                </w:p>
              </w:tc>
            </w:tr>
          </w:tbl>
          <w:p w14:paraId="5D40C1DA">
            <w:pPr>
              <w:adjustRightInd w:val="0"/>
              <w:spacing w:line="360" w:lineRule="auto"/>
              <w:ind w:firstLine="470" w:firstLineChars="196"/>
              <w:textAlignment w:val="baseline"/>
              <w:rPr>
                <w:rFonts w:hint="eastAsia"/>
                <w:sz w:val="24"/>
                <w:szCs w:val="24"/>
              </w:rPr>
            </w:pPr>
            <w:r>
              <w:rPr>
                <w:rFonts w:hint="eastAsia"/>
                <w:sz w:val="24"/>
                <w:szCs w:val="24"/>
              </w:rPr>
              <w:t>由上表可知，本项目符合</w:t>
            </w:r>
            <w:r>
              <w:rPr>
                <w:rFonts w:hint="eastAsia"/>
                <w:sz w:val="24"/>
                <w:szCs w:val="24"/>
                <w:lang w:val="en-US" w:eastAsia="zh-CN"/>
              </w:rPr>
              <w:t>相关</w:t>
            </w:r>
            <w:r>
              <w:rPr>
                <w:rFonts w:hint="eastAsia"/>
                <w:sz w:val="24"/>
                <w:szCs w:val="24"/>
              </w:rPr>
              <w:t>环境准入条件。</w:t>
            </w:r>
          </w:p>
          <w:p w14:paraId="0B026536">
            <w:pPr>
              <w:adjustRightInd w:val="0"/>
              <w:spacing w:line="360" w:lineRule="auto"/>
              <w:ind w:firstLine="470" w:firstLineChars="196"/>
              <w:textAlignment w:val="baseline"/>
              <w:rPr>
                <w:rFonts w:hint="eastAsia"/>
                <w:sz w:val="24"/>
                <w:szCs w:val="24"/>
              </w:rPr>
            </w:pPr>
            <w:r>
              <w:rPr>
                <w:rFonts w:hint="eastAsia"/>
                <w:sz w:val="24"/>
                <w:szCs w:val="24"/>
              </w:rPr>
              <w:t>综上所述，本项目符合生态保护红线、环境质量底线、资源利用上限和环境准入负面清单（三线一单）管控要求。</w:t>
            </w:r>
          </w:p>
          <w:p w14:paraId="33A575ED">
            <w:pPr>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8"/>
                <w:szCs w:val="28"/>
                <w:lang w:eastAsia="zh-CN"/>
              </w:rPr>
              <w:t>五</w:t>
            </w:r>
            <w:r>
              <w:rPr>
                <w:rFonts w:hint="default" w:ascii="Times New Roman" w:hAnsi="Times New Roman" w:eastAsia="宋体" w:cs="Times New Roman"/>
                <w:b/>
                <w:bCs/>
                <w:color w:val="auto"/>
                <w:sz w:val="28"/>
                <w:szCs w:val="28"/>
              </w:rPr>
              <w:t>、选址</w:t>
            </w:r>
            <w:r>
              <w:rPr>
                <w:rFonts w:hint="default" w:ascii="Times New Roman" w:hAnsi="Times New Roman" w:cs="Times New Roman"/>
                <w:b/>
                <w:bCs/>
                <w:color w:val="auto"/>
                <w:sz w:val="28"/>
                <w:szCs w:val="28"/>
                <w:lang w:eastAsia="zh-CN"/>
              </w:rPr>
              <w:t>、</w:t>
            </w:r>
            <w:r>
              <w:rPr>
                <w:rFonts w:hint="default" w:ascii="Times New Roman" w:hAnsi="Times New Roman" w:cs="Times New Roman"/>
                <w:b/>
                <w:bCs/>
                <w:color w:val="auto"/>
                <w:sz w:val="28"/>
                <w:szCs w:val="28"/>
                <w:lang w:val="en-US" w:eastAsia="zh-CN"/>
              </w:rPr>
              <w:t>选线</w:t>
            </w:r>
            <w:r>
              <w:rPr>
                <w:rFonts w:hint="default" w:ascii="Times New Roman" w:hAnsi="Times New Roman" w:eastAsia="宋体" w:cs="Times New Roman"/>
                <w:b/>
                <w:bCs/>
                <w:color w:val="auto"/>
                <w:sz w:val="28"/>
                <w:szCs w:val="28"/>
              </w:rPr>
              <w:t>合理性</w:t>
            </w:r>
            <w:r>
              <w:rPr>
                <w:rFonts w:hint="default" w:ascii="Times New Roman" w:hAnsi="Times New Roman" w:cs="Times New Roman"/>
                <w:b/>
                <w:bCs/>
                <w:color w:val="auto"/>
                <w:sz w:val="28"/>
                <w:szCs w:val="28"/>
                <w:lang w:val="en-US" w:eastAsia="zh-CN"/>
              </w:rPr>
              <w:t>分析</w:t>
            </w:r>
          </w:p>
          <w:p w14:paraId="2BC60515">
            <w:pPr>
              <w:snapToGrid w:val="0"/>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选址合理性分析</w:t>
            </w:r>
          </w:p>
          <w:p w14:paraId="544A5F45">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本项目位于</w:t>
            </w:r>
            <w:r>
              <w:rPr>
                <w:rFonts w:hint="eastAsia" w:cs="Times New Roman"/>
                <w:color w:val="auto"/>
                <w:sz w:val="24"/>
                <w:szCs w:val="24"/>
                <w:lang w:val="en-US" w:eastAsia="zh-CN"/>
              </w:rPr>
              <w:t xml:space="preserve">四川省遂宁市蓬溪县蓬南镇长石村3社 </w:t>
            </w:r>
            <w:r>
              <w:rPr>
                <w:rFonts w:hint="default" w:ascii="Times New Roman" w:hAnsi="Times New Roman" w:eastAsia="宋体" w:cs="Times New Roman"/>
                <w:color w:val="auto"/>
                <w:sz w:val="24"/>
                <w:szCs w:val="24"/>
              </w:rPr>
              <w:t>，</w:t>
            </w:r>
            <w:r>
              <w:rPr>
                <w:rFonts w:hint="eastAsia" w:ascii="宋体" w:hAnsi="宋体" w:eastAsia="宋体" w:cs="宋体"/>
                <w:sz w:val="24"/>
                <w:szCs w:val="24"/>
              </w:rPr>
              <w:t>根据项目外环境关系图（附图</w:t>
            </w:r>
            <w:r>
              <w:rPr>
                <w:rFonts w:hint="eastAsia" w:ascii="宋体" w:hAnsi="宋体" w:eastAsia="宋体" w:cs="宋体"/>
                <w:sz w:val="24"/>
                <w:szCs w:val="24"/>
                <w:lang w:val="en-US" w:eastAsia="zh-CN"/>
              </w:rPr>
              <w:t>3</w:t>
            </w:r>
            <w:r>
              <w:rPr>
                <w:rFonts w:hint="eastAsia" w:ascii="宋体" w:hAnsi="宋体" w:eastAsia="宋体" w:cs="宋体"/>
                <w:sz w:val="24"/>
                <w:szCs w:val="24"/>
              </w:rPr>
              <w:t>）可知，本项目外环境关系如下：</w:t>
            </w:r>
          </w:p>
          <w:p w14:paraId="594540B5">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表1-</w:t>
            </w:r>
            <w:r>
              <w:rPr>
                <w:rFonts w:hint="eastAsia" w:ascii="宋体" w:hAnsi="宋体" w:cs="宋体"/>
                <w:b/>
                <w:bCs/>
                <w:color w:val="auto"/>
                <w:sz w:val="21"/>
                <w:szCs w:val="21"/>
                <w:lang w:val="en-US" w:eastAsia="zh-CN"/>
              </w:rPr>
              <w:t>10</w:t>
            </w:r>
            <w:r>
              <w:rPr>
                <w:rFonts w:hint="eastAsia" w:ascii="宋体" w:hAnsi="宋体" w:eastAsia="宋体" w:cs="宋体"/>
                <w:b/>
                <w:bCs/>
                <w:color w:val="auto"/>
                <w:sz w:val="21"/>
                <w:szCs w:val="21"/>
              </w:rPr>
              <w:t xml:space="preserve">  项目外环境关系一览表</w:t>
            </w:r>
          </w:p>
          <w:tbl>
            <w:tblPr>
              <w:tblStyle w:val="22"/>
              <w:tblW w:w="4996" w:type="pct"/>
              <w:jc w:val="center"/>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3"/>
              <w:gridCol w:w="4579"/>
              <w:gridCol w:w="1349"/>
              <w:gridCol w:w="1713"/>
              <w:gridCol w:w="1593"/>
            </w:tblGrid>
            <w:tr w14:paraId="386B7D96">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372" w:type="pct"/>
                  <w:tcBorders>
                    <w:tl2br w:val="nil"/>
                    <w:tr2bl w:val="nil"/>
                  </w:tcBorders>
                  <w:noWrap w:val="0"/>
                  <w:vAlign w:val="center"/>
                </w:tcPr>
                <w:p w14:paraId="193E746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294" w:type="pct"/>
                  <w:tcBorders>
                    <w:tl2br w:val="nil"/>
                    <w:tr2bl w:val="nil"/>
                  </w:tcBorders>
                  <w:noWrap w:val="0"/>
                  <w:vAlign w:val="center"/>
                </w:tcPr>
                <w:p w14:paraId="4C99199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保护目标</w:t>
                  </w:r>
                </w:p>
              </w:tc>
              <w:tc>
                <w:tcPr>
                  <w:tcW w:w="676" w:type="pct"/>
                  <w:tcBorders>
                    <w:tl2br w:val="nil"/>
                    <w:tr2bl w:val="nil"/>
                  </w:tcBorders>
                  <w:noWrap w:val="0"/>
                  <w:vAlign w:val="center"/>
                </w:tcPr>
                <w:p w14:paraId="33A94E7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方位</w:t>
                  </w:r>
                </w:p>
              </w:tc>
              <w:tc>
                <w:tcPr>
                  <w:tcW w:w="858" w:type="pct"/>
                  <w:tcBorders>
                    <w:tl2br w:val="nil"/>
                    <w:tr2bl w:val="nil"/>
                  </w:tcBorders>
                  <w:noWrap w:val="0"/>
                  <w:vAlign w:val="center"/>
                </w:tcPr>
                <w:p w14:paraId="698C93A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与厂界最近距离</w:t>
                  </w:r>
                </w:p>
              </w:tc>
              <w:tc>
                <w:tcPr>
                  <w:tcW w:w="798" w:type="pct"/>
                  <w:tcBorders>
                    <w:tl2br w:val="nil"/>
                    <w:tr2bl w:val="nil"/>
                  </w:tcBorders>
                  <w:noWrap w:val="0"/>
                  <w:vAlign w:val="center"/>
                </w:tcPr>
                <w:p w14:paraId="3A24293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性质</w:t>
                  </w:r>
                </w:p>
              </w:tc>
            </w:tr>
            <w:tr w14:paraId="43644A5C">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5622F8E0">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294" w:type="pct"/>
                  <w:tcBorders>
                    <w:tl2br w:val="nil"/>
                    <w:tr2bl w:val="nil"/>
                  </w:tcBorders>
                  <w:noWrap w:val="0"/>
                  <w:vAlign w:val="center"/>
                </w:tcPr>
                <w:p w14:paraId="501F1F1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default" w:cs="宋体"/>
                      <w:color w:val="auto"/>
                      <w:sz w:val="21"/>
                      <w:szCs w:val="21"/>
                      <w:lang w:val="en-US" w:eastAsia="zh-CN"/>
                    </w:rPr>
                    <w:t>居民</w:t>
                  </w:r>
                  <w:r>
                    <w:rPr>
                      <w:rFonts w:hint="eastAsia" w:cs="宋体"/>
                      <w:color w:val="auto"/>
                      <w:sz w:val="21"/>
                      <w:szCs w:val="21"/>
                      <w:lang w:val="en-US" w:eastAsia="zh-CN"/>
                    </w:rPr>
                    <w:t>1户</w:t>
                  </w:r>
                </w:p>
              </w:tc>
              <w:tc>
                <w:tcPr>
                  <w:tcW w:w="676" w:type="pct"/>
                  <w:tcBorders>
                    <w:tl2br w:val="nil"/>
                    <w:tr2bl w:val="nil"/>
                  </w:tcBorders>
                  <w:noWrap w:val="0"/>
                  <w:vAlign w:val="center"/>
                </w:tcPr>
                <w:p w14:paraId="0D6937B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858" w:type="pct"/>
                  <w:tcBorders>
                    <w:tl2br w:val="nil"/>
                    <w:tr2bl w:val="nil"/>
                  </w:tcBorders>
                  <w:noWrap w:val="0"/>
                  <w:vAlign w:val="center"/>
                </w:tcPr>
                <w:p w14:paraId="4A4C63A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282m</w:t>
                  </w:r>
                </w:p>
              </w:tc>
              <w:tc>
                <w:tcPr>
                  <w:tcW w:w="798" w:type="pct"/>
                  <w:tcBorders>
                    <w:tl2br w:val="nil"/>
                    <w:tr2bl w:val="nil"/>
                  </w:tcBorders>
                  <w:noWrap w:val="0"/>
                  <w:vAlign w:val="center"/>
                </w:tcPr>
                <w:p w14:paraId="3E67A27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居民点</w:t>
                  </w:r>
                </w:p>
              </w:tc>
            </w:tr>
            <w:tr w14:paraId="1DE1B6C6">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7AA67A22">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294" w:type="pct"/>
                  <w:tcBorders>
                    <w:tl2br w:val="nil"/>
                    <w:tr2bl w:val="nil"/>
                  </w:tcBorders>
                  <w:noWrap w:val="0"/>
                  <w:vAlign w:val="center"/>
                </w:tcPr>
                <w:p w14:paraId="4D4E552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长宁村居民9户</w:t>
                  </w:r>
                </w:p>
              </w:tc>
              <w:tc>
                <w:tcPr>
                  <w:tcW w:w="676" w:type="pct"/>
                  <w:tcBorders>
                    <w:tl2br w:val="nil"/>
                    <w:tr2bl w:val="nil"/>
                  </w:tcBorders>
                  <w:noWrap w:val="0"/>
                  <w:vAlign w:val="center"/>
                </w:tcPr>
                <w:p w14:paraId="2B89350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东侧</w:t>
                  </w:r>
                </w:p>
              </w:tc>
              <w:tc>
                <w:tcPr>
                  <w:tcW w:w="858" w:type="pct"/>
                  <w:tcBorders>
                    <w:tl2br w:val="nil"/>
                    <w:tr2bl w:val="nil"/>
                  </w:tcBorders>
                  <w:noWrap w:val="0"/>
                  <w:vAlign w:val="center"/>
                </w:tcPr>
                <w:p w14:paraId="2D36A9A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375m~606m</w:t>
                  </w:r>
                </w:p>
              </w:tc>
              <w:tc>
                <w:tcPr>
                  <w:tcW w:w="798" w:type="pct"/>
                  <w:tcBorders>
                    <w:tl2br w:val="nil"/>
                    <w:tr2bl w:val="nil"/>
                  </w:tcBorders>
                  <w:noWrap w:val="0"/>
                  <w:vAlign w:val="center"/>
                </w:tcPr>
                <w:p w14:paraId="419DBF8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48755957">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89775F7">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294" w:type="pct"/>
                  <w:tcBorders>
                    <w:tl2br w:val="nil"/>
                    <w:tr2bl w:val="nil"/>
                  </w:tcBorders>
                  <w:noWrap w:val="0"/>
                  <w:vAlign w:val="center"/>
                </w:tcPr>
                <w:p w14:paraId="25B2F39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蓬溪县蓬南镇惠民小学</w:t>
                  </w:r>
                </w:p>
              </w:tc>
              <w:tc>
                <w:tcPr>
                  <w:tcW w:w="676" w:type="pct"/>
                  <w:tcBorders>
                    <w:tl2br w:val="nil"/>
                    <w:tr2bl w:val="nil"/>
                  </w:tcBorders>
                  <w:noWrap w:val="0"/>
                  <w:vAlign w:val="center"/>
                </w:tcPr>
                <w:p w14:paraId="7042D90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858" w:type="pct"/>
                  <w:tcBorders>
                    <w:tl2br w:val="nil"/>
                    <w:tr2bl w:val="nil"/>
                  </w:tcBorders>
                  <w:noWrap w:val="0"/>
                  <w:vAlign w:val="center"/>
                </w:tcPr>
                <w:p w14:paraId="38DB318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420m</w:t>
                  </w:r>
                </w:p>
              </w:tc>
              <w:tc>
                <w:tcPr>
                  <w:tcW w:w="798" w:type="pct"/>
                  <w:tcBorders>
                    <w:tl2br w:val="nil"/>
                    <w:tr2bl w:val="nil"/>
                  </w:tcBorders>
                  <w:noWrap w:val="0"/>
                  <w:vAlign w:val="center"/>
                </w:tcPr>
                <w:p w14:paraId="6F98441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学校</w:t>
                  </w:r>
                </w:p>
              </w:tc>
            </w:tr>
            <w:tr w14:paraId="388D18F9">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2293120">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294" w:type="pct"/>
                  <w:tcBorders>
                    <w:tl2br w:val="nil"/>
                    <w:tr2bl w:val="nil"/>
                  </w:tcBorders>
                  <w:noWrap w:val="0"/>
                  <w:vAlign w:val="center"/>
                </w:tcPr>
                <w:p w14:paraId="3F58ADB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居民6户</w:t>
                  </w:r>
                </w:p>
              </w:tc>
              <w:tc>
                <w:tcPr>
                  <w:tcW w:w="676" w:type="pct"/>
                  <w:tcBorders>
                    <w:tl2br w:val="nil"/>
                    <w:tr2bl w:val="nil"/>
                  </w:tcBorders>
                  <w:noWrap w:val="0"/>
                  <w:vAlign w:val="center"/>
                </w:tcPr>
                <w:p w14:paraId="7A99107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南侧</w:t>
                  </w:r>
                </w:p>
              </w:tc>
              <w:tc>
                <w:tcPr>
                  <w:tcW w:w="858" w:type="pct"/>
                  <w:tcBorders>
                    <w:tl2br w:val="nil"/>
                    <w:tr2bl w:val="nil"/>
                  </w:tcBorders>
                  <w:noWrap w:val="0"/>
                  <w:vAlign w:val="center"/>
                </w:tcPr>
                <w:p w14:paraId="61ACC43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15m-72m</w:t>
                  </w:r>
                </w:p>
              </w:tc>
              <w:tc>
                <w:tcPr>
                  <w:tcW w:w="798" w:type="pct"/>
                  <w:tcBorders>
                    <w:tl2br w:val="nil"/>
                    <w:tr2bl w:val="nil"/>
                  </w:tcBorders>
                  <w:noWrap w:val="0"/>
                  <w:vAlign w:val="center"/>
                </w:tcPr>
                <w:p w14:paraId="74EDA12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67CA1266">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12832BBB">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5</w:t>
                  </w:r>
                </w:p>
              </w:tc>
              <w:tc>
                <w:tcPr>
                  <w:tcW w:w="2294" w:type="pct"/>
                  <w:tcBorders>
                    <w:tl2br w:val="nil"/>
                    <w:tr2bl w:val="nil"/>
                  </w:tcBorders>
                  <w:noWrap w:val="0"/>
                  <w:vAlign w:val="center"/>
                </w:tcPr>
                <w:p w14:paraId="637A4E4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居民8户</w:t>
                  </w:r>
                </w:p>
              </w:tc>
              <w:tc>
                <w:tcPr>
                  <w:tcW w:w="676" w:type="pct"/>
                  <w:tcBorders>
                    <w:tl2br w:val="nil"/>
                    <w:tr2bl w:val="nil"/>
                  </w:tcBorders>
                  <w:noWrap w:val="0"/>
                  <w:vAlign w:val="center"/>
                </w:tcPr>
                <w:p w14:paraId="7320D30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东南侧</w:t>
                  </w:r>
                </w:p>
              </w:tc>
              <w:tc>
                <w:tcPr>
                  <w:tcW w:w="858" w:type="pct"/>
                  <w:tcBorders>
                    <w:tl2br w:val="nil"/>
                    <w:tr2bl w:val="nil"/>
                  </w:tcBorders>
                  <w:noWrap w:val="0"/>
                  <w:vAlign w:val="center"/>
                </w:tcPr>
                <w:p w14:paraId="25C8742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33m~260m</w:t>
                  </w:r>
                </w:p>
              </w:tc>
              <w:tc>
                <w:tcPr>
                  <w:tcW w:w="798" w:type="pct"/>
                  <w:tcBorders>
                    <w:tl2br w:val="nil"/>
                    <w:tr2bl w:val="nil"/>
                  </w:tcBorders>
                  <w:noWrap w:val="0"/>
                  <w:vAlign w:val="center"/>
                </w:tcPr>
                <w:p w14:paraId="6FF50C5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76A0ABD3">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15088CD9">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6</w:t>
                  </w:r>
                </w:p>
              </w:tc>
              <w:tc>
                <w:tcPr>
                  <w:tcW w:w="2294" w:type="pct"/>
                  <w:tcBorders>
                    <w:tl2br w:val="nil"/>
                    <w:tr2bl w:val="nil"/>
                  </w:tcBorders>
                  <w:noWrap w:val="0"/>
                  <w:vAlign w:val="center"/>
                </w:tcPr>
                <w:p w14:paraId="67FA663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废弃</w:t>
                  </w:r>
                  <w:r>
                    <w:rPr>
                      <w:rFonts w:hint="eastAsia" w:ascii="宋体" w:hAnsi="宋体" w:eastAsia="宋体" w:cs="宋体"/>
                      <w:color w:val="auto"/>
                      <w:sz w:val="21"/>
                      <w:szCs w:val="21"/>
                      <w:lang w:val="en-US" w:eastAsia="zh-CN"/>
                    </w:rPr>
                    <w:t>养殖场</w:t>
                  </w:r>
                </w:p>
              </w:tc>
              <w:tc>
                <w:tcPr>
                  <w:tcW w:w="676" w:type="pct"/>
                  <w:tcBorders>
                    <w:tl2br w:val="nil"/>
                    <w:tr2bl w:val="nil"/>
                  </w:tcBorders>
                  <w:noWrap w:val="0"/>
                  <w:vAlign w:val="center"/>
                </w:tcPr>
                <w:p w14:paraId="02DA675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西侧</w:t>
                  </w:r>
                </w:p>
              </w:tc>
              <w:tc>
                <w:tcPr>
                  <w:tcW w:w="858" w:type="pct"/>
                  <w:tcBorders>
                    <w:tl2br w:val="nil"/>
                    <w:tr2bl w:val="nil"/>
                  </w:tcBorders>
                  <w:noWrap w:val="0"/>
                  <w:vAlign w:val="center"/>
                </w:tcPr>
                <w:p w14:paraId="392250A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15</w:t>
                  </w:r>
                  <w:r>
                    <w:rPr>
                      <w:rFonts w:hint="eastAsia" w:ascii="宋体" w:hAnsi="宋体" w:eastAsia="宋体" w:cs="宋体"/>
                      <w:color w:val="auto"/>
                      <w:sz w:val="21"/>
                      <w:szCs w:val="21"/>
                      <w:lang w:eastAsia="zh-CN"/>
                    </w:rPr>
                    <w:t>m</w:t>
                  </w:r>
                </w:p>
              </w:tc>
              <w:tc>
                <w:tcPr>
                  <w:tcW w:w="798" w:type="pct"/>
                  <w:tcBorders>
                    <w:tl2br w:val="nil"/>
                    <w:tr2bl w:val="nil"/>
                  </w:tcBorders>
                  <w:noWrap w:val="0"/>
                  <w:vAlign w:val="center"/>
                </w:tcPr>
                <w:p w14:paraId="7A554C6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废弃企业</w:t>
                  </w:r>
                </w:p>
              </w:tc>
            </w:tr>
            <w:tr w14:paraId="7BBA0348">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01C2B5F2">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7</w:t>
                  </w:r>
                </w:p>
              </w:tc>
              <w:tc>
                <w:tcPr>
                  <w:tcW w:w="2294" w:type="pct"/>
                  <w:tcBorders>
                    <w:tl2br w:val="nil"/>
                    <w:tr2bl w:val="nil"/>
                  </w:tcBorders>
                  <w:noWrap w:val="0"/>
                  <w:vAlign w:val="center"/>
                </w:tcPr>
                <w:p w14:paraId="06FEC62A">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居民15户</w:t>
                  </w:r>
                </w:p>
              </w:tc>
              <w:tc>
                <w:tcPr>
                  <w:tcW w:w="676" w:type="pct"/>
                  <w:tcBorders>
                    <w:tl2br w:val="nil"/>
                    <w:tr2bl w:val="nil"/>
                  </w:tcBorders>
                  <w:noWrap w:val="0"/>
                  <w:vAlign w:val="center"/>
                </w:tcPr>
                <w:p w14:paraId="4CAD02D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w:t>
                  </w:r>
                  <w:r>
                    <w:rPr>
                      <w:rFonts w:hint="eastAsia" w:cs="宋体"/>
                      <w:color w:val="auto"/>
                      <w:sz w:val="21"/>
                      <w:szCs w:val="21"/>
                      <w:lang w:val="en-US" w:eastAsia="zh-CN"/>
                    </w:rPr>
                    <w:t>北</w:t>
                  </w:r>
                  <w:r>
                    <w:rPr>
                      <w:rFonts w:hint="eastAsia" w:ascii="宋体" w:hAnsi="宋体" w:eastAsia="宋体" w:cs="宋体"/>
                      <w:color w:val="auto"/>
                      <w:sz w:val="21"/>
                      <w:szCs w:val="21"/>
                      <w:lang w:val="en-US" w:eastAsia="zh-CN"/>
                    </w:rPr>
                    <w:t>侧</w:t>
                  </w:r>
                  <w:r>
                    <w:rPr>
                      <w:rFonts w:hint="eastAsia" w:cs="宋体"/>
                      <w:color w:val="auto"/>
                      <w:sz w:val="21"/>
                      <w:szCs w:val="21"/>
                      <w:lang w:val="en-US" w:eastAsia="zh-CN"/>
                    </w:rPr>
                    <w:t>、西侧</w:t>
                  </w:r>
                </w:p>
              </w:tc>
              <w:tc>
                <w:tcPr>
                  <w:tcW w:w="858" w:type="pct"/>
                  <w:tcBorders>
                    <w:tl2br w:val="nil"/>
                    <w:tr2bl w:val="nil"/>
                  </w:tcBorders>
                  <w:noWrap w:val="0"/>
                  <w:vAlign w:val="center"/>
                </w:tcPr>
                <w:p w14:paraId="068C44E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150m~507m</w:t>
                  </w:r>
                </w:p>
              </w:tc>
              <w:tc>
                <w:tcPr>
                  <w:tcW w:w="798" w:type="pct"/>
                  <w:tcBorders>
                    <w:tl2br w:val="nil"/>
                    <w:tr2bl w:val="nil"/>
                  </w:tcBorders>
                  <w:noWrap w:val="0"/>
                  <w:vAlign w:val="center"/>
                </w:tcPr>
                <w:p w14:paraId="139E914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386C89BA">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372" w:type="pct"/>
                  <w:tcBorders>
                    <w:tl2br w:val="nil"/>
                    <w:tr2bl w:val="nil"/>
                  </w:tcBorders>
                  <w:noWrap w:val="0"/>
                  <w:vAlign w:val="center"/>
                </w:tcPr>
                <w:p w14:paraId="30E49C20">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8</w:t>
                  </w:r>
                </w:p>
              </w:tc>
              <w:tc>
                <w:tcPr>
                  <w:tcW w:w="2294" w:type="pct"/>
                  <w:tcBorders>
                    <w:tl2br w:val="nil"/>
                    <w:tr2bl w:val="nil"/>
                  </w:tcBorders>
                  <w:noWrap w:val="0"/>
                  <w:vAlign w:val="center"/>
                </w:tcPr>
                <w:p w14:paraId="7A83874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居民2户</w:t>
                  </w:r>
                </w:p>
              </w:tc>
              <w:tc>
                <w:tcPr>
                  <w:tcW w:w="676" w:type="pct"/>
                  <w:tcBorders>
                    <w:tl2br w:val="nil"/>
                    <w:tr2bl w:val="nil"/>
                  </w:tcBorders>
                  <w:noWrap w:val="0"/>
                  <w:vAlign w:val="center"/>
                </w:tcPr>
                <w:p w14:paraId="375FA37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489FAD1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352m</w:t>
                  </w:r>
                </w:p>
              </w:tc>
              <w:tc>
                <w:tcPr>
                  <w:tcW w:w="798" w:type="pct"/>
                  <w:tcBorders>
                    <w:tl2br w:val="nil"/>
                    <w:tr2bl w:val="nil"/>
                  </w:tcBorders>
                  <w:noWrap w:val="0"/>
                  <w:vAlign w:val="center"/>
                </w:tcPr>
                <w:p w14:paraId="78EC296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1F9234C2">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B99845E">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9</w:t>
                  </w:r>
                </w:p>
              </w:tc>
              <w:tc>
                <w:tcPr>
                  <w:tcW w:w="2294" w:type="pct"/>
                  <w:tcBorders>
                    <w:tl2br w:val="nil"/>
                    <w:tr2bl w:val="nil"/>
                  </w:tcBorders>
                  <w:noWrap w:val="0"/>
                  <w:vAlign w:val="center"/>
                </w:tcPr>
                <w:p w14:paraId="6098E52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长石村村委会</w:t>
                  </w:r>
                </w:p>
              </w:tc>
              <w:tc>
                <w:tcPr>
                  <w:tcW w:w="676" w:type="pct"/>
                  <w:tcBorders>
                    <w:tl2br w:val="nil"/>
                    <w:tr2bl w:val="nil"/>
                  </w:tcBorders>
                  <w:noWrap w:val="0"/>
                  <w:vAlign w:val="center"/>
                </w:tcPr>
                <w:p w14:paraId="6ACCB95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3439852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35m</w:t>
                  </w:r>
                </w:p>
              </w:tc>
              <w:tc>
                <w:tcPr>
                  <w:tcW w:w="798" w:type="pct"/>
                  <w:tcBorders>
                    <w:tl2br w:val="nil"/>
                    <w:tr2bl w:val="nil"/>
                  </w:tcBorders>
                  <w:noWrap w:val="0"/>
                  <w:vAlign w:val="center"/>
                </w:tcPr>
                <w:p w14:paraId="7B70283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行政单位</w:t>
                  </w:r>
                </w:p>
              </w:tc>
            </w:tr>
            <w:tr w14:paraId="250809C9">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256FB8C8">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10</w:t>
                  </w:r>
                </w:p>
              </w:tc>
              <w:tc>
                <w:tcPr>
                  <w:tcW w:w="2294" w:type="pct"/>
                  <w:tcBorders>
                    <w:tl2br w:val="nil"/>
                    <w:tr2bl w:val="nil"/>
                  </w:tcBorders>
                  <w:noWrap w:val="0"/>
                  <w:vAlign w:val="center"/>
                </w:tcPr>
                <w:p w14:paraId="1CCED5B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居民2户</w:t>
                  </w:r>
                </w:p>
              </w:tc>
              <w:tc>
                <w:tcPr>
                  <w:tcW w:w="676" w:type="pct"/>
                  <w:tcBorders>
                    <w:tl2br w:val="nil"/>
                    <w:tr2bl w:val="nil"/>
                  </w:tcBorders>
                  <w:noWrap w:val="0"/>
                  <w:vAlign w:val="center"/>
                </w:tcPr>
                <w:p w14:paraId="34FE247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北侧</w:t>
                  </w:r>
                </w:p>
              </w:tc>
              <w:tc>
                <w:tcPr>
                  <w:tcW w:w="858" w:type="pct"/>
                  <w:tcBorders>
                    <w:tl2br w:val="nil"/>
                    <w:tr2bl w:val="nil"/>
                  </w:tcBorders>
                  <w:noWrap w:val="0"/>
                  <w:vAlign w:val="center"/>
                </w:tcPr>
                <w:p w14:paraId="0A4D52A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97m</w:t>
                  </w:r>
                </w:p>
              </w:tc>
              <w:tc>
                <w:tcPr>
                  <w:tcW w:w="798" w:type="pct"/>
                  <w:tcBorders>
                    <w:tl2br w:val="nil"/>
                    <w:tr2bl w:val="nil"/>
                  </w:tcBorders>
                  <w:noWrap w:val="0"/>
                  <w:vAlign w:val="center"/>
                </w:tcPr>
                <w:p w14:paraId="4731087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314BA4B2">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61CB3716">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11</w:t>
                  </w:r>
                </w:p>
              </w:tc>
              <w:tc>
                <w:tcPr>
                  <w:tcW w:w="2294" w:type="pct"/>
                  <w:tcBorders>
                    <w:tl2br w:val="nil"/>
                    <w:tr2bl w:val="nil"/>
                  </w:tcBorders>
                  <w:noWrap w:val="0"/>
                  <w:vAlign w:val="center"/>
                </w:tcPr>
                <w:p w14:paraId="2B2A30F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居民13户</w:t>
                  </w:r>
                </w:p>
              </w:tc>
              <w:tc>
                <w:tcPr>
                  <w:tcW w:w="676" w:type="pct"/>
                  <w:tcBorders>
                    <w:tl2br w:val="nil"/>
                    <w:tr2bl w:val="nil"/>
                  </w:tcBorders>
                  <w:noWrap w:val="0"/>
                  <w:vAlign w:val="center"/>
                </w:tcPr>
                <w:p w14:paraId="0C0E8B5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北侧偏东</w:t>
                  </w:r>
                </w:p>
              </w:tc>
              <w:tc>
                <w:tcPr>
                  <w:tcW w:w="858" w:type="pct"/>
                  <w:tcBorders>
                    <w:tl2br w:val="nil"/>
                    <w:tr2bl w:val="nil"/>
                  </w:tcBorders>
                  <w:noWrap w:val="0"/>
                  <w:vAlign w:val="center"/>
                </w:tcPr>
                <w:p w14:paraId="0EFC50B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212m~300m</w:t>
                  </w:r>
                </w:p>
              </w:tc>
              <w:tc>
                <w:tcPr>
                  <w:tcW w:w="798" w:type="pct"/>
                  <w:tcBorders>
                    <w:tl2br w:val="nil"/>
                    <w:tr2bl w:val="nil"/>
                  </w:tcBorders>
                  <w:noWrap w:val="0"/>
                  <w:vAlign w:val="center"/>
                </w:tcPr>
                <w:p w14:paraId="2D2254E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bl>
          <w:p w14:paraId="78B3BD0A">
            <w:pPr>
              <w:snapToGrid w:val="0"/>
              <w:spacing w:line="360" w:lineRule="auto"/>
              <w:ind w:firstLine="482" w:firstLineChars="200"/>
              <w:rPr>
                <w:rFonts w:hint="default" w:ascii="Times New Roman" w:hAnsi="Times New Roman" w:eastAsia="宋体" w:cs="Times New Roman"/>
                <w:b/>
                <w:bCs/>
                <w:color w:val="C00000"/>
                <w:sz w:val="24"/>
                <w:szCs w:val="24"/>
              </w:rPr>
            </w:pPr>
          </w:p>
          <w:p w14:paraId="78A49AF6">
            <w:pPr>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项目</w:t>
            </w:r>
            <w:r>
              <w:rPr>
                <w:rFonts w:hint="default" w:ascii="Times New Roman" w:hAnsi="Times New Roman" w:cs="Times New Roman"/>
                <w:b/>
                <w:bCs/>
                <w:color w:val="auto"/>
                <w:sz w:val="24"/>
                <w:szCs w:val="24"/>
                <w:lang w:eastAsia="zh-CN"/>
              </w:rPr>
              <w:t>东</w:t>
            </w:r>
            <w:r>
              <w:rPr>
                <w:rFonts w:hint="default" w:ascii="Times New Roman" w:hAnsi="Times New Roman" w:eastAsia="宋体" w:cs="Times New Roman"/>
                <w:b/>
                <w:bCs/>
                <w:color w:val="auto"/>
                <w:sz w:val="24"/>
                <w:szCs w:val="24"/>
              </w:rPr>
              <w:t>侧</w:t>
            </w:r>
            <w:r>
              <w:rPr>
                <w:rFonts w:hint="default" w:ascii="Times New Roman" w:hAnsi="Times New Roman" w:cs="Times New Roman"/>
                <w:color w:val="auto"/>
                <w:sz w:val="24"/>
                <w:szCs w:val="24"/>
                <w:lang w:val="en-US" w:eastAsia="zh-CN"/>
              </w:rPr>
              <w:t>紧邻为林地或荒地，</w:t>
            </w:r>
            <w:r>
              <w:rPr>
                <w:rFonts w:hint="eastAsia" w:cs="Times New Roman"/>
                <w:color w:val="auto"/>
                <w:sz w:val="24"/>
                <w:szCs w:val="24"/>
                <w:lang w:val="en-US" w:eastAsia="zh-CN"/>
              </w:rPr>
              <w:t>282</w:t>
            </w:r>
            <w:r>
              <w:rPr>
                <w:rFonts w:hint="default" w:ascii="Times New Roman" w:hAnsi="Times New Roman" w:cs="Times New Roman"/>
                <w:color w:val="auto"/>
                <w:sz w:val="24"/>
                <w:szCs w:val="24"/>
                <w:lang w:val="en-US" w:eastAsia="zh-CN"/>
              </w:rPr>
              <w:t>m处有1户农户，</w:t>
            </w:r>
            <w:r>
              <w:rPr>
                <w:rFonts w:hint="eastAsia" w:cs="Times New Roman"/>
                <w:color w:val="auto"/>
                <w:sz w:val="24"/>
                <w:szCs w:val="24"/>
                <w:lang w:val="en-US" w:eastAsia="zh-CN"/>
              </w:rPr>
              <w:t>375</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606</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9</w:t>
            </w:r>
            <w:r>
              <w:rPr>
                <w:rFonts w:hint="default" w:ascii="Times New Roman" w:hAnsi="Times New Roman" w:cs="Times New Roman"/>
                <w:color w:val="auto"/>
                <w:sz w:val="24"/>
                <w:szCs w:val="24"/>
                <w:lang w:val="en-US" w:eastAsia="zh-CN"/>
              </w:rPr>
              <w:t>户</w:t>
            </w:r>
            <w:r>
              <w:rPr>
                <w:rFonts w:hint="eastAsia" w:cs="Times New Roman"/>
                <w:color w:val="auto"/>
                <w:sz w:val="24"/>
                <w:szCs w:val="24"/>
                <w:lang w:val="en-US" w:eastAsia="zh-CN"/>
              </w:rPr>
              <w:t>居民和1所学校（蓬溪县蓬南镇惠民小学）</w:t>
            </w:r>
            <w:r>
              <w:rPr>
                <w:rFonts w:hint="default" w:ascii="Times New Roman" w:hAnsi="Times New Roman" w:cs="Times New Roman"/>
                <w:color w:val="auto"/>
                <w:sz w:val="24"/>
                <w:szCs w:val="24"/>
                <w:lang w:val="en-US" w:eastAsia="zh-CN"/>
              </w:rPr>
              <w:t>；</w:t>
            </w:r>
          </w:p>
          <w:p w14:paraId="523945CF">
            <w:pPr>
              <w:snapToGrid w:val="0"/>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cs="Times New Roman"/>
                <w:b/>
                <w:bCs/>
                <w:color w:val="auto"/>
                <w:sz w:val="24"/>
                <w:szCs w:val="24"/>
                <w:lang w:eastAsia="zh-CN"/>
              </w:rPr>
              <w:t>项目南</w:t>
            </w:r>
            <w:r>
              <w:rPr>
                <w:rFonts w:hint="default" w:ascii="Times New Roman" w:hAnsi="Times New Roman" w:eastAsia="宋体" w:cs="Times New Roman"/>
                <w:b/>
                <w:bCs/>
                <w:color w:val="auto"/>
                <w:sz w:val="24"/>
                <w:szCs w:val="24"/>
              </w:rPr>
              <w:t>侧</w:t>
            </w:r>
            <w:r>
              <w:rPr>
                <w:rFonts w:hint="eastAsia" w:cs="Times New Roman"/>
                <w:b w:val="0"/>
                <w:bCs w:val="0"/>
                <w:color w:val="auto"/>
                <w:sz w:val="24"/>
                <w:szCs w:val="24"/>
                <w:lang w:val="en-US" w:eastAsia="zh-CN"/>
              </w:rPr>
              <w:t>约15m-72m有6</w:t>
            </w:r>
            <w:r>
              <w:rPr>
                <w:rFonts w:hint="default" w:ascii="Times New Roman" w:hAnsi="Times New Roman" w:cs="Times New Roman"/>
                <w:color w:val="auto"/>
                <w:sz w:val="24"/>
                <w:szCs w:val="24"/>
                <w:lang w:val="en-US" w:eastAsia="zh-CN"/>
              </w:rPr>
              <w:t>户农户，项目已将</w:t>
            </w:r>
            <w:r>
              <w:rPr>
                <w:rFonts w:hint="eastAsia" w:ascii="Times New Roman" w:hAnsi="Times New Roman" w:cs="Times New Roman"/>
                <w:color w:val="auto"/>
                <w:sz w:val="24"/>
                <w:szCs w:val="24"/>
                <w:lang w:val="en-US" w:eastAsia="zh-CN"/>
              </w:rPr>
              <w:t>临近的</w:t>
            </w:r>
            <w:r>
              <w:rPr>
                <w:rFonts w:hint="default" w:ascii="Times New Roman" w:hAnsi="Times New Roman" w:cs="Times New Roman"/>
                <w:color w:val="auto"/>
                <w:sz w:val="24"/>
                <w:szCs w:val="24"/>
                <w:lang w:val="en-US" w:eastAsia="zh-CN"/>
              </w:rPr>
              <w:t>农户</w:t>
            </w:r>
            <w:r>
              <w:rPr>
                <w:rFonts w:hint="eastAsia" w:ascii="Times New Roman" w:hAnsi="Times New Roman" w:cs="Times New Roman"/>
                <w:color w:val="auto"/>
                <w:sz w:val="24"/>
                <w:szCs w:val="24"/>
                <w:lang w:val="en-US" w:eastAsia="zh-CN"/>
              </w:rPr>
              <w:t>房屋</w:t>
            </w:r>
            <w:r>
              <w:rPr>
                <w:rFonts w:hint="default" w:ascii="Times New Roman" w:hAnsi="Times New Roman" w:cs="Times New Roman"/>
                <w:color w:val="auto"/>
                <w:sz w:val="24"/>
                <w:szCs w:val="24"/>
                <w:lang w:val="en-US" w:eastAsia="zh-CN"/>
              </w:rPr>
              <w:t>租用为项目办公用房</w:t>
            </w:r>
            <w:r>
              <w:rPr>
                <w:rFonts w:hint="eastAsia" w:ascii="Times New Roman" w:hAnsi="Times New Roman" w:cs="Times New Roman"/>
                <w:color w:val="auto"/>
                <w:sz w:val="24"/>
                <w:szCs w:val="24"/>
                <w:lang w:val="en-US" w:eastAsia="zh-CN"/>
              </w:rPr>
              <w:t>，72m向南为</w:t>
            </w:r>
            <w:r>
              <w:rPr>
                <w:rFonts w:hint="default" w:ascii="Times New Roman" w:hAnsi="Times New Roman" w:cs="Times New Roman"/>
                <w:color w:val="auto"/>
                <w:sz w:val="24"/>
                <w:szCs w:val="24"/>
                <w:lang w:val="en-US" w:eastAsia="zh-CN"/>
              </w:rPr>
              <w:t>林地或荒地</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东南侧33</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260</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8</w:t>
            </w:r>
            <w:r>
              <w:rPr>
                <w:rFonts w:hint="default" w:ascii="Times New Roman" w:hAnsi="Times New Roman" w:cs="Times New Roman"/>
                <w:color w:val="auto"/>
                <w:sz w:val="24"/>
                <w:szCs w:val="24"/>
                <w:lang w:val="en-US" w:eastAsia="zh-CN"/>
              </w:rPr>
              <w:t>户农户；</w:t>
            </w:r>
          </w:p>
          <w:p w14:paraId="1129B8F1">
            <w:pPr>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eastAsia="zh-CN"/>
              </w:rPr>
              <w:t>项目西侧</w:t>
            </w:r>
            <w:r>
              <w:rPr>
                <w:rFonts w:hint="default" w:ascii="Times New Roman" w:hAnsi="Times New Roman" w:cs="Times New Roman"/>
                <w:color w:val="auto"/>
                <w:sz w:val="24"/>
                <w:szCs w:val="24"/>
                <w:lang w:val="en-US" w:eastAsia="zh-CN"/>
              </w:rPr>
              <w:t>紧邻村道</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隔村道以西</w:t>
            </w:r>
            <w:r>
              <w:rPr>
                <w:rFonts w:hint="eastAsia" w:cs="Times New Roman"/>
                <w:color w:val="auto"/>
                <w:sz w:val="24"/>
                <w:szCs w:val="24"/>
                <w:lang w:val="en-US" w:eastAsia="zh-CN"/>
              </w:rPr>
              <w:t>为</w:t>
            </w:r>
            <w:r>
              <w:rPr>
                <w:rFonts w:hint="default" w:ascii="Times New Roman" w:hAnsi="Times New Roman" w:cs="Times New Roman"/>
                <w:color w:val="auto"/>
                <w:sz w:val="24"/>
                <w:szCs w:val="24"/>
                <w:lang w:val="en-US" w:eastAsia="zh-CN"/>
              </w:rPr>
              <w:t>养殖场，现状已废弃，隔该养殖场以北和</w:t>
            </w:r>
            <w:r>
              <w:rPr>
                <w:rFonts w:hint="eastAsia" w:ascii="Times New Roman" w:hAnsi="Times New Roman" w:cs="Times New Roman"/>
                <w:color w:val="auto"/>
                <w:sz w:val="24"/>
                <w:szCs w:val="24"/>
                <w:lang w:val="en-US" w:eastAsia="zh-CN"/>
              </w:rPr>
              <w:t>西</w:t>
            </w:r>
            <w:r>
              <w:rPr>
                <w:rFonts w:hint="default" w:ascii="Times New Roman" w:hAnsi="Times New Roman" w:cs="Times New Roman"/>
                <w:color w:val="auto"/>
                <w:sz w:val="24"/>
                <w:szCs w:val="24"/>
                <w:lang w:val="en-US" w:eastAsia="zh-CN"/>
              </w:rPr>
              <w:t>面均为大片耕地或荒地</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150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507</w:t>
            </w:r>
            <w:r>
              <w:rPr>
                <w:rFonts w:hint="default" w:ascii="Times New Roman" w:hAnsi="Times New Roman" w:cs="Times New Roman"/>
                <w:color w:val="auto"/>
                <w:sz w:val="24"/>
                <w:szCs w:val="24"/>
                <w:lang w:val="en-US" w:eastAsia="zh-CN"/>
              </w:rPr>
              <w:t>m处有约15户农户在此居住；西南侧</w:t>
            </w:r>
            <w:r>
              <w:rPr>
                <w:rFonts w:hint="eastAsia" w:cs="Times New Roman"/>
                <w:color w:val="auto"/>
                <w:sz w:val="24"/>
                <w:szCs w:val="24"/>
                <w:lang w:val="en-US" w:eastAsia="zh-CN"/>
              </w:rPr>
              <w:t>352</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户农户；</w:t>
            </w:r>
            <w:r>
              <w:rPr>
                <w:rFonts w:hint="eastAsia" w:cs="Times New Roman"/>
                <w:color w:val="auto"/>
                <w:sz w:val="24"/>
                <w:szCs w:val="24"/>
                <w:lang w:val="en-US" w:eastAsia="zh-CN"/>
              </w:rPr>
              <w:t>西南侧约35m为长石村村委会；</w:t>
            </w:r>
          </w:p>
          <w:p w14:paraId="54510CC0">
            <w:pPr>
              <w:snapToGrid w:val="0"/>
              <w:spacing w:line="360" w:lineRule="auto"/>
              <w:ind w:firstLine="482" w:firstLineChars="200"/>
              <w:rPr>
                <w:rFonts w:hint="default" w:ascii="Times New Roman" w:hAnsi="Times New Roman" w:eastAsia="宋体" w:cs="Times New Roman"/>
                <w:color w:val="C00000"/>
                <w:sz w:val="24"/>
                <w:szCs w:val="24"/>
              </w:rPr>
            </w:pPr>
            <w:r>
              <w:rPr>
                <w:rFonts w:hint="default" w:ascii="Times New Roman" w:hAnsi="Times New Roman" w:cs="Times New Roman"/>
                <w:b/>
                <w:bCs/>
                <w:color w:val="auto"/>
                <w:sz w:val="24"/>
                <w:szCs w:val="24"/>
                <w:lang w:eastAsia="zh-CN"/>
              </w:rPr>
              <w:t>项目北侧</w:t>
            </w:r>
            <w:r>
              <w:rPr>
                <w:rFonts w:hint="default" w:ascii="Times New Roman" w:hAnsi="Times New Roman" w:cs="Times New Roman"/>
                <w:color w:val="auto"/>
                <w:sz w:val="24"/>
                <w:szCs w:val="24"/>
                <w:lang w:eastAsia="zh-CN"/>
              </w:rPr>
              <w:t>紧邻</w:t>
            </w:r>
            <w:r>
              <w:rPr>
                <w:rFonts w:hint="eastAsia" w:cs="Times New Roman"/>
                <w:color w:val="auto"/>
                <w:sz w:val="24"/>
                <w:szCs w:val="24"/>
                <w:lang w:val="en-US" w:eastAsia="zh-CN"/>
              </w:rPr>
              <w:t>农田</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97</w:t>
            </w:r>
            <w:r>
              <w:rPr>
                <w:rFonts w:hint="default" w:ascii="Times New Roman" w:hAnsi="Times New Roman" w:cs="Times New Roman"/>
                <w:color w:val="auto"/>
                <w:sz w:val="24"/>
                <w:szCs w:val="24"/>
                <w:lang w:val="en-US" w:eastAsia="zh-CN"/>
              </w:rPr>
              <w:t>m处有</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户农户</w:t>
            </w:r>
            <w:r>
              <w:rPr>
                <w:rFonts w:hint="eastAsia" w:ascii="Times New Roman" w:hAnsi="Times New Roman" w:cs="Times New Roman"/>
                <w:color w:val="auto"/>
                <w:sz w:val="24"/>
                <w:szCs w:val="24"/>
                <w:lang w:val="en-US" w:eastAsia="zh-CN"/>
              </w:rPr>
              <w:t>，北侧偏东</w:t>
            </w:r>
            <w:r>
              <w:rPr>
                <w:rFonts w:hint="eastAsia" w:cs="Times New Roman"/>
                <w:color w:val="auto"/>
                <w:sz w:val="24"/>
                <w:szCs w:val="24"/>
                <w:lang w:val="en-US" w:eastAsia="zh-CN"/>
              </w:rPr>
              <w:t>212</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300</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13</w:t>
            </w:r>
            <w:r>
              <w:rPr>
                <w:rFonts w:hint="default" w:ascii="Times New Roman" w:hAnsi="Times New Roman" w:cs="Times New Roman"/>
                <w:color w:val="auto"/>
                <w:sz w:val="24"/>
                <w:szCs w:val="24"/>
                <w:lang w:val="en-US" w:eastAsia="zh-CN"/>
              </w:rPr>
              <w:t>户</w:t>
            </w:r>
            <w:r>
              <w:rPr>
                <w:rFonts w:hint="eastAsia" w:cs="Times New Roman"/>
                <w:color w:val="auto"/>
                <w:sz w:val="24"/>
                <w:szCs w:val="24"/>
                <w:lang w:val="en-US" w:eastAsia="zh-CN"/>
              </w:rPr>
              <w:t>居民</w:t>
            </w:r>
            <w:r>
              <w:rPr>
                <w:rFonts w:hint="default" w:ascii="Times New Roman" w:hAnsi="Times New Roman" w:eastAsia="宋体" w:cs="Times New Roman"/>
                <w:color w:val="auto"/>
                <w:sz w:val="24"/>
                <w:szCs w:val="24"/>
                <w:lang w:eastAsia="zh-CN"/>
              </w:rPr>
              <w:t>。</w:t>
            </w:r>
          </w:p>
          <w:p w14:paraId="77AC7458">
            <w:pPr>
              <w:pStyle w:val="52"/>
              <w:snapToGrid w:val="0"/>
              <w:spacing w:line="360" w:lineRule="auto"/>
              <w:ind w:left="0" w:leftChars="0" w:firstLine="48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szCs w:val="24"/>
              </w:rPr>
              <w:t>由上可知，本项目厂址周边主要为农村环境，200m范围内无医院、幼儿园、学校、敬老院、社会福利机构等环境敏感点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本项目为不锈钢制品和</w:t>
            </w:r>
            <w:r>
              <w:rPr>
                <w:rFonts w:hint="default" w:ascii="Times New Roman" w:hAnsi="Times New Roman" w:cs="Times New Roman"/>
                <w:color w:val="auto"/>
                <w:lang w:eastAsia="zh-CN"/>
              </w:rPr>
              <w:t>畜禽养殖专用水泥制品等，属于</w:t>
            </w:r>
            <w:r>
              <w:rPr>
                <w:rFonts w:hint="default" w:ascii="Times New Roman" w:hAnsi="Times New Roman" w:cs="Times New Roman"/>
                <w:color w:val="auto"/>
                <w:lang w:val="en-US" w:eastAsia="zh-CN"/>
              </w:rPr>
              <w:t>砼结构构件制造（C3022）和金属结构制造（C3311），</w:t>
            </w:r>
            <w:r>
              <w:rPr>
                <w:rFonts w:hint="default" w:ascii="Times New Roman" w:hAnsi="Times New Roman" w:cs="Times New Roman"/>
                <w:color w:val="auto"/>
                <w:lang w:eastAsia="zh-CN"/>
              </w:rPr>
              <w:t>污染物主要为粉尘和噪声。本项目以</w:t>
            </w:r>
            <w:r>
              <w:rPr>
                <w:rFonts w:hint="eastAsia" w:ascii="Times New Roman" w:hAnsi="Times New Roman" w:cs="Times New Roman"/>
                <w:color w:val="auto"/>
                <w:lang w:val="en-US" w:eastAsia="zh-CN"/>
              </w:rPr>
              <w:t>生产</w:t>
            </w:r>
            <w:r>
              <w:rPr>
                <w:rFonts w:hint="default" w:ascii="Times New Roman" w:hAnsi="Times New Roman" w:cs="Times New Roman"/>
                <w:color w:val="auto"/>
                <w:lang w:val="en-US" w:eastAsia="zh-CN"/>
              </w:rPr>
              <w:t>厂房边</w:t>
            </w:r>
            <w:r>
              <w:rPr>
                <w:rFonts w:hint="default" w:ascii="Times New Roman" w:hAnsi="Times New Roman" w:cs="Times New Roman"/>
                <w:color w:val="auto"/>
                <w:lang w:eastAsia="zh-CN"/>
              </w:rPr>
              <w:t>界为起点，设置50m卫生防护距离。其中在50m卫生防护距离范围内</w:t>
            </w:r>
            <w:r>
              <w:rPr>
                <w:rFonts w:hint="default" w:ascii="Times New Roman" w:hAnsi="Times New Roman" w:cs="Times New Roman"/>
                <w:color w:val="auto"/>
                <w:lang w:val="en-US" w:eastAsia="zh-CN"/>
              </w:rPr>
              <w:t>有</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户农户，业主单位已将此户农户用房租用为项目</w:t>
            </w:r>
            <w:r>
              <w:rPr>
                <w:rFonts w:hint="eastAsia" w:ascii="Times New Roman" w:hAnsi="Times New Roman" w:cs="Times New Roman"/>
                <w:color w:val="auto"/>
                <w:lang w:val="en-US" w:eastAsia="zh-CN"/>
              </w:rPr>
              <w:t>库房（详见附件）</w:t>
            </w:r>
            <w:r>
              <w:rPr>
                <w:rFonts w:hint="default" w:ascii="Times New Roman" w:hAnsi="Times New Roman" w:cs="Times New Roman"/>
                <w:color w:val="auto"/>
                <w:lang w:eastAsia="zh-CN"/>
              </w:rPr>
              <w:t>。根据现场调查，本项目50m卫生防护距离范围内主要为</w:t>
            </w:r>
            <w:r>
              <w:rPr>
                <w:rFonts w:hint="default" w:ascii="Times New Roman" w:hAnsi="Times New Roman" w:cs="Times New Roman"/>
                <w:color w:val="auto"/>
                <w:lang w:val="en-US" w:eastAsia="zh-CN"/>
              </w:rPr>
              <w:t>空地或荒地，无其他环境敏感点</w:t>
            </w:r>
            <w:r>
              <w:rPr>
                <w:rFonts w:hint="default" w:ascii="Times New Roman" w:hAnsi="Times New Roman" w:cs="Times New Roman"/>
                <w:color w:val="auto"/>
                <w:lang w:eastAsia="zh-CN"/>
              </w:rPr>
              <w:t>。本项目生产实行单班制，夜间不生产，产噪设备主要是给</w:t>
            </w:r>
            <w:r>
              <w:rPr>
                <w:rFonts w:ascii="宋体" w:hAnsi="宋体"/>
                <w:color w:val="auto"/>
                <w:spacing w:val="4"/>
                <w:sz w:val="24"/>
                <w:szCs w:val="24"/>
              </w:rPr>
              <w:t>切割机、焊机、搅拌机、</w:t>
            </w:r>
            <w:r>
              <w:rPr>
                <w:rFonts w:hint="eastAsia" w:ascii="宋体" w:hAnsi="宋体"/>
                <w:color w:val="auto"/>
                <w:spacing w:val="4"/>
                <w:sz w:val="24"/>
                <w:szCs w:val="24"/>
                <w:lang w:val="en-US" w:eastAsia="zh-CN"/>
              </w:rPr>
              <w:t>水泥制品生产线</w:t>
            </w:r>
            <w:r>
              <w:rPr>
                <w:rFonts w:ascii="宋体" w:hAnsi="宋体"/>
                <w:color w:val="auto"/>
                <w:spacing w:val="4"/>
                <w:sz w:val="24"/>
                <w:szCs w:val="24"/>
              </w:rPr>
              <w:t>、</w:t>
            </w:r>
            <w:r>
              <w:rPr>
                <w:rFonts w:hint="eastAsia" w:ascii="宋体" w:hAnsi="宋体"/>
                <w:color w:val="auto"/>
                <w:spacing w:val="4"/>
                <w:sz w:val="24"/>
                <w:szCs w:val="24"/>
                <w:lang w:val="en-US" w:eastAsia="zh-CN"/>
              </w:rPr>
              <w:t>剪板机、空压机</w:t>
            </w:r>
            <w:r>
              <w:rPr>
                <w:rFonts w:hint="default" w:ascii="Times New Roman" w:hAnsi="Times New Roman" w:cs="Times New Roman"/>
                <w:color w:val="auto"/>
                <w:lang w:eastAsia="zh-CN"/>
              </w:rPr>
              <w:t>等。项目在采取隔声、减震等措施后，利用距离衰减、建筑阻隔作用，经预测可知本项目</w:t>
            </w:r>
            <w:r>
              <w:rPr>
                <w:rFonts w:hint="default" w:ascii="Times New Roman" w:hAnsi="Times New Roman" w:cs="Times New Roman"/>
                <w:color w:val="auto"/>
                <w:lang w:val="en-US" w:eastAsia="zh-CN"/>
              </w:rPr>
              <w:t>噪声排放对周边农户处</w:t>
            </w:r>
            <w:r>
              <w:rPr>
                <w:rFonts w:hint="default" w:ascii="Times New Roman" w:hAnsi="Times New Roman" w:cs="Times New Roman"/>
                <w:color w:val="auto"/>
                <w:lang w:eastAsia="zh-CN"/>
              </w:rPr>
              <w:t>噪声</w:t>
            </w:r>
            <w:r>
              <w:rPr>
                <w:rFonts w:hint="default" w:ascii="Times New Roman" w:hAnsi="Times New Roman" w:cs="Times New Roman"/>
                <w:color w:val="auto"/>
                <w:lang w:val="en-US" w:eastAsia="zh-CN"/>
              </w:rPr>
              <w:t>贡献值叠加背景值后</w:t>
            </w:r>
            <w:r>
              <w:rPr>
                <w:rFonts w:hint="default" w:ascii="Times New Roman" w:hAnsi="Times New Roman" w:cs="Times New Roman"/>
                <w:color w:val="auto"/>
                <w:lang w:eastAsia="zh-CN"/>
              </w:rPr>
              <w:t>可满足《</w:t>
            </w:r>
            <w:r>
              <w:rPr>
                <w:rFonts w:hint="default" w:ascii="Times New Roman" w:hAnsi="Times New Roman" w:cs="Times New Roman"/>
                <w:color w:val="auto"/>
                <w:lang w:val="en-US" w:eastAsia="zh-CN"/>
              </w:rPr>
              <w:t>声环境质量标准</w:t>
            </w:r>
            <w:r>
              <w:rPr>
                <w:rFonts w:hint="default" w:ascii="Times New Roman" w:hAnsi="Times New Roman" w:cs="Times New Roman"/>
                <w:color w:val="auto"/>
                <w:lang w:eastAsia="zh-CN"/>
              </w:rPr>
              <w:t>》（GB</w:t>
            </w:r>
            <w:r>
              <w:rPr>
                <w:rFonts w:hint="default" w:ascii="Times New Roman" w:hAnsi="Times New Roman" w:cs="Times New Roman"/>
                <w:color w:val="auto"/>
                <w:lang w:val="en-US" w:eastAsia="zh-CN"/>
              </w:rPr>
              <w:t>3096</w:t>
            </w:r>
            <w:r>
              <w:rPr>
                <w:rFonts w:hint="default" w:ascii="Times New Roman" w:hAnsi="Times New Roman" w:cs="Times New Roman"/>
                <w:color w:val="auto"/>
                <w:lang w:eastAsia="zh-CN"/>
              </w:rPr>
              <w:t>-2008）2类标准（昼间≤60dB（A）），厂界噪声可满足《工业企业厂界环境噪声排放标准》（GB 12348-2008）</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类标准（昼间≤6</w:t>
            </w:r>
            <w:r>
              <w:rPr>
                <w:rFonts w:hint="default" w:ascii="Times New Roman" w:hAnsi="Times New Roman" w:cs="Times New Roman"/>
                <w:color w:val="auto"/>
                <w:lang w:val="en-US" w:eastAsia="zh-CN"/>
              </w:rPr>
              <w:t>0</w:t>
            </w:r>
            <w:r>
              <w:rPr>
                <w:rFonts w:hint="default" w:ascii="Times New Roman" w:hAnsi="Times New Roman" w:cs="Times New Roman"/>
                <w:color w:val="auto"/>
                <w:lang w:eastAsia="zh-CN"/>
              </w:rPr>
              <w:t>dB（A））要求。</w:t>
            </w:r>
          </w:p>
          <w:p w14:paraId="0AAA8574">
            <w:pPr>
              <w:pStyle w:val="52"/>
              <w:snapToGrid w:val="0"/>
              <w:spacing w:line="360" w:lineRule="auto"/>
              <w:ind w:left="0" w:leftChars="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综上所述，本项目评价范围内无特殊保护文物古迹、自然保护区和特殊环境制约因素。本项目在采取严格的环保措施后，本项目污染物的排放不会降低区域环境质量。</w:t>
            </w:r>
          </w:p>
          <w:p w14:paraId="3A70A8BC">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综上所述，本项目选址合理，与外环境相容。</w:t>
            </w:r>
          </w:p>
          <w:p w14:paraId="2C43A1DF">
            <w:pPr>
              <w:snapToGrid w:val="0"/>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选线合理性分析</w:t>
            </w:r>
          </w:p>
          <w:p w14:paraId="48F1D952">
            <w:pPr>
              <w:snapToGrid w:val="0"/>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经勘查，本项目原料运进与产品运出线路唯一，由南侧乡道向</w:t>
            </w:r>
            <w:r>
              <w:rPr>
                <w:rFonts w:hint="eastAsia" w:cs="Times New Roman"/>
                <w:b w:val="0"/>
                <w:bCs w:val="0"/>
                <w:color w:val="auto"/>
                <w:sz w:val="24"/>
                <w:szCs w:val="24"/>
                <w:lang w:val="en-US" w:eastAsia="zh-CN"/>
              </w:rPr>
              <w:t>东</w:t>
            </w:r>
            <w:r>
              <w:rPr>
                <w:rFonts w:hint="default" w:ascii="Times New Roman" w:hAnsi="Times New Roman" w:cs="Times New Roman"/>
                <w:b w:val="0"/>
                <w:bCs w:val="0"/>
                <w:color w:val="auto"/>
                <w:sz w:val="24"/>
                <w:szCs w:val="24"/>
                <w:lang w:val="en-US" w:eastAsia="zh-CN"/>
              </w:rPr>
              <w:t>进入S</w:t>
            </w:r>
            <w:r>
              <w:rPr>
                <w:rFonts w:hint="eastAsia" w:cs="Times New Roman"/>
                <w:b w:val="0"/>
                <w:bCs w:val="0"/>
                <w:color w:val="auto"/>
                <w:sz w:val="24"/>
                <w:szCs w:val="24"/>
                <w:lang w:val="en-US" w:eastAsia="zh-CN"/>
              </w:rPr>
              <w:t>304</w:t>
            </w:r>
            <w:r>
              <w:rPr>
                <w:rFonts w:hint="default" w:ascii="Times New Roman" w:hAnsi="Times New Roman" w:cs="Times New Roman"/>
                <w:b w:val="0"/>
                <w:bCs w:val="0"/>
                <w:color w:val="auto"/>
                <w:sz w:val="24"/>
                <w:szCs w:val="24"/>
                <w:lang w:val="en-US" w:eastAsia="zh-CN"/>
              </w:rPr>
              <w:t>，本次评价不再对运输线路进行对比评价，仅对运输过程车辆管理提出要求。</w:t>
            </w:r>
          </w:p>
          <w:p w14:paraId="67F36541">
            <w:pPr>
              <w:numPr>
                <w:ilvl w:val="0"/>
                <w:numId w:val="0"/>
              </w:num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 1 \* GB3 \* MERGEFORMAT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b w:val="0"/>
                <w:bCs w:val="0"/>
                <w:color w:val="auto"/>
                <w:sz w:val="24"/>
                <w:szCs w:val="24"/>
                <w:lang w:val="en-US" w:eastAsia="zh-CN"/>
              </w:rPr>
              <w:fldChar w:fldCharType="end"/>
            </w:r>
            <w:r>
              <w:rPr>
                <w:rFonts w:hint="default" w:ascii="Times New Roman" w:hAnsi="Times New Roman" w:cs="Times New Roman"/>
                <w:b w:val="0"/>
                <w:bCs w:val="0"/>
                <w:color w:val="auto"/>
                <w:sz w:val="24"/>
                <w:szCs w:val="24"/>
                <w:lang w:val="en-US" w:eastAsia="zh-CN"/>
              </w:rPr>
              <w:t>运输车辆应用篷布遮盖，密闭运输；</w:t>
            </w:r>
          </w:p>
          <w:p w14:paraId="66A2BA70">
            <w:pPr>
              <w:numPr>
                <w:ilvl w:val="0"/>
                <w:numId w:val="0"/>
              </w:num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 2 \* GB3 \* MERGEFORMAT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b w:val="0"/>
                <w:bCs w:val="0"/>
                <w:color w:val="auto"/>
                <w:sz w:val="24"/>
                <w:szCs w:val="24"/>
                <w:lang w:val="en-US" w:eastAsia="zh-CN"/>
              </w:rPr>
              <w:fldChar w:fldCharType="end"/>
            </w:r>
            <w:r>
              <w:rPr>
                <w:rFonts w:hint="default" w:ascii="Times New Roman" w:hAnsi="Times New Roman" w:cs="Times New Roman"/>
                <w:b w:val="0"/>
                <w:bCs w:val="0"/>
                <w:color w:val="auto"/>
                <w:sz w:val="24"/>
                <w:szCs w:val="24"/>
                <w:lang w:val="en-US" w:eastAsia="zh-CN"/>
              </w:rPr>
              <w:t>运输车辆应控制时速，途径农户处时禁止鸣笛；</w:t>
            </w:r>
          </w:p>
          <w:p w14:paraId="1AEA57B1">
            <w:pPr>
              <w:numPr>
                <w:ilvl w:val="0"/>
                <w:numId w:val="0"/>
              </w:numPr>
              <w:snapToGrid w:val="0"/>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 3 \* GB3 \* MERGEFORMAT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b w:val="0"/>
                <w:bCs w:val="0"/>
                <w:color w:val="auto"/>
                <w:sz w:val="24"/>
                <w:szCs w:val="24"/>
                <w:lang w:val="en-US" w:eastAsia="zh-CN"/>
              </w:rPr>
              <w:fldChar w:fldCharType="end"/>
            </w:r>
            <w:r>
              <w:rPr>
                <w:rFonts w:hint="default" w:ascii="Times New Roman" w:hAnsi="Times New Roman" w:cs="Times New Roman"/>
                <w:b w:val="0"/>
                <w:bCs w:val="0"/>
                <w:color w:val="auto"/>
                <w:sz w:val="24"/>
                <w:szCs w:val="24"/>
                <w:lang w:val="en-US" w:eastAsia="zh-CN"/>
              </w:rPr>
              <w:t>对离场车辆轮胎进行清洗，厂区内道路和大门处应定时洒水降尘；</w:t>
            </w:r>
          </w:p>
          <w:p w14:paraId="2A4B543F">
            <w:pPr>
              <w:numPr>
                <w:ilvl w:val="0"/>
                <w:numId w:val="0"/>
              </w:num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t>采取上述措施后，运输车辆对周边环境敏感点的影响能够降到最小。</w:t>
            </w:r>
          </w:p>
          <w:p w14:paraId="014FB80F">
            <w:pPr>
              <w:snapToGrid w:val="0"/>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eastAsia="zh-CN"/>
              </w:rPr>
              <w:t>六</w:t>
            </w:r>
            <w:r>
              <w:rPr>
                <w:rFonts w:hint="default" w:ascii="Times New Roman" w:hAnsi="Times New Roman" w:eastAsia="宋体" w:cs="Times New Roman"/>
                <w:b/>
                <w:bCs/>
                <w:color w:val="auto"/>
                <w:sz w:val="28"/>
                <w:szCs w:val="28"/>
              </w:rPr>
              <w:t>、建设内容及规模</w:t>
            </w:r>
          </w:p>
          <w:p w14:paraId="654121EB">
            <w:pPr>
              <w:snapToGrid w:val="0"/>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1、项目概况</w:t>
            </w:r>
          </w:p>
          <w:p w14:paraId="69B7E6D4">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r>
              <w:rPr>
                <w:rFonts w:hint="eastAsia" w:cs="Times New Roman"/>
                <w:color w:val="auto"/>
                <w:sz w:val="24"/>
                <w:szCs w:val="24"/>
                <w:lang w:eastAsia="zh-CN"/>
              </w:rPr>
              <w:t>畜禽养殖专用水泥制品及不锈钢制品项目</w:t>
            </w:r>
          </w:p>
          <w:p w14:paraId="0A06AF7F">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eastAsia" w:cs="Times New Roman"/>
                <w:color w:val="auto"/>
                <w:sz w:val="24"/>
                <w:szCs w:val="24"/>
                <w:lang w:eastAsia="zh-CN"/>
              </w:rPr>
              <w:t>蓬溪县蓬南镇新豪杰养殖设备厂</w:t>
            </w:r>
          </w:p>
          <w:p w14:paraId="75DF951E">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建设地点：</w:t>
            </w:r>
            <w:r>
              <w:rPr>
                <w:rFonts w:hint="eastAsia" w:cs="Times New Roman"/>
                <w:color w:val="auto"/>
                <w:sz w:val="24"/>
                <w:szCs w:val="24"/>
                <w:lang w:eastAsia="zh-CN"/>
              </w:rPr>
              <w:t xml:space="preserve">四川省遂宁市蓬溪县蓬南镇长石村3社 </w:t>
            </w:r>
          </w:p>
          <w:p w14:paraId="293621CE">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建设性质：新建</w:t>
            </w:r>
          </w:p>
          <w:p w14:paraId="118E6C94">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项目投资：总投资</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，均为自筹</w:t>
            </w:r>
          </w:p>
          <w:p w14:paraId="53AD60A4">
            <w:pPr>
              <w:snapToGrid w:val="0"/>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2、建设内容及产品方案</w:t>
            </w:r>
          </w:p>
          <w:p w14:paraId="17C76467">
            <w:pPr>
              <w:snapToGrid w:val="0"/>
              <w:spacing w:line="360" w:lineRule="auto"/>
              <w:ind w:firstLine="361" w:firstLineChars="15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（1）建设内容</w:t>
            </w:r>
          </w:p>
          <w:p w14:paraId="37E93C2C">
            <w:pPr>
              <w:spacing w:line="360" w:lineRule="auto"/>
              <w:ind w:firstLine="480" w:firstLineChars="200"/>
              <w:rPr>
                <w:rFonts w:hint="default" w:ascii="Times New Roman" w:hAnsi="Times New Roman" w:eastAsia="宋体" w:cs="Times New Roman"/>
                <w:b/>
                <w:color w:val="auto"/>
                <w:kern w:val="24"/>
                <w:sz w:val="24"/>
                <w:szCs w:val="20"/>
              </w:rPr>
            </w:pPr>
            <w:r>
              <w:rPr>
                <w:rFonts w:hint="default" w:ascii="Times New Roman" w:hAnsi="Times New Roman" w:cs="Times New Roman"/>
                <w:color w:val="auto"/>
                <w:sz w:val="24"/>
                <w:szCs w:val="24"/>
                <w:lang w:val="en-US" w:eastAsia="zh-CN"/>
              </w:rPr>
              <w:t>项目</w:t>
            </w:r>
            <w:r>
              <w:rPr>
                <w:rFonts w:hint="default" w:ascii="Times New Roman" w:hAnsi="Times New Roman" w:eastAsia="宋体" w:cs="Times New Roman"/>
                <w:color w:val="auto"/>
                <w:sz w:val="24"/>
                <w:szCs w:val="24"/>
              </w:rPr>
              <w:t>建设</w:t>
            </w:r>
            <w:r>
              <w:rPr>
                <w:rFonts w:hint="eastAsia" w:cs="Times New Roman"/>
                <w:color w:val="auto"/>
                <w:sz w:val="24"/>
                <w:szCs w:val="24"/>
                <w:lang w:val="en-US" w:eastAsia="zh-CN"/>
              </w:rPr>
              <w:t>水泥制品</w:t>
            </w:r>
            <w:r>
              <w:rPr>
                <w:rFonts w:hint="default" w:ascii="Times New Roman" w:hAnsi="Times New Roman" w:eastAsia="宋体" w:cs="Times New Roman"/>
                <w:color w:val="auto"/>
                <w:sz w:val="24"/>
                <w:szCs w:val="24"/>
              </w:rPr>
              <w:t>生产线1条，年产4万</w:t>
            </w:r>
            <w:r>
              <w:rPr>
                <w:rFonts w:hint="eastAsia" w:cs="Times New Roman"/>
                <w:color w:val="auto"/>
                <w:sz w:val="24"/>
                <w:szCs w:val="24"/>
                <w:lang w:val="en-US" w:eastAsia="zh-CN"/>
              </w:rPr>
              <w:t>块混凝土漏粪板和5000个水泥料槽，金属制品生产线1条，年产5万个不锈钢料槽。项目</w:t>
            </w:r>
            <w:r>
              <w:rPr>
                <w:rFonts w:hint="default" w:ascii="Times New Roman" w:hAnsi="Times New Roman" w:cs="Times New Roman"/>
                <w:color w:val="auto"/>
                <w:sz w:val="24"/>
                <w:szCs w:val="24"/>
                <w:lang w:val="en-US" w:eastAsia="zh-CN"/>
              </w:rPr>
              <w:t>占地面积2454.84m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vertAlign w:val="baseline"/>
                <w:lang w:val="en-US" w:eastAsia="zh-CN"/>
              </w:rPr>
              <w:t>，分别设置原料堆场、生产车间、成品堆场及办公区。本项目由主体工程、公用辅助工程、仓储工程及环保工程组成。本项目不设置食堂及宿舍。</w:t>
            </w:r>
          </w:p>
          <w:p w14:paraId="393A0493">
            <w:pPr>
              <w:snapToGrid w:val="0"/>
              <w:spacing w:line="360" w:lineRule="auto"/>
              <w:ind w:firstLine="361" w:firstLineChars="15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（2）产品方案</w:t>
            </w:r>
          </w:p>
          <w:p w14:paraId="43F047E1">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项目产品方案见表1-</w:t>
            </w:r>
            <w:r>
              <w:rPr>
                <w:rFonts w:hint="eastAsia" w:cs="Times New Roman"/>
                <w:color w:val="auto"/>
                <w:sz w:val="24"/>
                <w:lang w:val="en-US" w:eastAsia="zh-CN"/>
              </w:rPr>
              <w:t>11</w:t>
            </w:r>
            <w:r>
              <w:rPr>
                <w:rFonts w:hint="default" w:ascii="Times New Roman" w:hAnsi="Times New Roman" w:eastAsia="宋体" w:cs="Times New Roman"/>
                <w:color w:val="auto"/>
                <w:sz w:val="24"/>
              </w:rPr>
              <w:t>。</w:t>
            </w:r>
          </w:p>
          <w:p w14:paraId="69F175B0">
            <w:pPr>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表1-</w:t>
            </w:r>
            <w:r>
              <w:rPr>
                <w:rFonts w:hint="eastAsia" w:cs="Times New Roman"/>
                <w:b/>
                <w:bCs/>
                <w:color w:val="auto"/>
                <w:szCs w:val="21"/>
                <w:lang w:val="en-US" w:eastAsia="zh-CN"/>
              </w:rPr>
              <w:t>11</w:t>
            </w:r>
            <w:r>
              <w:rPr>
                <w:rFonts w:hint="default" w:ascii="Times New Roman" w:hAnsi="Times New Roman" w:eastAsia="宋体" w:cs="Times New Roman"/>
                <w:b/>
                <w:bCs/>
                <w:color w:val="auto"/>
                <w:szCs w:val="21"/>
              </w:rPr>
              <w:t xml:space="preserve">  本项目产品方案一览表</w:t>
            </w:r>
          </w:p>
          <w:tbl>
            <w:tblPr>
              <w:tblStyle w:val="22"/>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534"/>
              <w:gridCol w:w="1269"/>
              <w:gridCol w:w="929"/>
              <w:gridCol w:w="2050"/>
              <w:gridCol w:w="1372"/>
            </w:tblGrid>
            <w:tr w14:paraId="0EB7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461" w:type="dxa"/>
                  <w:shd w:val="clear" w:color="auto" w:fill="auto"/>
                  <w:vAlign w:val="center"/>
                </w:tcPr>
                <w:p w14:paraId="6EA8838B">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w:t>
                  </w:r>
                  <w:r>
                    <w:rPr>
                      <w:rFonts w:hint="default" w:ascii="Times New Roman" w:hAnsi="Times New Roman" w:eastAsia="宋体" w:cs="Times New Roman"/>
                      <w:color w:val="auto"/>
                      <w:szCs w:val="21"/>
                      <w:lang w:eastAsia="zh-CN"/>
                    </w:rPr>
                    <w:t>种类</w:t>
                  </w:r>
                </w:p>
              </w:tc>
              <w:tc>
                <w:tcPr>
                  <w:tcW w:w="1534" w:type="dxa"/>
                  <w:shd w:val="clear" w:color="auto" w:fill="auto"/>
                  <w:vAlign w:val="center"/>
                </w:tcPr>
                <w:p w14:paraId="0F631F40">
                  <w:pPr>
                    <w:spacing w:line="276"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名称</w:t>
                  </w:r>
                </w:p>
              </w:tc>
              <w:tc>
                <w:tcPr>
                  <w:tcW w:w="1269" w:type="dxa"/>
                  <w:vAlign w:val="center"/>
                </w:tcPr>
                <w:p w14:paraId="3821AAF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c>
                <w:tcPr>
                  <w:tcW w:w="929" w:type="dxa"/>
                  <w:vAlign w:val="center"/>
                </w:tcPr>
                <w:p w14:paraId="7B4B590D">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产量</w:t>
                  </w:r>
                </w:p>
              </w:tc>
              <w:tc>
                <w:tcPr>
                  <w:tcW w:w="2050" w:type="dxa"/>
                  <w:vAlign w:val="center"/>
                </w:tcPr>
                <w:p w14:paraId="5A86162D">
                  <w:pPr>
                    <w:spacing w:line="276"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规格</w:t>
                  </w:r>
                </w:p>
              </w:tc>
              <w:tc>
                <w:tcPr>
                  <w:tcW w:w="1372" w:type="dxa"/>
                  <w:vAlign w:val="center"/>
                </w:tcPr>
                <w:p w14:paraId="53F059B2">
                  <w:pPr>
                    <w:spacing w:line="276"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用途</w:t>
                  </w:r>
                </w:p>
              </w:tc>
            </w:tr>
            <w:tr w14:paraId="419C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1" w:type="dxa"/>
                  <w:vMerge w:val="restart"/>
                  <w:shd w:val="clear" w:color="auto" w:fill="auto"/>
                  <w:vAlign w:val="center"/>
                </w:tcPr>
                <w:p w14:paraId="2A29552D">
                  <w:pPr>
                    <w:spacing w:line="276"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 xml:space="preserve">栓结构水泥制品 </w:t>
                  </w:r>
                </w:p>
              </w:tc>
              <w:tc>
                <w:tcPr>
                  <w:tcW w:w="1534" w:type="dxa"/>
                  <w:shd w:val="clear" w:color="auto" w:fill="auto"/>
                  <w:vAlign w:val="center"/>
                </w:tcPr>
                <w:p w14:paraId="78974637">
                  <w:pPr>
                    <w:spacing w:line="276" w:lineRule="auto"/>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混凝土漏粪板</w:t>
                  </w:r>
                </w:p>
              </w:tc>
              <w:tc>
                <w:tcPr>
                  <w:tcW w:w="1269" w:type="dxa"/>
                  <w:vAlign w:val="center"/>
                </w:tcPr>
                <w:p w14:paraId="39C61749">
                  <w:pPr>
                    <w:spacing w:line="276" w:lineRule="auto"/>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 xml:space="preserve">块/年 </w:t>
                  </w:r>
                </w:p>
              </w:tc>
              <w:tc>
                <w:tcPr>
                  <w:tcW w:w="929" w:type="dxa"/>
                  <w:vAlign w:val="center"/>
                </w:tcPr>
                <w:p w14:paraId="457EE807">
                  <w:pPr>
                    <w:spacing w:line="276"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40000</w:t>
                  </w:r>
                </w:p>
              </w:tc>
              <w:tc>
                <w:tcPr>
                  <w:tcW w:w="2050" w:type="dxa"/>
                  <w:vAlign w:val="center"/>
                </w:tcPr>
                <w:p w14:paraId="316C3054">
                  <w:pPr>
                    <w:spacing w:line="276" w:lineRule="auto"/>
                    <w:jc w:val="center"/>
                    <w:rPr>
                      <w:rFonts w:hint="default" w:ascii="Times New Roman" w:hAnsi="Times New Roman" w:eastAsia="宋体" w:cs="Times New Roman"/>
                      <w:color w:val="auto"/>
                      <w:szCs w:val="21"/>
                      <w:lang w:val="en-US" w:eastAsia="zh-CN"/>
                    </w:rPr>
                  </w:pPr>
                  <w:r>
                    <w:rPr>
                      <w:rFonts w:ascii="Times New Roman" w:hAnsi="Times New Roman"/>
                      <w:spacing w:val="5"/>
                      <w:sz w:val="21"/>
                    </w:rPr>
                    <w:t>4m</w:t>
                  </w:r>
                  <w:r>
                    <w:rPr>
                      <w:spacing w:val="5"/>
                      <w:sz w:val="21"/>
                    </w:rPr>
                    <w:t>×</w:t>
                  </w:r>
                  <w:r>
                    <w:rPr>
                      <w:spacing w:val="-92"/>
                      <w:sz w:val="21"/>
                    </w:rPr>
                    <w:t xml:space="preserve"> </w:t>
                  </w:r>
                  <w:r>
                    <w:rPr>
                      <w:rFonts w:ascii="Times New Roman" w:hAnsi="Times New Roman"/>
                      <w:spacing w:val="8"/>
                      <w:sz w:val="21"/>
                    </w:rPr>
                    <w:t>1.1m</w:t>
                  </w:r>
                  <w:r>
                    <w:rPr>
                      <w:spacing w:val="8"/>
                      <w:sz w:val="21"/>
                    </w:rPr>
                    <w:t>×</w:t>
                  </w:r>
                  <w:r>
                    <w:rPr>
                      <w:rFonts w:hint="eastAsia" w:ascii="Times New Roman" w:hAnsi="Times New Roman"/>
                      <w:spacing w:val="8"/>
                      <w:sz w:val="21"/>
                      <w:lang w:val="en-US" w:eastAsia="zh-CN"/>
                    </w:rPr>
                    <w:t>0.1</w:t>
                  </w:r>
                  <w:r>
                    <w:rPr>
                      <w:rFonts w:ascii="Times New Roman" w:hAnsi="Times New Roman"/>
                      <w:spacing w:val="8"/>
                      <w:sz w:val="21"/>
                    </w:rPr>
                    <w:t>m</w:t>
                  </w:r>
                </w:p>
              </w:tc>
              <w:tc>
                <w:tcPr>
                  <w:tcW w:w="1372" w:type="dxa"/>
                  <w:vMerge w:val="restart"/>
                  <w:vAlign w:val="center"/>
                </w:tcPr>
                <w:p w14:paraId="62E5ED21">
                  <w:pPr>
                    <w:spacing w:line="276"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猪场建筑设施和材料</w:t>
                  </w:r>
                </w:p>
              </w:tc>
            </w:tr>
            <w:tr w14:paraId="08D8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1" w:type="dxa"/>
                  <w:vMerge w:val="continue"/>
                  <w:shd w:val="clear" w:color="auto" w:fill="auto"/>
                  <w:vAlign w:val="center"/>
                </w:tcPr>
                <w:p w14:paraId="3F51EFC8">
                  <w:pPr>
                    <w:spacing w:line="276" w:lineRule="auto"/>
                    <w:jc w:val="center"/>
                    <w:rPr>
                      <w:rFonts w:hint="default" w:ascii="Times New Roman" w:hAnsi="Times New Roman" w:eastAsia="宋体" w:cs="Times New Roman"/>
                      <w:color w:val="auto"/>
                      <w:szCs w:val="21"/>
                      <w:lang w:val="en-US" w:eastAsia="zh-CN"/>
                    </w:rPr>
                  </w:pPr>
                </w:p>
              </w:tc>
              <w:tc>
                <w:tcPr>
                  <w:tcW w:w="1534" w:type="dxa"/>
                  <w:shd w:val="clear" w:color="auto" w:fill="auto"/>
                  <w:vAlign w:val="center"/>
                </w:tcPr>
                <w:p w14:paraId="27350184">
                  <w:pPr>
                    <w:spacing w:line="276"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水泥料槽</w:t>
                  </w:r>
                </w:p>
              </w:tc>
              <w:tc>
                <w:tcPr>
                  <w:tcW w:w="1269" w:type="dxa"/>
                  <w:vAlign w:val="center"/>
                </w:tcPr>
                <w:p w14:paraId="656FA3E4">
                  <w:pPr>
                    <w:spacing w:line="276" w:lineRule="auto"/>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 xml:space="preserve">个/年 </w:t>
                  </w:r>
                </w:p>
              </w:tc>
              <w:tc>
                <w:tcPr>
                  <w:tcW w:w="929" w:type="dxa"/>
                  <w:vAlign w:val="center"/>
                </w:tcPr>
                <w:p w14:paraId="7B15DAF4">
                  <w:pPr>
                    <w:spacing w:line="276"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5000</w:t>
                  </w:r>
                </w:p>
              </w:tc>
              <w:tc>
                <w:tcPr>
                  <w:tcW w:w="2050" w:type="dxa"/>
                  <w:vAlign w:val="center"/>
                </w:tcPr>
                <w:p w14:paraId="613EAF2D">
                  <w:pPr>
                    <w:spacing w:line="276" w:lineRule="auto"/>
                    <w:jc w:val="center"/>
                    <w:rPr>
                      <w:rFonts w:hint="default" w:ascii="Times New Roman" w:hAnsi="Times New Roman" w:eastAsia="宋体" w:cs="Times New Roman"/>
                      <w:color w:val="auto"/>
                      <w:szCs w:val="21"/>
                      <w:lang w:val="en-US" w:eastAsia="zh-CN"/>
                    </w:rPr>
                  </w:pPr>
                  <w:r>
                    <w:rPr>
                      <w:rFonts w:hint="eastAsia"/>
                      <w:sz w:val="21"/>
                      <w:lang w:val="en-US" w:eastAsia="zh-CN"/>
                    </w:rPr>
                    <w:t>90</w:t>
                  </w:r>
                  <w:r>
                    <w:rPr>
                      <w:sz w:val="21"/>
                    </w:rPr>
                    <w:t>×</w:t>
                  </w:r>
                  <w:r>
                    <w:rPr>
                      <w:rFonts w:hint="eastAsia"/>
                      <w:sz w:val="21"/>
                      <w:lang w:val="en-US" w:eastAsia="zh-CN"/>
                    </w:rPr>
                    <w:t>45</w:t>
                  </w:r>
                  <w:r>
                    <w:rPr>
                      <w:sz w:val="21"/>
                    </w:rPr>
                    <w:t>×</w:t>
                  </w:r>
                  <w:r>
                    <w:rPr>
                      <w:rFonts w:hint="eastAsia"/>
                      <w:sz w:val="21"/>
                      <w:lang w:val="en-US" w:eastAsia="zh-CN"/>
                    </w:rPr>
                    <w:t>70</w:t>
                  </w:r>
                  <w:r>
                    <w:rPr>
                      <w:rFonts w:ascii="Times New Roman" w:hAnsi="Times New Roman"/>
                      <w:sz w:val="21"/>
                    </w:rPr>
                    <w:t>cm</w:t>
                  </w:r>
                </w:p>
              </w:tc>
              <w:tc>
                <w:tcPr>
                  <w:tcW w:w="1372" w:type="dxa"/>
                  <w:vMerge w:val="continue"/>
                  <w:vAlign w:val="center"/>
                </w:tcPr>
                <w:p w14:paraId="6C2CAD55">
                  <w:pPr>
                    <w:spacing w:line="276" w:lineRule="auto"/>
                    <w:jc w:val="center"/>
                    <w:rPr>
                      <w:rFonts w:hint="default" w:ascii="Times New Roman" w:hAnsi="Times New Roman" w:cs="Times New Roman"/>
                      <w:color w:val="auto"/>
                      <w:szCs w:val="21"/>
                      <w:lang w:val="en-US" w:eastAsia="zh-CN"/>
                    </w:rPr>
                  </w:pPr>
                </w:p>
              </w:tc>
            </w:tr>
            <w:tr w14:paraId="187B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1" w:type="dxa"/>
                  <w:shd w:val="clear" w:color="auto" w:fill="auto"/>
                  <w:vAlign w:val="center"/>
                </w:tcPr>
                <w:p w14:paraId="0C55F84C">
                  <w:pPr>
                    <w:spacing w:line="276" w:lineRule="auto"/>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 xml:space="preserve">金属制品 </w:t>
                  </w:r>
                </w:p>
              </w:tc>
              <w:tc>
                <w:tcPr>
                  <w:tcW w:w="1534" w:type="dxa"/>
                  <w:shd w:val="clear" w:color="auto" w:fill="auto"/>
                  <w:vAlign w:val="center"/>
                </w:tcPr>
                <w:p w14:paraId="256D0F41">
                  <w:pPr>
                    <w:spacing w:line="276"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不锈钢料槽</w:t>
                  </w:r>
                </w:p>
              </w:tc>
              <w:tc>
                <w:tcPr>
                  <w:tcW w:w="1269" w:type="dxa"/>
                  <w:vAlign w:val="center"/>
                </w:tcPr>
                <w:p w14:paraId="5A47112A">
                  <w:pPr>
                    <w:spacing w:line="276" w:lineRule="auto"/>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 xml:space="preserve">个/年 </w:t>
                  </w:r>
                </w:p>
              </w:tc>
              <w:tc>
                <w:tcPr>
                  <w:tcW w:w="929" w:type="dxa"/>
                  <w:vAlign w:val="center"/>
                </w:tcPr>
                <w:p w14:paraId="69CBC575">
                  <w:pPr>
                    <w:spacing w:line="276"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50000</w:t>
                  </w:r>
                </w:p>
              </w:tc>
              <w:tc>
                <w:tcPr>
                  <w:tcW w:w="2050" w:type="dxa"/>
                  <w:vAlign w:val="center"/>
                </w:tcPr>
                <w:p w14:paraId="6BCAFE9A">
                  <w:pPr>
                    <w:spacing w:line="276" w:lineRule="auto"/>
                    <w:jc w:val="center"/>
                    <w:rPr>
                      <w:rFonts w:hint="default" w:ascii="Times New Roman" w:hAnsi="Times New Roman" w:eastAsia="宋体" w:cs="Times New Roman"/>
                      <w:color w:val="auto"/>
                      <w:szCs w:val="21"/>
                      <w:lang w:val="en-US" w:eastAsia="zh-CN"/>
                    </w:rPr>
                  </w:pPr>
                  <w:r>
                    <w:rPr>
                      <w:rFonts w:hint="eastAsia"/>
                      <w:sz w:val="21"/>
                      <w:lang w:val="en-US" w:eastAsia="zh-CN"/>
                    </w:rPr>
                    <w:t>90</w:t>
                  </w:r>
                  <w:r>
                    <w:rPr>
                      <w:sz w:val="21"/>
                    </w:rPr>
                    <w:t>×</w:t>
                  </w:r>
                  <w:r>
                    <w:rPr>
                      <w:rFonts w:hint="eastAsia"/>
                      <w:sz w:val="21"/>
                      <w:lang w:val="en-US" w:eastAsia="zh-CN"/>
                    </w:rPr>
                    <w:t>45</w:t>
                  </w:r>
                  <w:r>
                    <w:rPr>
                      <w:sz w:val="21"/>
                    </w:rPr>
                    <w:t>×</w:t>
                  </w:r>
                  <w:r>
                    <w:rPr>
                      <w:rFonts w:hint="eastAsia"/>
                      <w:sz w:val="21"/>
                      <w:lang w:val="en-US" w:eastAsia="zh-CN"/>
                    </w:rPr>
                    <w:t>70</w:t>
                  </w:r>
                  <w:r>
                    <w:rPr>
                      <w:rFonts w:ascii="Times New Roman" w:hAnsi="Times New Roman"/>
                      <w:sz w:val="21"/>
                    </w:rPr>
                    <w:t>cm</w:t>
                  </w:r>
                </w:p>
              </w:tc>
              <w:tc>
                <w:tcPr>
                  <w:tcW w:w="1372" w:type="dxa"/>
                  <w:vMerge w:val="continue"/>
                  <w:vAlign w:val="center"/>
                </w:tcPr>
                <w:p w14:paraId="5BB78579">
                  <w:pPr>
                    <w:spacing w:line="276" w:lineRule="auto"/>
                    <w:jc w:val="center"/>
                    <w:rPr>
                      <w:rFonts w:hint="default" w:ascii="Times New Roman" w:hAnsi="Times New Roman" w:cs="Times New Roman"/>
                      <w:color w:val="auto"/>
                      <w:szCs w:val="21"/>
                      <w:lang w:val="en-US" w:eastAsia="zh-CN"/>
                    </w:rPr>
                  </w:pPr>
                </w:p>
              </w:tc>
            </w:tr>
          </w:tbl>
          <w:p w14:paraId="2BD50996">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eastAsia="zh-CN"/>
              </w:rPr>
              <w:t>七</w:t>
            </w:r>
            <w:r>
              <w:rPr>
                <w:rFonts w:hint="default" w:ascii="Times New Roman" w:hAnsi="Times New Roman" w:eastAsia="宋体" w:cs="Times New Roman"/>
                <w:b/>
                <w:bCs/>
                <w:color w:val="auto"/>
                <w:sz w:val="28"/>
                <w:szCs w:val="28"/>
              </w:rPr>
              <w:t>、项目组成及主要环境问题</w:t>
            </w:r>
          </w:p>
          <w:p w14:paraId="6E8E98C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本项目工程组成及主要环境问题见表1-</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w:t>
            </w:r>
          </w:p>
          <w:p w14:paraId="7E233DED">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表1-</w:t>
            </w:r>
            <w:r>
              <w:rPr>
                <w:rFonts w:hint="eastAsia" w:cs="Times New Roman"/>
                <w:b/>
                <w:bCs/>
                <w:color w:val="auto"/>
                <w:szCs w:val="21"/>
                <w:lang w:val="en-US" w:eastAsia="zh-CN"/>
              </w:rPr>
              <w:t>12</w:t>
            </w:r>
            <w:r>
              <w:rPr>
                <w:rFonts w:hint="default" w:ascii="Times New Roman" w:hAnsi="Times New Roman" w:eastAsia="宋体" w:cs="Times New Roman"/>
                <w:b/>
                <w:bCs/>
                <w:color w:val="auto"/>
                <w:szCs w:val="21"/>
              </w:rPr>
              <w:t xml:space="preserve">  项目组成及主要环境问题</w:t>
            </w:r>
          </w:p>
          <w:tbl>
            <w:tblPr>
              <w:tblStyle w:val="22"/>
              <w:tblW w:w="496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763"/>
              <w:gridCol w:w="1545"/>
              <w:gridCol w:w="4151"/>
              <w:gridCol w:w="980"/>
              <w:gridCol w:w="954"/>
              <w:gridCol w:w="729"/>
            </w:tblGrid>
            <w:tr w14:paraId="36BD5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1" w:type="pct"/>
                  <w:vMerge w:val="restart"/>
                  <w:vAlign w:val="center"/>
                </w:tcPr>
                <w:p w14:paraId="0AB3FBC1">
                  <w:pPr>
                    <w:pStyle w:val="71"/>
                    <w:rPr>
                      <w:sz w:val="18"/>
                      <w:szCs w:val="18"/>
                    </w:rPr>
                  </w:pPr>
                  <w:r>
                    <w:rPr>
                      <w:sz w:val="18"/>
                      <w:szCs w:val="18"/>
                    </w:rPr>
                    <w:t>项目</w:t>
                  </w:r>
                </w:p>
              </w:tc>
              <w:tc>
                <w:tcPr>
                  <w:tcW w:w="386" w:type="pct"/>
                  <w:vMerge w:val="restart"/>
                  <w:vAlign w:val="center"/>
                </w:tcPr>
                <w:p w14:paraId="2B8AFF6A">
                  <w:pPr>
                    <w:pStyle w:val="71"/>
                    <w:rPr>
                      <w:sz w:val="18"/>
                      <w:szCs w:val="18"/>
                    </w:rPr>
                  </w:pPr>
                  <w:r>
                    <w:rPr>
                      <w:sz w:val="18"/>
                      <w:szCs w:val="18"/>
                    </w:rPr>
                    <w:t>名称</w:t>
                  </w:r>
                </w:p>
              </w:tc>
              <w:tc>
                <w:tcPr>
                  <w:tcW w:w="2883" w:type="pct"/>
                  <w:gridSpan w:val="2"/>
                  <w:vMerge w:val="restart"/>
                  <w:vAlign w:val="center"/>
                </w:tcPr>
                <w:p w14:paraId="041FB0B0">
                  <w:pPr>
                    <w:pStyle w:val="71"/>
                    <w:rPr>
                      <w:sz w:val="18"/>
                      <w:szCs w:val="18"/>
                    </w:rPr>
                  </w:pPr>
                  <w:r>
                    <w:rPr>
                      <w:sz w:val="18"/>
                      <w:szCs w:val="18"/>
                    </w:rPr>
                    <w:t>建设内容</w:t>
                  </w:r>
                </w:p>
              </w:tc>
              <w:tc>
                <w:tcPr>
                  <w:tcW w:w="979" w:type="pct"/>
                  <w:gridSpan w:val="2"/>
                  <w:tcBorders>
                    <w:bottom w:val="single" w:color="auto" w:sz="4" w:space="0"/>
                  </w:tcBorders>
                  <w:vAlign w:val="center"/>
                </w:tcPr>
                <w:p w14:paraId="3A87B93F">
                  <w:pPr>
                    <w:spacing w:line="240" w:lineRule="auto"/>
                    <w:jc w:val="center"/>
                    <w:rPr>
                      <w:rFonts w:hint="eastAsia"/>
                      <w:color w:val="auto"/>
                      <w:sz w:val="18"/>
                      <w:szCs w:val="18"/>
                      <w:lang w:eastAsia="zh-CN"/>
                    </w:rPr>
                  </w:pPr>
                  <w:r>
                    <w:rPr>
                      <w:rFonts w:hint="default" w:ascii="Times New Roman" w:hAnsi="Times New Roman" w:cs="Times New Roman" w:eastAsiaTheme="minorEastAsia"/>
                      <w:color w:val="auto"/>
                      <w:sz w:val="18"/>
                      <w:szCs w:val="18"/>
                    </w:rPr>
                    <w:t>产生的环境问题</w:t>
                  </w:r>
                </w:p>
              </w:tc>
              <w:tc>
                <w:tcPr>
                  <w:tcW w:w="369" w:type="pct"/>
                  <w:vMerge w:val="restart"/>
                  <w:vAlign w:val="center"/>
                </w:tcPr>
                <w:p w14:paraId="46F7278A">
                  <w:pPr>
                    <w:pStyle w:val="71"/>
                    <w:rPr>
                      <w:sz w:val="18"/>
                      <w:szCs w:val="18"/>
                    </w:rPr>
                  </w:pPr>
                  <w:r>
                    <w:rPr>
                      <w:rFonts w:hint="eastAsia"/>
                      <w:sz w:val="18"/>
                      <w:szCs w:val="18"/>
                      <w:lang w:eastAsia="zh-CN"/>
                    </w:rPr>
                    <w:t>备注</w:t>
                  </w:r>
                </w:p>
              </w:tc>
            </w:tr>
            <w:tr w14:paraId="0D12B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7" w:hRule="atLeast"/>
                <w:jc w:val="center"/>
              </w:trPr>
              <w:tc>
                <w:tcPr>
                  <w:tcW w:w="381" w:type="pct"/>
                  <w:vMerge w:val="continue"/>
                  <w:vAlign w:val="center"/>
                </w:tcPr>
                <w:p w14:paraId="0AA01D1D">
                  <w:pPr>
                    <w:pStyle w:val="71"/>
                    <w:rPr>
                      <w:sz w:val="18"/>
                      <w:szCs w:val="18"/>
                    </w:rPr>
                  </w:pPr>
                </w:p>
              </w:tc>
              <w:tc>
                <w:tcPr>
                  <w:tcW w:w="386" w:type="pct"/>
                  <w:vMerge w:val="continue"/>
                  <w:vAlign w:val="center"/>
                </w:tcPr>
                <w:p w14:paraId="308AFF86">
                  <w:pPr>
                    <w:pStyle w:val="71"/>
                    <w:rPr>
                      <w:sz w:val="18"/>
                      <w:szCs w:val="18"/>
                    </w:rPr>
                  </w:pPr>
                </w:p>
              </w:tc>
              <w:tc>
                <w:tcPr>
                  <w:tcW w:w="2883" w:type="pct"/>
                  <w:gridSpan w:val="2"/>
                  <w:vMerge w:val="continue"/>
                  <w:tcBorders>
                    <w:bottom w:val="single" w:color="auto" w:sz="4" w:space="0"/>
                  </w:tcBorders>
                  <w:vAlign w:val="center"/>
                </w:tcPr>
                <w:p w14:paraId="02592CD6">
                  <w:pPr>
                    <w:pStyle w:val="71"/>
                    <w:rPr>
                      <w:sz w:val="18"/>
                      <w:szCs w:val="18"/>
                    </w:rPr>
                  </w:pPr>
                </w:p>
              </w:tc>
              <w:tc>
                <w:tcPr>
                  <w:tcW w:w="496" w:type="pct"/>
                  <w:tcBorders>
                    <w:bottom w:val="single" w:color="auto" w:sz="4" w:space="0"/>
                  </w:tcBorders>
                  <w:vAlign w:val="center"/>
                </w:tcPr>
                <w:p w14:paraId="224A3BBA">
                  <w:pPr>
                    <w:spacing w:line="240" w:lineRule="auto"/>
                    <w:jc w:val="center"/>
                    <w:rPr>
                      <w:rFonts w:hint="eastAsia"/>
                      <w:color w:val="auto"/>
                      <w:sz w:val="18"/>
                      <w:szCs w:val="18"/>
                      <w:lang w:eastAsia="zh-CN"/>
                    </w:rPr>
                  </w:pPr>
                  <w:r>
                    <w:rPr>
                      <w:rFonts w:hint="default" w:ascii="Times New Roman" w:hAnsi="Times New Roman" w:cs="Times New Roman" w:eastAsiaTheme="minorEastAsia"/>
                      <w:color w:val="auto"/>
                      <w:sz w:val="18"/>
                      <w:szCs w:val="18"/>
                    </w:rPr>
                    <w:t>施工期</w:t>
                  </w:r>
                </w:p>
              </w:tc>
              <w:tc>
                <w:tcPr>
                  <w:tcW w:w="483" w:type="pct"/>
                  <w:tcBorders>
                    <w:bottom w:val="single" w:color="auto" w:sz="4" w:space="0"/>
                  </w:tcBorders>
                  <w:vAlign w:val="center"/>
                </w:tcPr>
                <w:p w14:paraId="55FCC769">
                  <w:pPr>
                    <w:spacing w:line="240" w:lineRule="auto"/>
                    <w:jc w:val="center"/>
                    <w:rPr>
                      <w:rFonts w:hint="eastAsia"/>
                      <w:color w:val="auto"/>
                      <w:sz w:val="18"/>
                      <w:szCs w:val="18"/>
                      <w:lang w:eastAsia="zh-CN"/>
                    </w:rPr>
                  </w:pPr>
                  <w:r>
                    <w:rPr>
                      <w:rFonts w:hint="default" w:ascii="Times New Roman" w:hAnsi="Times New Roman" w:cs="Times New Roman" w:eastAsiaTheme="minorEastAsia"/>
                      <w:color w:val="auto"/>
                      <w:sz w:val="18"/>
                      <w:szCs w:val="18"/>
                    </w:rPr>
                    <w:t>营运期</w:t>
                  </w:r>
                </w:p>
              </w:tc>
              <w:tc>
                <w:tcPr>
                  <w:tcW w:w="369" w:type="pct"/>
                  <w:vMerge w:val="continue"/>
                  <w:tcBorders>
                    <w:bottom w:val="single" w:color="auto" w:sz="4" w:space="0"/>
                  </w:tcBorders>
                  <w:vAlign w:val="center"/>
                </w:tcPr>
                <w:p w14:paraId="65E863FF">
                  <w:pPr>
                    <w:pStyle w:val="71"/>
                    <w:rPr>
                      <w:rFonts w:hint="eastAsia"/>
                      <w:sz w:val="18"/>
                      <w:szCs w:val="18"/>
                      <w:lang w:eastAsia="zh-CN"/>
                    </w:rPr>
                  </w:pPr>
                </w:p>
              </w:tc>
            </w:tr>
            <w:tr w14:paraId="745F8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restart"/>
                  <w:vAlign w:val="center"/>
                </w:tcPr>
                <w:p w14:paraId="10B58754">
                  <w:pPr>
                    <w:pStyle w:val="71"/>
                    <w:rPr>
                      <w:rFonts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sz w:val="18"/>
                      <w:szCs w:val="18"/>
                    </w:rPr>
                    <w:t>主体工程</w:t>
                  </w:r>
                </w:p>
              </w:tc>
              <w:tc>
                <w:tcPr>
                  <w:tcW w:w="386" w:type="pct"/>
                  <w:vAlign w:val="center"/>
                </w:tcPr>
                <w:p w14:paraId="504E3B63">
                  <w:pPr>
                    <w:spacing w:line="240" w:lineRule="auto"/>
                    <w:ind w:firstLine="0" w:firstLineChars="0"/>
                    <w:jc w:val="center"/>
                    <w:rPr>
                      <w:rFonts w:hint="default" w:eastAsia="宋体"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栓结构构构件生产区</w:t>
                  </w:r>
                </w:p>
              </w:tc>
              <w:tc>
                <w:tcPr>
                  <w:tcW w:w="2883" w:type="pct"/>
                  <w:gridSpan w:val="2"/>
                  <w:tcBorders>
                    <w:top w:val="single" w:color="auto" w:sz="4" w:space="0"/>
                  </w:tcBorders>
                  <w:vAlign w:val="center"/>
                </w:tcPr>
                <w:p w14:paraId="549DE62E">
                  <w:pPr>
                    <w:pStyle w:val="71"/>
                    <w:rPr>
                      <w:sz w:val="18"/>
                      <w:szCs w:val="18"/>
                      <w:lang w:eastAsia="zh-CN"/>
                    </w:rPr>
                  </w:pPr>
                  <w:r>
                    <w:rPr>
                      <w:rFonts w:hint="eastAsia"/>
                      <w:sz w:val="18"/>
                      <w:szCs w:val="18"/>
                      <w:lang w:val="en-US" w:eastAsia="zh-CN"/>
                    </w:rPr>
                    <w:t>位于厂区北侧偏东，</w:t>
                  </w:r>
                  <w:r>
                    <w:rPr>
                      <w:rFonts w:hint="eastAsia"/>
                      <w:sz w:val="18"/>
                      <w:szCs w:val="18"/>
                      <w:lang w:eastAsia="zh-CN"/>
                    </w:rPr>
                    <w:t>占地面积约</w:t>
                  </w:r>
                  <w:r>
                    <w:rPr>
                      <w:rFonts w:hint="eastAsia"/>
                      <w:sz w:val="18"/>
                      <w:szCs w:val="18"/>
                      <w:lang w:val="en-US" w:eastAsia="zh-CN"/>
                    </w:rPr>
                    <w:t>350</w:t>
                  </w:r>
                  <w:r>
                    <w:rPr>
                      <w:rFonts w:hint="eastAsia"/>
                      <w:sz w:val="18"/>
                      <w:szCs w:val="18"/>
                      <w:lang w:eastAsia="zh-CN"/>
                    </w:rPr>
                    <w:t>m</w:t>
                  </w:r>
                  <w:r>
                    <w:rPr>
                      <w:rFonts w:hint="eastAsia"/>
                      <w:sz w:val="18"/>
                      <w:szCs w:val="18"/>
                      <w:vertAlign w:val="superscript"/>
                      <w:lang w:eastAsia="zh-CN"/>
                    </w:rPr>
                    <w:t>2</w:t>
                  </w:r>
                  <w:r>
                    <w:rPr>
                      <w:rFonts w:hint="eastAsia"/>
                      <w:sz w:val="18"/>
                      <w:szCs w:val="18"/>
                      <w:lang w:eastAsia="zh-CN"/>
                    </w:rPr>
                    <w:t>，</w:t>
                  </w:r>
                  <w:r>
                    <w:rPr>
                      <w:rFonts w:hint="eastAsia"/>
                      <w:sz w:val="18"/>
                      <w:szCs w:val="18"/>
                    </w:rPr>
                    <w:t>钢结构骨架+彩钢瓦全封闭结构，场地硬化。内设</w:t>
                  </w:r>
                  <w:r>
                    <w:rPr>
                      <w:rFonts w:hint="eastAsia"/>
                      <w:sz w:val="18"/>
                      <w:szCs w:val="18"/>
                      <w:lang w:eastAsia="zh-CN"/>
                    </w:rPr>
                    <w:t>漏粪板生产线</w:t>
                  </w:r>
                  <w:r>
                    <w:rPr>
                      <w:rFonts w:hint="eastAsia"/>
                      <w:sz w:val="18"/>
                      <w:szCs w:val="18"/>
                      <w:lang w:val="en-US" w:eastAsia="zh-CN"/>
                    </w:rPr>
                    <w:t>1条和物料搅拌系统、含有搅拌机、钢筋调直切割机</w:t>
                  </w:r>
                  <w:r>
                    <w:rPr>
                      <w:rFonts w:ascii="宋体" w:hAnsi="宋体"/>
                      <w:spacing w:val="4"/>
                      <w:sz w:val="18"/>
                      <w:szCs w:val="18"/>
                    </w:rPr>
                    <w:t>、电磨系统、振动系统、脱模系统、翻板系统</w:t>
                  </w:r>
                  <w:r>
                    <w:rPr>
                      <w:rFonts w:hint="eastAsia"/>
                      <w:sz w:val="18"/>
                      <w:szCs w:val="18"/>
                    </w:rPr>
                    <w:t>等</w:t>
                  </w:r>
                </w:p>
              </w:tc>
              <w:tc>
                <w:tcPr>
                  <w:tcW w:w="496" w:type="pct"/>
                  <w:vMerge w:val="restart"/>
                  <w:tcBorders>
                    <w:top w:val="single" w:color="auto" w:sz="4" w:space="0"/>
                  </w:tcBorders>
                  <w:vAlign w:val="center"/>
                </w:tcPr>
                <w:p w14:paraId="4CA4B3D3">
                  <w:pPr>
                    <w:pStyle w:val="71"/>
                    <w:rPr>
                      <w:rFonts w:hint="eastAsia"/>
                      <w:color w:val="auto"/>
                      <w:sz w:val="18"/>
                      <w:szCs w:val="18"/>
                      <w:lang w:eastAsia="zh-CN"/>
                    </w:rPr>
                  </w:pPr>
                  <w:r>
                    <w:rPr>
                      <w:rFonts w:hint="default" w:ascii="Times New Roman" w:hAnsi="Times New Roman" w:cs="Times New Roman" w:eastAsiaTheme="minorEastAsia"/>
                      <w:color w:val="auto"/>
                      <w:sz w:val="18"/>
                      <w:szCs w:val="18"/>
                      <w:lang w:eastAsia="zh-CN"/>
                    </w:rPr>
                    <w:t>施工</w:t>
                  </w:r>
                  <w:r>
                    <w:rPr>
                      <w:rFonts w:hint="default" w:ascii="Times New Roman" w:hAnsi="Times New Roman" w:cs="Times New Roman" w:eastAsiaTheme="minorEastAsia"/>
                      <w:color w:val="auto"/>
                      <w:sz w:val="18"/>
                      <w:szCs w:val="18"/>
                      <w:lang w:val="en-US" w:eastAsia="zh-CN"/>
                    </w:rPr>
                    <w:t>扬尘</w:t>
                  </w:r>
                  <w:r>
                    <w:rPr>
                      <w:rFonts w:hint="default" w:ascii="Times New Roman" w:hAnsi="Times New Roman" w:cs="Times New Roman" w:eastAsiaTheme="minorEastAsia"/>
                      <w:color w:val="auto"/>
                      <w:sz w:val="18"/>
                      <w:szCs w:val="18"/>
                      <w:lang w:eastAsia="zh-CN"/>
                    </w:rPr>
                    <w:t>、施工噪声、施工废水、</w:t>
                  </w:r>
                  <w:r>
                    <w:rPr>
                      <w:rFonts w:hint="default" w:ascii="Times New Roman" w:hAnsi="Times New Roman" w:cs="Times New Roman" w:eastAsiaTheme="minorEastAsia"/>
                      <w:color w:val="auto"/>
                      <w:sz w:val="18"/>
                      <w:szCs w:val="18"/>
                      <w:lang w:val="en-US" w:eastAsia="zh-CN"/>
                    </w:rPr>
                    <w:t>建筑垃圾</w:t>
                  </w:r>
                </w:p>
              </w:tc>
              <w:tc>
                <w:tcPr>
                  <w:tcW w:w="483" w:type="pct"/>
                  <w:vMerge w:val="restart"/>
                  <w:tcBorders>
                    <w:top w:val="single" w:color="auto" w:sz="4" w:space="0"/>
                  </w:tcBorders>
                  <w:vAlign w:val="center"/>
                </w:tcPr>
                <w:p w14:paraId="5001A101">
                  <w:pPr>
                    <w:pStyle w:val="71"/>
                    <w:rPr>
                      <w:rFonts w:hint="default"/>
                      <w:color w:val="auto"/>
                      <w:sz w:val="18"/>
                      <w:szCs w:val="18"/>
                      <w:lang w:val="en-US" w:eastAsia="zh-CN"/>
                    </w:rPr>
                  </w:pPr>
                  <w:r>
                    <w:rPr>
                      <w:rFonts w:hint="eastAsia"/>
                      <w:color w:val="auto"/>
                      <w:sz w:val="18"/>
                      <w:szCs w:val="18"/>
                      <w:lang w:val="en-US" w:eastAsia="zh-CN"/>
                    </w:rPr>
                    <w:t>粉尘、噪声、固废</w:t>
                  </w:r>
                </w:p>
              </w:tc>
              <w:tc>
                <w:tcPr>
                  <w:tcW w:w="369" w:type="pct"/>
                  <w:tcBorders>
                    <w:top w:val="single" w:color="auto" w:sz="4" w:space="0"/>
                  </w:tcBorders>
                  <w:vAlign w:val="center"/>
                </w:tcPr>
                <w:p w14:paraId="39FEE3C1">
                  <w:pPr>
                    <w:pStyle w:val="71"/>
                    <w:rPr>
                      <w:sz w:val="18"/>
                      <w:szCs w:val="18"/>
                      <w:lang w:eastAsia="zh-CN"/>
                    </w:rPr>
                  </w:pPr>
                  <w:r>
                    <w:rPr>
                      <w:rFonts w:hint="eastAsia"/>
                      <w:sz w:val="18"/>
                      <w:szCs w:val="18"/>
                      <w:lang w:eastAsia="zh-CN"/>
                    </w:rPr>
                    <w:t>新建</w:t>
                  </w:r>
                </w:p>
              </w:tc>
            </w:tr>
            <w:tr w14:paraId="4E431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06AA7573">
                  <w:pPr>
                    <w:pStyle w:val="71"/>
                    <w:rPr>
                      <w:rFonts w:asciiTheme="minorEastAsia" w:hAnsiTheme="minorEastAsia" w:eastAsiaTheme="minorEastAsia" w:cstheme="minorEastAsia"/>
                      <w:color w:val="FF0000"/>
                      <w:sz w:val="18"/>
                      <w:szCs w:val="18"/>
                    </w:rPr>
                  </w:pPr>
                </w:p>
              </w:tc>
              <w:tc>
                <w:tcPr>
                  <w:tcW w:w="386" w:type="pct"/>
                  <w:vAlign w:val="center"/>
                </w:tcPr>
                <w:p w14:paraId="37C627D7">
                  <w:pPr>
                    <w:spacing w:line="240" w:lineRule="auto"/>
                    <w:ind w:firstLine="0" w:firstLineChars="0"/>
                    <w:jc w:val="center"/>
                    <w:rPr>
                      <w:rFonts w:hint="default" w:eastAsia="宋体" w:asciiTheme="minorEastAsia" w:hAnsiTheme="minorEastAsia" w:cstheme="minorEastAsia"/>
                      <w:color w:val="FF0000"/>
                      <w:sz w:val="18"/>
                      <w:szCs w:val="18"/>
                      <w:lang w:val="en-US" w:eastAsia="zh-CN"/>
                    </w:rPr>
                  </w:pPr>
                  <w:r>
                    <w:rPr>
                      <w:rFonts w:hint="eastAsia" w:asciiTheme="minorEastAsia" w:hAnsiTheme="minorEastAsia" w:cstheme="minorEastAsia"/>
                      <w:sz w:val="18"/>
                      <w:szCs w:val="18"/>
                      <w:lang w:val="en-US" w:eastAsia="zh-CN"/>
                    </w:rPr>
                    <w:t>不锈钢制品生产区</w:t>
                  </w:r>
                </w:p>
              </w:tc>
              <w:tc>
                <w:tcPr>
                  <w:tcW w:w="2883" w:type="pct"/>
                  <w:gridSpan w:val="2"/>
                  <w:tcBorders>
                    <w:bottom w:val="single" w:color="auto" w:sz="4" w:space="0"/>
                  </w:tcBorders>
                  <w:vAlign w:val="center"/>
                </w:tcPr>
                <w:p w14:paraId="228D6FBA">
                  <w:pPr>
                    <w:pStyle w:val="71"/>
                    <w:rPr>
                      <w:rFonts w:hint="default" w:eastAsia="宋体"/>
                      <w:color w:val="FF0000"/>
                      <w:sz w:val="18"/>
                      <w:szCs w:val="18"/>
                      <w:lang w:val="en-US" w:eastAsia="zh-CN"/>
                    </w:rPr>
                  </w:pPr>
                  <w:r>
                    <w:rPr>
                      <w:rFonts w:hint="eastAsia"/>
                      <w:sz w:val="18"/>
                      <w:szCs w:val="18"/>
                      <w:lang w:val="en-US" w:eastAsia="zh-CN"/>
                    </w:rPr>
                    <w:t>位于栓结构构件生产区南侧，</w:t>
                  </w:r>
                  <w:r>
                    <w:rPr>
                      <w:rFonts w:hint="eastAsia"/>
                      <w:sz w:val="18"/>
                      <w:szCs w:val="18"/>
                      <w:lang w:eastAsia="zh-CN"/>
                    </w:rPr>
                    <w:t>占地面积约300m</w:t>
                  </w:r>
                  <w:r>
                    <w:rPr>
                      <w:rFonts w:hint="eastAsia"/>
                      <w:sz w:val="18"/>
                      <w:szCs w:val="18"/>
                      <w:vertAlign w:val="superscript"/>
                      <w:lang w:eastAsia="zh-CN"/>
                    </w:rPr>
                    <w:t>2</w:t>
                  </w:r>
                  <w:r>
                    <w:rPr>
                      <w:rFonts w:hint="eastAsia"/>
                      <w:sz w:val="18"/>
                      <w:szCs w:val="18"/>
                      <w:lang w:eastAsia="zh-CN"/>
                    </w:rPr>
                    <w:t>，</w:t>
                  </w:r>
                  <w:r>
                    <w:rPr>
                      <w:rFonts w:hint="eastAsia"/>
                      <w:sz w:val="18"/>
                      <w:szCs w:val="18"/>
                    </w:rPr>
                    <w:t>钢结构骨架+彩钢瓦全封闭结构，场地硬化。</w:t>
                  </w:r>
                  <w:r>
                    <w:rPr>
                      <w:rFonts w:hint="eastAsia"/>
                      <w:sz w:val="18"/>
                      <w:szCs w:val="18"/>
                      <w:lang w:val="en-US" w:eastAsia="zh-CN"/>
                    </w:rPr>
                    <w:t>内设不锈钢制品生产线1条和组装线1条，含有剪板机、折弯机等设备</w:t>
                  </w:r>
                </w:p>
              </w:tc>
              <w:tc>
                <w:tcPr>
                  <w:tcW w:w="496" w:type="pct"/>
                  <w:vMerge w:val="continue"/>
                  <w:vAlign w:val="center"/>
                </w:tcPr>
                <w:p w14:paraId="1DBCAD73">
                  <w:pPr>
                    <w:pStyle w:val="71"/>
                    <w:rPr>
                      <w:rFonts w:hint="eastAsia"/>
                      <w:color w:val="auto"/>
                      <w:sz w:val="18"/>
                      <w:szCs w:val="18"/>
                      <w:lang w:eastAsia="zh-CN"/>
                    </w:rPr>
                  </w:pPr>
                </w:p>
              </w:tc>
              <w:tc>
                <w:tcPr>
                  <w:tcW w:w="483" w:type="pct"/>
                  <w:vMerge w:val="continue"/>
                  <w:vAlign w:val="center"/>
                </w:tcPr>
                <w:p w14:paraId="4A3C0D5C">
                  <w:pPr>
                    <w:pStyle w:val="71"/>
                    <w:rPr>
                      <w:rFonts w:hint="eastAsia"/>
                      <w:color w:val="auto"/>
                      <w:sz w:val="18"/>
                      <w:szCs w:val="18"/>
                      <w:lang w:eastAsia="zh-CN"/>
                    </w:rPr>
                  </w:pPr>
                </w:p>
              </w:tc>
              <w:tc>
                <w:tcPr>
                  <w:tcW w:w="369" w:type="pct"/>
                  <w:tcBorders>
                    <w:bottom w:val="single" w:color="auto" w:sz="4" w:space="0"/>
                  </w:tcBorders>
                  <w:vAlign w:val="center"/>
                </w:tcPr>
                <w:p w14:paraId="538D1E41">
                  <w:pPr>
                    <w:pStyle w:val="71"/>
                    <w:rPr>
                      <w:color w:val="FF0000"/>
                      <w:sz w:val="18"/>
                      <w:szCs w:val="18"/>
                      <w:lang w:eastAsia="zh-CN"/>
                    </w:rPr>
                  </w:pPr>
                  <w:r>
                    <w:rPr>
                      <w:rFonts w:hint="eastAsia"/>
                      <w:sz w:val="18"/>
                      <w:szCs w:val="18"/>
                      <w:lang w:eastAsia="zh-CN"/>
                    </w:rPr>
                    <w:t>新建</w:t>
                  </w:r>
                </w:p>
              </w:tc>
            </w:tr>
            <w:tr w14:paraId="521A3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4D51AE22">
                  <w:pPr>
                    <w:pStyle w:val="71"/>
                    <w:rPr>
                      <w:rFonts w:asciiTheme="minorEastAsia" w:hAnsiTheme="minorEastAsia" w:eastAsiaTheme="minorEastAsia" w:cstheme="minorEastAsia"/>
                      <w:color w:val="FF0000"/>
                      <w:sz w:val="18"/>
                      <w:szCs w:val="18"/>
                    </w:rPr>
                  </w:pPr>
                </w:p>
              </w:tc>
              <w:tc>
                <w:tcPr>
                  <w:tcW w:w="386" w:type="pct"/>
                  <w:vAlign w:val="center"/>
                </w:tcPr>
                <w:p w14:paraId="19028E4B">
                  <w:pPr>
                    <w:spacing w:line="240" w:lineRule="auto"/>
                    <w:ind w:firstLine="0" w:firstLineChars="0"/>
                    <w:jc w:val="center"/>
                    <w:rPr>
                      <w:rFonts w:hint="default" w:eastAsia="宋体"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焊接区</w:t>
                  </w:r>
                </w:p>
              </w:tc>
              <w:tc>
                <w:tcPr>
                  <w:tcW w:w="2883" w:type="pct"/>
                  <w:gridSpan w:val="2"/>
                  <w:tcBorders>
                    <w:bottom w:val="single" w:color="auto" w:sz="4" w:space="0"/>
                  </w:tcBorders>
                  <w:vAlign w:val="center"/>
                </w:tcPr>
                <w:p w14:paraId="3274B7D8">
                  <w:pPr>
                    <w:pStyle w:val="71"/>
                    <w:rPr>
                      <w:rFonts w:hint="default"/>
                      <w:sz w:val="18"/>
                      <w:szCs w:val="18"/>
                      <w:lang w:val="en-US" w:eastAsia="zh-CN"/>
                    </w:rPr>
                  </w:pPr>
                  <w:r>
                    <w:rPr>
                      <w:rFonts w:hint="eastAsia"/>
                      <w:sz w:val="18"/>
                      <w:szCs w:val="18"/>
                      <w:lang w:eastAsia="zh-CN"/>
                    </w:rPr>
                    <w:t>占地面积约</w:t>
                  </w:r>
                  <w:r>
                    <w:rPr>
                      <w:rFonts w:hint="eastAsia"/>
                      <w:sz w:val="18"/>
                      <w:szCs w:val="18"/>
                      <w:lang w:val="en-US" w:eastAsia="zh-CN"/>
                    </w:rPr>
                    <w:t>30</w:t>
                  </w:r>
                  <w:r>
                    <w:rPr>
                      <w:rFonts w:hint="eastAsia"/>
                      <w:sz w:val="18"/>
                      <w:szCs w:val="18"/>
                      <w:lang w:eastAsia="zh-CN"/>
                    </w:rPr>
                    <w:t>m</w:t>
                  </w:r>
                  <w:r>
                    <w:rPr>
                      <w:rFonts w:hint="eastAsia"/>
                      <w:sz w:val="18"/>
                      <w:szCs w:val="18"/>
                      <w:vertAlign w:val="superscript"/>
                      <w:lang w:eastAsia="zh-CN"/>
                    </w:rPr>
                    <w:t>2</w:t>
                  </w:r>
                  <w:r>
                    <w:rPr>
                      <w:rFonts w:hint="eastAsia"/>
                      <w:sz w:val="18"/>
                      <w:szCs w:val="18"/>
                      <w:lang w:eastAsia="zh-CN"/>
                    </w:rPr>
                    <w:t>，</w:t>
                  </w:r>
                  <w:r>
                    <w:rPr>
                      <w:rFonts w:hint="eastAsia"/>
                      <w:sz w:val="18"/>
                      <w:szCs w:val="18"/>
                      <w:lang w:val="en-US" w:eastAsia="zh-CN"/>
                    </w:rPr>
                    <w:t>设有5台二保焊机</w:t>
                  </w:r>
                </w:p>
              </w:tc>
              <w:tc>
                <w:tcPr>
                  <w:tcW w:w="496" w:type="pct"/>
                  <w:vMerge w:val="continue"/>
                  <w:vAlign w:val="center"/>
                </w:tcPr>
                <w:p w14:paraId="42B115B4">
                  <w:pPr>
                    <w:pStyle w:val="71"/>
                    <w:rPr>
                      <w:rFonts w:hint="eastAsia"/>
                      <w:color w:val="auto"/>
                      <w:sz w:val="18"/>
                      <w:szCs w:val="18"/>
                      <w:lang w:eastAsia="zh-CN"/>
                    </w:rPr>
                  </w:pPr>
                </w:p>
              </w:tc>
              <w:tc>
                <w:tcPr>
                  <w:tcW w:w="483" w:type="pct"/>
                  <w:vMerge w:val="continue"/>
                  <w:tcBorders>
                    <w:bottom w:val="single" w:color="auto" w:sz="4" w:space="0"/>
                  </w:tcBorders>
                  <w:vAlign w:val="center"/>
                </w:tcPr>
                <w:p w14:paraId="393BF235">
                  <w:pPr>
                    <w:pStyle w:val="71"/>
                    <w:rPr>
                      <w:rFonts w:hint="eastAsia"/>
                      <w:color w:val="auto"/>
                      <w:sz w:val="18"/>
                      <w:szCs w:val="18"/>
                      <w:lang w:eastAsia="zh-CN"/>
                    </w:rPr>
                  </w:pPr>
                </w:p>
              </w:tc>
              <w:tc>
                <w:tcPr>
                  <w:tcW w:w="369" w:type="pct"/>
                  <w:tcBorders>
                    <w:bottom w:val="single" w:color="auto" w:sz="4" w:space="0"/>
                  </w:tcBorders>
                  <w:vAlign w:val="center"/>
                </w:tcPr>
                <w:p w14:paraId="7CECB3DF">
                  <w:pPr>
                    <w:pStyle w:val="71"/>
                    <w:rPr>
                      <w:sz w:val="18"/>
                      <w:szCs w:val="18"/>
                      <w:lang w:eastAsia="zh-CN"/>
                    </w:rPr>
                  </w:pPr>
                  <w:r>
                    <w:rPr>
                      <w:rFonts w:hint="eastAsia"/>
                      <w:sz w:val="18"/>
                      <w:szCs w:val="18"/>
                      <w:lang w:eastAsia="zh-CN"/>
                    </w:rPr>
                    <w:t>新建</w:t>
                  </w:r>
                </w:p>
              </w:tc>
            </w:tr>
            <w:tr w14:paraId="51BA0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restart"/>
                  <w:vAlign w:val="center"/>
                </w:tcPr>
                <w:p w14:paraId="4FA65ABC">
                  <w:pPr>
                    <w:widowControl/>
                    <w:spacing w:line="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仓储</w:t>
                  </w:r>
                </w:p>
                <w:p w14:paraId="367AB940">
                  <w:pPr>
                    <w:pStyle w:val="71"/>
                    <w:rPr>
                      <w:rFonts w:asciiTheme="minorEastAsia" w:hAnsiTheme="minorEastAsia" w:eastAsiaTheme="minorEastAsia" w:cstheme="minorEastAsia"/>
                      <w:sz w:val="18"/>
                      <w:szCs w:val="18"/>
                    </w:rPr>
                  </w:pPr>
                  <w:r>
                    <w:rPr>
                      <w:rFonts w:hint="default" w:ascii="Times New Roman" w:hAnsi="Times New Roman" w:eastAsia="宋体" w:cs="Times New Roman"/>
                      <w:color w:val="auto"/>
                      <w:sz w:val="18"/>
                      <w:szCs w:val="18"/>
                    </w:rPr>
                    <w:t>工程</w:t>
                  </w:r>
                </w:p>
              </w:tc>
              <w:tc>
                <w:tcPr>
                  <w:tcW w:w="386" w:type="pct"/>
                  <w:vAlign w:val="center"/>
                </w:tcPr>
                <w:p w14:paraId="3888EB9D">
                  <w:pPr>
                    <w:pStyle w:val="71"/>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eastAsia="zh-CN"/>
                    </w:rPr>
                    <w:t>原料</w:t>
                  </w:r>
                  <w:r>
                    <w:rPr>
                      <w:rFonts w:hint="eastAsia" w:asciiTheme="minorEastAsia" w:hAnsiTheme="minorEastAsia" w:eastAsiaTheme="minorEastAsia" w:cstheme="minorEastAsia"/>
                      <w:sz w:val="18"/>
                      <w:szCs w:val="18"/>
                      <w:lang w:val="en-US" w:eastAsia="zh-CN"/>
                    </w:rPr>
                    <w:t>库房</w:t>
                  </w:r>
                </w:p>
              </w:tc>
              <w:tc>
                <w:tcPr>
                  <w:tcW w:w="2883" w:type="pct"/>
                  <w:gridSpan w:val="2"/>
                  <w:vAlign w:val="center"/>
                </w:tcPr>
                <w:p w14:paraId="0B4F9F3D">
                  <w:pPr>
                    <w:pStyle w:val="71"/>
                    <w:rPr>
                      <w:rFonts w:hint="default"/>
                      <w:sz w:val="18"/>
                      <w:szCs w:val="18"/>
                      <w:lang w:val="en-US" w:eastAsia="zh-CN"/>
                    </w:rPr>
                  </w:pPr>
                  <w:r>
                    <w:rPr>
                      <w:rFonts w:hint="eastAsia"/>
                      <w:sz w:val="18"/>
                      <w:szCs w:val="18"/>
                      <w:lang w:val="en-US" w:eastAsia="zh-CN"/>
                    </w:rPr>
                    <w:t>砂石原料库房</w:t>
                  </w:r>
                  <w:r>
                    <w:rPr>
                      <w:rFonts w:hint="eastAsia"/>
                      <w:sz w:val="18"/>
                      <w:szCs w:val="18"/>
                      <w:lang w:eastAsia="zh-CN"/>
                    </w:rPr>
                    <w:t>，占地面积约</w:t>
                  </w:r>
                  <w:r>
                    <w:rPr>
                      <w:rFonts w:hint="eastAsia"/>
                      <w:sz w:val="18"/>
                      <w:szCs w:val="18"/>
                      <w:lang w:val="en-US" w:eastAsia="zh-CN"/>
                    </w:rPr>
                    <w:t>300</w:t>
                  </w:r>
                  <w:r>
                    <w:rPr>
                      <w:rFonts w:hint="eastAsia"/>
                      <w:sz w:val="18"/>
                      <w:szCs w:val="18"/>
                      <w:lang w:eastAsia="zh-CN"/>
                    </w:rPr>
                    <w:t>m</w:t>
                  </w:r>
                  <w:r>
                    <w:rPr>
                      <w:rFonts w:hint="eastAsia"/>
                      <w:sz w:val="18"/>
                      <w:szCs w:val="18"/>
                      <w:vertAlign w:val="superscript"/>
                      <w:lang w:eastAsia="zh-CN"/>
                    </w:rPr>
                    <w:t>2</w:t>
                  </w:r>
                  <w:r>
                    <w:rPr>
                      <w:rFonts w:hint="eastAsia"/>
                      <w:sz w:val="18"/>
                      <w:szCs w:val="18"/>
                      <w:lang w:eastAsia="zh-CN"/>
                    </w:rPr>
                    <w:t>，</w:t>
                  </w:r>
                  <w:r>
                    <w:rPr>
                      <w:rFonts w:hint="eastAsia"/>
                      <w:sz w:val="18"/>
                      <w:szCs w:val="18"/>
                    </w:rPr>
                    <w:t>钢结构骨架+彩钢瓦全封闭结构，场地硬化</w:t>
                  </w:r>
                  <w:r>
                    <w:rPr>
                      <w:rFonts w:hint="eastAsia"/>
                      <w:sz w:val="18"/>
                      <w:szCs w:val="18"/>
                      <w:lang w:eastAsia="zh-CN"/>
                    </w:rPr>
                    <w:t>，</w:t>
                  </w:r>
                  <w:r>
                    <w:rPr>
                      <w:rFonts w:hint="eastAsia"/>
                      <w:sz w:val="18"/>
                      <w:szCs w:val="18"/>
                      <w:lang w:val="en-US" w:eastAsia="zh-CN"/>
                    </w:rPr>
                    <w:t>位于</w:t>
                  </w:r>
                  <w:r>
                    <w:rPr>
                      <w:rFonts w:hint="eastAsia"/>
                      <w:sz w:val="18"/>
                      <w:szCs w:val="18"/>
                      <w:lang w:eastAsia="zh-CN"/>
                    </w:rPr>
                    <w:t>项目</w:t>
                  </w:r>
                  <w:r>
                    <w:rPr>
                      <w:rFonts w:hint="eastAsia"/>
                      <w:sz w:val="18"/>
                      <w:szCs w:val="18"/>
                      <w:lang w:val="en-US" w:eastAsia="zh-CN"/>
                    </w:rPr>
                    <w:t>西北侧，用于原料存放；内设喷淋装置</w:t>
                  </w:r>
                </w:p>
              </w:tc>
              <w:tc>
                <w:tcPr>
                  <w:tcW w:w="496" w:type="pct"/>
                  <w:vMerge w:val="continue"/>
                  <w:vAlign w:val="center"/>
                </w:tcPr>
                <w:p w14:paraId="5FEBC51B">
                  <w:pPr>
                    <w:pStyle w:val="71"/>
                    <w:rPr>
                      <w:rFonts w:hint="eastAsia"/>
                      <w:color w:val="auto"/>
                      <w:sz w:val="18"/>
                      <w:szCs w:val="18"/>
                      <w:lang w:eastAsia="zh-CN"/>
                    </w:rPr>
                  </w:pPr>
                </w:p>
              </w:tc>
              <w:tc>
                <w:tcPr>
                  <w:tcW w:w="483" w:type="pct"/>
                  <w:vMerge w:val="restart"/>
                  <w:vAlign w:val="center"/>
                </w:tcPr>
                <w:p w14:paraId="74C39BC9">
                  <w:pPr>
                    <w:pStyle w:val="71"/>
                    <w:rPr>
                      <w:rFonts w:hint="eastAsia"/>
                      <w:color w:val="auto"/>
                      <w:sz w:val="18"/>
                      <w:szCs w:val="18"/>
                      <w:lang w:eastAsia="zh-CN"/>
                    </w:rPr>
                  </w:pPr>
                  <w:r>
                    <w:rPr>
                      <w:rFonts w:hint="eastAsia"/>
                      <w:color w:val="auto"/>
                      <w:sz w:val="18"/>
                      <w:szCs w:val="18"/>
                      <w:lang w:val="en-US" w:eastAsia="zh-CN"/>
                    </w:rPr>
                    <w:t>粉尘、噪声</w:t>
                  </w:r>
                </w:p>
              </w:tc>
              <w:tc>
                <w:tcPr>
                  <w:tcW w:w="369" w:type="pct"/>
                  <w:vAlign w:val="center"/>
                </w:tcPr>
                <w:p w14:paraId="02F954FF">
                  <w:pPr>
                    <w:pStyle w:val="71"/>
                    <w:rPr>
                      <w:sz w:val="18"/>
                      <w:szCs w:val="18"/>
                      <w:lang w:eastAsia="zh-CN"/>
                    </w:rPr>
                  </w:pPr>
                  <w:r>
                    <w:rPr>
                      <w:rFonts w:hint="eastAsia"/>
                      <w:sz w:val="18"/>
                      <w:szCs w:val="18"/>
                      <w:lang w:eastAsia="zh-CN"/>
                    </w:rPr>
                    <w:t>新建</w:t>
                  </w:r>
                </w:p>
              </w:tc>
            </w:tr>
            <w:tr w14:paraId="2275F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vAlign w:val="center"/>
                </w:tcPr>
                <w:p w14:paraId="1BF05494">
                  <w:pPr>
                    <w:pStyle w:val="71"/>
                    <w:rPr>
                      <w:rFonts w:hint="default" w:ascii="Times New Roman" w:hAnsi="Times New Roman" w:eastAsia="宋体" w:cs="Times New Roman"/>
                      <w:color w:val="auto"/>
                      <w:sz w:val="18"/>
                      <w:szCs w:val="18"/>
                    </w:rPr>
                  </w:pPr>
                </w:p>
              </w:tc>
              <w:tc>
                <w:tcPr>
                  <w:tcW w:w="386" w:type="pct"/>
                  <w:vAlign w:val="center"/>
                </w:tcPr>
                <w:p w14:paraId="643ED77B">
                  <w:pPr>
                    <w:pStyle w:val="71"/>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水泥筒仓</w:t>
                  </w:r>
                </w:p>
              </w:tc>
              <w:tc>
                <w:tcPr>
                  <w:tcW w:w="2883" w:type="pct"/>
                  <w:gridSpan w:val="2"/>
                  <w:vAlign w:val="center"/>
                </w:tcPr>
                <w:p w14:paraId="3A436C50">
                  <w:pPr>
                    <w:pStyle w:val="71"/>
                    <w:rPr>
                      <w:rFonts w:hint="default"/>
                      <w:sz w:val="18"/>
                      <w:szCs w:val="18"/>
                      <w:lang w:val="en-US" w:eastAsia="zh-CN"/>
                    </w:rPr>
                  </w:pPr>
                  <w:r>
                    <w:rPr>
                      <w:rFonts w:hint="eastAsia"/>
                      <w:sz w:val="18"/>
                      <w:szCs w:val="18"/>
                      <w:lang w:val="en-US" w:eastAsia="zh-CN"/>
                    </w:rPr>
                    <w:t>原料库房东侧，栓结构构件生产区南侧，生产车间内设置1水泥筒仓，</w:t>
                  </w:r>
                  <w:r>
                    <w:rPr>
                      <w:rFonts w:hint="default" w:ascii="Times New Roman" w:hAnsi="Times New Roman" w:eastAsia="宋体" w:cs="Times New Roman"/>
                      <w:color w:val="auto"/>
                      <w:sz w:val="18"/>
                      <w:szCs w:val="18"/>
                      <w:lang w:val="en-US" w:eastAsia="zh-CN"/>
                    </w:rPr>
                    <w:t>仓顶均配套有布袋除尘器；</w:t>
                  </w:r>
                </w:p>
              </w:tc>
              <w:tc>
                <w:tcPr>
                  <w:tcW w:w="496" w:type="pct"/>
                  <w:vMerge w:val="continue"/>
                  <w:vAlign w:val="center"/>
                </w:tcPr>
                <w:p w14:paraId="7403A3FC">
                  <w:pPr>
                    <w:pStyle w:val="71"/>
                    <w:rPr>
                      <w:rFonts w:hint="eastAsia"/>
                      <w:color w:val="auto"/>
                      <w:sz w:val="18"/>
                      <w:szCs w:val="18"/>
                      <w:lang w:eastAsia="zh-CN"/>
                    </w:rPr>
                  </w:pPr>
                </w:p>
              </w:tc>
              <w:tc>
                <w:tcPr>
                  <w:tcW w:w="483" w:type="pct"/>
                  <w:vMerge w:val="continue"/>
                  <w:vAlign w:val="center"/>
                </w:tcPr>
                <w:p w14:paraId="6BEFFF31">
                  <w:pPr>
                    <w:pStyle w:val="71"/>
                    <w:rPr>
                      <w:rFonts w:hint="eastAsia"/>
                      <w:color w:val="auto"/>
                      <w:sz w:val="18"/>
                      <w:szCs w:val="18"/>
                      <w:lang w:eastAsia="zh-CN"/>
                    </w:rPr>
                  </w:pPr>
                </w:p>
              </w:tc>
              <w:tc>
                <w:tcPr>
                  <w:tcW w:w="369" w:type="pct"/>
                  <w:vAlign w:val="center"/>
                </w:tcPr>
                <w:p w14:paraId="6BC00C80">
                  <w:pPr>
                    <w:pStyle w:val="71"/>
                    <w:rPr>
                      <w:rFonts w:hint="eastAsia"/>
                      <w:sz w:val="18"/>
                      <w:szCs w:val="18"/>
                      <w:lang w:eastAsia="zh-CN"/>
                    </w:rPr>
                  </w:pPr>
                  <w:r>
                    <w:rPr>
                      <w:rFonts w:hint="eastAsia"/>
                      <w:sz w:val="18"/>
                      <w:szCs w:val="18"/>
                      <w:lang w:eastAsia="zh-CN"/>
                    </w:rPr>
                    <w:t>新建</w:t>
                  </w:r>
                </w:p>
              </w:tc>
            </w:tr>
            <w:tr w14:paraId="481A0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vAlign w:val="center"/>
                </w:tcPr>
                <w:p w14:paraId="55998E1D">
                  <w:pPr>
                    <w:pStyle w:val="71"/>
                    <w:rPr>
                      <w:rFonts w:asciiTheme="minorEastAsia" w:hAnsiTheme="minorEastAsia" w:eastAsiaTheme="minorEastAsia" w:cstheme="minorEastAsia"/>
                      <w:sz w:val="18"/>
                      <w:szCs w:val="18"/>
                      <w:lang w:eastAsia="zh-CN"/>
                    </w:rPr>
                  </w:pPr>
                </w:p>
              </w:tc>
              <w:tc>
                <w:tcPr>
                  <w:tcW w:w="386" w:type="pct"/>
                  <w:vAlign w:val="center"/>
                </w:tcPr>
                <w:p w14:paraId="52542291">
                  <w:pPr>
                    <w:pStyle w:val="71"/>
                    <w:rPr>
                      <w:rFonts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成品</w:t>
                  </w:r>
                  <w:r>
                    <w:rPr>
                      <w:rFonts w:hint="eastAsia" w:asciiTheme="minorEastAsia" w:hAnsiTheme="minorEastAsia" w:eastAsiaTheme="minorEastAsia" w:cstheme="minorEastAsia"/>
                      <w:sz w:val="18"/>
                      <w:szCs w:val="18"/>
                      <w:lang w:val="en-US" w:eastAsia="zh-CN"/>
                    </w:rPr>
                    <w:t>养护</w:t>
                  </w:r>
                  <w:r>
                    <w:rPr>
                      <w:rFonts w:hint="eastAsia" w:asciiTheme="minorEastAsia" w:hAnsiTheme="minorEastAsia" w:eastAsiaTheme="minorEastAsia" w:cstheme="minorEastAsia"/>
                      <w:sz w:val="18"/>
                      <w:szCs w:val="18"/>
                      <w:lang w:eastAsia="zh-CN"/>
                    </w:rPr>
                    <w:t>区</w:t>
                  </w:r>
                </w:p>
              </w:tc>
              <w:tc>
                <w:tcPr>
                  <w:tcW w:w="2883" w:type="pct"/>
                  <w:gridSpan w:val="2"/>
                  <w:tcBorders>
                    <w:bottom w:val="single" w:color="auto" w:sz="4" w:space="0"/>
                  </w:tcBorders>
                  <w:vAlign w:val="center"/>
                </w:tcPr>
                <w:p w14:paraId="237476BD">
                  <w:pPr>
                    <w:pStyle w:val="71"/>
                    <w:rPr>
                      <w:rFonts w:hint="default"/>
                      <w:sz w:val="18"/>
                      <w:szCs w:val="18"/>
                      <w:lang w:val="en-US" w:eastAsia="zh-CN"/>
                    </w:rPr>
                  </w:pPr>
                  <w:r>
                    <w:rPr>
                      <w:rFonts w:hint="eastAsia"/>
                      <w:sz w:val="18"/>
                      <w:szCs w:val="18"/>
                      <w:lang w:eastAsia="zh-CN"/>
                    </w:rPr>
                    <w:t>成品堆放区，占地面积约</w:t>
                  </w:r>
                  <w:r>
                    <w:rPr>
                      <w:rFonts w:hint="eastAsia"/>
                      <w:sz w:val="18"/>
                      <w:szCs w:val="18"/>
                      <w:lang w:val="en-US" w:eastAsia="zh-CN"/>
                    </w:rPr>
                    <w:t>3</w:t>
                  </w:r>
                  <w:r>
                    <w:rPr>
                      <w:rFonts w:hint="eastAsia"/>
                      <w:sz w:val="18"/>
                      <w:szCs w:val="18"/>
                      <w:lang w:eastAsia="zh-CN"/>
                    </w:rPr>
                    <w:t>00m</w:t>
                  </w:r>
                  <w:r>
                    <w:rPr>
                      <w:rFonts w:hint="eastAsia"/>
                      <w:sz w:val="18"/>
                      <w:szCs w:val="18"/>
                      <w:vertAlign w:val="superscript"/>
                      <w:lang w:eastAsia="zh-CN"/>
                    </w:rPr>
                    <w:t>2</w:t>
                  </w:r>
                  <w:r>
                    <w:rPr>
                      <w:rFonts w:hint="eastAsia"/>
                      <w:sz w:val="18"/>
                      <w:szCs w:val="18"/>
                      <w:lang w:eastAsia="zh-CN"/>
                    </w:rPr>
                    <w:t>，</w:t>
                  </w:r>
                  <w:r>
                    <w:rPr>
                      <w:rFonts w:hint="eastAsia"/>
                      <w:sz w:val="18"/>
                      <w:szCs w:val="18"/>
                    </w:rPr>
                    <w:t>设彩钢瓦大棚及围挡</w:t>
                  </w:r>
                  <w:r>
                    <w:rPr>
                      <w:rFonts w:hint="eastAsia"/>
                      <w:sz w:val="18"/>
                      <w:szCs w:val="18"/>
                      <w:lang w:eastAsia="zh-CN"/>
                    </w:rPr>
                    <w:t>，地面硬化处理，</w:t>
                  </w:r>
                  <w:r>
                    <w:rPr>
                      <w:rFonts w:hint="eastAsia"/>
                      <w:sz w:val="18"/>
                      <w:szCs w:val="18"/>
                      <w:lang w:val="en-US" w:eastAsia="zh-CN"/>
                    </w:rPr>
                    <w:t>位于厂区西南侧，</w:t>
                  </w:r>
                  <w:r>
                    <w:rPr>
                      <w:rFonts w:hint="eastAsia"/>
                      <w:sz w:val="18"/>
                      <w:szCs w:val="18"/>
                      <w:lang w:eastAsia="zh-CN"/>
                    </w:rPr>
                    <w:t>用于</w:t>
                  </w:r>
                  <w:r>
                    <w:rPr>
                      <w:rFonts w:hint="eastAsia"/>
                      <w:sz w:val="18"/>
                      <w:szCs w:val="18"/>
                      <w:lang w:val="en-US" w:eastAsia="zh-CN"/>
                    </w:rPr>
                    <w:t>不锈钢制品、</w:t>
                  </w:r>
                  <w:r>
                    <w:rPr>
                      <w:rFonts w:hint="eastAsia"/>
                      <w:sz w:val="18"/>
                      <w:szCs w:val="18"/>
                      <w:lang w:eastAsia="zh-CN"/>
                    </w:rPr>
                    <w:t>漏粪板暂存及养护</w:t>
                  </w:r>
                </w:p>
              </w:tc>
              <w:tc>
                <w:tcPr>
                  <w:tcW w:w="496" w:type="pct"/>
                  <w:vMerge w:val="continue"/>
                  <w:vAlign w:val="center"/>
                </w:tcPr>
                <w:p w14:paraId="32D0C03C">
                  <w:pPr>
                    <w:pStyle w:val="71"/>
                    <w:rPr>
                      <w:rFonts w:hint="eastAsia"/>
                      <w:color w:val="auto"/>
                      <w:sz w:val="18"/>
                      <w:szCs w:val="18"/>
                      <w:lang w:eastAsia="zh-CN"/>
                    </w:rPr>
                  </w:pPr>
                </w:p>
              </w:tc>
              <w:tc>
                <w:tcPr>
                  <w:tcW w:w="483" w:type="pct"/>
                  <w:vMerge w:val="continue"/>
                  <w:tcBorders>
                    <w:bottom w:val="single" w:color="auto" w:sz="4" w:space="0"/>
                  </w:tcBorders>
                  <w:vAlign w:val="center"/>
                </w:tcPr>
                <w:p w14:paraId="0AD0E1E1">
                  <w:pPr>
                    <w:pStyle w:val="71"/>
                    <w:rPr>
                      <w:rFonts w:hint="eastAsia"/>
                      <w:color w:val="auto"/>
                      <w:sz w:val="18"/>
                      <w:szCs w:val="18"/>
                      <w:lang w:eastAsia="zh-CN"/>
                    </w:rPr>
                  </w:pPr>
                </w:p>
              </w:tc>
              <w:tc>
                <w:tcPr>
                  <w:tcW w:w="369" w:type="pct"/>
                  <w:tcBorders>
                    <w:bottom w:val="single" w:color="auto" w:sz="4" w:space="0"/>
                  </w:tcBorders>
                  <w:vAlign w:val="center"/>
                </w:tcPr>
                <w:p w14:paraId="0CB7341F">
                  <w:pPr>
                    <w:pStyle w:val="71"/>
                    <w:rPr>
                      <w:sz w:val="18"/>
                      <w:szCs w:val="18"/>
                      <w:lang w:eastAsia="zh-CN"/>
                    </w:rPr>
                  </w:pPr>
                  <w:r>
                    <w:rPr>
                      <w:rFonts w:hint="eastAsia"/>
                      <w:sz w:val="18"/>
                      <w:szCs w:val="18"/>
                      <w:lang w:eastAsia="zh-CN"/>
                    </w:rPr>
                    <w:t>新建</w:t>
                  </w:r>
                </w:p>
              </w:tc>
            </w:tr>
            <w:tr w14:paraId="5C07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restart"/>
                  <w:vAlign w:val="center"/>
                </w:tcPr>
                <w:p w14:paraId="68B0A523">
                  <w:pPr>
                    <w:pStyle w:val="71"/>
                    <w:rPr>
                      <w:rFonts w:asciiTheme="minorEastAsia" w:hAnsiTheme="minorEastAsia" w:eastAsiaTheme="minorEastAsia" w:cstheme="minorEastAsia"/>
                      <w:sz w:val="18"/>
                      <w:szCs w:val="18"/>
                      <w:lang w:eastAsia="zh-CN"/>
                    </w:rPr>
                  </w:pPr>
                  <w:r>
                    <w:rPr>
                      <w:rFonts w:hint="default" w:ascii="Times New Roman" w:hAnsi="Times New Roman" w:eastAsia="宋体" w:cs="Times New Roman"/>
                      <w:color w:val="auto"/>
                      <w:sz w:val="18"/>
                      <w:szCs w:val="18"/>
                    </w:rPr>
                    <w:t>办公生活设施</w:t>
                  </w:r>
                </w:p>
              </w:tc>
              <w:tc>
                <w:tcPr>
                  <w:tcW w:w="386" w:type="pct"/>
                  <w:vAlign w:val="center"/>
                </w:tcPr>
                <w:p w14:paraId="14F3328E">
                  <w:pPr>
                    <w:widowControl/>
                    <w:spacing w:line="0" w:lineRule="atLeast"/>
                    <w:jc w:val="center"/>
                    <w:rPr>
                      <w:rFonts w:hint="eastAsia" w:asciiTheme="minorEastAsia" w:hAnsiTheme="minorEastAsia" w:eastAsiaTheme="minorEastAsia" w:cstheme="minorEastAsia"/>
                      <w:sz w:val="18"/>
                      <w:szCs w:val="18"/>
                      <w:lang w:eastAsia="zh-CN"/>
                    </w:rPr>
                  </w:pPr>
                  <w:r>
                    <w:rPr>
                      <w:rFonts w:hint="default" w:ascii="Times New Roman" w:hAnsi="Times New Roman" w:eastAsia="宋体" w:cs="Times New Roman"/>
                      <w:color w:val="auto"/>
                      <w:sz w:val="18"/>
                      <w:szCs w:val="18"/>
                    </w:rPr>
                    <w:t>办公</w:t>
                  </w:r>
                  <w:r>
                    <w:rPr>
                      <w:rFonts w:hint="default" w:ascii="Times New Roman" w:hAnsi="Times New Roman" w:eastAsia="宋体" w:cs="Times New Roman"/>
                      <w:color w:val="auto"/>
                      <w:sz w:val="18"/>
                      <w:szCs w:val="18"/>
                      <w:lang w:val="en-US" w:eastAsia="zh-CN"/>
                    </w:rPr>
                    <w:t>室</w:t>
                  </w:r>
                </w:p>
              </w:tc>
              <w:tc>
                <w:tcPr>
                  <w:tcW w:w="2883" w:type="pct"/>
                  <w:gridSpan w:val="2"/>
                  <w:tcBorders>
                    <w:bottom w:val="single" w:color="auto" w:sz="4" w:space="0"/>
                  </w:tcBorders>
                  <w:vAlign w:val="center"/>
                </w:tcPr>
                <w:p w14:paraId="69ED1AE6">
                  <w:pPr>
                    <w:widowControl/>
                    <w:spacing w:line="0" w:lineRule="atLeast"/>
                    <w:rPr>
                      <w:rFonts w:hint="eastAsia"/>
                      <w:sz w:val="18"/>
                      <w:szCs w:val="18"/>
                      <w:lang w:eastAsia="zh-CN"/>
                    </w:rPr>
                  </w:pPr>
                  <w:r>
                    <w:rPr>
                      <w:rFonts w:hint="default"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栋3F砖混结构</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rPr>
                    <w:t>位于厂区</w:t>
                  </w:r>
                  <w:r>
                    <w:rPr>
                      <w:rFonts w:hint="eastAsia" w:cs="Times New Roman"/>
                      <w:color w:val="auto"/>
                      <w:sz w:val="18"/>
                      <w:szCs w:val="18"/>
                      <w:lang w:val="en-US" w:eastAsia="zh-CN"/>
                    </w:rPr>
                    <w:t>东</w:t>
                  </w:r>
                  <w:r>
                    <w:rPr>
                      <w:rFonts w:hint="eastAsia" w:eastAsia="宋体" w:cs="Times New Roman"/>
                      <w:color w:val="auto"/>
                      <w:sz w:val="18"/>
                      <w:szCs w:val="18"/>
                      <w:lang w:val="en-US" w:eastAsia="zh-CN"/>
                    </w:rPr>
                    <w:t>南</w:t>
                  </w:r>
                  <w:r>
                    <w:rPr>
                      <w:rFonts w:hint="default" w:ascii="Times New Roman" w:hAnsi="Times New Roman" w:eastAsia="宋体" w:cs="Times New Roman"/>
                      <w:color w:val="auto"/>
                      <w:sz w:val="18"/>
                      <w:szCs w:val="18"/>
                      <w:lang w:val="en-US" w:eastAsia="zh-CN"/>
                    </w:rPr>
                    <w:t>侧</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占地</w:t>
                  </w:r>
                  <w:r>
                    <w:rPr>
                      <w:rFonts w:hint="default" w:ascii="Times New Roman" w:hAnsi="Times New Roman" w:eastAsia="宋体" w:cs="Times New Roman"/>
                      <w:color w:val="auto"/>
                      <w:sz w:val="18"/>
                      <w:szCs w:val="18"/>
                    </w:rPr>
                    <w:t>面积</w:t>
                  </w:r>
                  <w:r>
                    <w:rPr>
                      <w:rFonts w:hint="default" w:ascii="Times New Roman" w:hAnsi="Times New Roman" w:eastAsia="宋体" w:cs="Times New Roman"/>
                      <w:color w:val="auto"/>
                      <w:sz w:val="18"/>
                      <w:szCs w:val="18"/>
                      <w:lang w:val="en-US" w:eastAsia="zh-CN"/>
                    </w:rPr>
                    <w:t>约</w:t>
                  </w:r>
                  <w:r>
                    <w:rPr>
                      <w:rFonts w:hint="eastAsia" w:cs="Times New Roman"/>
                      <w:color w:val="auto"/>
                      <w:sz w:val="18"/>
                      <w:szCs w:val="18"/>
                      <w:lang w:val="en-US" w:eastAsia="zh-CN"/>
                    </w:rPr>
                    <w:t>2</w:t>
                  </w:r>
                  <w:r>
                    <w:rPr>
                      <w:rFonts w:hint="eastAsia" w:eastAsia="宋体" w:cs="Times New Roman"/>
                      <w:color w:val="auto"/>
                      <w:sz w:val="18"/>
                      <w:szCs w:val="18"/>
                      <w:lang w:val="en-US" w:eastAsia="zh-CN"/>
                    </w:rPr>
                    <w:t>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vertAlign w:val="baseline"/>
                      <w:lang w:eastAsia="zh-CN"/>
                    </w:rPr>
                    <w:t>，</w:t>
                  </w:r>
                  <w:r>
                    <w:rPr>
                      <w:rFonts w:hint="eastAsia" w:cs="Times New Roman"/>
                      <w:color w:val="auto"/>
                      <w:sz w:val="18"/>
                      <w:szCs w:val="18"/>
                      <w:vertAlign w:val="baseline"/>
                      <w:lang w:val="en-US" w:eastAsia="zh-CN"/>
                    </w:rPr>
                    <w:t>1层</w:t>
                  </w:r>
                  <w:r>
                    <w:rPr>
                      <w:rFonts w:hint="default" w:ascii="Times New Roman" w:hAnsi="Times New Roman" w:eastAsia="宋体" w:cs="Times New Roman"/>
                      <w:color w:val="auto"/>
                      <w:sz w:val="18"/>
                      <w:szCs w:val="18"/>
                      <w:vertAlign w:val="baseline"/>
                      <w:lang w:val="en-US" w:eastAsia="zh-CN"/>
                    </w:rPr>
                    <w:t>用于项目管理人员日常办公使用</w:t>
                  </w:r>
                </w:p>
              </w:tc>
              <w:tc>
                <w:tcPr>
                  <w:tcW w:w="496" w:type="pct"/>
                  <w:vMerge w:val="continue"/>
                  <w:vAlign w:val="center"/>
                </w:tcPr>
                <w:p w14:paraId="1A761790">
                  <w:pPr>
                    <w:pStyle w:val="71"/>
                    <w:rPr>
                      <w:rFonts w:hint="eastAsia"/>
                      <w:color w:val="auto"/>
                      <w:sz w:val="18"/>
                      <w:szCs w:val="18"/>
                      <w:lang w:eastAsia="zh-CN"/>
                    </w:rPr>
                  </w:pPr>
                </w:p>
              </w:tc>
              <w:tc>
                <w:tcPr>
                  <w:tcW w:w="483" w:type="pct"/>
                  <w:vMerge w:val="restart"/>
                  <w:vAlign w:val="center"/>
                </w:tcPr>
                <w:p w14:paraId="0BA36608">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生活污水</w:t>
                  </w:r>
                </w:p>
                <w:p w14:paraId="382369FF">
                  <w:pPr>
                    <w:pStyle w:val="71"/>
                    <w:rPr>
                      <w:rFonts w:hint="eastAsia"/>
                      <w:color w:val="auto"/>
                      <w:sz w:val="18"/>
                      <w:szCs w:val="18"/>
                      <w:lang w:eastAsia="zh-CN"/>
                    </w:rPr>
                  </w:pPr>
                  <w:r>
                    <w:rPr>
                      <w:rFonts w:hint="default" w:ascii="Times New Roman" w:hAnsi="Times New Roman" w:cs="Times New Roman" w:eastAsiaTheme="minorEastAsia"/>
                      <w:color w:val="auto"/>
                      <w:sz w:val="18"/>
                      <w:szCs w:val="18"/>
                    </w:rPr>
                    <w:t>生活垃圾</w:t>
                  </w:r>
                </w:p>
              </w:tc>
              <w:tc>
                <w:tcPr>
                  <w:tcW w:w="369" w:type="pct"/>
                  <w:vMerge w:val="restart"/>
                  <w:vAlign w:val="center"/>
                </w:tcPr>
                <w:p w14:paraId="7477B574">
                  <w:pPr>
                    <w:pStyle w:val="71"/>
                    <w:rPr>
                      <w:rFonts w:hint="default"/>
                      <w:sz w:val="18"/>
                      <w:szCs w:val="18"/>
                      <w:lang w:val="en-US" w:eastAsia="zh-CN"/>
                    </w:rPr>
                  </w:pPr>
                  <w:r>
                    <w:rPr>
                      <w:rFonts w:hint="eastAsia"/>
                      <w:sz w:val="18"/>
                      <w:szCs w:val="18"/>
                      <w:lang w:val="en-US" w:eastAsia="zh-CN"/>
                    </w:rPr>
                    <w:t>依托</w:t>
                  </w:r>
                </w:p>
              </w:tc>
            </w:tr>
            <w:tr w14:paraId="42A44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vAlign w:val="center"/>
                </w:tcPr>
                <w:p w14:paraId="47F48B74">
                  <w:pPr>
                    <w:pStyle w:val="71"/>
                    <w:rPr>
                      <w:rFonts w:asciiTheme="minorEastAsia" w:hAnsiTheme="minorEastAsia" w:eastAsiaTheme="minorEastAsia" w:cstheme="minorEastAsia"/>
                      <w:sz w:val="18"/>
                      <w:szCs w:val="18"/>
                      <w:lang w:eastAsia="zh-CN"/>
                    </w:rPr>
                  </w:pPr>
                </w:p>
              </w:tc>
              <w:tc>
                <w:tcPr>
                  <w:tcW w:w="386" w:type="pct"/>
                  <w:vAlign w:val="center"/>
                </w:tcPr>
                <w:p w14:paraId="3AFBBC94">
                  <w:pPr>
                    <w:widowControl/>
                    <w:spacing w:line="0" w:lineRule="atLeast"/>
                    <w:jc w:val="center"/>
                    <w:rPr>
                      <w:rFonts w:hint="eastAsia" w:asciiTheme="minorEastAsia" w:hAnsiTheme="minorEastAsia" w:eastAsiaTheme="minorEastAsia" w:cstheme="minorEastAsia"/>
                      <w:sz w:val="18"/>
                      <w:szCs w:val="18"/>
                      <w:lang w:eastAsia="zh-CN"/>
                    </w:rPr>
                  </w:pPr>
                  <w:r>
                    <w:rPr>
                      <w:rFonts w:hint="default" w:ascii="Times New Roman" w:hAnsi="Times New Roman" w:eastAsia="宋体" w:cs="Times New Roman"/>
                      <w:color w:val="auto"/>
                      <w:sz w:val="18"/>
                      <w:szCs w:val="18"/>
                      <w:lang w:val="en-US" w:eastAsia="zh-CN"/>
                    </w:rPr>
                    <w:t>值班室、休息室</w:t>
                  </w:r>
                </w:p>
              </w:tc>
              <w:tc>
                <w:tcPr>
                  <w:tcW w:w="2883" w:type="pct"/>
                  <w:gridSpan w:val="2"/>
                  <w:tcBorders>
                    <w:bottom w:val="single" w:color="auto" w:sz="4" w:space="0"/>
                  </w:tcBorders>
                  <w:vAlign w:val="center"/>
                </w:tcPr>
                <w:p w14:paraId="4D2C2864">
                  <w:pPr>
                    <w:widowControl/>
                    <w:spacing w:line="0" w:lineRule="atLeast"/>
                    <w:rPr>
                      <w:rFonts w:hint="eastAsia"/>
                      <w:sz w:val="18"/>
                      <w:szCs w:val="18"/>
                      <w:lang w:eastAsia="zh-CN"/>
                    </w:rPr>
                  </w:pPr>
                  <w:r>
                    <w:rPr>
                      <w:rFonts w:hint="default"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栋3F砖混结构</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rPr>
                    <w:t>位于厂区</w:t>
                  </w:r>
                  <w:r>
                    <w:rPr>
                      <w:rFonts w:hint="eastAsia" w:cs="Times New Roman"/>
                      <w:color w:val="auto"/>
                      <w:sz w:val="18"/>
                      <w:szCs w:val="18"/>
                      <w:lang w:val="en-US" w:eastAsia="zh-CN"/>
                    </w:rPr>
                    <w:t>东</w:t>
                  </w:r>
                  <w:r>
                    <w:rPr>
                      <w:rFonts w:hint="eastAsia" w:eastAsia="宋体" w:cs="Times New Roman"/>
                      <w:color w:val="auto"/>
                      <w:sz w:val="18"/>
                      <w:szCs w:val="18"/>
                      <w:lang w:val="en-US" w:eastAsia="zh-CN"/>
                    </w:rPr>
                    <w:t>南</w:t>
                  </w:r>
                  <w:r>
                    <w:rPr>
                      <w:rFonts w:hint="default" w:ascii="Times New Roman" w:hAnsi="Times New Roman" w:eastAsia="宋体" w:cs="Times New Roman"/>
                      <w:color w:val="auto"/>
                      <w:sz w:val="18"/>
                      <w:szCs w:val="18"/>
                      <w:lang w:val="en-US" w:eastAsia="zh-CN"/>
                    </w:rPr>
                    <w:t>侧</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占地</w:t>
                  </w:r>
                  <w:r>
                    <w:rPr>
                      <w:rFonts w:hint="default" w:ascii="Times New Roman" w:hAnsi="Times New Roman" w:eastAsia="宋体" w:cs="Times New Roman"/>
                      <w:color w:val="auto"/>
                      <w:sz w:val="18"/>
                      <w:szCs w:val="18"/>
                    </w:rPr>
                    <w:t>面积</w:t>
                  </w:r>
                  <w:r>
                    <w:rPr>
                      <w:rFonts w:hint="default" w:ascii="Times New Roman" w:hAnsi="Times New Roman" w:eastAsia="宋体" w:cs="Times New Roman"/>
                      <w:color w:val="auto"/>
                      <w:sz w:val="18"/>
                      <w:szCs w:val="18"/>
                      <w:lang w:val="en-US" w:eastAsia="zh-CN"/>
                    </w:rPr>
                    <w:t>约</w:t>
                  </w:r>
                  <w:r>
                    <w:rPr>
                      <w:rFonts w:hint="eastAsia" w:cs="Times New Roman"/>
                      <w:color w:val="auto"/>
                      <w:sz w:val="18"/>
                      <w:szCs w:val="18"/>
                      <w:lang w:val="en-US" w:eastAsia="zh-CN"/>
                    </w:rPr>
                    <w:t>2</w:t>
                  </w:r>
                  <w:r>
                    <w:rPr>
                      <w:rFonts w:hint="eastAsia" w:eastAsia="宋体" w:cs="Times New Roman"/>
                      <w:color w:val="auto"/>
                      <w:sz w:val="18"/>
                      <w:szCs w:val="18"/>
                      <w:lang w:val="en-US" w:eastAsia="zh-CN"/>
                    </w:rPr>
                    <w:t>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vertAlign w:val="baseline"/>
                      <w:lang w:eastAsia="zh-CN"/>
                    </w:rPr>
                    <w:t>，</w:t>
                  </w:r>
                  <w:r>
                    <w:rPr>
                      <w:rFonts w:hint="eastAsia" w:cs="Times New Roman"/>
                      <w:color w:val="auto"/>
                      <w:sz w:val="18"/>
                      <w:szCs w:val="18"/>
                      <w:vertAlign w:val="baseline"/>
                      <w:lang w:val="en-US" w:eastAsia="zh-CN"/>
                    </w:rPr>
                    <w:t>2、3层</w:t>
                  </w:r>
                  <w:r>
                    <w:rPr>
                      <w:rFonts w:hint="default" w:ascii="Times New Roman" w:hAnsi="Times New Roman" w:eastAsia="宋体" w:cs="Times New Roman"/>
                      <w:color w:val="auto"/>
                      <w:sz w:val="18"/>
                      <w:szCs w:val="18"/>
                      <w:vertAlign w:val="baseline"/>
                      <w:lang w:val="en-US" w:eastAsia="zh-CN"/>
                    </w:rPr>
                    <w:t>用于厂区员工及外来运输车辆司机等值班、休息使用；</w:t>
                  </w:r>
                </w:p>
              </w:tc>
              <w:tc>
                <w:tcPr>
                  <w:tcW w:w="496" w:type="pct"/>
                  <w:vMerge w:val="continue"/>
                  <w:vAlign w:val="center"/>
                </w:tcPr>
                <w:p w14:paraId="1682040D">
                  <w:pPr>
                    <w:pStyle w:val="71"/>
                    <w:rPr>
                      <w:rFonts w:hint="eastAsia"/>
                      <w:color w:val="auto"/>
                      <w:sz w:val="18"/>
                      <w:szCs w:val="18"/>
                      <w:lang w:eastAsia="zh-CN"/>
                    </w:rPr>
                  </w:pPr>
                </w:p>
              </w:tc>
              <w:tc>
                <w:tcPr>
                  <w:tcW w:w="483" w:type="pct"/>
                  <w:vMerge w:val="continue"/>
                  <w:tcBorders>
                    <w:bottom w:val="single" w:color="auto" w:sz="4" w:space="0"/>
                  </w:tcBorders>
                  <w:vAlign w:val="center"/>
                </w:tcPr>
                <w:p w14:paraId="58BCC883">
                  <w:pPr>
                    <w:pStyle w:val="71"/>
                    <w:rPr>
                      <w:rFonts w:hint="eastAsia"/>
                      <w:color w:val="auto"/>
                      <w:sz w:val="18"/>
                      <w:szCs w:val="18"/>
                      <w:lang w:eastAsia="zh-CN"/>
                    </w:rPr>
                  </w:pPr>
                </w:p>
              </w:tc>
              <w:tc>
                <w:tcPr>
                  <w:tcW w:w="369" w:type="pct"/>
                  <w:vMerge w:val="continue"/>
                  <w:tcBorders>
                    <w:bottom w:val="single" w:color="auto" w:sz="4" w:space="0"/>
                  </w:tcBorders>
                  <w:vAlign w:val="center"/>
                </w:tcPr>
                <w:p w14:paraId="5E00708D">
                  <w:pPr>
                    <w:pStyle w:val="71"/>
                    <w:rPr>
                      <w:rFonts w:hint="eastAsia"/>
                      <w:sz w:val="18"/>
                      <w:szCs w:val="18"/>
                      <w:lang w:eastAsia="zh-CN"/>
                    </w:rPr>
                  </w:pPr>
                </w:p>
              </w:tc>
            </w:tr>
            <w:tr w14:paraId="3C140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restart"/>
                  <w:vAlign w:val="center"/>
                </w:tcPr>
                <w:p w14:paraId="3C4ABA08">
                  <w:pPr>
                    <w:pStyle w:val="71"/>
                    <w:rPr>
                      <w:rFonts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sz w:val="18"/>
                      <w:szCs w:val="18"/>
                    </w:rPr>
                    <w:t>公用辅助工程</w:t>
                  </w:r>
                </w:p>
              </w:tc>
              <w:tc>
                <w:tcPr>
                  <w:tcW w:w="386" w:type="pct"/>
                  <w:vAlign w:val="center"/>
                </w:tcPr>
                <w:p w14:paraId="29FAD32B">
                  <w:pPr>
                    <w:spacing w:line="0" w:lineRule="atLeast"/>
                    <w:jc w:val="center"/>
                    <w:rPr>
                      <w:rFonts w:asciiTheme="minorEastAsia" w:hAnsiTheme="minorEastAsia" w:eastAsiaTheme="minorEastAsia" w:cstheme="minorEastAsia"/>
                      <w:color w:val="FF0000"/>
                      <w:sz w:val="18"/>
                      <w:szCs w:val="18"/>
                      <w:lang w:eastAsia="zh-CN"/>
                    </w:rPr>
                  </w:pPr>
                  <w:r>
                    <w:rPr>
                      <w:rFonts w:hint="default" w:ascii="Times New Roman" w:hAnsi="Times New Roman" w:eastAsia="宋体" w:cs="Times New Roman"/>
                      <w:color w:val="auto"/>
                      <w:sz w:val="18"/>
                      <w:szCs w:val="18"/>
                    </w:rPr>
                    <w:t>供电系统</w:t>
                  </w:r>
                </w:p>
              </w:tc>
              <w:tc>
                <w:tcPr>
                  <w:tcW w:w="2883" w:type="pct"/>
                  <w:gridSpan w:val="2"/>
                  <w:vAlign w:val="center"/>
                </w:tcPr>
                <w:p w14:paraId="2BB25110">
                  <w:pPr>
                    <w:spacing w:line="0" w:lineRule="atLeast"/>
                    <w:jc w:val="center"/>
                    <w:rPr>
                      <w:color w:val="FF0000"/>
                      <w:sz w:val="18"/>
                      <w:szCs w:val="18"/>
                      <w:lang w:eastAsia="zh-CN"/>
                    </w:rPr>
                  </w:pPr>
                  <w:r>
                    <w:rPr>
                      <w:rFonts w:hint="default" w:ascii="Times New Roman" w:hAnsi="Times New Roman" w:eastAsia="宋体" w:cs="Times New Roman"/>
                      <w:color w:val="auto"/>
                      <w:sz w:val="18"/>
                      <w:szCs w:val="18"/>
                      <w:lang w:val="en-US" w:eastAsia="zh-CN"/>
                    </w:rPr>
                    <w:t>场镇</w:t>
                  </w:r>
                  <w:r>
                    <w:rPr>
                      <w:rFonts w:hint="default" w:ascii="Times New Roman" w:hAnsi="Times New Roman" w:eastAsia="宋体" w:cs="Times New Roman"/>
                      <w:color w:val="auto"/>
                      <w:sz w:val="18"/>
                      <w:szCs w:val="18"/>
                    </w:rPr>
                    <w:t>电网</w:t>
                  </w:r>
                </w:p>
              </w:tc>
              <w:tc>
                <w:tcPr>
                  <w:tcW w:w="496" w:type="pct"/>
                  <w:vMerge w:val="continue"/>
                  <w:vAlign w:val="center"/>
                </w:tcPr>
                <w:p w14:paraId="640BAD7F">
                  <w:pPr>
                    <w:pStyle w:val="71"/>
                    <w:rPr>
                      <w:rFonts w:hint="eastAsia"/>
                      <w:color w:val="auto"/>
                      <w:sz w:val="18"/>
                      <w:szCs w:val="18"/>
                      <w:lang w:eastAsia="zh-CN"/>
                    </w:rPr>
                  </w:pPr>
                </w:p>
              </w:tc>
              <w:tc>
                <w:tcPr>
                  <w:tcW w:w="483" w:type="pct"/>
                  <w:vAlign w:val="center"/>
                </w:tcPr>
                <w:p w14:paraId="5DAA5F55">
                  <w:pPr>
                    <w:pStyle w:val="71"/>
                    <w:rPr>
                      <w:rFonts w:hint="eastAsia"/>
                      <w:color w:val="auto"/>
                      <w:sz w:val="18"/>
                      <w:szCs w:val="18"/>
                      <w:lang w:eastAsia="zh-CN"/>
                    </w:rPr>
                  </w:pPr>
                </w:p>
              </w:tc>
              <w:tc>
                <w:tcPr>
                  <w:tcW w:w="369" w:type="pct"/>
                  <w:vAlign w:val="center"/>
                </w:tcPr>
                <w:p w14:paraId="323A1CA2">
                  <w:pPr>
                    <w:pStyle w:val="71"/>
                    <w:rPr>
                      <w:color w:val="FF0000"/>
                      <w:sz w:val="18"/>
                      <w:szCs w:val="18"/>
                      <w:lang w:eastAsia="zh-CN"/>
                    </w:rPr>
                  </w:pPr>
                  <w:r>
                    <w:rPr>
                      <w:rFonts w:hint="eastAsia"/>
                      <w:sz w:val="18"/>
                      <w:szCs w:val="18"/>
                      <w:lang w:eastAsia="zh-CN"/>
                    </w:rPr>
                    <w:t>依托</w:t>
                  </w:r>
                </w:p>
              </w:tc>
            </w:tr>
            <w:tr w14:paraId="1C42B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3EA5FF6B">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22C5038F">
                  <w:pPr>
                    <w:spacing w:line="0" w:lineRule="atLeast"/>
                    <w:jc w:val="center"/>
                    <w:rPr>
                      <w:rFonts w:asciiTheme="minorEastAsia" w:hAnsiTheme="minorEastAsia" w:eastAsiaTheme="minorEastAsia" w:cstheme="minorEastAsia"/>
                      <w:color w:val="FF0000"/>
                      <w:sz w:val="18"/>
                      <w:szCs w:val="18"/>
                      <w:lang w:eastAsia="zh-CN"/>
                    </w:rPr>
                  </w:pPr>
                  <w:r>
                    <w:rPr>
                      <w:rFonts w:hint="default" w:ascii="Times New Roman" w:hAnsi="Times New Roman" w:eastAsia="宋体" w:cs="Times New Roman"/>
                      <w:color w:val="auto"/>
                      <w:sz w:val="18"/>
                      <w:szCs w:val="18"/>
                    </w:rPr>
                    <w:t>供水系统</w:t>
                  </w:r>
                </w:p>
              </w:tc>
              <w:tc>
                <w:tcPr>
                  <w:tcW w:w="2883" w:type="pct"/>
                  <w:gridSpan w:val="2"/>
                  <w:vAlign w:val="center"/>
                </w:tcPr>
                <w:p w14:paraId="6097B231">
                  <w:pPr>
                    <w:spacing w:line="0" w:lineRule="atLeast"/>
                    <w:jc w:val="center"/>
                    <w:rPr>
                      <w:color w:val="FF0000"/>
                      <w:sz w:val="18"/>
                      <w:szCs w:val="18"/>
                      <w:lang w:eastAsia="zh-CN"/>
                    </w:rPr>
                  </w:pPr>
                  <w:r>
                    <w:rPr>
                      <w:rFonts w:hint="eastAsia" w:eastAsia="宋体" w:cs="Times New Roman"/>
                      <w:color w:val="auto"/>
                      <w:sz w:val="18"/>
                      <w:szCs w:val="18"/>
                      <w:lang w:val="en-US" w:eastAsia="zh-CN"/>
                    </w:rPr>
                    <w:t>水井</w:t>
                  </w:r>
                </w:p>
              </w:tc>
              <w:tc>
                <w:tcPr>
                  <w:tcW w:w="496" w:type="pct"/>
                  <w:vMerge w:val="continue"/>
                  <w:vAlign w:val="center"/>
                </w:tcPr>
                <w:p w14:paraId="37E99333">
                  <w:pPr>
                    <w:pStyle w:val="71"/>
                    <w:rPr>
                      <w:rFonts w:hint="eastAsia"/>
                      <w:color w:val="auto"/>
                      <w:sz w:val="18"/>
                      <w:szCs w:val="18"/>
                      <w:lang w:eastAsia="zh-CN"/>
                    </w:rPr>
                  </w:pPr>
                </w:p>
              </w:tc>
              <w:tc>
                <w:tcPr>
                  <w:tcW w:w="483" w:type="pct"/>
                  <w:vAlign w:val="center"/>
                </w:tcPr>
                <w:p w14:paraId="776F8FA1">
                  <w:pPr>
                    <w:pStyle w:val="71"/>
                    <w:rPr>
                      <w:rFonts w:hint="eastAsia"/>
                      <w:color w:val="auto"/>
                      <w:sz w:val="18"/>
                      <w:szCs w:val="18"/>
                      <w:lang w:eastAsia="zh-CN"/>
                    </w:rPr>
                  </w:pPr>
                </w:p>
              </w:tc>
              <w:tc>
                <w:tcPr>
                  <w:tcW w:w="369" w:type="pct"/>
                  <w:vAlign w:val="center"/>
                </w:tcPr>
                <w:p w14:paraId="7B2A9579">
                  <w:pPr>
                    <w:pStyle w:val="71"/>
                    <w:rPr>
                      <w:sz w:val="18"/>
                      <w:szCs w:val="18"/>
                      <w:lang w:eastAsia="zh-CN"/>
                    </w:rPr>
                  </w:pPr>
                  <w:r>
                    <w:rPr>
                      <w:rFonts w:hint="eastAsia"/>
                      <w:sz w:val="18"/>
                      <w:szCs w:val="18"/>
                      <w:lang w:eastAsia="zh-CN"/>
                    </w:rPr>
                    <w:t>新建</w:t>
                  </w:r>
                </w:p>
              </w:tc>
            </w:tr>
            <w:tr w14:paraId="1085B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6058A4B0">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4636AA4A">
                  <w:pPr>
                    <w:adjustRightInd w:val="0"/>
                    <w:snapToGrid w:val="0"/>
                    <w:spacing w:line="0" w:lineRule="atLeast"/>
                    <w:jc w:val="center"/>
                    <w:rPr>
                      <w:rFonts w:hint="eastAsia" w:asciiTheme="minorEastAsia" w:hAnsiTheme="minorEastAsia" w:eastAsiaTheme="minorEastAsia" w:cstheme="minorEastAsia"/>
                      <w:color w:val="FF0000"/>
                      <w:sz w:val="18"/>
                      <w:szCs w:val="18"/>
                      <w:lang w:eastAsia="zh-CN"/>
                    </w:rPr>
                  </w:pPr>
                  <w:r>
                    <w:rPr>
                      <w:rFonts w:hint="default" w:ascii="Times New Roman" w:hAnsi="Times New Roman" w:eastAsia="宋体" w:cs="Times New Roman"/>
                      <w:color w:val="auto"/>
                      <w:sz w:val="18"/>
                      <w:szCs w:val="18"/>
                    </w:rPr>
                    <w:t>运输系统</w:t>
                  </w:r>
                </w:p>
              </w:tc>
              <w:tc>
                <w:tcPr>
                  <w:tcW w:w="2883" w:type="pct"/>
                  <w:gridSpan w:val="2"/>
                  <w:vAlign w:val="center"/>
                </w:tcPr>
                <w:p w14:paraId="3B8ECDBF">
                  <w:pPr>
                    <w:widowControl/>
                    <w:adjustRightInd w:val="0"/>
                    <w:snapToGrid w:val="0"/>
                    <w:spacing w:line="0" w:lineRule="atLeast"/>
                    <w:rPr>
                      <w:rFonts w:hint="eastAsia"/>
                      <w:color w:val="FF0000"/>
                      <w:sz w:val="18"/>
                      <w:szCs w:val="18"/>
                      <w:lang w:eastAsia="zh-CN"/>
                    </w:rPr>
                  </w:pPr>
                  <w:r>
                    <w:rPr>
                      <w:rFonts w:hint="default" w:ascii="Times New Roman" w:hAnsi="Times New Roman" w:eastAsia="宋体" w:cs="Times New Roman"/>
                      <w:color w:val="auto"/>
                      <w:sz w:val="18"/>
                      <w:szCs w:val="18"/>
                    </w:rPr>
                    <w:t>厂内</w:t>
                  </w:r>
                  <w:r>
                    <w:rPr>
                      <w:rFonts w:hint="default" w:ascii="Times New Roman" w:hAnsi="Times New Roman" w:eastAsia="宋体" w:cs="Times New Roman"/>
                      <w:color w:val="auto"/>
                      <w:sz w:val="18"/>
                      <w:szCs w:val="18"/>
                      <w:lang w:val="en-US" w:eastAsia="zh-CN"/>
                    </w:rPr>
                    <w:t>围绕混凝土生产区域和原料堆存车间</w:t>
                  </w:r>
                  <w:r>
                    <w:rPr>
                      <w:rFonts w:hint="default" w:ascii="Times New Roman" w:hAnsi="Times New Roman" w:eastAsia="宋体" w:cs="Times New Roman"/>
                      <w:color w:val="auto"/>
                      <w:sz w:val="18"/>
                      <w:szCs w:val="18"/>
                    </w:rPr>
                    <w:t>设置运输通道</w:t>
                  </w:r>
                  <w:r>
                    <w:rPr>
                      <w:rFonts w:hint="default" w:ascii="Times New Roman" w:hAnsi="Times New Roman" w:eastAsia="宋体" w:cs="Times New Roman"/>
                      <w:color w:val="auto"/>
                      <w:sz w:val="18"/>
                      <w:szCs w:val="18"/>
                      <w:lang w:eastAsia="zh-CN"/>
                    </w:rPr>
                    <w:t>，道路采用水泥硬化</w:t>
                  </w:r>
                  <w:r>
                    <w:rPr>
                      <w:rFonts w:hint="default" w:ascii="Times New Roman" w:hAnsi="Times New Roman" w:eastAsia="宋体" w:cs="Times New Roman"/>
                      <w:color w:val="auto"/>
                      <w:sz w:val="18"/>
                      <w:szCs w:val="18"/>
                    </w:rPr>
                    <w:t>；原料进厂、产品出厂由汽车运输，</w:t>
                  </w:r>
                  <w:r>
                    <w:rPr>
                      <w:rFonts w:hint="default" w:ascii="Times New Roman" w:hAnsi="Times New Roman" w:eastAsia="宋体" w:cs="Times New Roman"/>
                      <w:color w:val="auto"/>
                      <w:sz w:val="18"/>
                      <w:szCs w:val="18"/>
                      <w:lang w:val="en-US" w:eastAsia="zh-CN"/>
                    </w:rPr>
                    <w:t>项目本身不配置运输车辆，原料和产品运输车辆均来自厂外；</w:t>
                  </w:r>
                </w:p>
              </w:tc>
              <w:tc>
                <w:tcPr>
                  <w:tcW w:w="496" w:type="pct"/>
                  <w:vMerge w:val="continue"/>
                  <w:vAlign w:val="center"/>
                </w:tcPr>
                <w:p w14:paraId="78A088A1">
                  <w:pPr>
                    <w:pStyle w:val="71"/>
                    <w:rPr>
                      <w:rFonts w:hint="eastAsia"/>
                      <w:color w:val="auto"/>
                      <w:sz w:val="18"/>
                      <w:szCs w:val="18"/>
                      <w:lang w:eastAsia="zh-CN"/>
                    </w:rPr>
                  </w:pPr>
                </w:p>
              </w:tc>
              <w:tc>
                <w:tcPr>
                  <w:tcW w:w="483" w:type="pct"/>
                  <w:vAlign w:val="center"/>
                </w:tcPr>
                <w:p w14:paraId="46633507">
                  <w:pPr>
                    <w:pStyle w:val="71"/>
                    <w:rPr>
                      <w:rFonts w:hint="default"/>
                      <w:color w:val="auto"/>
                      <w:sz w:val="18"/>
                      <w:szCs w:val="18"/>
                      <w:lang w:val="en-US" w:eastAsia="zh-CN"/>
                    </w:rPr>
                  </w:pPr>
                  <w:r>
                    <w:rPr>
                      <w:rFonts w:hint="eastAsia"/>
                      <w:color w:val="auto"/>
                      <w:sz w:val="18"/>
                      <w:szCs w:val="18"/>
                      <w:lang w:val="en-US" w:eastAsia="zh-CN"/>
                    </w:rPr>
                    <w:t>粉尘、噪声</w:t>
                  </w:r>
                </w:p>
              </w:tc>
              <w:tc>
                <w:tcPr>
                  <w:tcW w:w="369" w:type="pct"/>
                  <w:vAlign w:val="center"/>
                </w:tcPr>
                <w:p w14:paraId="1F0B5590">
                  <w:pPr>
                    <w:jc w:val="center"/>
                    <w:rPr>
                      <w:rFonts w:hint="eastAsia"/>
                      <w:sz w:val="18"/>
                      <w:szCs w:val="18"/>
                      <w:lang w:eastAsia="zh-CN"/>
                    </w:rPr>
                  </w:pPr>
                  <w:r>
                    <w:rPr>
                      <w:rFonts w:hint="eastAsia"/>
                      <w:sz w:val="18"/>
                      <w:szCs w:val="18"/>
                    </w:rPr>
                    <w:t>新建</w:t>
                  </w:r>
                </w:p>
              </w:tc>
            </w:tr>
            <w:tr w14:paraId="4F722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0C670928">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1427ECEA">
                  <w:pPr>
                    <w:spacing w:line="0" w:lineRule="atLeast"/>
                    <w:jc w:val="center"/>
                    <w:rPr>
                      <w:rFonts w:hint="eastAsia" w:asciiTheme="minorEastAsia" w:hAnsiTheme="minorEastAsia" w:eastAsiaTheme="minorEastAsia" w:cstheme="minorEastAsia"/>
                      <w:color w:val="FF0000"/>
                      <w:sz w:val="18"/>
                      <w:szCs w:val="18"/>
                      <w:lang w:eastAsia="zh-CN"/>
                    </w:rPr>
                  </w:pPr>
                  <w:r>
                    <w:rPr>
                      <w:rFonts w:hint="default" w:ascii="Times New Roman" w:hAnsi="Times New Roman" w:eastAsia="宋体" w:cs="Times New Roman"/>
                      <w:color w:val="auto"/>
                      <w:sz w:val="18"/>
                      <w:szCs w:val="18"/>
                    </w:rPr>
                    <w:t>停车场</w:t>
                  </w:r>
                </w:p>
              </w:tc>
              <w:tc>
                <w:tcPr>
                  <w:tcW w:w="2883" w:type="pct"/>
                  <w:gridSpan w:val="2"/>
                  <w:vAlign w:val="center"/>
                </w:tcPr>
                <w:p w14:paraId="43CA96FA">
                  <w:pPr>
                    <w:spacing w:line="0" w:lineRule="atLeast"/>
                    <w:jc w:val="center"/>
                    <w:rPr>
                      <w:rFonts w:hint="eastAsia"/>
                      <w:color w:val="FF0000"/>
                      <w:sz w:val="18"/>
                      <w:szCs w:val="18"/>
                      <w:lang w:eastAsia="zh-CN"/>
                    </w:rPr>
                  </w:pPr>
                  <w:r>
                    <w:rPr>
                      <w:rFonts w:hint="default" w:ascii="Times New Roman" w:hAnsi="Times New Roman" w:eastAsia="宋体" w:cs="Times New Roman"/>
                      <w:color w:val="auto"/>
                      <w:sz w:val="18"/>
                      <w:szCs w:val="18"/>
                    </w:rPr>
                    <w:t>位于厂区</w:t>
                  </w:r>
                  <w:r>
                    <w:rPr>
                      <w:rFonts w:hint="default" w:ascii="Times New Roman" w:hAnsi="Times New Roman" w:eastAsia="宋体" w:cs="Times New Roman"/>
                      <w:color w:val="auto"/>
                      <w:sz w:val="18"/>
                      <w:szCs w:val="18"/>
                      <w:lang w:val="en-US" w:eastAsia="zh-CN"/>
                    </w:rPr>
                    <w:t>南</w:t>
                  </w:r>
                  <w:r>
                    <w:rPr>
                      <w:rFonts w:hint="eastAsia" w:eastAsia="宋体" w:cs="Times New Roman"/>
                      <w:color w:val="auto"/>
                      <w:sz w:val="18"/>
                      <w:szCs w:val="18"/>
                      <w:lang w:val="en-US" w:eastAsia="zh-CN"/>
                    </w:rPr>
                    <w:t>侧</w:t>
                  </w:r>
                  <w:r>
                    <w:rPr>
                      <w:rFonts w:hint="eastAsia" w:cs="Times New Roman"/>
                      <w:color w:val="auto"/>
                      <w:sz w:val="18"/>
                      <w:szCs w:val="18"/>
                      <w:lang w:val="en-US" w:eastAsia="zh-CN"/>
                    </w:rPr>
                    <w:t>办公楼旁</w:t>
                  </w:r>
                  <w:r>
                    <w:rPr>
                      <w:rFonts w:hint="eastAsia" w:eastAsia="宋体" w:cs="Times New Roman"/>
                      <w:color w:val="auto"/>
                      <w:sz w:val="18"/>
                      <w:szCs w:val="18"/>
                      <w:lang w:val="en-US" w:eastAsia="zh-CN"/>
                    </w:rPr>
                    <w:t>（小车）和</w:t>
                  </w:r>
                  <w:r>
                    <w:rPr>
                      <w:rFonts w:hint="eastAsia" w:cs="Times New Roman"/>
                      <w:color w:val="auto"/>
                      <w:sz w:val="18"/>
                      <w:szCs w:val="18"/>
                      <w:lang w:val="en-US" w:eastAsia="zh-CN"/>
                    </w:rPr>
                    <w:t>东南</w:t>
                  </w:r>
                  <w:r>
                    <w:rPr>
                      <w:rFonts w:hint="eastAsia" w:eastAsia="宋体" w:cs="Times New Roman"/>
                      <w:color w:val="auto"/>
                      <w:sz w:val="18"/>
                      <w:szCs w:val="18"/>
                      <w:lang w:val="en-US" w:eastAsia="zh-CN"/>
                    </w:rPr>
                    <w:t>侧（运输车）</w:t>
                  </w:r>
                </w:p>
              </w:tc>
              <w:tc>
                <w:tcPr>
                  <w:tcW w:w="496" w:type="pct"/>
                  <w:vMerge w:val="continue"/>
                  <w:vAlign w:val="center"/>
                </w:tcPr>
                <w:p w14:paraId="5F588354">
                  <w:pPr>
                    <w:pStyle w:val="71"/>
                    <w:rPr>
                      <w:rFonts w:hint="eastAsia"/>
                      <w:color w:val="auto"/>
                      <w:sz w:val="18"/>
                      <w:szCs w:val="18"/>
                      <w:lang w:eastAsia="zh-CN"/>
                    </w:rPr>
                  </w:pPr>
                </w:p>
              </w:tc>
              <w:tc>
                <w:tcPr>
                  <w:tcW w:w="483" w:type="pct"/>
                  <w:vAlign w:val="center"/>
                </w:tcPr>
                <w:p w14:paraId="76086199">
                  <w:pPr>
                    <w:pStyle w:val="71"/>
                    <w:rPr>
                      <w:rFonts w:hint="eastAsia"/>
                      <w:color w:val="auto"/>
                      <w:sz w:val="18"/>
                      <w:szCs w:val="18"/>
                      <w:lang w:eastAsia="zh-CN"/>
                    </w:rPr>
                  </w:pPr>
                </w:p>
              </w:tc>
              <w:tc>
                <w:tcPr>
                  <w:tcW w:w="369" w:type="pct"/>
                  <w:vAlign w:val="center"/>
                </w:tcPr>
                <w:p w14:paraId="1020CC42">
                  <w:pPr>
                    <w:jc w:val="center"/>
                    <w:rPr>
                      <w:rFonts w:hint="eastAsia"/>
                      <w:sz w:val="18"/>
                      <w:szCs w:val="18"/>
                      <w:lang w:eastAsia="zh-CN"/>
                    </w:rPr>
                  </w:pPr>
                  <w:r>
                    <w:rPr>
                      <w:rFonts w:hint="eastAsia"/>
                      <w:sz w:val="18"/>
                      <w:szCs w:val="18"/>
                    </w:rPr>
                    <w:t>新建</w:t>
                  </w:r>
                </w:p>
              </w:tc>
            </w:tr>
            <w:tr w14:paraId="2F339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66223D4F">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647F2D73">
                  <w:pPr>
                    <w:spacing w:line="0" w:lineRule="atLeast"/>
                    <w:jc w:val="center"/>
                    <w:rPr>
                      <w:rFonts w:hint="eastAsia" w:eastAsia="宋体" w:asciiTheme="minorEastAsia" w:hAnsiTheme="minorEastAsia" w:cstheme="minorEastAsia"/>
                      <w:color w:val="FF0000"/>
                      <w:sz w:val="18"/>
                      <w:szCs w:val="18"/>
                      <w:lang w:eastAsia="zh-CN"/>
                    </w:rPr>
                  </w:pPr>
                  <w:r>
                    <w:rPr>
                      <w:rFonts w:hint="default" w:ascii="Times New Roman" w:hAnsi="Times New Roman" w:eastAsia="宋体" w:cs="Times New Roman"/>
                      <w:color w:val="auto"/>
                      <w:sz w:val="18"/>
                      <w:szCs w:val="18"/>
                    </w:rPr>
                    <w:t>洗车</w:t>
                  </w:r>
                  <w:r>
                    <w:rPr>
                      <w:rFonts w:hint="eastAsia" w:cs="Times New Roman"/>
                      <w:color w:val="auto"/>
                      <w:sz w:val="18"/>
                      <w:szCs w:val="18"/>
                      <w:lang w:val="en-US" w:eastAsia="zh-CN"/>
                    </w:rPr>
                    <w:t>池</w:t>
                  </w:r>
                </w:p>
              </w:tc>
              <w:tc>
                <w:tcPr>
                  <w:tcW w:w="2883" w:type="pct"/>
                  <w:gridSpan w:val="2"/>
                  <w:vAlign w:val="center"/>
                </w:tcPr>
                <w:p w14:paraId="200E0081">
                  <w:pPr>
                    <w:adjustRightInd w:val="0"/>
                    <w:snapToGrid w:val="0"/>
                    <w:spacing w:line="0" w:lineRule="atLeast"/>
                    <w:rPr>
                      <w:rFonts w:hint="eastAsia"/>
                      <w:color w:val="FF0000"/>
                      <w:sz w:val="18"/>
                      <w:szCs w:val="18"/>
                      <w:lang w:eastAsia="zh-CN"/>
                    </w:rPr>
                  </w:pPr>
                  <w:r>
                    <w:rPr>
                      <w:rFonts w:hint="default" w:ascii="Times New Roman" w:hAnsi="Times New Roman" w:eastAsia="宋体" w:cs="Times New Roman"/>
                      <w:color w:val="auto"/>
                      <w:sz w:val="18"/>
                      <w:szCs w:val="18"/>
                    </w:rPr>
                    <w:t>位于厂区</w:t>
                  </w:r>
                  <w:r>
                    <w:rPr>
                      <w:rFonts w:hint="eastAsia" w:cs="Times New Roman"/>
                      <w:color w:val="auto"/>
                      <w:sz w:val="18"/>
                      <w:szCs w:val="18"/>
                      <w:lang w:val="en-US" w:eastAsia="zh-CN"/>
                    </w:rPr>
                    <w:t>进出口处</w:t>
                  </w:r>
                  <w:r>
                    <w:rPr>
                      <w:rFonts w:hint="default" w:ascii="Times New Roman" w:hAnsi="Times New Roman" w:eastAsia="宋体" w:cs="Times New Roman"/>
                      <w:color w:val="auto"/>
                      <w:sz w:val="18"/>
                      <w:szCs w:val="18"/>
                    </w:rPr>
                    <w:t>，主要用于</w:t>
                  </w:r>
                  <w:r>
                    <w:rPr>
                      <w:rFonts w:hint="eastAsia" w:cs="Times New Roman"/>
                      <w:color w:val="auto"/>
                      <w:sz w:val="18"/>
                      <w:szCs w:val="18"/>
                      <w:lang w:val="en-US" w:eastAsia="zh-CN"/>
                    </w:rPr>
                    <w:t>运输车辆轮胎</w:t>
                  </w:r>
                  <w:r>
                    <w:rPr>
                      <w:rFonts w:hint="default" w:ascii="Times New Roman" w:hAnsi="Times New Roman" w:eastAsia="宋体" w:cs="Times New Roman"/>
                      <w:color w:val="auto"/>
                      <w:sz w:val="18"/>
                      <w:szCs w:val="18"/>
                      <w:lang w:eastAsia="zh-CN"/>
                    </w:rPr>
                    <w:t>；</w:t>
                  </w:r>
                </w:p>
              </w:tc>
              <w:tc>
                <w:tcPr>
                  <w:tcW w:w="496" w:type="pct"/>
                  <w:vMerge w:val="continue"/>
                  <w:vAlign w:val="center"/>
                </w:tcPr>
                <w:p w14:paraId="59DF29BA">
                  <w:pPr>
                    <w:pStyle w:val="71"/>
                    <w:rPr>
                      <w:rFonts w:hint="eastAsia"/>
                      <w:color w:val="auto"/>
                      <w:sz w:val="18"/>
                      <w:szCs w:val="18"/>
                      <w:lang w:eastAsia="zh-CN"/>
                    </w:rPr>
                  </w:pPr>
                </w:p>
              </w:tc>
              <w:tc>
                <w:tcPr>
                  <w:tcW w:w="483" w:type="pct"/>
                  <w:vAlign w:val="center"/>
                </w:tcPr>
                <w:p w14:paraId="475A12FF">
                  <w:pPr>
                    <w:pStyle w:val="71"/>
                    <w:rPr>
                      <w:rFonts w:hint="eastAsia"/>
                      <w:color w:val="auto"/>
                      <w:sz w:val="18"/>
                      <w:szCs w:val="18"/>
                      <w:lang w:eastAsia="zh-CN"/>
                    </w:rPr>
                  </w:pPr>
                </w:p>
              </w:tc>
              <w:tc>
                <w:tcPr>
                  <w:tcW w:w="369" w:type="pct"/>
                  <w:vAlign w:val="center"/>
                </w:tcPr>
                <w:p w14:paraId="57C0DA7B">
                  <w:pPr>
                    <w:jc w:val="center"/>
                    <w:rPr>
                      <w:rFonts w:hint="eastAsia"/>
                      <w:sz w:val="18"/>
                      <w:szCs w:val="18"/>
                      <w:lang w:eastAsia="zh-CN"/>
                    </w:rPr>
                  </w:pPr>
                  <w:r>
                    <w:rPr>
                      <w:rFonts w:hint="eastAsia"/>
                      <w:sz w:val="18"/>
                      <w:szCs w:val="18"/>
                    </w:rPr>
                    <w:t>新建</w:t>
                  </w:r>
                </w:p>
              </w:tc>
            </w:tr>
            <w:tr w14:paraId="663D1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vAlign w:val="center"/>
                </w:tcPr>
                <w:p w14:paraId="5158BBEE">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5ED4BB08">
                  <w:pPr>
                    <w:spacing w:line="0" w:lineRule="atLeast"/>
                    <w:jc w:val="center"/>
                    <w:rPr>
                      <w:rFonts w:hint="eastAsia" w:asciiTheme="minorEastAsia" w:hAnsiTheme="minorEastAsia" w:eastAsiaTheme="minorEastAsia" w:cstheme="minorEastAsia"/>
                      <w:color w:val="FF0000"/>
                      <w:sz w:val="18"/>
                      <w:szCs w:val="18"/>
                      <w:lang w:eastAsia="zh-CN"/>
                    </w:rPr>
                  </w:pPr>
                  <w:r>
                    <w:rPr>
                      <w:rFonts w:hint="default" w:ascii="Times New Roman" w:hAnsi="Times New Roman" w:eastAsia="宋体" w:cs="Times New Roman"/>
                      <w:color w:val="auto"/>
                      <w:sz w:val="18"/>
                      <w:szCs w:val="18"/>
                      <w:lang w:val="en-US" w:eastAsia="zh-CN"/>
                    </w:rPr>
                    <w:t>配电间</w:t>
                  </w:r>
                </w:p>
              </w:tc>
              <w:tc>
                <w:tcPr>
                  <w:tcW w:w="2883" w:type="pct"/>
                  <w:gridSpan w:val="2"/>
                  <w:vAlign w:val="center"/>
                </w:tcPr>
                <w:p w14:paraId="0753F232">
                  <w:pPr>
                    <w:adjustRightInd w:val="0"/>
                    <w:snapToGrid w:val="0"/>
                    <w:spacing w:line="0" w:lineRule="atLeast"/>
                    <w:rPr>
                      <w:rFonts w:hint="eastAsia"/>
                      <w:color w:val="FF0000"/>
                      <w:sz w:val="18"/>
                      <w:szCs w:val="18"/>
                      <w:lang w:eastAsia="zh-CN"/>
                    </w:rPr>
                  </w:pPr>
                  <w:r>
                    <w:rPr>
                      <w:rFonts w:hint="default" w:ascii="Times New Roman" w:hAnsi="Times New Roman" w:eastAsia="宋体" w:cs="Times New Roman"/>
                      <w:color w:val="auto"/>
                      <w:sz w:val="18"/>
                      <w:szCs w:val="18"/>
                    </w:rPr>
                    <w:t>1 间，</w:t>
                  </w:r>
                  <w:r>
                    <w:rPr>
                      <w:rFonts w:hint="eastAsia" w:cs="Times New Roman"/>
                      <w:color w:val="auto"/>
                      <w:sz w:val="18"/>
                      <w:szCs w:val="18"/>
                      <w:lang w:val="en-US" w:eastAsia="zh-CN"/>
                    </w:rPr>
                    <w:t>位于办公楼1层，</w:t>
                  </w:r>
                  <w:r>
                    <w:rPr>
                      <w:rFonts w:hint="default" w:ascii="Times New Roman" w:hAnsi="Times New Roman" w:eastAsia="宋体" w:cs="Times New Roman"/>
                      <w:color w:val="auto"/>
                      <w:sz w:val="18"/>
                      <w:szCs w:val="18"/>
                    </w:rPr>
                    <w:t>建筑面积约为</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vertAlign w:val="baseline"/>
                      <w:lang w:eastAsia="zh-CN"/>
                    </w:rPr>
                    <w:t>；</w:t>
                  </w:r>
                </w:p>
              </w:tc>
              <w:tc>
                <w:tcPr>
                  <w:tcW w:w="496" w:type="pct"/>
                  <w:vMerge w:val="continue"/>
                  <w:vAlign w:val="center"/>
                </w:tcPr>
                <w:p w14:paraId="25174CA0">
                  <w:pPr>
                    <w:pStyle w:val="71"/>
                    <w:rPr>
                      <w:rFonts w:hint="eastAsia"/>
                      <w:color w:val="auto"/>
                      <w:sz w:val="18"/>
                      <w:szCs w:val="18"/>
                      <w:lang w:eastAsia="zh-CN"/>
                    </w:rPr>
                  </w:pPr>
                </w:p>
              </w:tc>
              <w:tc>
                <w:tcPr>
                  <w:tcW w:w="483" w:type="pct"/>
                  <w:vAlign w:val="center"/>
                </w:tcPr>
                <w:p w14:paraId="1609D488">
                  <w:pPr>
                    <w:pStyle w:val="71"/>
                    <w:rPr>
                      <w:rFonts w:hint="eastAsia"/>
                      <w:color w:val="auto"/>
                      <w:sz w:val="18"/>
                      <w:szCs w:val="18"/>
                      <w:lang w:eastAsia="zh-CN"/>
                    </w:rPr>
                  </w:pPr>
                </w:p>
              </w:tc>
              <w:tc>
                <w:tcPr>
                  <w:tcW w:w="369" w:type="pct"/>
                  <w:vAlign w:val="center"/>
                </w:tcPr>
                <w:p w14:paraId="6278C926">
                  <w:pPr>
                    <w:jc w:val="center"/>
                    <w:rPr>
                      <w:rFonts w:hint="eastAsia"/>
                      <w:sz w:val="18"/>
                      <w:szCs w:val="18"/>
                      <w:lang w:eastAsia="zh-CN"/>
                    </w:rPr>
                  </w:pPr>
                  <w:r>
                    <w:rPr>
                      <w:rFonts w:hint="eastAsia"/>
                      <w:sz w:val="18"/>
                      <w:szCs w:val="18"/>
                    </w:rPr>
                    <w:t>新建</w:t>
                  </w:r>
                </w:p>
              </w:tc>
            </w:tr>
            <w:tr w14:paraId="568CF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restart"/>
                  <w:tcBorders>
                    <w:left w:val="single" w:color="auto" w:sz="12" w:space="0"/>
                  </w:tcBorders>
                  <w:vAlign w:val="center"/>
                </w:tcPr>
                <w:p w14:paraId="5A38DC66">
                  <w:pPr>
                    <w:pStyle w:val="71"/>
                    <w:rPr>
                      <w:rFonts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sz w:val="18"/>
                      <w:szCs w:val="18"/>
                    </w:rPr>
                    <w:t>环保工程</w:t>
                  </w:r>
                </w:p>
              </w:tc>
              <w:tc>
                <w:tcPr>
                  <w:tcW w:w="386" w:type="pct"/>
                  <w:vMerge w:val="restart"/>
                  <w:vAlign w:val="center"/>
                </w:tcPr>
                <w:p w14:paraId="44DCCE51">
                  <w:pPr>
                    <w:pStyle w:val="71"/>
                    <w:rPr>
                      <w:rFonts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废水处理</w:t>
                  </w:r>
                </w:p>
              </w:tc>
              <w:tc>
                <w:tcPr>
                  <w:tcW w:w="782" w:type="pct"/>
                  <w:vAlign w:val="center"/>
                </w:tcPr>
                <w:p w14:paraId="0D6E2B46">
                  <w:pPr>
                    <w:pStyle w:val="71"/>
                    <w:rPr>
                      <w:sz w:val="18"/>
                      <w:szCs w:val="18"/>
                      <w:lang w:eastAsia="zh-CN"/>
                    </w:rPr>
                  </w:pPr>
                  <w:r>
                    <w:rPr>
                      <w:rFonts w:hint="eastAsia"/>
                      <w:sz w:val="18"/>
                      <w:szCs w:val="18"/>
                      <w:lang w:eastAsia="zh-CN"/>
                    </w:rPr>
                    <w:t>生活污水</w:t>
                  </w:r>
                </w:p>
              </w:tc>
              <w:tc>
                <w:tcPr>
                  <w:tcW w:w="2100" w:type="pct"/>
                  <w:vAlign w:val="center"/>
                </w:tcPr>
                <w:p w14:paraId="6F2B2689">
                  <w:pPr>
                    <w:spacing w:line="240" w:lineRule="auto"/>
                    <w:ind w:firstLine="0" w:firstLineChars="0"/>
                    <w:jc w:val="center"/>
                    <w:rPr>
                      <w:rFonts w:hint="default" w:eastAsia="宋体"/>
                      <w:sz w:val="18"/>
                      <w:szCs w:val="18"/>
                      <w:lang w:val="en-US" w:eastAsia="zh-CN"/>
                    </w:rPr>
                  </w:pPr>
                  <w:r>
                    <w:rPr>
                      <w:rFonts w:hint="eastAsia"/>
                      <w:sz w:val="18"/>
                      <w:szCs w:val="18"/>
                    </w:rPr>
                    <w:t>项目</w:t>
                  </w:r>
                  <w:r>
                    <w:rPr>
                      <w:rFonts w:hint="eastAsia"/>
                      <w:sz w:val="18"/>
                      <w:szCs w:val="18"/>
                      <w:lang w:val="en-US" w:eastAsia="zh-CN"/>
                    </w:rPr>
                    <w:t>经</w:t>
                  </w:r>
                  <w:r>
                    <w:rPr>
                      <w:rFonts w:hint="eastAsia"/>
                      <w:sz w:val="18"/>
                      <w:szCs w:val="18"/>
                    </w:rPr>
                    <w:t>化粪池处理</w:t>
                  </w:r>
                  <w:r>
                    <w:rPr>
                      <w:rFonts w:hint="eastAsia"/>
                      <w:sz w:val="18"/>
                      <w:szCs w:val="18"/>
                      <w:lang w:val="en-US" w:eastAsia="zh-CN"/>
                    </w:rPr>
                    <w:t>后用于农田施肥</w:t>
                  </w:r>
                </w:p>
              </w:tc>
              <w:tc>
                <w:tcPr>
                  <w:tcW w:w="496" w:type="pct"/>
                  <w:vMerge w:val="continue"/>
                  <w:vAlign w:val="center"/>
                </w:tcPr>
                <w:p w14:paraId="6E2934F1">
                  <w:pPr>
                    <w:spacing w:line="240" w:lineRule="auto"/>
                    <w:ind w:firstLine="0" w:firstLineChars="0"/>
                    <w:jc w:val="center"/>
                    <w:rPr>
                      <w:rFonts w:hint="eastAsia"/>
                      <w:color w:val="auto"/>
                      <w:sz w:val="18"/>
                      <w:szCs w:val="18"/>
                    </w:rPr>
                  </w:pPr>
                </w:p>
              </w:tc>
              <w:tc>
                <w:tcPr>
                  <w:tcW w:w="483" w:type="pct"/>
                  <w:vMerge w:val="restart"/>
                  <w:vAlign w:val="center"/>
                </w:tcPr>
                <w:p w14:paraId="57DCC73F">
                  <w:pPr>
                    <w:spacing w:line="240" w:lineRule="auto"/>
                    <w:ind w:firstLine="0" w:firstLineChars="0"/>
                    <w:jc w:val="center"/>
                    <w:rPr>
                      <w:rFonts w:hint="eastAsia" w:eastAsia="宋体"/>
                      <w:color w:val="auto"/>
                      <w:sz w:val="18"/>
                      <w:szCs w:val="18"/>
                      <w:lang w:val="en-US" w:eastAsia="zh-CN"/>
                    </w:rPr>
                  </w:pPr>
                  <w:r>
                    <w:rPr>
                      <w:rFonts w:hint="eastAsia"/>
                      <w:color w:val="auto"/>
                      <w:sz w:val="18"/>
                      <w:szCs w:val="18"/>
                      <w:lang w:val="en-US" w:eastAsia="zh-CN"/>
                    </w:rPr>
                    <w:t>废水</w:t>
                  </w:r>
                </w:p>
              </w:tc>
              <w:tc>
                <w:tcPr>
                  <w:tcW w:w="369" w:type="pct"/>
                  <w:vMerge w:val="restart"/>
                  <w:vAlign w:val="center"/>
                </w:tcPr>
                <w:p w14:paraId="19DCE612">
                  <w:pPr>
                    <w:spacing w:line="240" w:lineRule="auto"/>
                    <w:ind w:firstLine="0" w:firstLineChars="0"/>
                    <w:jc w:val="center"/>
                    <w:rPr>
                      <w:sz w:val="18"/>
                      <w:szCs w:val="18"/>
                    </w:rPr>
                  </w:pPr>
                  <w:r>
                    <w:rPr>
                      <w:rFonts w:hint="eastAsia"/>
                      <w:sz w:val="18"/>
                      <w:szCs w:val="18"/>
                    </w:rPr>
                    <w:t>新建</w:t>
                  </w:r>
                </w:p>
              </w:tc>
            </w:tr>
            <w:tr w14:paraId="7799A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12" w:space="0"/>
                  </w:tcBorders>
                  <w:vAlign w:val="center"/>
                </w:tcPr>
                <w:p w14:paraId="25C51478">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28B4FDB3">
                  <w:pPr>
                    <w:pStyle w:val="71"/>
                    <w:rPr>
                      <w:rFonts w:asciiTheme="minorEastAsia" w:hAnsiTheme="minorEastAsia" w:eastAsiaTheme="minorEastAsia" w:cstheme="minorEastAsia"/>
                      <w:sz w:val="18"/>
                      <w:szCs w:val="18"/>
                      <w:lang w:eastAsia="zh-CN"/>
                    </w:rPr>
                  </w:pPr>
                </w:p>
              </w:tc>
              <w:tc>
                <w:tcPr>
                  <w:tcW w:w="782" w:type="pct"/>
                  <w:vAlign w:val="center"/>
                </w:tcPr>
                <w:p w14:paraId="706063DC">
                  <w:pPr>
                    <w:spacing w:line="240" w:lineRule="auto"/>
                    <w:ind w:firstLine="0" w:firstLineChars="0"/>
                    <w:jc w:val="center"/>
                    <w:rPr>
                      <w:sz w:val="18"/>
                      <w:szCs w:val="18"/>
                    </w:rPr>
                  </w:pPr>
                  <w:r>
                    <w:rPr>
                      <w:rFonts w:hint="eastAsia"/>
                      <w:sz w:val="18"/>
                      <w:szCs w:val="18"/>
                    </w:rPr>
                    <w:t>生产废水</w:t>
                  </w:r>
                </w:p>
              </w:tc>
              <w:tc>
                <w:tcPr>
                  <w:tcW w:w="2100" w:type="pct"/>
                  <w:vAlign w:val="center"/>
                </w:tcPr>
                <w:p w14:paraId="4B5FF321">
                  <w:pPr>
                    <w:spacing w:line="240" w:lineRule="auto"/>
                    <w:ind w:firstLine="0" w:firstLineChars="0"/>
                    <w:jc w:val="center"/>
                    <w:rPr>
                      <w:sz w:val="18"/>
                      <w:szCs w:val="18"/>
                    </w:rPr>
                  </w:pPr>
                  <w:r>
                    <w:rPr>
                      <w:rFonts w:hint="eastAsia"/>
                      <w:sz w:val="18"/>
                      <w:szCs w:val="18"/>
                    </w:rPr>
                    <w:t>项目生产废水</w:t>
                  </w:r>
                  <w:r>
                    <w:rPr>
                      <w:rFonts w:hint="eastAsia"/>
                      <w:sz w:val="18"/>
                      <w:szCs w:val="18"/>
                      <w:lang w:val="en-US" w:eastAsia="zh-CN"/>
                    </w:rPr>
                    <w:t>全部消耗或回用生产</w:t>
                  </w:r>
                  <w:r>
                    <w:rPr>
                      <w:rFonts w:hint="eastAsia"/>
                      <w:sz w:val="18"/>
                      <w:szCs w:val="18"/>
                    </w:rPr>
                    <w:t>，</w:t>
                  </w:r>
                  <w:r>
                    <w:rPr>
                      <w:rFonts w:hint="eastAsia"/>
                      <w:sz w:val="18"/>
                      <w:szCs w:val="18"/>
                      <w:lang w:val="en-US" w:eastAsia="zh-CN"/>
                    </w:rPr>
                    <w:t>地面冲洗废水经沉淀池沉淀后回用生产；</w:t>
                  </w:r>
                  <w:r>
                    <w:rPr>
                      <w:rFonts w:hint="eastAsia"/>
                      <w:sz w:val="18"/>
                      <w:szCs w:val="18"/>
                    </w:rPr>
                    <w:t>初期雨水</w:t>
                  </w:r>
                  <w:r>
                    <w:rPr>
                      <w:rFonts w:hint="eastAsia"/>
                      <w:sz w:val="18"/>
                      <w:szCs w:val="18"/>
                      <w:lang w:val="en-US" w:eastAsia="zh-CN"/>
                    </w:rPr>
                    <w:t>沉淀池</w:t>
                  </w:r>
                  <w:r>
                    <w:rPr>
                      <w:rFonts w:hint="eastAsia"/>
                      <w:sz w:val="18"/>
                      <w:szCs w:val="18"/>
                    </w:rPr>
                    <w:t>收集池处理后回用于生产</w:t>
                  </w:r>
                </w:p>
              </w:tc>
              <w:tc>
                <w:tcPr>
                  <w:tcW w:w="496" w:type="pct"/>
                  <w:vMerge w:val="continue"/>
                  <w:vAlign w:val="center"/>
                </w:tcPr>
                <w:p w14:paraId="0F7D848A">
                  <w:pPr>
                    <w:spacing w:line="240" w:lineRule="auto"/>
                    <w:ind w:firstLine="0" w:firstLineChars="0"/>
                    <w:jc w:val="center"/>
                    <w:rPr>
                      <w:rFonts w:hint="eastAsia"/>
                      <w:color w:val="auto"/>
                      <w:sz w:val="18"/>
                      <w:szCs w:val="18"/>
                    </w:rPr>
                  </w:pPr>
                </w:p>
              </w:tc>
              <w:tc>
                <w:tcPr>
                  <w:tcW w:w="483" w:type="pct"/>
                  <w:vMerge w:val="continue"/>
                  <w:vAlign w:val="center"/>
                </w:tcPr>
                <w:p w14:paraId="4F369EAA">
                  <w:pPr>
                    <w:spacing w:line="240" w:lineRule="auto"/>
                    <w:ind w:firstLine="0" w:firstLineChars="0"/>
                    <w:jc w:val="center"/>
                    <w:rPr>
                      <w:rFonts w:hint="eastAsia"/>
                      <w:color w:val="auto"/>
                      <w:sz w:val="18"/>
                      <w:szCs w:val="18"/>
                    </w:rPr>
                  </w:pPr>
                </w:p>
              </w:tc>
              <w:tc>
                <w:tcPr>
                  <w:tcW w:w="369" w:type="pct"/>
                  <w:vMerge w:val="continue"/>
                  <w:vAlign w:val="center"/>
                </w:tcPr>
                <w:p w14:paraId="127D629B">
                  <w:pPr>
                    <w:spacing w:line="240" w:lineRule="auto"/>
                    <w:ind w:firstLine="0" w:firstLineChars="0"/>
                    <w:jc w:val="center"/>
                    <w:rPr>
                      <w:sz w:val="18"/>
                      <w:szCs w:val="18"/>
                    </w:rPr>
                  </w:pPr>
                </w:p>
              </w:tc>
            </w:tr>
            <w:tr w14:paraId="1DA0F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45FDFFF7">
                  <w:pPr>
                    <w:pStyle w:val="71"/>
                    <w:rPr>
                      <w:rFonts w:asciiTheme="minorEastAsia" w:hAnsiTheme="minorEastAsia" w:eastAsiaTheme="minorEastAsia" w:cstheme="minorEastAsia"/>
                      <w:color w:val="FF0000"/>
                      <w:sz w:val="18"/>
                      <w:szCs w:val="18"/>
                      <w:lang w:eastAsia="zh-CN"/>
                    </w:rPr>
                  </w:pPr>
                </w:p>
              </w:tc>
              <w:tc>
                <w:tcPr>
                  <w:tcW w:w="386" w:type="pct"/>
                  <w:vMerge w:val="restart"/>
                  <w:vAlign w:val="center"/>
                </w:tcPr>
                <w:p w14:paraId="5AE61D3A">
                  <w:pPr>
                    <w:pStyle w:val="71"/>
                    <w:rPr>
                      <w:rFonts w:asciiTheme="minorEastAsia" w:hAnsiTheme="minorEastAsia" w:eastAsiaTheme="minorEastAsia" w:cstheme="minorEastAsia"/>
                      <w:color w:val="FF0000"/>
                      <w:sz w:val="18"/>
                      <w:szCs w:val="18"/>
                      <w:lang w:eastAsia="zh-CN"/>
                    </w:rPr>
                  </w:pPr>
                  <w:r>
                    <w:rPr>
                      <w:rFonts w:hint="eastAsia" w:asciiTheme="minorEastAsia" w:hAnsiTheme="minorEastAsia" w:eastAsiaTheme="minorEastAsia" w:cstheme="minorEastAsia"/>
                      <w:sz w:val="18"/>
                      <w:szCs w:val="18"/>
                      <w:lang w:eastAsia="zh-CN"/>
                    </w:rPr>
                    <w:t>废气处理</w:t>
                  </w:r>
                </w:p>
              </w:tc>
              <w:tc>
                <w:tcPr>
                  <w:tcW w:w="782" w:type="pct"/>
                  <w:tcBorders>
                    <w:right w:val="single" w:color="000000" w:sz="4" w:space="0"/>
                  </w:tcBorders>
                  <w:vAlign w:val="center"/>
                </w:tcPr>
                <w:p w14:paraId="39AEF2A3">
                  <w:pPr>
                    <w:spacing w:line="240" w:lineRule="auto"/>
                    <w:ind w:firstLine="0" w:firstLineChars="0"/>
                    <w:jc w:val="center"/>
                    <w:rPr>
                      <w:sz w:val="18"/>
                      <w:szCs w:val="18"/>
                    </w:rPr>
                  </w:pPr>
                  <w:r>
                    <w:rPr>
                      <w:rFonts w:hint="eastAsia"/>
                      <w:sz w:val="18"/>
                      <w:szCs w:val="18"/>
                    </w:rPr>
                    <w:t>砂石</w:t>
                  </w:r>
                  <w:r>
                    <w:rPr>
                      <w:rFonts w:hint="eastAsia"/>
                      <w:sz w:val="18"/>
                      <w:szCs w:val="18"/>
                      <w:lang w:val="en-US" w:eastAsia="zh-CN"/>
                    </w:rPr>
                    <w:t>原料</w:t>
                  </w:r>
                  <w:r>
                    <w:rPr>
                      <w:rFonts w:hint="eastAsia"/>
                      <w:sz w:val="18"/>
                      <w:szCs w:val="18"/>
                    </w:rPr>
                    <w:t>堆场粉尘</w:t>
                  </w:r>
                </w:p>
              </w:tc>
              <w:tc>
                <w:tcPr>
                  <w:tcW w:w="2100" w:type="pct"/>
                  <w:tcBorders>
                    <w:left w:val="single" w:color="000000" w:sz="4" w:space="0"/>
                  </w:tcBorders>
                  <w:vAlign w:val="center"/>
                </w:tcPr>
                <w:p w14:paraId="53D01221">
                  <w:pPr>
                    <w:spacing w:line="240" w:lineRule="auto"/>
                    <w:ind w:firstLine="0" w:firstLineChars="0"/>
                    <w:jc w:val="center"/>
                    <w:rPr>
                      <w:rFonts w:hint="default" w:eastAsia="宋体"/>
                      <w:sz w:val="18"/>
                      <w:szCs w:val="18"/>
                      <w:lang w:val="en-US" w:eastAsia="zh-CN"/>
                    </w:rPr>
                  </w:pPr>
                  <w:r>
                    <w:rPr>
                      <w:rFonts w:hint="default" w:ascii="Times New Roman" w:hAnsi="Times New Roman" w:eastAsia="宋体" w:cs="Times New Roman"/>
                      <w:color w:val="auto"/>
                      <w:sz w:val="18"/>
                      <w:szCs w:val="18"/>
                    </w:rPr>
                    <w:t>布设</w:t>
                  </w:r>
                  <w:r>
                    <w:rPr>
                      <w:rFonts w:hint="eastAsia" w:cs="Times New Roman"/>
                      <w:color w:val="auto"/>
                      <w:sz w:val="18"/>
                      <w:szCs w:val="18"/>
                      <w:lang w:val="en-US" w:eastAsia="zh-CN"/>
                    </w:rPr>
                    <w:t>10套</w:t>
                  </w:r>
                  <w:r>
                    <w:rPr>
                      <w:rFonts w:hint="default" w:ascii="Times New Roman" w:hAnsi="Times New Roman" w:eastAsia="宋体" w:cs="Times New Roman"/>
                      <w:color w:val="auto"/>
                      <w:sz w:val="18"/>
                      <w:szCs w:val="18"/>
                    </w:rPr>
                    <w:t>喷淋装置</w:t>
                  </w:r>
                  <w:r>
                    <w:rPr>
                      <w:rFonts w:hint="eastAsia" w:ascii="Times New Roman" w:hAnsi="Times New Roman" w:eastAsia="宋体" w:cs="Times New Roman"/>
                      <w:color w:val="auto"/>
                      <w:sz w:val="18"/>
                      <w:szCs w:val="18"/>
                      <w:lang w:val="en-US" w:eastAsia="zh-CN"/>
                    </w:rPr>
                    <w:t>定时洒水降尘</w:t>
                  </w:r>
                  <w:r>
                    <w:rPr>
                      <w:rFonts w:hint="default" w:ascii="Times New Roman" w:hAnsi="Times New Roman" w:eastAsia="宋体" w:cs="Times New Roman"/>
                      <w:color w:val="auto"/>
                      <w:sz w:val="18"/>
                      <w:szCs w:val="18"/>
                    </w:rPr>
                    <w:t>并用防尘网遮盖。生产车间设置于密闭厂房内。要求车辆做到轻装倾卸，及时进行洒水降尘。</w:t>
                  </w:r>
                  <w:r>
                    <w:rPr>
                      <w:rFonts w:hint="eastAsia" w:eastAsia="宋体" w:cs="Times New Roman"/>
                      <w:color w:val="auto"/>
                      <w:sz w:val="18"/>
                      <w:szCs w:val="18"/>
                      <w:lang w:val="en-US" w:eastAsia="zh-CN"/>
                    </w:rPr>
                    <w:t>厂内道路两侧设置喷淋设施，对道路洒水降尘</w:t>
                  </w:r>
                  <w:r>
                    <w:rPr>
                      <w:rFonts w:hint="eastAsia"/>
                      <w:sz w:val="18"/>
                      <w:szCs w:val="18"/>
                      <w:lang w:val="en-US" w:eastAsia="zh-CN"/>
                    </w:rPr>
                    <w:t>。</w:t>
                  </w:r>
                </w:p>
              </w:tc>
              <w:tc>
                <w:tcPr>
                  <w:tcW w:w="496" w:type="pct"/>
                  <w:vMerge w:val="continue"/>
                  <w:vAlign w:val="center"/>
                </w:tcPr>
                <w:p w14:paraId="4DE048EC">
                  <w:pPr>
                    <w:spacing w:line="240" w:lineRule="auto"/>
                    <w:ind w:firstLine="0" w:firstLineChars="0"/>
                    <w:jc w:val="center"/>
                    <w:rPr>
                      <w:rFonts w:hint="eastAsia"/>
                      <w:color w:val="auto"/>
                      <w:sz w:val="18"/>
                      <w:szCs w:val="18"/>
                    </w:rPr>
                  </w:pPr>
                </w:p>
              </w:tc>
              <w:tc>
                <w:tcPr>
                  <w:tcW w:w="483" w:type="pct"/>
                  <w:vMerge w:val="restart"/>
                  <w:tcBorders>
                    <w:left w:val="single" w:color="000000" w:sz="4" w:space="0"/>
                  </w:tcBorders>
                  <w:vAlign w:val="center"/>
                </w:tcPr>
                <w:p w14:paraId="476DC18D">
                  <w:pPr>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废气、噪声</w:t>
                  </w:r>
                </w:p>
              </w:tc>
              <w:tc>
                <w:tcPr>
                  <w:tcW w:w="369" w:type="pct"/>
                  <w:vMerge w:val="continue"/>
                  <w:vAlign w:val="center"/>
                </w:tcPr>
                <w:p w14:paraId="1228C086">
                  <w:pPr>
                    <w:spacing w:line="240" w:lineRule="auto"/>
                    <w:ind w:firstLine="0" w:firstLineChars="0"/>
                    <w:jc w:val="center"/>
                    <w:rPr>
                      <w:sz w:val="18"/>
                      <w:szCs w:val="18"/>
                    </w:rPr>
                  </w:pPr>
                </w:p>
              </w:tc>
            </w:tr>
            <w:tr w14:paraId="3857B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73689C3D">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2CD926B7">
                  <w:pPr>
                    <w:pStyle w:val="71"/>
                    <w:rPr>
                      <w:rFonts w:hint="eastAsia" w:asciiTheme="minorEastAsia" w:hAnsiTheme="minorEastAsia" w:eastAsiaTheme="minorEastAsia" w:cstheme="minorEastAsia"/>
                      <w:sz w:val="18"/>
                      <w:szCs w:val="18"/>
                      <w:lang w:eastAsia="zh-CN"/>
                    </w:rPr>
                  </w:pPr>
                </w:p>
              </w:tc>
              <w:tc>
                <w:tcPr>
                  <w:tcW w:w="782" w:type="pct"/>
                  <w:tcBorders>
                    <w:right w:val="single" w:color="000000" w:sz="4" w:space="0"/>
                  </w:tcBorders>
                  <w:vAlign w:val="center"/>
                </w:tcPr>
                <w:p w14:paraId="2CDB5C44">
                  <w:pPr>
                    <w:spacing w:line="240" w:lineRule="auto"/>
                    <w:jc w:val="center"/>
                    <w:rPr>
                      <w:rFonts w:hint="eastAsia"/>
                      <w:sz w:val="18"/>
                      <w:szCs w:val="18"/>
                    </w:rPr>
                  </w:pPr>
                  <w:r>
                    <w:rPr>
                      <w:rFonts w:hint="eastAsia" w:ascii="Times New Roman" w:hAnsi="Times New Roman" w:cs="Times New Roman"/>
                      <w:color w:val="auto"/>
                      <w:sz w:val="18"/>
                      <w:szCs w:val="18"/>
                      <w:lang w:val="en-US" w:eastAsia="zh-CN"/>
                    </w:rPr>
                    <w:t>物料输送</w:t>
                  </w:r>
                  <w:r>
                    <w:rPr>
                      <w:rFonts w:hint="default" w:ascii="Times New Roman" w:hAnsi="Times New Roman" w:cs="Times New Roman"/>
                      <w:color w:val="auto"/>
                      <w:sz w:val="18"/>
                      <w:szCs w:val="18"/>
                      <w:lang w:val="en-US" w:eastAsia="zh-CN"/>
                    </w:rPr>
                    <w:t>转运环节</w:t>
                  </w:r>
                  <w:r>
                    <w:rPr>
                      <w:rFonts w:hint="default" w:ascii="Times New Roman" w:hAnsi="Times New Roman" w:eastAsia="宋体" w:cs="Times New Roman"/>
                      <w:color w:val="auto"/>
                      <w:sz w:val="18"/>
                      <w:szCs w:val="18"/>
                      <w:lang w:eastAsia="zh-CN"/>
                    </w:rPr>
                    <w:t>粉尘</w:t>
                  </w:r>
                </w:p>
              </w:tc>
              <w:tc>
                <w:tcPr>
                  <w:tcW w:w="2100" w:type="pct"/>
                  <w:tcBorders>
                    <w:left w:val="single" w:color="000000" w:sz="4" w:space="0"/>
                  </w:tcBorders>
                  <w:vAlign w:val="center"/>
                </w:tcPr>
                <w:p w14:paraId="203D256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生产车间</w:t>
                  </w:r>
                  <w:r>
                    <w:rPr>
                      <w:rFonts w:hint="eastAsia" w:ascii="Times New Roman" w:hAnsi="Times New Roman" w:eastAsia="宋体" w:cs="Times New Roman"/>
                      <w:color w:val="auto"/>
                      <w:sz w:val="18"/>
                      <w:szCs w:val="18"/>
                      <w:lang w:val="en-US" w:eastAsia="zh-CN"/>
                    </w:rPr>
                    <w:t>设置</w:t>
                  </w:r>
                  <w:r>
                    <w:rPr>
                      <w:rFonts w:hint="default" w:ascii="Times New Roman" w:hAnsi="Times New Roman" w:eastAsia="宋体" w:cs="Times New Roman"/>
                      <w:color w:val="auto"/>
                      <w:sz w:val="18"/>
                      <w:szCs w:val="18"/>
                      <w:lang w:val="en-US" w:eastAsia="zh-CN"/>
                    </w:rPr>
                    <w:t>为密闭结构</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并在车间上方设置喷淋装置</w:t>
                  </w:r>
                  <w:r>
                    <w:rPr>
                      <w:rFonts w:hint="eastAsia" w:ascii="Times New Roman" w:hAnsi="Times New Roman" w:eastAsia="宋体" w:cs="Times New Roman"/>
                      <w:color w:val="auto"/>
                      <w:sz w:val="18"/>
                      <w:szCs w:val="18"/>
                      <w:lang w:val="en-US" w:eastAsia="zh-CN"/>
                    </w:rPr>
                    <w:t>，在</w:t>
                  </w:r>
                  <w:r>
                    <w:rPr>
                      <w:rFonts w:hint="default" w:ascii="Times New Roman" w:hAnsi="Times New Roman" w:eastAsia="宋体" w:cs="Times New Roman"/>
                      <w:color w:val="auto"/>
                      <w:sz w:val="18"/>
                      <w:szCs w:val="18"/>
                      <w:lang w:val="en-US" w:eastAsia="zh-CN"/>
                    </w:rPr>
                    <w:t>上料斗</w:t>
                  </w:r>
                  <w:r>
                    <w:rPr>
                      <w:rFonts w:hint="eastAsia" w:ascii="Times New Roman" w:hAnsi="Times New Roman" w:eastAsia="宋体" w:cs="Times New Roman"/>
                      <w:color w:val="auto"/>
                      <w:sz w:val="18"/>
                      <w:szCs w:val="18"/>
                      <w:lang w:val="en-US" w:eastAsia="zh-CN"/>
                    </w:rPr>
                    <w:t>和搅拌机</w:t>
                  </w:r>
                  <w:r>
                    <w:rPr>
                      <w:rFonts w:hint="default" w:ascii="Times New Roman" w:hAnsi="Times New Roman" w:eastAsia="宋体" w:cs="Times New Roman"/>
                      <w:color w:val="auto"/>
                      <w:sz w:val="18"/>
                      <w:szCs w:val="18"/>
                      <w:lang w:val="en-US" w:eastAsia="zh-CN"/>
                    </w:rPr>
                    <w:t>设置喷淋装置，</w:t>
                  </w:r>
                  <w:r>
                    <w:rPr>
                      <w:rFonts w:hint="eastAsia" w:ascii="Times New Roman" w:hAnsi="Times New Roman" w:eastAsia="宋体" w:cs="Times New Roman"/>
                      <w:color w:val="auto"/>
                      <w:sz w:val="18"/>
                      <w:szCs w:val="18"/>
                      <w:lang w:val="en-US" w:eastAsia="zh-CN"/>
                    </w:rPr>
                    <w:t>水泥在输送、转运环节采用密闭输送和管式螺旋输送机</w:t>
                  </w:r>
                </w:p>
              </w:tc>
              <w:tc>
                <w:tcPr>
                  <w:tcW w:w="496" w:type="pct"/>
                  <w:vMerge w:val="continue"/>
                  <w:vAlign w:val="center"/>
                </w:tcPr>
                <w:p w14:paraId="70FF2ED7">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6BD80D85">
                  <w:pPr>
                    <w:spacing w:line="240" w:lineRule="auto"/>
                    <w:ind w:firstLine="0" w:firstLineChars="0"/>
                    <w:jc w:val="center"/>
                    <w:rPr>
                      <w:rFonts w:hint="eastAsia"/>
                      <w:color w:val="auto"/>
                      <w:sz w:val="18"/>
                      <w:szCs w:val="18"/>
                    </w:rPr>
                  </w:pPr>
                </w:p>
              </w:tc>
              <w:tc>
                <w:tcPr>
                  <w:tcW w:w="369" w:type="pct"/>
                  <w:vMerge w:val="continue"/>
                  <w:vAlign w:val="center"/>
                </w:tcPr>
                <w:p w14:paraId="08A77395">
                  <w:pPr>
                    <w:spacing w:line="240" w:lineRule="auto"/>
                    <w:ind w:firstLine="0" w:firstLineChars="0"/>
                    <w:jc w:val="center"/>
                    <w:rPr>
                      <w:rFonts w:hint="eastAsia"/>
                      <w:sz w:val="18"/>
                      <w:szCs w:val="18"/>
                    </w:rPr>
                  </w:pPr>
                </w:p>
              </w:tc>
            </w:tr>
            <w:tr w14:paraId="4E865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562006B5">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58848BF0">
                  <w:pPr>
                    <w:pStyle w:val="71"/>
                    <w:rPr>
                      <w:rFonts w:hint="eastAsia" w:asciiTheme="minorEastAsia" w:hAnsiTheme="minorEastAsia" w:eastAsiaTheme="minorEastAsia" w:cstheme="minorEastAsia"/>
                      <w:sz w:val="18"/>
                      <w:szCs w:val="18"/>
                      <w:lang w:eastAsia="zh-CN"/>
                    </w:rPr>
                  </w:pPr>
                </w:p>
              </w:tc>
              <w:tc>
                <w:tcPr>
                  <w:tcW w:w="782" w:type="pct"/>
                  <w:tcBorders>
                    <w:right w:val="single" w:color="000000" w:sz="4" w:space="0"/>
                  </w:tcBorders>
                  <w:vAlign w:val="center"/>
                </w:tcPr>
                <w:p w14:paraId="51C3A83B">
                  <w:pPr>
                    <w:spacing w:line="240" w:lineRule="auto"/>
                    <w:jc w:val="center"/>
                    <w:rPr>
                      <w:rFonts w:hint="eastAsia" w:ascii="Times New Roman" w:hAnsi="Times New Roman" w:cs="Times New Roman"/>
                      <w:color w:val="auto"/>
                      <w:sz w:val="18"/>
                      <w:szCs w:val="18"/>
                      <w:lang w:val="en-US" w:eastAsia="zh-CN"/>
                    </w:rPr>
                  </w:pPr>
                  <w:r>
                    <w:rPr>
                      <w:rFonts w:hint="eastAsia"/>
                      <w:color w:val="auto"/>
                      <w:sz w:val="18"/>
                      <w:szCs w:val="18"/>
                      <w:shd w:val="clear" w:color="auto" w:fill="auto"/>
                      <w:lang w:val="en-US" w:eastAsia="zh-CN"/>
                    </w:rPr>
                    <w:t>水泥筒仓装卸粉尘</w:t>
                  </w:r>
                </w:p>
              </w:tc>
              <w:tc>
                <w:tcPr>
                  <w:tcW w:w="2100" w:type="pct"/>
                  <w:tcBorders>
                    <w:left w:val="single" w:color="000000" w:sz="4" w:space="0"/>
                  </w:tcBorders>
                  <w:vAlign w:val="center"/>
                </w:tcPr>
                <w:p w14:paraId="68ABB62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生产车间为密闭结构，设置 1 台仓顶</w:t>
                  </w:r>
                  <w:r>
                    <w:rPr>
                      <w:rFonts w:hint="eastAsia"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lang w:val="en-US" w:eastAsia="zh-CN"/>
                    </w:rPr>
                    <w:t>废气收集效率以100%计，除尘效率均以 99.</w:t>
                  </w:r>
                  <w:r>
                    <w:rPr>
                      <w:rFonts w:hint="eastAsia" w:ascii="Times New Roman" w:hAnsi="Times New Roman" w:eastAsia="宋体" w:cs="Times New Roman"/>
                      <w:color w:val="auto"/>
                      <w:sz w:val="18"/>
                      <w:szCs w:val="18"/>
                      <w:lang w:val="en-US" w:eastAsia="zh-CN"/>
                    </w:rPr>
                    <w:t>9</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，筒仓</w:t>
                  </w:r>
                  <w:r>
                    <w:rPr>
                      <w:rFonts w:hint="default" w:ascii="Times New Roman" w:hAnsi="Times New Roman" w:eastAsia="宋体" w:cs="Times New Roman"/>
                      <w:color w:val="auto"/>
                      <w:sz w:val="18"/>
                      <w:szCs w:val="18"/>
                      <w:lang w:val="en-US" w:eastAsia="zh-CN"/>
                    </w:rPr>
                    <w:t>粉尘经过仓顶</w:t>
                  </w:r>
                  <w:r>
                    <w:rPr>
                      <w:rFonts w:hint="eastAsia"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lang w:val="en-US" w:eastAsia="zh-CN"/>
                    </w:rPr>
                    <w:t>处理后经仓顶排气口排放</w:t>
                  </w:r>
                  <w:r>
                    <w:rPr>
                      <w:rFonts w:hint="eastAsia" w:ascii="Times New Roman" w:hAnsi="Times New Roman" w:eastAsia="宋体" w:cs="Times New Roman"/>
                      <w:color w:val="auto"/>
                      <w:sz w:val="18"/>
                      <w:szCs w:val="18"/>
                      <w:lang w:val="en-US" w:eastAsia="zh-CN"/>
                    </w:rPr>
                    <w:t>（1#排气筒）</w:t>
                  </w:r>
                </w:p>
              </w:tc>
              <w:tc>
                <w:tcPr>
                  <w:tcW w:w="496" w:type="pct"/>
                  <w:vMerge w:val="continue"/>
                  <w:vAlign w:val="center"/>
                </w:tcPr>
                <w:p w14:paraId="5499D6AD">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6253D418">
                  <w:pPr>
                    <w:spacing w:line="240" w:lineRule="auto"/>
                    <w:ind w:firstLine="0" w:firstLineChars="0"/>
                    <w:jc w:val="center"/>
                    <w:rPr>
                      <w:rFonts w:hint="eastAsia"/>
                      <w:color w:val="auto"/>
                      <w:sz w:val="18"/>
                      <w:szCs w:val="18"/>
                    </w:rPr>
                  </w:pPr>
                </w:p>
              </w:tc>
              <w:tc>
                <w:tcPr>
                  <w:tcW w:w="369" w:type="pct"/>
                  <w:vMerge w:val="continue"/>
                  <w:vAlign w:val="center"/>
                </w:tcPr>
                <w:p w14:paraId="36642579">
                  <w:pPr>
                    <w:spacing w:line="240" w:lineRule="auto"/>
                    <w:ind w:firstLine="0" w:firstLineChars="0"/>
                    <w:jc w:val="center"/>
                    <w:rPr>
                      <w:rFonts w:hint="eastAsia"/>
                      <w:sz w:val="18"/>
                      <w:szCs w:val="18"/>
                    </w:rPr>
                  </w:pPr>
                </w:p>
              </w:tc>
            </w:tr>
            <w:tr w14:paraId="00AAA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1EA29501">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33A6C87C">
                  <w:pPr>
                    <w:pStyle w:val="71"/>
                    <w:rPr>
                      <w:rFonts w:asciiTheme="minorEastAsia" w:hAnsiTheme="minorEastAsia" w:eastAsiaTheme="minorEastAsia" w:cstheme="minorEastAsia"/>
                      <w:color w:val="FF0000"/>
                      <w:sz w:val="18"/>
                      <w:szCs w:val="18"/>
                      <w:lang w:eastAsia="zh-CN"/>
                    </w:rPr>
                  </w:pPr>
                </w:p>
              </w:tc>
              <w:tc>
                <w:tcPr>
                  <w:tcW w:w="782" w:type="pct"/>
                  <w:tcBorders>
                    <w:top w:val="single" w:color="auto" w:sz="4" w:space="0"/>
                    <w:right w:val="single" w:color="auto" w:sz="4" w:space="0"/>
                  </w:tcBorders>
                  <w:vAlign w:val="center"/>
                </w:tcPr>
                <w:p w14:paraId="2748CA16">
                  <w:pPr>
                    <w:spacing w:line="240" w:lineRule="auto"/>
                    <w:jc w:val="center"/>
                    <w:rPr>
                      <w:color w:val="FF0000"/>
                      <w:sz w:val="18"/>
                      <w:szCs w:val="18"/>
                    </w:rPr>
                  </w:pPr>
                  <w:r>
                    <w:rPr>
                      <w:rFonts w:hint="eastAsia"/>
                      <w:color w:val="auto"/>
                      <w:sz w:val="18"/>
                      <w:szCs w:val="18"/>
                      <w:shd w:val="clear" w:color="auto" w:fill="auto"/>
                      <w:lang w:val="en-US" w:eastAsia="zh-CN"/>
                    </w:rPr>
                    <w:t>搅拌粉尘</w:t>
                  </w:r>
                  <w:r>
                    <w:rPr>
                      <w:rFonts w:hint="default" w:ascii="Times New Roman" w:hAnsi="Times New Roman" w:cs="Times New Roman"/>
                      <w:color w:val="auto"/>
                      <w:sz w:val="18"/>
                      <w:szCs w:val="18"/>
                      <w:lang w:eastAsia="zh-CN"/>
                    </w:rPr>
                    <w:t>粉尘</w:t>
                  </w:r>
                </w:p>
              </w:tc>
              <w:tc>
                <w:tcPr>
                  <w:tcW w:w="2100" w:type="pct"/>
                  <w:tcBorders>
                    <w:top w:val="single" w:color="auto" w:sz="4" w:space="0"/>
                    <w:left w:val="single" w:color="auto" w:sz="4" w:space="0"/>
                  </w:tcBorders>
                  <w:vAlign w:val="center"/>
                </w:tcPr>
                <w:p w14:paraId="49B54F51">
                  <w:pPr>
                    <w:spacing w:line="240" w:lineRule="auto"/>
                    <w:jc w:val="center"/>
                    <w:rPr>
                      <w:sz w:val="18"/>
                      <w:szCs w:val="18"/>
                    </w:rPr>
                  </w:pPr>
                  <w:r>
                    <w:rPr>
                      <w:rFonts w:hint="default" w:ascii="Times New Roman" w:hAnsi="Times New Roman" w:eastAsia="宋体" w:cs="Times New Roman"/>
                      <w:color w:val="auto"/>
                      <w:sz w:val="18"/>
                      <w:szCs w:val="18"/>
                      <w:lang w:val="en-US" w:eastAsia="zh-CN"/>
                    </w:rPr>
                    <w:t>生产车间为密闭结构，</w:t>
                  </w:r>
                  <w:r>
                    <w:rPr>
                      <w:rFonts w:hint="eastAsia" w:ascii="Times New Roman" w:hAnsi="Times New Roman" w:eastAsia="宋体" w:cs="Times New Roman"/>
                      <w:color w:val="auto"/>
                      <w:sz w:val="18"/>
                      <w:szCs w:val="18"/>
                      <w:lang w:val="en-US" w:eastAsia="zh-CN"/>
                    </w:rPr>
                    <w:t>在搅拌机上方各设置一个2m2的集气罩，收集搅拌过程中产生的粉尘。收集的粉尘经</w:t>
                  </w:r>
                  <w:r>
                    <w:rPr>
                      <w:rFonts w:hint="default" w:ascii="Times New Roman" w:hAnsi="Times New Roman" w:eastAsia="宋体" w:cs="Times New Roman"/>
                      <w:color w:val="auto"/>
                      <w:sz w:val="18"/>
                      <w:szCs w:val="18"/>
                      <w:lang w:val="en-US" w:eastAsia="zh-CN"/>
                    </w:rPr>
                    <w:t>仓顶</w:t>
                  </w:r>
                  <w:r>
                    <w:rPr>
                      <w:rFonts w:hint="eastAsia" w:ascii="Times New Roman" w:hAnsi="Times New Roman" w:eastAsia="宋体" w:cs="Times New Roman"/>
                      <w:color w:val="auto"/>
                      <w:sz w:val="18"/>
                      <w:szCs w:val="18"/>
                      <w:lang w:val="en-US" w:eastAsia="zh-CN"/>
                    </w:rPr>
                    <w:t>脉冲除尘器处理后，通过15m搞排气筒排放（</w:t>
                  </w:r>
                  <w:r>
                    <w:rPr>
                      <w:rFonts w:hint="eastAsia"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#排气筒）</w:t>
                  </w:r>
                </w:p>
              </w:tc>
              <w:tc>
                <w:tcPr>
                  <w:tcW w:w="496" w:type="pct"/>
                  <w:vMerge w:val="continue"/>
                  <w:vAlign w:val="center"/>
                </w:tcPr>
                <w:p w14:paraId="5DE4592A">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077B3D99">
                  <w:pPr>
                    <w:spacing w:line="240" w:lineRule="auto"/>
                    <w:ind w:firstLine="0" w:firstLineChars="0"/>
                    <w:jc w:val="center"/>
                    <w:rPr>
                      <w:rFonts w:hint="eastAsia"/>
                      <w:color w:val="auto"/>
                      <w:sz w:val="18"/>
                      <w:szCs w:val="18"/>
                    </w:rPr>
                  </w:pPr>
                </w:p>
              </w:tc>
              <w:tc>
                <w:tcPr>
                  <w:tcW w:w="369" w:type="pct"/>
                  <w:vMerge w:val="continue"/>
                  <w:vAlign w:val="center"/>
                </w:tcPr>
                <w:p w14:paraId="56E61A51">
                  <w:pPr>
                    <w:spacing w:line="240" w:lineRule="auto"/>
                    <w:ind w:firstLine="0" w:firstLineChars="0"/>
                    <w:jc w:val="center"/>
                    <w:rPr>
                      <w:sz w:val="18"/>
                      <w:szCs w:val="18"/>
                    </w:rPr>
                  </w:pPr>
                </w:p>
              </w:tc>
            </w:tr>
            <w:tr w14:paraId="5491B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2BE1CBFE">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28533086">
                  <w:pPr>
                    <w:pStyle w:val="71"/>
                    <w:rPr>
                      <w:rFonts w:asciiTheme="minorEastAsia" w:hAnsiTheme="minorEastAsia" w:eastAsiaTheme="minorEastAsia" w:cstheme="minorEastAsia"/>
                      <w:color w:val="FF0000"/>
                      <w:sz w:val="18"/>
                      <w:szCs w:val="18"/>
                      <w:lang w:eastAsia="zh-CN"/>
                    </w:rPr>
                  </w:pPr>
                </w:p>
              </w:tc>
              <w:tc>
                <w:tcPr>
                  <w:tcW w:w="782" w:type="pct"/>
                  <w:tcBorders>
                    <w:top w:val="single" w:color="auto" w:sz="4" w:space="0"/>
                    <w:right w:val="single" w:color="auto" w:sz="4" w:space="0"/>
                  </w:tcBorders>
                  <w:vAlign w:val="center"/>
                </w:tcPr>
                <w:p w14:paraId="39AA458A">
                  <w:pPr>
                    <w:spacing w:line="240" w:lineRule="auto"/>
                    <w:ind w:firstLine="0" w:firstLineChars="0"/>
                    <w:jc w:val="center"/>
                    <w:rPr>
                      <w:rFonts w:hint="default" w:eastAsia="宋体"/>
                      <w:sz w:val="18"/>
                      <w:szCs w:val="18"/>
                      <w:lang w:val="en-US" w:eastAsia="zh-CN"/>
                    </w:rPr>
                  </w:pPr>
                  <w:r>
                    <w:rPr>
                      <w:rFonts w:hint="eastAsia"/>
                      <w:sz w:val="18"/>
                      <w:szCs w:val="18"/>
                      <w:lang w:val="en-US" w:eastAsia="zh-CN"/>
                    </w:rPr>
                    <w:t>钢筋切割粉尘</w:t>
                  </w:r>
                </w:p>
              </w:tc>
              <w:tc>
                <w:tcPr>
                  <w:tcW w:w="2100" w:type="pct"/>
                  <w:tcBorders>
                    <w:top w:val="single" w:color="auto" w:sz="4" w:space="0"/>
                    <w:left w:val="single" w:color="auto" w:sz="4" w:space="0"/>
                  </w:tcBorders>
                  <w:vAlign w:val="center"/>
                </w:tcPr>
                <w:p w14:paraId="2D3C7B31">
                  <w:pPr>
                    <w:spacing w:line="240" w:lineRule="auto"/>
                    <w:ind w:firstLine="0" w:firstLineChars="0"/>
                    <w:jc w:val="center"/>
                    <w:rPr>
                      <w:rFonts w:hint="default" w:eastAsia="宋体"/>
                      <w:sz w:val="18"/>
                      <w:szCs w:val="18"/>
                      <w:lang w:val="en-US" w:eastAsia="zh-CN"/>
                    </w:rPr>
                  </w:pPr>
                  <w:r>
                    <w:rPr>
                      <w:rFonts w:hint="eastAsia"/>
                      <w:sz w:val="18"/>
                      <w:szCs w:val="18"/>
                      <w:lang w:val="en-US" w:eastAsia="zh-CN"/>
                    </w:rPr>
                    <w:t>设置围挡，车间密闭</w:t>
                  </w:r>
                </w:p>
              </w:tc>
              <w:tc>
                <w:tcPr>
                  <w:tcW w:w="496" w:type="pct"/>
                  <w:vMerge w:val="continue"/>
                  <w:vAlign w:val="center"/>
                </w:tcPr>
                <w:p w14:paraId="59F7F191">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0360D2C8">
                  <w:pPr>
                    <w:spacing w:line="240" w:lineRule="auto"/>
                    <w:ind w:firstLine="0" w:firstLineChars="0"/>
                    <w:jc w:val="center"/>
                    <w:rPr>
                      <w:rFonts w:hint="eastAsia"/>
                      <w:color w:val="auto"/>
                      <w:sz w:val="18"/>
                      <w:szCs w:val="18"/>
                    </w:rPr>
                  </w:pPr>
                </w:p>
              </w:tc>
              <w:tc>
                <w:tcPr>
                  <w:tcW w:w="369" w:type="pct"/>
                  <w:vMerge w:val="continue"/>
                  <w:vAlign w:val="center"/>
                </w:tcPr>
                <w:p w14:paraId="2B41A5AC">
                  <w:pPr>
                    <w:spacing w:line="240" w:lineRule="auto"/>
                    <w:ind w:firstLine="0" w:firstLineChars="0"/>
                    <w:jc w:val="center"/>
                    <w:rPr>
                      <w:rFonts w:hint="eastAsia"/>
                      <w:sz w:val="18"/>
                      <w:szCs w:val="18"/>
                    </w:rPr>
                  </w:pPr>
                </w:p>
              </w:tc>
            </w:tr>
            <w:tr w14:paraId="50812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81" w:type="pct"/>
                  <w:vMerge w:val="continue"/>
                  <w:tcBorders>
                    <w:left w:val="single" w:color="auto" w:sz="12" w:space="0"/>
                  </w:tcBorders>
                  <w:vAlign w:val="center"/>
                </w:tcPr>
                <w:p w14:paraId="78C4B3E6">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693F35C5">
                  <w:pPr>
                    <w:pStyle w:val="71"/>
                    <w:rPr>
                      <w:rFonts w:asciiTheme="minorEastAsia" w:hAnsiTheme="minorEastAsia" w:eastAsiaTheme="minorEastAsia" w:cstheme="minorEastAsia"/>
                      <w:color w:val="FF0000"/>
                      <w:sz w:val="18"/>
                      <w:szCs w:val="18"/>
                      <w:lang w:eastAsia="zh-CN"/>
                    </w:rPr>
                  </w:pPr>
                </w:p>
              </w:tc>
              <w:tc>
                <w:tcPr>
                  <w:tcW w:w="782" w:type="pct"/>
                  <w:tcBorders>
                    <w:top w:val="single" w:color="auto" w:sz="4" w:space="0"/>
                    <w:right w:val="single" w:color="auto" w:sz="4" w:space="0"/>
                  </w:tcBorders>
                  <w:vAlign w:val="center"/>
                </w:tcPr>
                <w:p w14:paraId="7A60E23C">
                  <w:pPr>
                    <w:spacing w:line="240" w:lineRule="auto"/>
                    <w:jc w:val="center"/>
                    <w:rPr>
                      <w:rFonts w:hint="default"/>
                      <w:sz w:val="18"/>
                      <w:szCs w:val="18"/>
                      <w:lang w:val="en-US" w:eastAsia="zh-CN"/>
                    </w:rPr>
                  </w:pPr>
                  <w:r>
                    <w:rPr>
                      <w:rFonts w:hint="eastAsia"/>
                      <w:color w:val="auto"/>
                      <w:sz w:val="18"/>
                      <w:szCs w:val="18"/>
                      <w:shd w:val="clear" w:color="auto" w:fill="auto"/>
                      <w:lang w:val="en-US" w:eastAsia="zh-CN"/>
                    </w:rPr>
                    <w:t>焊接烟尘</w:t>
                  </w:r>
                </w:p>
              </w:tc>
              <w:tc>
                <w:tcPr>
                  <w:tcW w:w="2100" w:type="pct"/>
                  <w:tcBorders>
                    <w:top w:val="single" w:color="auto" w:sz="4" w:space="0"/>
                    <w:left w:val="single" w:color="auto" w:sz="4" w:space="0"/>
                  </w:tcBorders>
                  <w:vAlign w:val="center"/>
                </w:tcPr>
                <w:p w14:paraId="640D5E4B">
                  <w:pPr>
                    <w:spacing w:line="240" w:lineRule="auto"/>
                    <w:jc w:val="center"/>
                    <w:rPr>
                      <w:rFonts w:hint="default" w:eastAsia="宋体"/>
                      <w:sz w:val="18"/>
                      <w:szCs w:val="18"/>
                      <w:lang w:val="en-US" w:eastAsia="zh-CN"/>
                    </w:rPr>
                  </w:pPr>
                  <w:r>
                    <w:rPr>
                      <w:rFonts w:hint="eastAsia" w:ascii="Times New Roman" w:hAnsi="Times New Roman" w:eastAsia="宋体" w:cs="Times New Roman"/>
                      <w:color w:val="auto"/>
                      <w:sz w:val="18"/>
                      <w:szCs w:val="18"/>
                      <w:lang w:val="en-US" w:eastAsia="zh-CN"/>
                    </w:rPr>
                    <w:t>每个焊接工位上方设置集气罩（收集效率按90%），焊接烟尘经收集后，通过焊接烟尘净化器处理（处理效率90%），处理后经15m高排气筒（</w:t>
                  </w:r>
                  <w:r>
                    <w:rPr>
                      <w:rFonts w:hint="eastAsia"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#）排放</w:t>
                  </w:r>
                </w:p>
              </w:tc>
              <w:tc>
                <w:tcPr>
                  <w:tcW w:w="496" w:type="pct"/>
                  <w:vMerge w:val="continue"/>
                  <w:vAlign w:val="center"/>
                </w:tcPr>
                <w:p w14:paraId="378E26BF">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7C6A4DFF">
                  <w:pPr>
                    <w:spacing w:line="240" w:lineRule="auto"/>
                    <w:ind w:firstLine="0" w:firstLineChars="0"/>
                    <w:jc w:val="center"/>
                    <w:rPr>
                      <w:rFonts w:hint="eastAsia"/>
                      <w:color w:val="auto"/>
                      <w:sz w:val="18"/>
                      <w:szCs w:val="18"/>
                    </w:rPr>
                  </w:pPr>
                </w:p>
              </w:tc>
              <w:tc>
                <w:tcPr>
                  <w:tcW w:w="369" w:type="pct"/>
                  <w:vMerge w:val="continue"/>
                  <w:vAlign w:val="center"/>
                </w:tcPr>
                <w:p w14:paraId="1E7B08D7">
                  <w:pPr>
                    <w:spacing w:line="240" w:lineRule="auto"/>
                    <w:ind w:firstLine="0" w:firstLineChars="0"/>
                    <w:jc w:val="center"/>
                    <w:rPr>
                      <w:rFonts w:hint="eastAsia"/>
                      <w:sz w:val="18"/>
                      <w:szCs w:val="18"/>
                    </w:rPr>
                  </w:pPr>
                </w:p>
              </w:tc>
            </w:tr>
            <w:tr w14:paraId="7E098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6C5803DB">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4D16FE65">
                  <w:pPr>
                    <w:pStyle w:val="71"/>
                    <w:rPr>
                      <w:rFonts w:asciiTheme="minorEastAsia" w:hAnsiTheme="minorEastAsia" w:eastAsiaTheme="minorEastAsia" w:cstheme="minorEastAsia"/>
                      <w:color w:val="FF0000"/>
                      <w:sz w:val="18"/>
                      <w:szCs w:val="18"/>
                      <w:lang w:eastAsia="zh-CN"/>
                    </w:rPr>
                  </w:pPr>
                </w:p>
              </w:tc>
              <w:tc>
                <w:tcPr>
                  <w:tcW w:w="782" w:type="pct"/>
                  <w:tcBorders>
                    <w:top w:val="single" w:color="auto" w:sz="4" w:space="0"/>
                    <w:right w:val="single" w:color="auto" w:sz="4" w:space="0"/>
                  </w:tcBorders>
                  <w:vAlign w:val="center"/>
                </w:tcPr>
                <w:p w14:paraId="0D2B8E3C">
                  <w:pPr>
                    <w:spacing w:line="240" w:lineRule="auto"/>
                    <w:jc w:val="center"/>
                    <w:rPr>
                      <w:rFonts w:hint="eastAsia"/>
                      <w:color w:val="auto"/>
                      <w:sz w:val="18"/>
                      <w:szCs w:val="18"/>
                      <w:shd w:val="clear" w:color="auto" w:fill="auto"/>
                      <w:lang w:val="en-US" w:eastAsia="zh-CN"/>
                    </w:rPr>
                  </w:pPr>
                  <w:r>
                    <w:rPr>
                      <w:rFonts w:hint="default" w:ascii="Times New Roman" w:hAnsi="Times New Roman" w:cs="Times New Roman"/>
                      <w:color w:val="auto"/>
                      <w:sz w:val="18"/>
                      <w:szCs w:val="18"/>
                      <w:lang w:val="en-US" w:eastAsia="zh-CN"/>
                    </w:rPr>
                    <w:t>汽车运输扬尘</w:t>
                  </w:r>
                </w:p>
              </w:tc>
              <w:tc>
                <w:tcPr>
                  <w:tcW w:w="2100" w:type="pct"/>
                  <w:tcBorders>
                    <w:top w:val="single" w:color="auto" w:sz="4" w:space="0"/>
                    <w:left w:val="single" w:color="auto" w:sz="4" w:space="0"/>
                  </w:tcBorders>
                  <w:vAlign w:val="center"/>
                </w:tcPr>
                <w:p w14:paraId="33CE8758">
                  <w:pPr>
                    <w:spacing w:line="240" w:lineRule="auto"/>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限制运输车辆车速，对厂区内地面派专人定期进行清扫，以减少道路扬尘</w:t>
                  </w:r>
                </w:p>
              </w:tc>
              <w:tc>
                <w:tcPr>
                  <w:tcW w:w="496" w:type="pct"/>
                  <w:vMerge w:val="continue"/>
                  <w:vAlign w:val="center"/>
                </w:tcPr>
                <w:p w14:paraId="1BCCA48C">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04B0033E">
                  <w:pPr>
                    <w:spacing w:line="240" w:lineRule="auto"/>
                    <w:ind w:firstLine="0" w:firstLineChars="0"/>
                    <w:jc w:val="center"/>
                    <w:rPr>
                      <w:rFonts w:hint="eastAsia"/>
                      <w:color w:val="auto"/>
                      <w:sz w:val="18"/>
                      <w:szCs w:val="18"/>
                    </w:rPr>
                  </w:pPr>
                </w:p>
              </w:tc>
              <w:tc>
                <w:tcPr>
                  <w:tcW w:w="369" w:type="pct"/>
                  <w:vMerge w:val="continue"/>
                  <w:vAlign w:val="center"/>
                </w:tcPr>
                <w:p w14:paraId="61D6AC7F">
                  <w:pPr>
                    <w:spacing w:line="240" w:lineRule="auto"/>
                    <w:ind w:firstLine="0" w:firstLineChars="0"/>
                    <w:jc w:val="center"/>
                    <w:rPr>
                      <w:rFonts w:hint="eastAsia"/>
                      <w:sz w:val="18"/>
                      <w:szCs w:val="18"/>
                    </w:rPr>
                  </w:pPr>
                </w:p>
              </w:tc>
            </w:tr>
            <w:tr w14:paraId="2116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04D26350">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6999DA94">
                  <w:pPr>
                    <w:pStyle w:val="71"/>
                    <w:rPr>
                      <w:rFonts w:asciiTheme="minorEastAsia" w:hAnsiTheme="minorEastAsia" w:eastAsiaTheme="minorEastAsia" w:cstheme="minorEastAsia"/>
                      <w:color w:val="FF0000"/>
                      <w:sz w:val="18"/>
                      <w:szCs w:val="18"/>
                      <w:lang w:eastAsia="zh-CN"/>
                    </w:rPr>
                  </w:pPr>
                </w:p>
              </w:tc>
              <w:tc>
                <w:tcPr>
                  <w:tcW w:w="782" w:type="pct"/>
                  <w:tcBorders>
                    <w:top w:val="single" w:color="auto" w:sz="4" w:space="0"/>
                    <w:right w:val="single" w:color="auto" w:sz="4" w:space="0"/>
                  </w:tcBorders>
                  <w:vAlign w:val="center"/>
                </w:tcPr>
                <w:p w14:paraId="5C7AE031">
                  <w:pPr>
                    <w:spacing w:line="240" w:lineRule="auto"/>
                    <w:jc w:val="center"/>
                    <w:rPr>
                      <w:rFonts w:hint="eastAsia"/>
                      <w:color w:val="auto"/>
                      <w:sz w:val="18"/>
                      <w:szCs w:val="18"/>
                      <w:shd w:val="clear" w:color="auto" w:fill="auto"/>
                      <w:lang w:val="en-US" w:eastAsia="zh-CN"/>
                    </w:rPr>
                  </w:pPr>
                  <w:r>
                    <w:rPr>
                      <w:rFonts w:hint="default" w:ascii="Times New Roman" w:hAnsi="Times New Roman" w:cs="Times New Roman"/>
                      <w:color w:val="auto"/>
                      <w:sz w:val="18"/>
                      <w:szCs w:val="18"/>
                      <w:lang w:val="en-US" w:eastAsia="zh-CN"/>
                    </w:rPr>
                    <w:t>汽车尾气</w:t>
                  </w:r>
                </w:p>
              </w:tc>
              <w:tc>
                <w:tcPr>
                  <w:tcW w:w="2100" w:type="pct"/>
                  <w:tcBorders>
                    <w:top w:val="single" w:color="auto" w:sz="4" w:space="0"/>
                    <w:left w:val="single" w:color="auto" w:sz="4" w:space="0"/>
                  </w:tcBorders>
                  <w:vAlign w:val="center"/>
                </w:tcPr>
                <w:p w14:paraId="4B42C4C9">
                  <w:pPr>
                    <w:spacing w:line="240" w:lineRule="auto"/>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通过加强管理，限制车速，严禁车辆超限超载，加强装载车辆保养，减少滞留时间</w:t>
                  </w:r>
                </w:p>
              </w:tc>
              <w:tc>
                <w:tcPr>
                  <w:tcW w:w="496" w:type="pct"/>
                  <w:vMerge w:val="continue"/>
                  <w:vAlign w:val="center"/>
                </w:tcPr>
                <w:p w14:paraId="1C7DF2E9">
                  <w:pPr>
                    <w:spacing w:line="240" w:lineRule="auto"/>
                    <w:ind w:firstLine="0" w:firstLineChars="0"/>
                    <w:jc w:val="center"/>
                    <w:rPr>
                      <w:rFonts w:hint="eastAsia"/>
                      <w:color w:val="auto"/>
                      <w:sz w:val="18"/>
                      <w:szCs w:val="18"/>
                    </w:rPr>
                  </w:pPr>
                </w:p>
              </w:tc>
              <w:tc>
                <w:tcPr>
                  <w:tcW w:w="483" w:type="pct"/>
                  <w:vMerge w:val="continue"/>
                  <w:tcBorders>
                    <w:left w:val="single" w:color="000000" w:sz="4" w:space="0"/>
                  </w:tcBorders>
                  <w:vAlign w:val="center"/>
                </w:tcPr>
                <w:p w14:paraId="0512A07B">
                  <w:pPr>
                    <w:spacing w:line="240" w:lineRule="auto"/>
                    <w:ind w:firstLine="0" w:firstLineChars="0"/>
                    <w:jc w:val="center"/>
                    <w:rPr>
                      <w:rFonts w:hint="eastAsia"/>
                      <w:color w:val="auto"/>
                      <w:sz w:val="18"/>
                      <w:szCs w:val="18"/>
                    </w:rPr>
                  </w:pPr>
                </w:p>
              </w:tc>
              <w:tc>
                <w:tcPr>
                  <w:tcW w:w="369" w:type="pct"/>
                  <w:vMerge w:val="continue"/>
                  <w:vAlign w:val="center"/>
                </w:tcPr>
                <w:p w14:paraId="2AB72072">
                  <w:pPr>
                    <w:spacing w:line="240" w:lineRule="auto"/>
                    <w:ind w:firstLine="0" w:firstLineChars="0"/>
                    <w:jc w:val="center"/>
                    <w:rPr>
                      <w:rFonts w:hint="eastAsia"/>
                      <w:sz w:val="18"/>
                      <w:szCs w:val="18"/>
                    </w:rPr>
                  </w:pPr>
                </w:p>
              </w:tc>
            </w:tr>
            <w:tr w14:paraId="498D5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6751C952">
                  <w:pPr>
                    <w:pStyle w:val="71"/>
                    <w:rPr>
                      <w:rFonts w:asciiTheme="minorEastAsia" w:hAnsiTheme="minorEastAsia" w:eastAsiaTheme="minorEastAsia" w:cstheme="minorEastAsia"/>
                      <w:color w:val="FF0000"/>
                      <w:sz w:val="18"/>
                      <w:szCs w:val="18"/>
                      <w:lang w:eastAsia="zh-CN"/>
                    </w:rPr>
                  </w:pPr>
                </w:p>
              </w:tc>
              <w:tc>
                <w:tcPr>
                  <w:tcW w:w="386" w:type="pct"/>
                  <w:vMerge w:val="restart"/>
                  <w:vAlign w:val="center"/>
                </w:tcPr>
                <w:p w14:paraId="7AF0DD49">
                  <w:pPr>
                    <w:pStyle w:val="71"/>
                    <w:rPr>
                      <w:rFonts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固废处理</w:t>
                  </w:r>
                </w:p>
              </w:tc>
              <w:tc>
                <w:tcPr>
                  <w:tcW w:w="782" w:type="pct"/>
                  <w:vAlign w:val="center"/>
                </w:tcPr>
                <w:p w14:paraId="63D7AB36">
                  <w:pPr>
                    <w:spacing w:line="240" w:lineRule="auto"/>
                    <w:jc w:val="center"/>
                    <w:rPr>
                      <w:sz w:val="18"/>
                      <w:szCs w:val="18"/>
                      <w:lang w:eastAsia="zh-CN"/>
                    </w:rPr>
                  </w:pPr>
                  <w:r>
                    <w:rPr>
                      <w:rFonts w:hint="default" w:ascii="Times New Roman" w:hAnsi="Times New Roman" w:eastAsia="宋体" w:cs="Times New Roman"/>
                      <w:color w:val="auto"/>
                      <w:sz w:val="18"/>
                      <w:szCs w:val="18"/>
                    </w:rPr>
                    <w:t>生活垃圾</w:t>
                  </w:r>
                </w:p>
              </w:tc>
              <w:tc>
                <w:tcPr>
                  <w:tcW w:w="2100" w:type="pct"/>
                  <w:vAlign w:val="center"/>
                </w:tcPr>
                <w:p w14:paraId="2339C863">
                  <w:pPr>
                    <w:spacing w:line="240" w:lineRule="auto"/>
                    <w:jc w:val="center"/>
                    <w:rPr>
                      <w:sz w:val="18"/>
                      <w:szCs w:val="18"/>
                      <w:lang w:eastAsia="zh-CN"/>
                    </w:rPr>
                  </w:pPr>
                  <w:r>
                    <w:rPr>
                      <w:rFonts w:hint="default" w:ascii="Times New Roman" w:hAnsi="Times New Roman" w:cs="Times New Roman"/>
                      <w:color w:val="auto"/>
                      <w:sz w:val="18"/>
                      <w:szCs w:val="18"/>
                      <w:lang w:val="en-US" w:eastAsia="zh-CN"/>
                    </w:rPr>
                    <w:t>收集后定期交由环卫部门处理</w:t>
                  </w:r>
                </w:p>
              </w:tc>
              <w:tc>
                <w:tcPr>
                  <w:tcW w:w="496" w:type="pct"/>
                  <w:vMerge w:val="continue"/>
                  <w:vAlign w:val="center"/>
                </w:tcPr>
                <w:p w14:paraId="2AD4DC2D">
                  <w:pPr>
                    <w:pStyle w:val="71"/>
                    <w:rPr>
                      <w:rFonts w:hint="eastAsia"/>
                      <w:color w:val="auto"/>
                      <w:sz w:val="18"/>
                      <w:szCs w:val="18"/>
                      <w:lang w:eastAsia="zh-CN"/>
                    </w:rPr>
                  </w:pPr>
                </w:p>
              </w:tc>
              <w:tc>
                <w:tcPr>
                  <w:tcW w:w="483" w:type="pct"/>
                  <w:vMerge w:val="restart"/>
                  <w:vAlign w:val="center"/>
                </w:tcPr>
                <w:p w14:paraId="37984536">
                  <w:pPr>
                    <w:pStyle w:val="71"/>
                    <w:rPr>
                      <w:rFonts w:hint="default"/>
                      <w:color w:val="auto"/>
                      <w:sz w:val="18"/>
                      <w:szCs w:val="18"/>
                      <w:lang w:val="en-US" w:eastAsia="zh-CN"/>
                    </w:rPr>
                  </w:pPr>
                  <w:r>
                    <w:rPr>
                      <w:rFonts w:hint="eastAsia"/>
                      <w:color w:val="auto"/>
                      <w:sz w:val="18"/>
                      <w:szCs w:val="18"/>
                      <w:lang w:val="en-US" w:eastAsia="zh-CN"/>
                    </w:rPr>
                    <w:t>固废</w:t>
                  </w:r>
                </w:p>
              </w:tc>
              <w:tc>
                <w:tcPr>
                  <w:tcW w:w="369" w:type="pct"/>
                  <w:vMerge w:val="restart"/>
                  <w:vAlign w:val="center"/>
                </w:tcPr>
                <w:p w14:paraId="2BD74F8C">
                  <w:pPr>
                    <w:pStyle w:val="71"/>
                    <w:rPr>
                      <w:sz w:val="18"/>
                      <w:szCs w:val="18"/>
                      <w:lang w:eastAsia="zh-CN"/>
                    </w:rPr>
                  </w:pPr>
                  <w:r>
                    <w:rPr>
                      <w:rFonts w:hint="eastAsia"/>
                      <w:sz w:val="18"/>
                      <w:szCs w:val="18"/>
                      <w:lang w:eastAsia="zh-CN"/>
                    </w:rPr>
                    <w:t>新建</w:t>
                  </w:r>
                </w:p>
              </w:tc>
            </w:tr>
            <w:tr w14:paraId="636FD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6FCC9A8A">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5ED25375">
                  <w:pPr>
                    <w:pStyle w:val="71"/>
                    <w:rPr>
                      <w:rFonts w:asciiTheme="minorEastAsia" w:hAnsiTheme="minorEastAsia" w:eastAsiaTheme="minorEastAsia" w:cstheme="minorEastAsia"/>
                      <w:sz w:val="18"/>
                      <w:szCs w:val="18"/>
                      <w:lang w:eastAsia="zh-CN"/>
                    </w:rPr>
                  </w:pPr>
                </w:p>
              </w:tc>
              <w:tc>
                <w:tcPr>
                  <w:tcW w:w="782" w:type="pct"/>
                  <w:vAlign w:val="center"/>
                </w:tcPr>
                <w:p w14:paraId="623BADDE">
                  <w:pPr>
                    <w:spacing w:line="240" w:lineRule="auto"/>
                    <w:jc w:val="center"/>
                    <w:rPr>
                      <w:sz w:val="18"/>
                      <w:szCs w:val="18"/>
                      <w:lang w:eastAsia="zh-CN"/>
                    </w:rPr>
                  </w:pPr>
                  <w:r>
                    <w:rPr>
                      <w:rFonts w:hint="eastAsia" w:cs="Times New Roman"/>
                      <w:color w:val="auto"/>
                      <w:sz w:val="18"/>
                      <w:szCs w:val="18"/>
                      <w:lang w:val="en-US" w:eastAsia="zh-CN"/>
                    </w:rPr>
                    <w:t>预处理池污泥</w:t>
                  </w:r>
                </w:p>
              </w:tc>
              <w:tc>
                <w:tcPr>
                  <w:tcW w:w="2100" w:type="pct"/>
                  <w:vAlign w:val="center"/>
                </w:tcPr>
                <w:p w14:paraId="422BAA36">
                  <w:pPr>
                    <w:spacing w:line="240" w:lineRule="auto"/>
                    <w:jc w:val="center"/>
                    <w:rPr>
                      <w:sz w:val="18"/>
                      <w:szCs w:val="18"/>
                      <w:lang w:eastAsia="zh-CN"/>
                    </w:rPr>
                  </w:pPr>
                  <w:r>
                    <w:rPr>
                      <w:rFonts w:hint="eastAsia" w:ascii="Times New Roman" w:hAnsi="Times New Roman" w:eastAsia="宋体" w:cs="Times New Roman"/>
                      <w:color w:val="auto"/>
                      <w:sz w:val="18"/>
                      <w:szCs w:val="18"/>
                      <w:lang w:val="en-US" w:eastAsia="zh-CN"/>
                    </w:rPr>
                    <w:t>农田施肥</w:t>
                  </w:r>
                </w:p>
              </w:tc>
              <w:tc>
                <w:tcPr>
                  <w:tcW w:w="496" w:type="pct"/>
                  <w:vMerge w:val="continue"/>
                  <w:vAlign w:val="center"/>
                </w:tcPr>
                <w:p w14:paraId="29C9F870">
                  <w:pPr>
                    <w:pStyle w:val="71"/>
                    <w:rPr>
                      <w:color w:val="auto"/>
                      <w:sz w:val="18"/>
                      <w:szCs w:val="18"/>
                      <w:lang w:eastAsia="zh-CN"/>
                    </w:rPr>
                  </w:pPr>
                </w:p>
              </w:tc>
              <w:tc>
                <w:tcPr>
                  <w:tcW w:w="483" w:type="pct"/>
                  <w:vMerge w:val="continue"/>
                  <w:vAlign w:val="center"/>
                </w:tcPr>
                <w:p w14:paraId="388C91D7">
                  <w:pPr>
                    <w:pStyle w:val="71"/>
                    <w:rPr>
                      <w:color w:val="auto"/>
                      <w:sz w:val="18"/>
                      <w:szCs w:val="18"/>
                      <w:lang w:eastAsia="zh-CN"/>
                    </w:rPr>
                  </w:pPr>
                </w:p>
              </w:tc>
              <w:tc>
                <w:tcPr>
                  <w:tcW w:w="369" w:type="pct"/>
                  <w:vMerge w:val="continue"/>
                  <w:vAlign w:val="center"/>
                </w:tcPr>
                <w:p w14:paraId="76F98E62">
                  <w:pPr>
                    <w:pStyle w:val="71"/>
                    <w:rPr>
                      <w:sz w:val="18"/>
                      <w:szCs w:val="18"/>
                      <w:lang w:eastAsia="zh-CN"/>
                    </w:rPr>
                  </w:pPr>
                </w:p>
              </w:tc>
            </w:tr>
            <w:tr w14:paraId="2A2C8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6E85CAE1">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1F788836">
                  <w:pPr>
                    <w:pStyle w:val="71"/>
                    <w:rPr>
                      <w:rFonts w:asciiTheme="minorEastAsia" w:hAnsiTheme="minorEastAsia" w:eastAsiaTheme="minorEastAsia" w:cstheme="minorEastAsia"/>
                      <w:sz w:val="18"/>
                      <w:szCs w:val="18"/>
                      <w:lang w:eastAsia="zh-CN"/>
                    </w:rPr>
                  </w:pPr>
                </w:p>
              </w:tc>
              <w:tc>
                <w:tcPr>
                  <w:tcW w:w="782" w:type="pct"/>
                  <w:vAlign w:val="center"/>
                </w:tcPr>
                <w:p w14:paraId="091D9344">
                  <w:pPr>
                    <w:spacing w:line="240" w:lineRule="auto"/>
                    <w:jc w:val="center"/>
                    <w:rPr>
                      <w:sz w:val="18"/>
                      <w:szCs w:val="18"/>
                      <w:lang w:eastAsia="zh-CN"/>
                    </w:rPr>
                  </w:pPr>
                  <w:r>
                    <w:rPr>
                      <w:rFonts w:hint="eastAsia" w:cs="Times New Roman"/>
                      <w:color w:val="auto"/>
                      <w:sz w:val="18"/>
                      <w:szCs w:val="18"/>
                      <w:lang w:val="en-US" w:eastAsia="zh-CN"/>
                    </w:rPr>
                    <w:t>废气处理系统收集</w:t>
                  </w:r>
                  <w:r>
                    <w:rPr>
                      <w:rFonts w:hint="default" w:ascii="Times New Roman" w:hAnsi="Times New Roman" w:cs="Times New Roman"/>
                      <w:color w:val="auto"/>
                      <w:sz w:val="18"/>
                      <w:szCs w:val="18"/>
                      <w:lang w:val="en-US" w:eastAsia="zh-CN"/>
                    </w:rPr>
                    <w:t>粉尘</w:t>
                  </w:r>
                </w:p>
              </w:tc>
              <w:tc>
                <w:tcPr>
                  <w:tcW w:w="2100" w:type="pct"/>
                  <w:vMerge w:val="restart"/>
                  <w:vAlign w:val="center"/>
                </w:tcPr>
                <w:p w14:paraId="037A4FB3">
                  <w:pPr>
                    <w:spacing w:line="240" w:lineRule="auto"/>
                    <w:jc w:val="center"/>
                    <w:rPr>
                      <w:sz w:val="18"/>
                      <w:szCs w:val="18"/>
                      <w:lang w:eastAsia="zh-CN"/>
                    </w:rPr>
                  </w:pPr>
                  <w:r>
                    <w:rPr>
                      <w:rFonts w:hint="eastAsia" w:ascii="Times New Roman" w:hAnsi="Times New Roman" w:eastAsia="宋体" w:cs="Times New Roman"/>
                      <w:color w:val="auto"/>
                      <w:sz w:val="18"/>
                      <w:szCs w:val="18"/>
                      <w:lang w:val="en-US" w:eastAsia="zh-CN"/>
                    </w:rPr>
                    <w:t>回用生产</w:t>
                  </w:r>
                </w:p>
              </w:tc>
              <w:tc>
                <w:tcPr>
                  <w:tcW w:w="496" w:type="pct"/>
                  <w:vMerge w:val="continue"/>
                  <w:vAlign w:val="center"/>
                </w:tcPr>
                <w:p w14:paraId="04190874">
                  <w:pPr>
                    <w:pStyle w:val="71"/>
                    <w:rPr>
                      <w:color w:val="auto"/>
                      <w:sz w:val="18"/>
                      <w:szCs w:val="18"/>
                      <w:lang w:eastAsia="zh-CN"/>
                    </w:rPr>
                  </w:pPr>
                </w:p>
              </w:tc>
              <w:tc>
                <w:tcPr>
                  <w:tcW w:w="483" w:type="pct"/>
                  <w:vMerge w:val="continue"/>
                  <w:vAlign w:val="center"/>
                </w:tcPr>
                <w:p w14:paraId="27BE9983">
                  <w:pPr>
                    <w:pStyle w:val="71"/>
                    <w:rPr>
                      <w:color w:val="auto"/>
                      <w:sz w:val="18"/>
                      <w:szCs w:val="18"/>
                      <w:lang w:eastAsia="zh-CN"/>
                    </w:rPr>
                  </w:pPr>
                </w:p>
              </w:tc>
              <w:tc>
                <w:tcPr>
                  <w:tcW w:w="369" w:type="pct"/>
                  <w:vMerge w:val="continue"/>
                  <w:vAlign w:val="center"/>
                </w:tcPr>
                <w:p w14:paraId="43A9C464">
                  <w:pPr>
                    <w:pStyle w:val="71"/>
                    <w:rPr>
                      <w:sz w:val="18"/>
                      <w:szCs w:val="18"/>
                      <w:lang w:eastAsia="zh-CN"/>
                    </w:rPr>
                  </w:pPr>
                </w:p>
              </w:tc>
            </w:tr>
            <w:tr w14:paraId="1344B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81" w:type="pct"/>
                  <w:vMerge w:val="continue"/>
                  <w:tcBorders>
                    <w:left w:val="single" w:color="auto" w:sz="12" w:space="0"/>
                  </w:tcBorders>
                  <w:vAlign w:val="center"/>
                </w:tcPr>
                <w:p w14:paraId="611F4423">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0EF9A2D4">
                  <w:pPr>
                    <w:pStyle w:val="71"/>
                    <w:rPr>
                      <w:rFonts w:asciiTheme="minorEastAsia" w:hAnsiTheme="minorEastAsia" w:eastAsiaTheme="minorEastAsia" w:cstheme="minorEastAsia"/>
                      <w:sz w:val="18"/>
                      <w:szCs w:val="18"/>
                      <w:lang w:eastAsia="zh-CN"/>
                    </w:rPr>
                  </w:pPr>
                </w:p>
              </w:tc>
              <w:tc>
                <w:tcPr>
                  <w:tcW w:w="782" w:type="pct"/>
                  <w:vAlign w:val="center"/>
                </w:tcPr>
                <w:p w14:paraId="44FC7AD8">
                  <w:pPr>
                    <w:spacing w:line="240" w:lineRule="auto"/>
                    <w:jc w:val="center"/>
                    <w:rPr>
                      <w:sz w:val="18"/>
                      <w:szCs w:val="18"/>
                      <w:lang w:eastAsia="zh-CN"/>
                    </w:rPr>
                  </w:pPr>
                  <w:r>
                    <w:rPr>
                      <w:rFonts w:hint="default" w:ascii="Times New Roman" w:hAnsi="Times New Roman" w:cs="Times New Roman"/>
                      <w:color w:val="auto"/>
                      <w:sz w:val="18"/>
                      <w:szCs w:val="18"/>
                      <w:lang w:val="en-US" w:eastAsia="zh-CN"/>
                    </w:rPr>
                    <w:t>沉淀泥沙</w:t>
                  </w:r>
                </w:p>
              </w:tc>
              <w:tc>
                <w:tcPr>
                  <w:tcW w:w="2100" w:type="pct"/>
                  <w:vMerge w:val="continue"/>
                  <w:vAlign w:val="center"/>
                </w:tcPr>
                <w:p w14:paraId="0A9083CC">
                  <w:pPr>
                    <w:pStyle w:val="71"/>
                    <w:rPr>
                      <w:sz w:val="18"/>
                      <w:szCs w:val="18"/>
                      <w:lang w:eastAsia="zh-CN"/>
                    </w:rPr>
                  </w:pPr>
                </w:p>
              </w:tc>
              <w:tc>
                <w:tcPr>
                  <w:tcW w:w="496" w:type="pct"/>
                  <w:vMerge w:val="continue"/>
                  <w:vAlign w:val="center"/>
                </w:tcPr>
                <w:p w14:paraId="543746DD">
                  <w:pPr>
                    <w:pStyle w:val="71"/>
                    <w:rPr>
                      <w:color w:val="auto"/>
                      <w:sz w:val="18"/>
                      <w:szCs w:val="18"/>
                      <w:lang w:eastAsia="zh-CN"/>
                    </w:rPr>
                  </w:pPr>
                </w:p>
              </w:tc>
              <w:tc>
                <w:tcPr>
                  <w:tcW w:w="483" w:type="pct"/>
                  <w:vMerge w:val="continue"/>
                  <w:vAlign w:val="center"/>
                </w:tcPr>
                <w:p w14:paraId="3A7A6813">
                  <w:pPr>
                    <w:pStyle w:val="71"/>
                    <w:rPr>
                      <w:color w:val="auto"/>
                      <w:sz w:val="18"/>
                      <w:szCs w:val="18"/>
                      <w:lang w:eastAsia="zh-CN"/>
                    </w:rPr>
                  </w:pPr>
                </w:p>
              </w:tc>
              <w:tc>
                <w:tcPr>
                  <w:tcW w:w="369" w:type="pct"/>
                  <w:vMerge w:val="continue"/>
                  <w:vAlign w:val="center"/>
                </w:tcPr>
                <w:p w14:paraId="18C219AE">
                  <w:pPr>
                    <w:pStyle w:val="71"/>
                    <w:rPr>
                      <w:sz w:val="18"/>
                      <w:szCs w:val="18"/>
                      <w:lang w:eastAsia="zh-CN"/>
                    </w:rPr>
                  </w:pPr>
                </w:p>
              </w:tc>
            </w:tr>
            <w:tr w14:paraId="11967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81" w:type="pct"/>
                  <w:vMerge w:val="continue"/>
                  <w:tcBorders>
                    <w:left w:val="single" w:color="auto" w:sz="12" w:space="0"/>
                  </w:tcBorders>
                  <w:vAlign w:val="center"/>
                </w:tcPr>
                <w:p w14:paraId="1775E17E">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6F729045">
                  <w:pPr>
                    <w:pStyle w:val="71"/>
                    <w:rPr>
                      <w:rFonts w:asciiTheme="minorEastAsia" w:hAnsiTheme="minorEastAsia" w:eastAsiaTheme="minorEastAsia" w:cstheme="minorEastAsia"/>
                      <w:sz w:val="18"/>
                      <w:szCs w:val="18"/>
                      <w:lang w:eastAsia="zh-CN"/>
                    </w:rPr>
                  </w:pPr>
                </w:p>
              </w:tc>
              <w:tc>
                <w:tcPr>
                  <w:tcW w:w="782" w:type="pct"/>
                  <w:vAlign w:val="center"/>
                </w:tcPr>
                <w:p w14:paraId="5444D8C5">
                  <w:pPr>
                    <w:spacing w:line="240" w:lineRule="auto"/>
                    <w:jc w:val="center"/>
                    <w:rPr>
                      <w:sz w:val="18"/>
                      <w:szCs w:val="18"/>
                      <w:lang w:eastAsia="zh-CN"/>
                    </w:rPr>
                  </w:pPr>
                  <w:r>
                    <w:rPr>
                      <w:rFonts w:hint="eastAsia" w:cs="Times New Roman"/>
                      <w:color w:val="auto"/>
                      <w:sz w:val="18"/>
                      <w:szCs w:val="18"/>
                      <w:lang w:val="en-US" w:eastAsia="zh-CN"/>
                    </w:rPr>
                    <w:t>废滤芯</w:t>
                  </w:r>
                </w:p>
              </w:tc>
              <w:tc>
                <w:tcPr>
                  <w:tcW w:w="2100" w:type="pct"/>
                  <w:vAlign w:val="center"/>
                </w:tcPr>
                <w:p w14:paraId="2312149B">
                  <w:pPr>
                    <w:spacing w:line="240" w:lineRule="auto"/>
                    <w:jc w:val="center"/>
                    <w:rPr>
                      <w:sz w:val="18"/>
                      <w:szCs w:val="18"/>
                      <w:lang w:eastAsia="zh-CN"/>
                    </w:rPr>
                  </w:pPr>
                  <w:r>
                    <w:rPr>
                      <w:rFonts w:hint="default" w:ascii="Times New Roman" w:hAnsi="Times New Roman" w:eastAsia="宋体" w:cs="Times New Roman"/>
                      <w:color w:val="auto"/>
                      <w:sz w:val="18"/>
                      <w:szCs w:val="18"/>
                    </w:rPr>
                    <w:t>环卫部门清运处理</w:t>
                  </w:r>
                </w:p>
              </w:tc>
              <w:tc>
                <w:tcPr>
                  <w:tcW w:w="496" w:type="pct"/>
                  <w:vMerge w:val="continue"/>
                  <w:vAlign w:val="center"/>
                </w:tcPr>
                <w:p w14:paraId="75BCC209">
                  <w:pPr>
                    <w:pStyle w:val="71"/>
                    <w:rPr>
                      <w:color w:val="auto"/>
                      <w:sz w:val="18"/>
                      <w:szCs w:val="18"/>
                      <w:lang w:eastAsia="zh-CN"/>
                    </w:rPr>
                  </w:pPr>
                </w:p>
              </w:tc>
              <w:tc>
                <w:tcPr>
                  <w:tcW w:w="483" w:type="pct"/>
                  <w:vMerge w:val="continue"/>
                  <w:vAlign w:val="center"/>
                </w:tcPr>
                <w:p w14:paraId="64AF9A5B">
                  <w:pPr>
                    <w:pStyle w:val="71"/>
                    <w:rPr>
                      <w:color w:val="auto"/>
                      <w:sz w:val="18"/>
                      <w:szCs w:val="18"/>
                      <w:lang w:eastAsia="zh-CN"/>
                    </w:rPr>
                  </w:pPr>
                </w:p>
              </w:tc>
              <w:tc>
                <w:tcPr>
                  <w:tcW w:w="369" w:type="pct"/>
                  <w:vMerge w:val="continue"/>
                  <w:vAlign w:val="center"/>
                </w:tcPr>
                <w:p w14:paraId="76970738">
                  <w:pPr>
                    <w:pStyle w:val="71"/>
                    <w:rPr>
                      <w:sz w:val="18"/>
                      <w:szCs w:val="18"/>
                      <w:lang w:eastAsia="zh-CN"/>
                    </w:rPr>
                  </w:pPr>
                </w:p>
              </w:tc>
            </w:tr>
            <w:tr w14:paraId="6F02A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12" w:space="0"/>
                  </w:tcBorders>
                  <w:vAlign w:val="center"/>
                </w:tcPr>
                <w:p w14:paraId="69E4F0FE">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0B5E95D0">
                  <w:pPr>
                    <w:pStyle w:val="71"/>
                    <w:rPr>
                      <w:rFonts w:asciiTheme="minorEastAsia" w:hAnsiTheme="minorEastAsia" w:eastAsiaTheme="minorEastAsia" w:cstheme="minorEastAsia"/>
                      <w:sz w:val="18"/>
                      <w:szCs w:val="18"/>
                      <w:lang w:eastAsia="zh-CN"/>
                    </w:rPr>
                  </w:pPr>
                </w:p>
              </w:tc>
              <w:tc>
                <w:tcPr>
                  <w:tcW w:w="782" w:type="pct"/>
                  <w:vAlign w:val="center"/>
                </w:tcPr>
                <w:p w14:paraId="7058809C">
                  <w:pPr>
                    <w:spacing w:line="240" w:lineRule="auto"/>
                    <w:jc w:val="center"/>
                    <w:rPr>
                      <w:rFonts w:hint="eastAsia"/>
                      <w:sz w:val="18"/>
                      <w:szCs w:val="18"/>
                      <w:lang w:eastAsia="zh-CN"/>
                    </w:rPr>
                  </w:pPr>
                  <w:r>
                    <w:rPr>
                      <w:rFonts w:hint="eastAsia" w:cs="Times New Roman"/>
                      <w:color w:val="auto"/>
                      <w:sz w:val="18"/>
                      <w:szCs w:val="18"/>
                      <w:lang w:val="en-US" w:eastAsia="zh-CN"/>
                    </w:rPr>
                    <w:t>废焊丝、熔渣</w:t>
                  </w:r>
                </w:p>
              </w:tc>
              <w:tc>
                <w:tcPr>
                  <w:tcW w:w="2100" w:type="pct"/>
                  <w:vMerge w:val="restart"/>
                  <w:vAlign w:val="center"/>
                </w:tcPr>
                <w:p w14:paraId="5139DFCE">
                  <w:pPr>
                    <w:spacing w:line="240" w:lineRule="auto"/>
                    <w:jc w:val="center"/>
                    <w:rPr>
                      <w:rFonts w:hint="eastAsia"/>
                      <w:sz w:val="18"/>
                      <w:szCs w:val="18"/>
                      <w:lang w:eastAsia="zh-CN"/>
                    </w:rPr>
                  </w:pPr>
                  <w:r>
                    <w:rPr>
                      <w:rFonts w:hint="eastAsia" w:ascii="Times New Roman" w:hAnsi="Times New Roman" w:eastAsia="宋体" w:cs="Times New Roman"/>
                      <w:color w:val="auto"/>
                      <w:sz w:val="18"/>
                      <w:szCs w:val="18"/>
                      <w:lang w:val="en-US" w:eastAsia="zh-CN"/>
                    </w:rPr>
                    <w:t>外售废品收购站</w:t>
                  </w:r>
                </w:p>
              </w:tc>
              <w:tc>
                <w:tcPr>
                  <w:tcW w:w="496" w:type="pct"/>
                  <w:vMerge w:val="continue"/>
                  <w:vAlign w:val="center"/>
                </w:tcPr>
                <w:p w14:paraId="063DD109">
                  <w:pPr>
                    <w:pStyle w:val="71"/>
                    <w:rPr>
                      <w:color w:val="auto"/>
                      <w:sz w:val="18"/>
                      <w:szCs w:val="18"/>
                      <w:lang w:eastAsia="zh-CN"/>
                    </w:rPr>
                  </w:pPr>
                </w:p>
              </w:tc>
              <w:tc>
                <w:tcPr>
                  <w:tcW w:w="483" w:type="pct"/>
                  <w:vMerge w:val="continue"/>
                  <w:vAlign w:val="center"/>
                </w:tcPr>
                <w:p w14:paraId="695F6C92">
                  <w:pPr>
                    <w:pStyle w:val="71"/>
                    <w:rPr>
                      <w:color w:val="auto"/>
                      <w:sz w:val="18"/>
                      <w:szCs w:val="18"/>
                      <w:lang w:eastAsia="zh-CN"/>
                    </w:rPr>
                  </w:pPr>
                </w:p>
              </w:tc>
              <w:tc>
                <w:tcPr>
                  <w:tcW w:w="369" w:type="pct"/>
                  <w:vMerge w:val="continue"/>
                  <w:vAlign w:val="center"/>
                </w:tcPr>
                <w:p w14:paraId="4EEB07AF">
                  <w:pPr>
                    <w:pStyle w:val="71"/>
                    <w:rPr>
                      <w:sz w:val="18"/>
                      <w:szCs w:val="18"/>
                      <w:lang w:eastAsia="zh-CN"/>
                    </w:rPr>
                  </w:pPr>
                </w:p>
              </w:tc>
            </w:tr>
            <w:tr w14:paraId="0FDFE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12" w:space="0"/>
                  </w:tcBorders>
                  <w:vAlign w:val="center"/>
                </w:tcPr>
                <w:p w14:paraId="28D564D8">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5D92C748">
                  <w:pPr>
                    <w:pStyle w:val="71"/>
                    <w:rPr>
                      <w:rFonts w:asciiTheme="minorEastAsia" w:hAnsiTheme="minorEastAsia" w:eastAsiaTheme="minorEastAsia" w:cstheme="minorEastAsia"/>
                      <w:sz w:val="18"/>
                      <w:szCs w:val="18"/>
                      <w:lang w:eastAsia="zh-CN"/>
                    </w:rPr>
                  </w:pPr>
                </w:p>
              </w:tc>
              <w:tc>
                <w:tcPr>
                  <w:tcW w:w="782" w:type="pct"/>
                  <w:vAlign w:val="center"/>
                </w:tcPr>
                <w:p w14:paraId="7DE2A040">
                  <w:pPr>
                    <w:spacing w:line="240" w:lineRule="auto"/>
                    <w:jc w:val="center"/>
                    <w:rPr>
                      <w:rFonts w:hint="eastAsia"/>
                      <w:sz w:val="18"/>
                      <w:szCs w:val="18"/>
                      <w:lang w:eastAsia="zh-CN"/>
                    </w:rPr>
                  </w:pPr>
                  <w:r>
                    <w:rPr>
                      <w:rFonts w:hint="eastAsia" w:cs="Times New Roman"/>
                      <w:color w:val="auto"/>
                      <w:sz w:val="18"/>
                      <w:szCs w:val="18"/>
                      <w:lang w:val="en-US" w:eastAsia="zh-CN"/>
                    </w:rPr>
                    <w:t>钢筋头和不锈钢边角料</w:t>
                  </w:r>
                </w:p>
              </w:tc>
              <w:tc>
                <w:tcPr>
                  <w:tcW w:w="2100" w:type="pct"/>
                  <w:vMerge w:val="continue"/>
                  <w:vAlign w:val="center"/>
                </w:tcPr>
                <w:p w14:paraId="26D7D91A">
                  <w:pPr>
                    <w:pStyle w:val="71"/>
                    <w:rPr>
                      <w:rFonts w:hint="eastAsia"/>
                      <w:sz w:val="18"/>
                      <w:szCs w:val="18"/>
                      <w:lang w:eastAsia="zh-CN"/>
                    </w:rPr>
                  </w:pPr>
                </w:p>
              </w:tc>
              <w:tc>
                <w:tcPr>
                  <w:tcW w:w="496" w:type="pct"/>
                  <w:vMerge w:val="continue"/>
                  <w:vAlign w:val="center"/>
                </w:tcPr>
                <w:p w14:paraId="435FC5CF">
                  <w:pPr>
                    <w:pStyle w:val="71"/>
                    <w:rPr>
                      <w:color w:val="auto"/>
                      <w:sz w:val="18"/>
                      <w:szCs w:val="18"/>
                      <w:lang w:eastAsia="zh-CN"/>
                    </w:rPr>
                  </w:pPr>
                </w:p>
              </w:tc>
              <w:tc>
                <w:tcPr>
                  <w:tcW w:w="483" w:type="pct"/>
                  <w:vMerge w:val="continue"/>
                  <w:vAlign w:val="center"/>
                </w:tcPr>
                <w:p w14:paraId="1CF49EE4">
                  <w:pPr>
                    <w:pStyle w:val="71"/>
                    <w:rPr>
                      <w:color w:val="auto"/>
                      <w:sz w:val="18"/>
                      <w:szCs w:val="18"/>
                      <w:lang w:eastAsia="zh-CN"/>
                    </w:rPr>
                  </w:pPr>
                </w:p>
              </w:tc>
              <w:tc>
                <w:tcPr>
                  <w:tcW w:w="369" w:type="pct"/>
                  <w:vMerge w:val="continue"/>
                  <w:vAlign w:val="center"/>
                </w:tcPr>
                <w:p w14:paraId="4E2B4648">
                  <w:pPr>
                    <w:pStyle w:val="71"/>
                    <w:rPr>
                      <w:sz w:val="18"/>
                      <w:szCs w:val="18"/>
                      <w:lang w:eastAsia="zh-CN"/>
                    </w:rPr>
                  </w:pPr>
                </w:p>
              </w:tc>
            </w:tr>
            <w:tr w14:paraId="0E843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81" w:type="pct"/>
                  <w:vMerge w:val="continue"/>
                  <w:tcBorders>
                    <w:left w:val="single" w:color="auto" w:sz="12" w:space="0"/>
                  </w:tcBorders>
                  <w:vAlign w:val="center"/>
                </w:tcPr>
                <w:p w14:paraId="7F6A8217">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51FB860A">
                  <w:pPr>
                    <w:pStyle w:val="71"/>
                    <w:rPr>
                      <w:rFonts w:asciiTheme="minorEastAsia" w:hAnsiTheme="minorEastAsia" w:eastAsiaTheme="minorEastAsia" w:cstheme="minorEastAsia"/>
                      <w:sz w:val="18"/>
                      <w:szCs w:val="18"/>
                      <w:lang w:eastAsia="zh-CN"/>
                    </w:rPr>
                  </w:pPr>
                </w:p>
              </w:tc>
              <w:tc>
                <w:tcPr>
                  <w:tcW w:w="782" w:type="pct"/>
                  <w:vAlign w:val="center"/>
                </w:tcPr>
                <w:p w14:paraId="485F6139">
                  <w:pPr>
                    <w:spacing w:line="240" w:lineRule="auto"/>
                    <w:jc w:val="center"/>
                    <w:rPr>
                      <w:rFonts w:hint="eastAsia"/>
                      <w:sz w:val="18"/>
                      <w:szCs w:val="18"/>
                      <w:lang w:eastAsia="zh-CN"/>
                    </w:rPr>
                  </w:pPr>
                  <w:r>
                    <w:rPr>
                      <w:rFonts w:hint="eastAsia" w:cs="Times New Roman"/>
                      <w:color w:val="auto"/>
                      <w:sz w:val="18"/>
                      <w:szCs w:val="18"/>
                      <w:lang w:val="en-US" w:eastAsia="zh-CN"/>
                    </w:rPr>
                    <w:t>废抹布、手套</w:t>
                  </w:r>
                </w:p>
              </w:tc>
              <w:tc>
                <w:tcPr>
                  <w:tcW w:w="2100" w:type="pct"/>
                  <w:vMerge w:val="restart"/>
                  <w:vAlign w:val="center"/>
                </w:tcPr>
                <w:p w14:paraId="36EC3867">
                  <w:pPr>
                    <w:spacing w:line="240" w:lineRule="auto"/>
                    <w:jc w:val="center"/>
                    <w:rPr>
                      <w:rFonts w:hint="eastAsia"/>
                      <w:sz w:val="18"/>
                      <w:szCs w:val="18"/>
                      <w:lang w:eastAsia="zh-CN"/>
                    </w:rPr>
                  </w:pPr>
                  <w:r>
                    <w:rPr>
                      <w:rFonts w:hint="default" w:ascii="Times New Roman" w:hAnsi="Times New Roman" w:eastAsia="宋体" w:cs="Times New Roman"/>
                      <w:color w:val="auto"/>
                      <w:sz w:val="18"/>
                      <w:szCs w:val="18"/>
                    </w:rPr>
                    <w:t>暂存危废暂存间，定期交由有资质单位处理</w:t>
                  </w:r>
                </w:p>
              </w:tc>
              <w:tc>
                <w:tcPr>
                  <w:tcW w:w="496" w:type="pct"/>
                  <w:vMerge w:val="continue"/>
                  <w:vAlign w:val="center"/>
                </w:tcPr>
                <w:p w14:paraId="6B08618D">
                  <w:pPr>
                    <w:pStyle w:val="71"/>
                    <w:rPr>
                      <w:color w:val="auto"/>
                      <w:sz w:val="18"/>
                      <w:szCs w:val="18"/>
                      <w:lang w:eastAsia="zh-CN"/>
                    </w:rPr>
                  </w:pPr>
                </w:p>
              </w:tc>
              <w:tc>
                <w:tcPr>
                  <w:tcW w:w="483" w:type="pct"/>
                  <w:vMerge w:val="continue"/>
                  <w:vAlign w:val="center"/>
                </w:tcPr>
                <w:p w14:paraId="77E173EA">
                  <w:pPr>
                    <w:pStyle w:val="71"/>
                    <w:rPr>
                      <w:color w:val="auto"/>
                      <w:sz w:val="18"/>
                      <w:szCs w:val="18"/>
                      <w:lang w:eastAsia="zh-CN"/>
                    </w:rPr>
                  </w:pPr>
                </w:p>
              </w:tc>
              <w:tc>
                <w:tcPr>
                  <w:tcW w:w="369" w:type="pct"/>
                  <w:vMerge w:val="continue"/>
                  <w:vAlign w:val="center"/>
                </w:tcPr>
                <w:p w14:paraId="754DED14">
                  <w:pPr>
                    <w:pStyle w:val="71"/>
                    <w:rPr>
                      <w:sz w:val="18"/>
                      <w:szCs w:val="18"/>
                      <w:lang w:eastAsia="zh-CN"/>
                    </w:rPr>
                  </w:pPr>
                </w:p>
              </w:tc>
            </w:tr>
            <w:tr w14:paraId="58C24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81" w:type="pct"/>
                  <w:vMerge w:val="continue"/>
                  <w:tcBorders>
                    <w:left w:val="single" w:color="auto" w:sz="12" w:space="0"/>
                  </w:tcBorders>
                  <w:vAlign w:val="center"/>
                </w:tcPr>
                <w:p w14:paraId="7100F1CC">
                  <w:pPr>
                    <w:pStyle w:val="71"/>
                    <w:rPr>
                      <w:rFonts w:asciiTheme="minorEastAsia" w:hAnsiTheme="minorEastAsia" w:eastAsiaTheme="minorEastAsia" w:cstheme="minorEastAsia"/>
                      <w:color w:val="FF0000"/>
                      <w:sz w:val="18"/>
                      <w:szCs w:val="18"/>
                      <w:lang w:eastAsia="zh-CN"/>
                    </w:rPr>
                  </w:pPr>
                </w:p>
              </w:tc>
              <w:tc>
                <w:tcPr>
                  <w:tcW w:w="386" w:type="pct"/>
                  <w:vMerge w:val="continue"/>
                  <w:vAlign w:val="center"/>
                </w:tcPr>
                <w:p w14:paraId="0F263B74">
                  <w:pPr>
                    <w:pStyle w:val="71"/>
                    <w:rPr>
                      <w:rFonts w:asciiTheme="minorEastAsia" w:hAnsiTheme="minorEastAsia" w:eastAsiaTheme="minorEastAsia" w:cstheme="minorEastAsia"/>
                      <w:sz w:val="18"/>
                      <w:szCs w:val="18"/>
                      <w:lang w:eastAsia="zh-CN"/>
                    </w:rPr>
                  </w:pPr>
                </w:p>
              </w:tc>
              <w:tc>
                <w:tcPr>
                  <w:tcW w:w="782" w:type="pct"/>
                  <w:vAlign w:val="center"/>
                </w:tcPr>
                <w:p w14:paraId="24358F86">
                  <w:pPr>
                    <w:spacing w:line="240" w:lineRule="auto"/>
                    <w:jc w:val="center"/>
                    <w:rPr>
                      <w:rFonts w:hint="eastAsia"/>
                      <w:sz w:val="18"/>
                      <w:szCs w:val="18"/>
                      <w:lang w:eastAsia="zh-CN"/>
                    </w:rPr>
                  </w:pPr>
                  <w:r>
                    <w:rPr>
                      <w:rFonts w:hint="eastAsia" w:cs="Times New Roman"/>
                      <w:color w:val="auto"/>
                      <w:sz w:val="18"/>
                      <w:szCs w:val="18"/>
                      <w:lang w:val="en-US" w:eastAsia="zh-CN"/>
                    </w:rPr>
                    <w:t>废机油</w:t>
                  </w:r>
                </w:p>
              </w:tc>
              <w:tc>
                <w:tcPr>
                  <w:tcW w:w="2100" w:type="pct"/>
                  <w:vMerge w:val="continue"/>
                  <w:vAlign w:val="center"/>
                </w:tcPr>
                <w:p w14:paraId="21473B71">
                  <w:pPr>
                    <w:pStyle w:val="71"/>
                    <w:rPr>
                      <w:rFonts w:hint="eastAsia"/>
                      <w:sz w:val="18"/>
                      <w:szCs w:val="18"/>
                      <w:lang w:eastAsia="zh-CN"/>
                    </w:rPr>
                  </w:pPr>
                </w:p>
              </w:tc>
              <w:tc>
                <w:tcPr>
                  <w:tcW w:w="496" w:type="pct"/>
                  <w:vMerge w:val="continue"/>
                  <w:vAlign w:val="center"/>
                </w:tcPr>
                <w:p w14:paraId="6581044B">
                  <w:pPr>
                    <w:pStyle w:val="71"/>
                    <w:rPr>
                      <w:color w:val="auto"/>
                      <w:sz w:val="18"/>
                      <w:szCs w:val="18"/>
                      <w:lang w:eastAsia="zh-CN"/>
                    </w:rPr>
                  </w:pPr>
                </w:p>
              </w:tc>
              <w:tc>
                <w:tcPr>
                  <w:tcW w:w="483" w:type="pct"/>
                  <w:vMerge w:val="continue"/>
                  <w:vAlign w:val="center"/>
                </w:tcPr>
                <w:p w14:paraId="24CA5837">
                  <w:pPr>
                    <w:pStyle w:val="71"/>
                    <w:rPr>
                      <w:color w:val="auto"/>
                      <w:sz w:val="18"/>
                      <w:szCs w:val="18"/>
                      <w:lang w:eastAsia="zh-CN"/>
                    </w:rPr>
                  </w:pPr>
                </w:p>
              </w:tc>
              <w:tc>
                <w:tcPr>
                  <w:tcW w:w="369" w:type="pct"/>
                  <w:vMerge w:val="continue"/>
                  <w:vAlign w:val="center"/>
                </w:tcPr>
                <w:p w14:paraId="65DBE52A">
                  <w:pPr>
                    <w:pStyle w:val="71"/>
                    <w:rPr>
                      <w:sz w:val="18"/>
                      <w:szCs w:val="18"/>
                      <w:lang w:eastAsia="zh-CN"/>
                    </w:rPr>
                  </w:pPr>
                </w:p>
              </w:tc>
            </w:tr>
            <w:tr w14:paraId="0B9EB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vMerge w:val="continue"/>
                  <w:tcBorders>
                    <w:left w:val="single" w:color="auto" w:sz="12" w:space="0"/>
                  </w:tcBorders>
                  <w:vAlign w:val="center"/>
                </w:tcPr>
                <w:p w14:paraId="2602B4CA">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5C6D0BFF">
                  <w:pPr>
                    <w:pStyle w:val="71"/>
                    <w:rPr>
                      <w:rFonts w:asciiTheme="minorEastAsia" w:hAnsiTheme="minorEastAsia" w:eastAsiaTheme="minorEastAsia" w:cstheme="minorEastAsia"/>
                      <w:sz w:val="18"/>
                      <w:szCs w:val="18"/>
                      <w:lang w:eastAsia="zh-CN"/>
                    </w:rPr>
                  </w:pPr>
                  <w:r>
                    <w:rPr>
                      <w:rFonts w:hint="eastAsia"/>
                      <w:sz w:val="18"/>
                      <w:szCs w:val="18"/>
                      <w:lang w:eastAsia="zh-CN"/>
                    </w:rPr>
                    <w:t>噪声处理</w:t>
                  </w:r>
                </w:p>
              </w:tc>
              <w:tc>
                <w:tcPr>
                  <w:tcW w:w="2883" w:type="pct"/>
                  <w:gridSpan w:val="2"/>
                  <w:vAlign w:val="center"/>
                </w:tcPr>
                <w:p w14:paraId="2E99FB8D">
                  <w:pPr>
                    <w:pStyle w:val="71"/>
                    <w:rPr>
                      <w:sz w:val="18"/>
                      <w:szCs w:val="18"/>
                      <w:lang w:eastAsia="zh-CN"/>
                    </w:rPr>
                  </w:pPr>
                  <w:r>
                    <w:rPr>
                      <w:rFonts w:hint="eastAsia" w:cs="Times New Roman"/>
                      <w:color w:val="auto"/>
                      <w:sz w:val="18"/>
                      <w:szCs w:val="18"/>
                      <w:lang w:val="en-US" w:eastAsia="zh-CN"/>
                    </w:rPr>
                    <w:t>项目夜间不生产；</w:t>
                  </w:r>
                  <w:r>
                    <w:rPr>
                      <w:rFonts w:hint="default" w:ascii="Times New Roman" w:hAnsi="Times New Roman" w:eastAsia="宋体" w:cs="Times New Roman"/>
                      <w:color w:val="auto"/>
                      <w:sz w:val="18"/>
                      <w:szCs w:val="18"/>
                    </w:rPr>
                    <w:t>装载机发动机自带消音装置；合理布置噪声源；所有生产设备都设置于密闭厂房内；选型上使用先进的低噪声设备，安装时底座设置减振垫；加强设备的日常维护保养，防止出现因机器不正常运转造成噪声值异常升高的问题；对进出车辆加强管理，限制车速，禁鸣喇叭；卸料和装车的时间应避开午休时间，车辆减速行驶、禁止鸣笛等措施</w:t>
                  </w:r>
                </w:p>
              </w:tc>
              <w:tc>
                <w:tcPr>
                  <w:tcW w:w="496" w:type="pct"/>
                  <w:vMerge w:val="continue"/>
                  <w:vAlign w:val="center"/>
                </w:tcPr>
                <w:p w14:paraId="56E14427">
                  <w:pPr>
                    <w:pStyle w:val="71"/>
                    <w:rPr>
                      <w:rFonts w:hint="eastAsia"/>
                      <w:color w:val="auto"/>
                      <w:sz w:val="18"/>
                      <w:szCs w:val="18"/>
                      <w:lang w:eastAsia="zh-CN"/>
                    </w:rPr>
                  </w:pPr>
                </w:p>
              </w:tc>
              <w:tc>
                <w:tcPr>
                  <w:tcW w:w="483" w:type="pct"/>
                  <w:vAlign w:val="center"/>
                </w:tcPr>
                <w:p w14:paraId="70014243">
                  <w:pPr>
                    <w:pStyle w:val="71"/>
                    <w:rPr>
                      <w:rFonts w:hint="default"/>
                      <w:color w:val="auto"/>
                      <w:sz w:val="18"/>
                      <w:szCs w:val="18"/>
                      <w:lang w:val="en-US" w:eastAsia="zh-CN"/>
                    </w:rPr>
                  </w:pPr>
                  <w:r>
                    <w:rPr>
                      <w:rFonts w:hint="eastAsia"/>
                      <w:color w:val="auto"/>
                      <w:sz w:val="18"/>
                      <w:szCs w:val="18"/>
                      <w:lang w:val="en-US" w:eastAsia="zh-CN"/>
                    </w:rPr>
                    <w:t>噪声</w:t>
                  </w:r>
                </w:p>
              </w:tc>
              <w:tc>
                <w:tcPr>
                  <w:tcW w:w="369" w:type="pct"/>
                  <w:vMerge w:val="restart"/>
                  <w:vAlign w:val="center"/>
                </w:tcPr>
                <w:p w14:paraId="0EC6BE5E">
                  <w:pPr>
                    <w:pStyle w:val="71"/>
                    <w:rPr>
                      <w:sz w:val="18"/>
                      <w:szCs w:val="18"/>
                      <w:lang w:eastAsia="zh-CN"/>
                    </w:rPr>
                  </w:pPr>
                  <w:r>
                    <w:rPr>
                      <w:rFonts w:hint="eastAsia"/>
                      <w:sz w:val="18"/>
                      <w:szCs w:val="18"/>
                      <w:lang w:eastAsia="zh-CN"/>
                    </w:rPr>
                    <w:t>新建</w:t>
                  </w:r>
                </w:p>
              </w:tc>
            </w:tr>
            <w:tr w14:paraId="3DDCE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tcBorders>
                    <w:left w:val="single" w:color="auto" w:sz="12" w:space="0"/>
                  </w:tcBorders>
                  <w:vAlign w:val="center"/>
                </w:tcPr>
                <w:p w14:paraId="66A7B3B5">
                  <w:pPr>
                    <w:pStyle w:val="71"/>
                    <w:rPr>
                      <w:rFonts w:asciiTheme="minorEastAsia" w:hAnsiTheme="minorEastAsia" w:eastAsiaTheme="minorEastAsia" w:cstheme="minorEastAsia"/>
                      <w:color w:val="FF0000"/>
                      <w:sz w:val="18"/>
                      <w:szCs w:val="18"/>
                      <w:lang w:eastAsia="zh-CN"/>
                    </w:rPr>
                  </w:pPr>
                </w:p>
              </w:tc>
              <w:tc>
                <w:tcPr>
                  <w:tcW w:w="386" w:type="pct"/>
                  <w:vAlign w:val="center"/>
                </w:tcPr>
                <w:p w14:paraId="3B652658">
                  <w:pPr>
                    <w:spacing w:line="0" w:lineRule="atLeast"/>
                    <w:jc w:val="center"/>
                    <w:rPr>
                      <w:rFonts w:hint="eastAsia"/>
                      <w:sz w:val="18"/>
                      <w:szCs w:val="18"/>
                      <w:lang w:eastAsia="zh-CN"/>
                    </w:rPr>
                  </w:pPr>
                  <w:r>
                    <w:rPr>
                      <w:rFonts w:hint="default" w:ascii="Times New Roman" w:hAnsi="Times New Roman" w:eastAsia="宋体" w:cs="Times New Roman"/>
                      <w:color w:val="auto"/>
                      <w:sz w:val="18"/>
                      <w:szCs w:val="18"/>
                    </w:rPr>
                    <w:t>地下水污染防治</w:t>
                  </w:r>
                </w:p>
              </w:tc>
              <w:tc>
                <w:tcPr>
                  <w:tcW w:w="2883" w:type="pct"/>
                  <w:gridSpan w:val="2"/>
                  <w:vAlign w:val="center"/>
                </w:tcPr>
                <w:p w14:paraId="7594422C">
                  <w:pPr>
                    <w:spacing w:line="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要求建设单位采取分区防渗措施防治地下水：</w:t>
                  </w:r>
                </w:p>
                <w:p w14:paraId="6DE1B83B">
                  <w:pPr>
                    <w:spacing w:line="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按照重点防渗区的要求，将危废暂存间所在区域进行重点防渗，采用高密度聚乙烯防渗层或者其他人工材料，确保其防渗技术要求达到《危险废物贮存污染控制标准》（GB18597-2001）中要求：基础必须防渗，防渗层为至少2mm厚高密度聚乙烯，或至少 2mm厚的其他人工材料，确保渗透系数≤10</w:t>
                  </w:r>
                  <w:r>
                    <w:rPr>
                      <w:rFonts w:hint="default" w:ascii="Times New Roman" w:hAnsi="Times New Roman" w:eastAsia="宋体" w:cs="Times New Roman"/>
                      <w:color w:val="auto"/>
                      <w:sz w:val="18"/>
                      <w:szCs w:val="18"/>
                      <w:vertAlign w:val="superscript"/>
                    </w:rPr>
                    <w:t>-10</w:t>
                  </w:r>
                  <w:r>
                    <w:rPr>
                      <w:rFonts w:hint="default" w:ascii="Times New Roman" w:hAnsi="Times New Roman" w:eastAsia="宋体" w:cs="Times New Roman"/>
                      <w:color w:val="auto"/>
                      <w:sz w:val="18"/>
                      <w:szCs w:val="18"/>
                    </w:rPr>
                    <w:t xml:space="preserve">cm/s。 </w:t>
                  </w:r>
                </w:p>
                <w:p w14:paraId="1AD1B60C">
                  <w:pPr>
                    <w:spacing w:line="0" w:lineRule="atLeas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b</w:t>
                  </w:r>
                  <w:r>
                    <w:rPr>
                      <w:rFonts w:hint="default" w:ascii="Times New Roman" w:hAnsi="Times New Roman" w:eastAsia="宋体" w:cs="Times New Roman"/>
                      <w:color w:val="auto"/>
                      <w:sz w:val="18"/>
                      <w:szCs w:val="18"/>
                    </w:rPr>
                    <w:t>、按照一般防渗区的要求，将沉淀池和</w:t>
                  </w:r>
                  <w:r>
                    <w:rPr>
                      <w:rFonts w:hint="eastAsia" w:ascii="Times New Roman" w:hAnsi="Times New Roman" w:cs="Times New Roman"/>
                      <w:color w:val="auto"/>
                      <w:sz w:val="18"/>
                      <w:szCs w:val="18"/>
                      <w:lang w:val="en-US" w:eastAsia="zh-CN"/>
                    </w:rPr>
                    <w:t>化粪池</w:t>
                  </w:r>
                  <w:r>
                    <w:rPr>
                      <w:rFonts w:hint="default" w:ascii="Times New Roman" w:hAnsi="Times New Roman" w:eastAsia="宋体" w:cs="Times New Roman"/>
                      <w:color w:val="auto"/>
                      <w:sz w:val="18"/>
                      <w:szCs w:val="18"/>
                    </w:rPr>
                    <w:t>进行一般防渗。防渗技术要求为等效粘土防渗层 Mb≥1.5m，K≤10</w:t>
                  </w:r>
                  <w:r>
                    <w:rPr>
                      <w:rFonts w:hint="default" w:ascii="Times New Roman" w:hAnsi="Times New Roman" w:eastAsia="宋体" w:cs="Times New Roman"/>
                      <w:color w:val="auto"/>
                      <w:sz w:val="18"/>
                      <w:szCs w:val="18"/>
                      <w:vertAlign w:val="superscript"/>
                    </w:rPr>
                    <w:t>-7</w:t>
                  </w:r>
                  <w:r>
                    <w:rPr>
                      <w:rFonts w:hint="default" w:ascii="Times New Roman" w:hAnsi="Times New Roman" w:eastAsia="宋体" w:cs="Times New Roman"/>
                      <w:color w:val="auto"/>
                      <w:sz w:val="18"/>
                      <w:szCs w:val="18"/>
                    </w:rPr>
                    <w:t xml:space="preserve">cm/s。 </w:t>
                  </w:r>
                </w:p>
                <w:p w14:paraId="2293BCA2">
                  <w:pPr>
                    <w:spacing w:line="0" w:lineRule="atLeast"/>
                    <w:rPr>
                      <w:rFonts w:hint="eastAsia" w:cs="Times New Roman"/>
                      <w:color w:val="auto"/>
                      <w:sz w:val="18"/>
                      <w:szCs w:val="18"/>
                      <w:lang w:val="en-US" w:eastAsia="zh-CN"/>
                    </w:rPr>
                  </w:pPr>
                  <w:r>
                    <w:rPr>
                      <w:rFonts w:hint="eastAsia" w:ascii="Times New Roman" w:hAnsi="Times New Roman" w:cs="Times New Roman"/>
                      <w:color w:val="auto"/>
                      <w:sz w:val="18"/>
                      <w:szCs w:val="18"/>
                      <w:lang w:val="en-US" w:eastAsia="zh-CN"/>
                    </w:rPr>
                    <w:t>c</w:t>
                  </w:r>
                  <w:r>
                    <w:rPr>
                      <w:rFonts w:hint="default" w:ascii="Times New Roman" w:hAnsi="Times New Roman" w:eastAsia="宋体" w:cs="Times New Roman"/>
                      <w:color w:val="auto"/>
                      <w:sz w:val="18"/>
                      <w:szCs w:val="18"/>
                    </w:rPr>
                    <w:t>、按照简单防渗区的要求，将</w:t>
                  </w:r>
                  <w:r>
                    <w:rPr>
                      <w:rFonts w:hint="eastAsia" w:ascii="Times New Roman" w:hAnsi="Times New Roman" w:cs="Times New Roman"/>
                      <w:color w:val="auto"/>
                      <w:sz w:val="18"/>
                      <w:szCs w:val="18"/>
                      <w:lang w:val="en-US" w:eastAsia="zh-CN"/>
                    </w:rPr>
                    <w:t>除重点防渗和一般防渗区以外地方</w:t>
                  </w:r>
                  <w:r>
                    <w:rPr>
                      <w:rFonts w:hint="default" w:ascii="Times New Roman" w:hAnsi="Times New Roman" w:eastAsia="宋体" w:cs="Times New Roman"/>
                      <w:color w:val="auto"/>
                      <w:sz w:val="18"/>
                      <w:szCs w:val="18"/>
                    </w:rPr>
                    <w:t>进行一般地面硬化。</w:t>
                  </w:r>
                </w:p>
              </w:tc>
              <w:tc>
                <w:tcPr>
                  <w:tcW w:w="496" w:type="pct"/>
                  <w:vAlign w:val="center"/>
                </w:tcPr>
                <w:p w14:paraId="55B42B65">
                  <w:pPr>
                    <w:pStyle w:val="71"/>
                    <w:rPr>
                      <w:rFonts w:hint="eastAsia"/>
                      <w:color w:val="auto"/>
                      <w:sz w:val="18"/>
                      <w:szCs w:val="18"/>
                      <w:lang w:eastAsia="zh-CN"/>
                    </w:rPr>
                  </w:pPr>
                </w:p>
              </w:tc>
              <w:tc>
                <w:tcPr>
                  <w:tcW w:w="483" w:type="pct"/>
                  <w:vAlign w:val="center"/>
                </w:tcPr>
                <w:p w14:paraId="3932457E">
                  <w:pPr>
                    <w:pStyle w:val="71"/>
                    <w:rPr>
                      <w:rFonts w:hint="default"/>
                      <w:color w:val="auto"/>
                      <w:sz w:val="18"/>
                      <w:szCs w:val="18"/>
                      <w:lang w:val="en-US" w:eastAsia="zh-CN"/>
                    </w:rPr>
                  </w:pPr>
                  <w:r>
                    <w:rPr>
                      <w:rFonts w:hint="eastAsia"/>
                      <w:color w:val="auto"/>
                      <w:sz w:val="18"/>
                      <w:szCs w:val="18"/>
                      <w:lang w:val="en-US" w:eastAsia="zh-CN"/>
                    </w:rPr>
                    <w:t>/</w:t>
                  </w:r>
                </w:p>
              </w:tc>
              <w:tc>
                <w:tcPr>
                  <w:tcW w:w="369" w:type="pct"/>
                  <w:vMerge w:val="continue"/>
                  <w:vAlign w:val="center"/>
                </w:tcPr>
                <w:p w14:paraId="572C84D2">
                  <w:pPr>
                    <w:pStyle w:val="71"/>
                    <w:rPr>
                      <w:rFonts w:hint="eastAsia"/>
                      <w:sz w:val="18"/>
                      <w:szCs w:val="18"/>
                      <w:lang w:eastAsia="zh-CN"/>
                    </w:rPr>
                  </w:pPr>
                </w:p>
              </w:tc>
            </w:tr>
          </w:tbl>
          <w:p w14:paraId="68514A22">
            <w:pPr>
              <w:pStyle w:val="27"/>
              <w:rPr>
                <w:rFonts w:hint="default"/>
              </w:rPr>
            </w:pPr>
          </w:p>
          <w:p w14:paraId="41C84718">
            <w:pPr>
              <w:spacing w:line="360" w:lineRule="auto"/>
              <w:rPr>
                <w:rFonts w:hint="default" w:ascii="Times New Roman" w:hAnsi="Times New Roman" w:eastAsia="宋体" w:cs="Times New Roman"/>
                <w:b/>
                <w:bCs/>
                <w:color w:val="auto"/>
                <w:sz w:val="28"/>
                <w:szCs w:val="28"/>
              </w:rPr>
            </w:pPr>
            <w:r>
              <w:rPr>
                <w:rFonts w:hint="default" w:ascii="Times New Roman" w:hAnsi="Times New Roman" w:cs="Times New Roman"/>
                <w:b/>
                <w:bCs/>
                <w:color w:val="auto"/>
                <w:sz w:val="28"/>
                <w:szCs w:val="28"/>
                <w:lang w:val="en-US" w:eastAsia="zh-CN"/>
              </w:rPr>
              <w:t>八</w:t>
            </w:r>
            <w:r>
              <w:rPr>
                <w:rFonts w:hint="default" w:ascii="Times New Roman" w:hAnsi="Times New Roman" w:eastAsia="宋体" w:cs="Times New Roman"/>
                <w:b/>
                <w:bCs/>
                <w:color w:val="auto"/>
                <w:sz w:val="28"/>
                <w:szCs w:val="28"/>
              </w:rPr>
              <w:t>、平面布置合理性分析</w:t>
            </w:r>
          </w:p>
          <w:p w14:paraId="3D867EF5">
            <w:pPr>
              <w:snapToGrid w:val="0"/>
              <w:spacing w:line="360" w:lineRule="auto"/>
              <w:ind w:firstLine="573"/>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1.总平面布置合理性分析</w:t>
            </w:r>
          </w:p>
          <w:p w14:paraId="48B8C5BE">
            <w:pPr>
              <w:snapToGrid w:val="0"/>
              <w:spacing w:line="360" w:lineRule="auto"/>
              <w:ind w:firstLine="573"/>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本项目位于</w:t>
            </w:r>
            <w:r>
              <w:rPr>
                <w:rFonts w:hint="eastAsia" w:cs="Times New Roman"/>
                <w:b w:val="0"/>
                <w:bCs w:val="0"/>
                <w:color w:val="auto"/>
                <w:sz w:val="24"/>
                <w:szCs w:val="24"/>
                <w:lang w:val="en-US" w:eastAsia="zh-CN"/>
              </w:rPr>
              <w:t>蓬溪县蓬南镇长乐村3社</w:t>
            </w:r>
            <w:r>
              <w:rPr>
                <w:rFonts w:hint="default" w:ascii="Times New Roman" w:hAnsi="Times New Roman" w:eastAsia="宋体" w:cs="Times New Roman"/>
                <w:b w:val="0"/>
                <w:bCs w:val="0"/>
                <w:color w:val="auto"/>
                <w:sz w:val="24"/>
                <w:szCs w:val="24"/>
              </w:rPr>
              <w:t>，项目地块</w:t>
            </w:r>
            <w:r>
              <w:rPr>
                <w:rFonts w:hint="default" w:ascii="Times New Roman" w:hAnsi="Times New Roman" w:cs="Times New Roman"/>
                <w:b w:val="0"/>
                <w:bCs w:val="0"/>
                <w:color w:val="auto"/>
                <w:sz w:val="24"/>
                <w:szCs w:val="24"/>
                <w:lang w:val="en-US" w:eastAsia="zh-CN"/>
              </w:rPr>
              <w:t>大致</w:t>
            </w:r>
            <w:r>
              <w:rPr>
                <w:rFonts w:hint="default" w:ascii="Times New Roman" w:hAnsi="Times New Roman" w:eastAsia="宋体" w:cs="Times New Roman"/>
                <w:b w:val="0"/>
                <w:bCs w:val="0"/>
                <w:color w:val="auto"/>
                <w:sz w:val="24"/>
                <w:szCs w:val="24"/>
              </w:rPr>
              <w:t>呈矩形，厂区布局主要为</w:t>
            </w:r>
            <w:r>
              <w:rPr>
                <w:rFonts w:hint="eastAsia" w:cs="Times New Roman"/>
                <w:b w:val="0"/>
                <w:bCs w:val="0"/>
                <w:color w:val="auto"/>
                <w:sz w:val="24"/>
                <w:szCs w:val="24"/>
                <w:lang w:val="en-US" w:eastAsia="zh-CN"/>
              </w:rPr>
              <w:t>南北</w:t>
            </w:r>
            <w:r>
              <w:rPr>
                <w:rFonts w:hint="default" w:ascii="Times New Roman" w:hAnsi="Times New Roman" w:eastAsia="宋体" w:cs="Times New Roman"/>
                <w:b w:val="0"/>
                <w:bCs w:val="0"/>
                <w:color w:val="auto"/>
                <w:sz w:val="24"/>
                <w:szCs w:val="24"/>
              </w:rPr>
              <w:t>走向，</w:t>
            </w:r>
            <w:r>
              <w:rPr>
                <w:rFonts w:hint="eastAsia" w:cs="Times New Roman"/>
                <w:b w:val="0"/>
                <w:bCs w:val="0"/>
                <w:color w:val="auto"/>
                <w:sz w:val="24"/>
                <w:szCs w:val="24"/>
                <w:lang w:val="en-US" w:eastAsia="zh-CN"/>
              </w:rPr>
              <w:t>北侧为生产区、南侧为成品堆放区和办公停车区；</w:t>
            </w:r>
            <w:r>
              <w:rPr>
                <w:rFonts w:hint="default" w:ascii="Times New Roman" w:hAnsi="Times New Roman" w:eastAsia="宋体" w:cs="Times New Roman"/>
                <w:b w:val="0"/>
                <w:bCs w:val="0"/>
                <w:color w:val="auto"/>
                <w:sz w:val="24"/>
                <w:szCs w:val="24"/>
              </w:rPr>
              <w:t>厂区</w:t>
            </w:r>
            <w:r>
              <w:rPr>
                <w:rFonts w:hint="eastAsia" w:cs="Times New Roman"/>
                <w:b w:val="0"/>
                <w:bCs w:val="0"/>
                <w:color w:val="auto"/>
                <w:sz w:val="24"/>
                <w:szCs w:val="24"/>
                <w:lang w:val="en-US" w:eastAsia="zh-CN"/>
              </w:rPr>
              <w:t>北侧</w:t>
            </w:r>
            <w:r>
              <w:rPr>
                <w:rFonts w:hint="default" w:ascii="Times New Roman" w:hAnsi="Times New Roman" w:eastAsia="宋体" w:cs="Times New Roman"/>
                <w:b w:val="0"/>
                <w:bCs w:val="0"/>
                <w:color w:val="auto"/>
                <w:sz w:val="24"/>
                <w:szCs w:val="24"/>
              </w:rPr>
              <w:t>由</w:t>
            </w:r>
            <w:r>
              <w:rPr>
                <w:rFonts w:hint="eastAsia" w:cs="Times New Roman"/>
                <w:b w:val="0"/>
                <w:bCs w:val="0"/>
                <w:color w:val="auto"/>
                <w:sz w:val="24"/>
                <w:szCs w:val="24"/>
                <w:lang w:val="en-US" w:eastAsia="zh-CN"/>
              </w:rPr>
              <w:t>西</w:t>
            </w:r>
            <w:r>
              <w:rPr>
                <w:rFonts w:hint="default" w:ascii="Times New Roman" w:hAnsi="Times New Roman" w:eastAsia="宋体" w:cs="Times New Roman"/>
                <w:b w:val="0"/>
                <w:bCs w:val="0"/>
                <w:color w:val="auto"/>
                <w:sz w:val="24"/>
                <w:szCs w:val="24"/>
              </w:rPr>
              <w:t>向</w:t>
            </w:r>
            <w:r>
              <w:rPr>
                <w:rFonts w:hint="eastAsia" w:cs="Times New Roman"/>
                <w:b w:val="0"/>
                <w:bCs w:val="0"/>
                <w:color w:val="auto"/>
                <w:sz w:val="24"/>
                <w:szCs w:val="24"/>
                <w:lang w:val="en-US" w:eastAsia="zh-CN"/>
              </w:rPr>
              <w:t>东</w:t>
            </w:r>
            <w:r>
              <w:rPr>
                <w:rFonts w:hint="default" w:ascii="Times New Roman" w:hAnsi="Times New Roman" w:eastAsia="宋体" w:cs="Times New Roman"/>
                <w:b w:val="0"/>
                <w:bCs w:val="0"/>
                <w:color w:val="auto"/>
                <w:sz w:val="24"/>
                <w:szCs w:val="24"/>
              </w:rPr>
              <w:t>依次布设</w:t>
            </w:r>
            <w:r>
              <w:rPr>
                <w:rFonts w:hint="eastAsia" w:cs="Times New Roman"/>
                <w:b w:val="0"/>
                <w:bCs w:val="0"/>
                <w:color w:val="auto"/>
                <w:sz w:val="24"/>
                <w:szCs w:val="24"/>
                <w:lang w:val="en-US" w:eastAsia="zh-CN"/>
              </w:rPr>
              <w:t>砂石骨料库房、</w:t>
            </w:r>
            <w:r>
              <w:rPr>
                <w:rFonts w:hint="default" w:ascii="Times New Roman" w:hAnsi="Times New Roman" w:eastAsia="宋体" w:cs="Times New Roman"/>
                <w:b w:val="0"/>
                <w:bCs w:val="0"/>
                <w:color w:val="auto"/>
                <w:sz w:val="24"/>
                <w:szCs w:val="24"/>
              </w:rPr>
              <w:t>生产车间</w:t>
            </w: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厂区南侧</w:t>
            </w:r>
            <w:r>
              <w:rPr>
                <w:rFonts w:hint="default" w:ascii="Times New Roman" w:hAnsi="Times New Roman" w:eastAsia="宋体" w:cs="Times New Roman"/>
                <w:b w:val="0"/>
                <w:bCs w:val="0"/>
                <w:color w:val="auto"/>
                <w:sz w:val="24"/>
                <w:szCs w:val="24"/>
              </w:rPr>
              <w:t>由</w:t>
            </w:r>
            <w:r>
              <w:rPr>
                <w:rFonts w:hint="eastAsia" w:cs="Times New Roman"/>
                <w:b w:val="0"/>
                <w:bCs w:val="0"/>
                <w:color w:val="auto"/>
                <w:sz w:val="24"/>
                <w:szCs w:val="24"/>
                <w:lang w:val="en-US" w:eastAsia="zh-CN"/>
              </w:rPr>
              <w:t>西</w:t>
            </w:r>
            <w:r>
              <w:rPr>
                <w:rFonts w:hint="default" w:ascii="Times New Roman" w:hAnsi="Times New Roman" w:eastAsia="宋体" w:cs="Times New Roman"/>
                <w:b w:val="0"/>
                <w:bCs w:val="0"/>
                <w:color w:val="auto"/>
                <w:sz w:val="24"/>
                <w:szCs w:val="24"/>
              </w:rPr>
              <w:t>向</w:t>
            </w:r>
            <w:r>
              <w:rPr>
                <w:rFonts w:hint="eastAsia" w:cs="Times New Roman"/>
                <w:b w:val="0"/>
                <w:bCs w:val="0"/>
                <w:color w:val="auto"/>
                <w:sz w:val="24"/>
                <w:szCs w:val="24"/>
                <w:lang w:val="en-US" w:eastAsia="zh-CN"/>
              </w:rPr>
              <w:t>东</w:t>
            </w:r>
            <w:r>
              <w:rPr>
                <w:rFonts w:hint="default" w:ascii="Times New Roman" w:hAnsi="Times New Roman" w:eastAsia="宋体" w:cs="Times New Roman"/>
                <w:b w:val="0"/>
                <w:bCs w:val="0"/>
                <w:color w:val="auto"/>
                <w:sz w:val="24"/>
                <w:szCs w:val="24"/>
              </w:rPr>
              <w:t>依次布设</w:t>
            </w:r>
            <w:r>
              <w:rPr>
                <w:rFonts w:hint="eastAsia" w:ascii="Times New Roman" w:hAnsi="Times New Roman" w:cs="Times New Roman"/>
                <w:b w:val="0"/>
                <w:bCs w:val="0"/>
                <w:color w:val="auto"/>
                <w:sz w:val="24"/>
                <w:szCs w:val="24"/>
                <w:lang w:val="en-US" w:eastAsia="zh-CN"/>
              </w:rPr>
              <w:t>成品养护区、停车区、办公区</w:t>
            </w:r>
            <w:r>
              <w:rPr>
                <w:rFonts w:hint="default" w:ascii="Times New Roman" w:hAnsi="Times New Roman" w:eastAsia="宋体" w:cs="Times New Roman"/>
                <w:b w:val="0"/>
                <w:bCs w:val="0"/>
                <w:color w:val="auto"/>
                <w:sz w:val="24"/>
                <w:szCs w:val="24"/>
              </w:rPr>
              <w:t>。原辅材料及成品运输出口位于厂房</w:t>
            </w:r>
            <w:r>
              <w:rPr>
                <w:rFonts w:hint="eastAsia" w:cs="Times New Roman"/>
                <w:b w:val="0"/>
                <w:bCs w:val="0"/>
                <w:color w:val="auto"/>
                <w:sz w:val="24"/>
                <w:szCs w:val="24"/>
                <w:lang w:val="en-US" w:eastAsia="zh-CN"/>
              </w:rPr>
              <w:t>西南</w:t>
            </w:r>
            <w:r>
              <w:rPr>
                <w:rFonts w:hint="default" w:ascii="Times New Roman" w:hAnsi="Times New Roman" w:eastAsia="宋体" w:cs="Times New Roman"/>
                <w:b w:val="0"/>
                <w:bCs w:val="0"/>
                <w:color w:val="auto"/>
                <w:sz w:val="24"/>
                <w:szCs w:val="24"/>
              </w:rPr>
              <w:t>侧，便于项目原辅材料和成品的运进运出。本项目将生产厂房</w:t>
            </w:r>
            <w:r>
              <w:rPr>
                <w:rFonts w:hint="default" w:ascii="Times New Roman" w:hAnsi="Times New Roman" w:cs="Times New Roman"/>
                <w:b w:val="0"/>
                <w:bCs w:val="0"/>
                <w:color w:val="auto"/>
                <w:sz w:val="24"/>
                <w:szCs w:val="24"/>
                <w:lang w:val="en-US" w:eastAsia="zh-CN"/>
              </w:rPr>
              <w:t>布置于厂区北部</w:t>
            </w:r>
            <w:r>
              <w:rPr>
                <w:rFonts w:hint="default" w:ascii="Times New Roman" w:hAnsi="Times New Roman" w:eastAsia="宋体"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且</w:t>
            </w:r>
            <w:r>
              <w:rPr>
                <w:rFonts w:hint="default" w:ascii="Times New Roman" w:hAnsi="Times New Roman" w:eastAsia="宋体" w:cs="Times New Roman"/>
                <w:b w:val="0"/>
                <w:bCs w:val="0"/>
                <w:color w:val="auto"/>
                <w:sz w:val="24"/>
                <w:szCs w:val="24"/>
              </w:rPr>
              <w:t>厂房为密闭（生产过程中厂房大门关闭）结构，可以在一定程度上减轻生产期间产生的粉尘对周边环境</w:t>
            </w:r>
            <w:r>
              <w:rPr>
                <w:rFonts w:hint="default" w:ascii="Times New Roman" w:hAnsi="Times New Roman" w:cs="Times New Roman"/>
                <w:b w:val="0"/>
                <w:bCs w:val="0"/>
                <w:color w:val="auto"/>
                <w:sz w:val="24"/>
                <w:szCs w:val="24"/>
                <w:lang w:val="en-US" w:eastAsia="zh-CN"/>
              </w:rPr>
              <w:t>特别是南侧环境敏感点</w:t>
            </w:r>
            <w:r>
              <w:rPr>
                <w:rFonts w:hint="default" w:ascii="Times New Roman" w:hAnsi="Times New Roman" w:eastAsia="宋体" w:cs="Times New Roman"/>
                <w:b w:val="0"/>
                <w:bCs w:val="0"/>
                <w:color w:val="auto"/>
                <w:sz w:val="24"/>
                <w:szCs w:val="24"/>
              </w:rPr>
              <w:t>的影响。</w:t>
            </w:r>
          </w:p>
          <w:p w14:paraId="4F690E92">
            <w:pPr>
              <w:snapToGrid w:val="0"/>
              <w:spacing w:line="360" w:lineRule="auto"/>
              <w:ind w:firstLine="573"/>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2.环保设施布局合理性分析</w:t>
            </w:r>
          </w:p>
          <w:p w14:paraId="194CAE79">
            <w:pPr>
              <w:snapToGrid w:val="0"/>
              <w:spacing w:line="360" w:lineRule="auto"/>
              <w:ind w:firstLine="573"/>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根据本项目的特点，其生产过程中产生的主要污染物为噪声及粉尘。本项目厂房为密闭（生产过程中厂房大门关闭）结构，生产厂房</w:t>
            </w:r>
            <w:r>
              <w:rPr>
                <w:rFonts w:hint="default" w:ascii="Times New Roman" w:hAnsi="Times New Roman" w:cs="Times New Roman"/>
                <w:b w:val="0"/>
                <w:bCs w:val="0"/>
                <w:color w:val="auto"/>
                <w:sz w:val="24"/>
                <w:szCs w:val="24"/>
                <w:lang w:val="en-US" w:eastAsia="zh-CN"/>
              </w:rPr>
              <w:t>置于厂区北部</w:t>
            </w:r>
            <w:r>
              <w:rPr>
                <w:rFonts w:hint="default" w:ascii="Times New Roman" w:hAnsi="Times New Roman" w:eastAsia="宋体"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并将</w:t>
            </w:r>
            <w:r>
              <w:rPr>
                <w:rFonts w:hint="default" w:ascii="Times New Roman" w:hAnsi="Times New Roman" w:eastAsia="宋体" w:cs="Times New Roman"/>
                <w:b w:val="0"/>
                <w:bCs w:val="0"/>
                <w:color w:val="auto"/>
                <w:sz w:val="24"/>
                <w:szCs w:val="24"/>
              </w:rPr>
              <w:t>生产设备</w:t>
            </w:r>
            <w:r>
              <w:rPr>
                <w:rFonts w:hint="default" w:ascii="Times New Roman" w:hAnsi="Times New Roman" w:cs="Times New Roman"/>
                <w:b w:val="0"/>
                <w:bCs w:val="0"/>
                <w:color w:val="auto"/>
                <w:sz w:val="24"/>
                <w:szCs w:val="24"/>
                <w:lang w:val="en-US" w:eastAsia="zh-CN"/>
              </w:rPr>
              <w:t>尽可能</w:t>
            </w:r>
            <w:r>
              <w:rPr>
                <w:rFonts w:hint="default" w:ascii="Times New Roman" w:hAnsi="Times New Roman" w:eastAsia="宋体" w:cs="Times New Roman"/>
                <w:b w:val="0"/>
                <w:bCs w:val="0"/>
                <w:color w:val="auto"/>
                <w:sz w:val="24"/>
                <w:szCs w:val="24"/>
              </w:rPr>
              <w:t>布设于生产</w:t>
            </w:r>
            <w:r>
              <w:rPr>
                <w:rFonts w:hint="default" w:ascii="Times New Roman" w:hAnsi="Times New Roman" w:cs="Times New Roman"/>
                <w:b w:val="0"/>
                <w:bCs w:val="0"/>
                <w:color w:val="auto"/>
                <w:sz w:val="24"/>
                <w:szCs w:val="24"/>
                <w:lang w:val="en-US" w:eastAsia="zh-CN"/>
              </w:rPr>
              <w:t>厂房</w:t>
            </w:r>
            <w:r>
              <w:rPr>
                <w:rFonts w:hint="default" w:ascii="Times New Roman" w:hAnsi="Times New Roman" w:eastAsia="宋体" w:cs="Times New Roman"/>
                <w:b w:val="0"/>
                <w:bCs w:val="0"/>
                <w:color w:val="auto"/>
                <w:sz w:val="24"/>
                <w:szCs w:val="24"/>
              </w:rPr>
              <w:t>中部，远离附近</w:t>
            </w:r>
            <w:r>
              <w:rPr>
                <w:rFonts w:hint="default" w:ascii="Times New Roman" w:hAnsi="Times New Roman" w:cs="Times New Roman"/>
                <w:b w:val="0"/>
                <w:bCs w:val="0"/>
                <w:color w:val="auto"/>
                <w:sz w:val="24"/>
                <w:szCs w:val="24"/>
                <w:lang w:val="en-US" w:eastAsia="zh-CN"/>
              </w:rPr>
              <w:t>环境敏感点</w:t>
            </w:r>
            <w:r>
              <w:rPr>
                <w:rFonts w:hint="default" w:ascii="Times New Roman" w:hAnsi="Times New Roman" w:eastAsia="宋体" w:cs="Times New Roman"/>
                <w:b w:val="0"/>
                <w:bCs w:val="0"/>
                <w:color w:val="auto"/>
                <w:sz w:val="24"/>
                <w:szCs w:val="24"/>
              </w:rPr>
              <w:t>。本项目机械设备底座安装减震垫，利用本项目厂房及厂区外部绿植使噪声受到不同程度的隔绝和吸收，做到尽可能屏蔽声源，减少对环境的影响。经预测可知，通过总平面合理布置，加上隔声、减震、距离衰减等措施，厂界噪声和敏感点噪声均能达标排放。</w:t>
            </w:r>
          </w:p>
          <w:p w14:paraId="45A3509A">
            <w:pPr>
              <w:snapToGrid w:val="0"/>
              <w:spacing w:line="360" w:lineRule="auto"/>
              <w:ind w:firstLine="573"/>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本项目以</w:t>
            </w:r>
            <w:r>
              <w:rPr>
                <w:rFonts w:hint="eastAsia" w:cs="Times New Roman"/>
                <w:b w:val="0"/>
                <w:bCs w:val="0"/>
                <w:color w:val="auto"/>
                <w:sz w:val="24"/>
                <w:szCs w:val="24"/>
                <w:lang w:val="en-US" w:eastAsia="zh-CN"/>
              </w:rPr>
              <w:t>生产车间和砂石骨料库房边界</w:t>
            </w:r>
            <w:r>
              <w:rPr>
                <w:rFonts w:hint="default" w:ascii="Times New Roman" w:hAnsi="Times New Roman" w:eastAsia="宋体" w:cs="Times New Roman"/>
                <w:b w:val="0"/>
                <w:bCs w:val="0"/>
                <w:color w:val="auto"/>
                <w:sz w:val="24"/>
                <w:szCs w:val="24"/>
              </w:rPr>
              <w:t>为起点，设置50m卫生防护距离。其中在50m卫生防护距离范围内无住户</w:t>
            </w:r>
            <w:r>
              <w:rPr>
                <w:rFonts w:hint="default" w:ascii="Times New Roman" w:hAnsi="Times New Roman" w:cs="Times New Roman"/>
                <w:b w:val="0"/>
                <w:bCs w:val="0"/>
                <w:color w:val="auto"/>
                <w:sz w:val="24"/>
                <w:szCs w:val="24"/>
                <w:lang w:eastAsia="zh-CN"/>
              </w:rPr>
              <w:t>（</w:t>
            </w:r>
            <w:r>
              <w:rPr>
                <w:rFonts w:hint="eastAsia" w:ascii="宋体" w:hAnsi="宋体" w:cs="宋体"/>
                <w:color w:val="auto"/>
                <w:sz w:val="24"/>
                <w:lang w:val="en-US" w:eastAsia="zh-CN"/>
              </w:rPr>
              <w:t>南侧2户居民，西南侧1户居民，</w:t>
            </w:r>
            <w:r>
              <w:rPr>
                <w:rFonts w:hint="default" w:ascii="Times New Roman" w:hAnsi="Times New Roman" w:cs="Times New Roman"/>
                <w:b w:val="0"/>
                <w:bCs w:val="0"/>
                <w:color w:val="auto"/>
                <w:sz w:val="24"/>
                <w:szCs w:val="24"/>
                <w:lang w:val="en-US" w:eastAsia="zh-CN"/>
              </w:rPr>
              <w:t>业主单位已将其租用为办公用房，详见《租房协议书》</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。因此，本项目在采取了严格的降尘措施后，粉尘排放不会对外环境造成明显的环境影响。本项目四周进行了绿化，既可美化周边环境，又能有效地吸附粉尘，降低生产过程中产生的污染。</w:t>
            </w:r>
          </w:p>
          <w:p w14:paraId="620B2193">
            <w:pPr>
              <w:snapToGrid w:val="0"/>
              <w:spacing w:line="360" w:lineRule="auto"/>
              <w:ind w:firstLine="573"/>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因此，本项目平面布置合理。</w:t>
            </w:r>
          </w:p>
          <w:p w14:paraId="5F73DFC6">
            <w:pPr>
              <w:spacing w:line="360" w:lineRule="auto"/>
              <w:rPr>
                <w:rFonts w:hint="default" w:ascii="Times New Roman" w:hAnsi="Times New Roman" w:eastAsia="宋体" w:cs="Times New Roman"/>
                <w:b/>
                <w:bCs/>
                <w:color w:val="auto"/>
                <w:sz w:val="28"/>
                <w:szCs w:val="28"/>
              </w:rPr>
            </w:pPr>
            <w:r>
              <w:rPr>
                <w:rFonts w:hint="default" w:ascii="Times New Roman" w:hAnsi="Times New Roman" w:cs="Times New Roman"/>
                <w:b/>
                <w:bCs/>
                <w:color w:val="auto"/>
                <w:sz w:val="28"/>
                <w:szCs w:val="28"/>
                <w:lang w:val="en-US" w:eastAsia="zh-CN"/>
              </w:rPr>
              <w:t>九</w:t>
            </w:r>
            <w:r>
              <w:rPr>
                <w:rFonts w:hint="default" w:ascii="Times New Roman" w:hAnsi="Times New Roman" w:eastAsia="宋体" w:cs="Times New Roman"/>
                <w:b/>
                <w:bCs/>
                <w:color w:val="auto"/>
                <w:sz w:val="28"/>
                <w:szCs w:val="28"/>
              </w:rPr>
              <w:t>、主要原辅材料及设备</w:t>
            </w:r>
          </w:p>
          <w:p w14:paraId="60B7C6FB">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1、原辅材料及能耗</w:t>
            </w:r>
          </w:p>
          <w:p w14:paraId="4FC01E71">
            <w:pPr>
              <w:spacing w:line="360" w:lineRule="auto"/>
              <w:ind w:firstLine="480" w:firstLineChars="200"/>
              <w:jc w:val="both"/>
              <w:rPr>
                <w:rFonts w:hint="default"/>
                <w:sz w:val="24"/>
                <w:szCs w:val="24"/>
              </w:rPr>
            </w:pPr>
            <w:r>
              <w:rPr>
                <w:rFonts w:hint="default" w:ascii="Times New Roman" w:hAnsi="Times New Roman" w:eastAsia="宋体" w:cs="Times New Roman"/>
                <w:color w:val="auto"/>
                <w:sz w:val="24"/>
                <w:szCs w:val="24"/>
              </w:rPr>
              <w:t>本项目车辆主要为外来车辆，不在厂区内进行车辆维护保养。</w:t>
            </w:r>
            <w:r>
              <w:rPr>
                <w:rFonts w:hint="eastAsia" w:cs="Times New Roman"/>
                <w:color w:val="auto"/>
                <w:sz w:val="24"/>
                <w:szCs w:val="24"/>
                <w:lang w:val="en-US" w:eastAsia="zh-CN"/>
              </w:rPr>
              <w:t>叉车</w:t>
            </w:r>
            <w:r>
              <w:rPr>
                <w:rFonts w:hint="default" w:ascii="Times New Roman" w:hAnsi="Times New Roman" w:eastAsia="宋体" w:cs="Times New Roman"/>
                <w:color w:val="auto"/>
                <w:sz w:val="24"/>
                <w:szCs w:val="24"/>
              </w:rPr>
              <w:t>由</w:t>
            </w:r>
            <w:r>
              <w:rPr>
                <w:rFonts w:hint="eastAsia" w:cs="Times New Roman"/>
                <w:color w:val="auto"/>
                <w:sz w:val="24"/>
                <w:szCs w:val="24"/>
                <w:lang w:val="en-US" w:eastAsia="zh-CN"/>
              </w:rPr>
              <w:t>外部汽修厂</w:t>
            </w:r>
            <w:r>
              <w:rPr>
                <w:rFonts w:hint="default" w:ascii="Times New Roman" w:hAnsi="Times New Roman" w:eastAsia="宋体" w:cs="Times New Roman"/>
                <w:color w:val="auto"/>
                <w:sz w:val="24"/>
                <w:szCs w:val="24"/>
              </w:rPr>
              <w:t>进行维护保养，且</w:t>
            </w:r>
            <w:r>
              <w:rPr>
                <w:rFonts w:hint="eastAsia" w:cs="Times New Roman"/>
                <w:color w:val="auto"/>
                <w:sz w:val="24"/>
                <w:szCs w:val="24"/>
                <w:lang w:val="en-US" w:eastAsia="zh-CN"/>
              </w:rPr>
              <w:t>叉车</w:t>
            </w:r>
            <w:r>
              <w:rPr>
                <w:rFonts w:hint="default" w:ascii="Times New Roman" w:hAnsi="Times New Roman" w:eastAsia="宋体" w:cs="Times New Roman"/>
                <w:color w:val="auto"/>
                <w:sz w:val="24"/>
                <w:szCs w:val="24"/>
              </w:rPr>
              <w:t>均在加油站加油。</w:t>
            </w:r>
            <w:r>
              <w:rPr>
                <w:rFonts w:hint="default"/>
                <w:sz w:val="24"/>
                <w:szCs w:val="24"/>
              </w:rPr>
              <w:t>本项目生产所需的原料均为周边区域购买，通过汽运送至厂区，原辅材料、燃料、动力及来源见表见下表。</w:t>
            </w:r>
          </w:p>
          <w:p w14:paraId="1E4E2D5B">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表1-</w:t>
            </w:r>
            <w:r>
              <w:rPr>
                <w:rFonts w:hint="eastAsia" w:cs="Times New Roman"/>
                <w:b/>
                <w:bCs/>
                <w:color w:val="auto"/>
                <w:szCs w:val="21"/>
                <w:lang w:val="en-US" w:eastAsia="zh-CN"/>
              </w:rPr>
              <w:t>13</w:t>
            </w:r>
            <w:r>
              <w:rPr>
                <w:rFonts w:hint="default" w:ascii="Times New Roman" w:hAnsi="Times New Roman" w:eastAsia="宋体" w:cs="Times New Roman"/>
                <w:b/>
                <w:bCs/>
                <w:color w:val="auto"/>
                <w:szCs w:val="21"/>
              </w:rPr>
              <w:t xml:space="preserve">  主要原辅材料及能耗</w:t>
            </w:r>
          </w:p>
          <w:tbl>
            <w:tblPr>
              <w:tblStyle w:val="22"/>
              <w:tblW w:w="99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664"/>
              <w:gridCol w:w="1536"/>
              <w:gridCol w:w="1791"/>
              <w:gridCol w:w="1791"/>
              <w:gridCol w:w="2544"/>
            </w:tblGrid>
            <w:tr w14:paraId="17073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1AA0B082">
                  <w:pPr>
                    <w:pStyle w:val="71"/>
                    <w:rPr>
                      <w:lang w:eastAsia="zh-CN"/>
                    </w:rPr>
                  </w:pPr>
                  <w:r>
                    <w:rPr>
                      <w:lang w:eastAsia="zh-CN"/>
                    </w:rPr>
                    <w:t>序号</w:t>
                  </w:r>
                </w:p>
              </w:tc>
              <w:tc>
                <w:tcPr>
                  <w:tcW w:w="1664" w:type="dxa"/>
                  <w:vAlign w:val="center"/>
                </w:tcPr>
                <w:p w14:paraId="3B280D04">
                  <w:pPr>
                    <w:pStyle w:val="71"/>
                    <w:rPr>
                      <w:lang w:eastAsia="zh-CN"/>
                    </w:rPr>
                  </w:pPr>
                  <w:r>
                    <w:rPr>
                      <w:lang w:eastAsia="zh-CN"/>
                    </w:rPr>
                    <w:t>材料名称</w:t>
                  </w:r>
                </w:p>
              </w:tc>
              <w:tc>
                <w:tcPr>
                  <w:tcW w:w="1536" w:type="dxa"/>
                  <w:vAlign w:val="center"/>
                </w:tcPr>
                <w:p w14:paraId="7D6FBBF7">
                  <w:pPr>
                    <w:pStyle w:val="71"/>
                    <w:rPr>
                      <w:lang w:eastAsia="zh-CN"/>
                    </w:rPr>
                  </w:pPr>
                  <w:r>
                    <w:rPr>
                      <w:rFonts w:hint="eastAsia"/>
                      <w:lang w:eastAsia="zh-CN"/>
                    </w:rPr>
                    <w:t>年使用量</w:t>
                  </w:r>
                </w:p>
              </w:tc>
              <w:tc>
                <w:tcPr>
                  <w:tcW w:w="1791" w:type="dxa"/>
                  <w:vAlign w:val="center"/>
                </w:tcPr>
                <w:p w14:paraId="7318BDAE">
                  <w:pPr>
                    <w:pStyle w:val="71"/>
                    <w:rPr>
                      <w:rFonts w:hint="default"/>
                      <w:lang w:val="en-US" w:eastAsia="zh-CN"/>
                    </w:rPr>
                  </w:pPr>
                  <w:r>
                    <w:rPr>
                      <w:rFonts w:hint="eastAsia"/>
                      <w:lang w:val="en-US" w:eastAsia="zh-CN"/>
                    </w:rPr>
                    <w:t>最大储存量</w:t>
                  </w:r>
                </w:p>
              </w:tc>
              <w:tc>
                <w:tcPr>
                  <w:tcW w:w="1791" w:type="dxa"/>
                  <w:vAlign w:val="center"/>
                </w:tcPr>
                <w:p w14:paraId="4A26B4B8">
                  <w:pPr>
                    <w:pStyle w:val="71"/>
                    <w:rPr>
                      <w:lang w:eastAsia="zh-CN"/>
                    </w:rPr>
                  </w:pPr>
                  <w:r>
                    <w:rPr>
                      <w:rFonts w:hint="eastAsia"/>
                      <w:lang w:eastAsia="zh-CN"/>
                    </w:rPr>
                    <w:t>原料来源</w:t>
                  </w:r>
                </w:p>
              </w:tc>
              <w:tc>
                <w:tcPr>
                  <w:tcW w:w="2544" w:type="dxa"/>
                  <w:vAlign w:val="center"/>
                </w:tcPr>
                <w:p w14:paraId="410C6936">
                  <w:pPr>
                    <w:pStyle w:val="71"/>
                    <w:rPr>
                      <w:lang w:eastAsia="zh-CN"/>
                    </w:rPr>
                  </w:pPr>
                  <w:r>
                    <w:rPr>
                      <w:rFonts w:hint="eastAsia"/>
                      <w:lang w:eastAsia="zh-CN"/>
                    </w:rPr>
                    <w:t>备注</w:t>
                  </w:r>
                </w:p>
              </w:tc>
            </w:tr>
            <w:tr w14:paraId="6BBCE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2" w:type="dxa"/>
                  <w:gridSpan w:val="6"/>
                  <w:vAlign w:val="center"/>
                </w:tcPr>
                <w:p w14:paraId="25DD5C5D">
                  <w:pPr>
                    <w:pStyle w:val="71"/>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混凝土漏粪板</w:t>
                  </w:r>
                </w:p>
              </w:tc>
            </w:tr>
            <w:tr w14:paraId="79576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4542EF6A">
                  <w:pPr>
                    <w:pStyle w:val="71"/>
                    <w:rPr>
                      <w:lang w:eastAsia="zh-CN"/>
                    </w:rPr>
                  </w:pPr>
                  <w:r>
                    <w:rPr>
                      <w:rFonts w:hint="eastAsia"/>
                      <w:lang w:eastAsia="zh-CN"/>
                    </w:rPr>
                    <w:t>1</w:t>
                  </w:r>
                </w:p>
              </w:tc>
              <w:tc>
                <w:tcPr>
                  <w:tcW w:w="1664" w:type="dxa"/>
                  <w:vAlign w:val="center"/>
                </w:tcPr>
                <w:p w14:paraId="6D9AB348">
                  <w:pPr>
                    <w:pStyle w:val="71"/>
                    <w:rPr>
                      <w:lang w:eastAsia="zh-CN"/>
                    </w:rPr>
                  </w:pPr>
                  <w:r>
                    <w:rPr>
                      <w:rFonts w:hint="eastAsia"/>
                      <w:lang w:eastAsia="zh-CN"/>
                    </w:rPr>
                    <w:t>钢筋</w:t>
                  </w:r>
                </w:p>
              </w:tc>
              <w:tc>
                <w:tcPr>
                  <w:tcW w:w="1536" w:type="dxa"/>
                  <w:vAlign w:val="center"/>
                </w:tcPr>
                <w:p w14:paraId="3E1DC60E">
                  <w:pPr>
                    <w:pStyle w:val="71"/>
                    <w:rPr>
                      <w:color w:val="FF0000"/>
                      <w:lang w:eastAsia="zh-CN"/>
                    </w:rPr>
                  </w:pPr>
                  <w:r>
                    <w:rPr>
                      <w:rFonts w:hint="eastAsia"/>
                      <w:lang w:val="en-US" w:eastAsia="zh-CN"/>
                    </w:rPr>
                    <w:t>800</w:t>
                  </w:r>
                  <w:r>
                    <w:rPr>
                      <w:rFonts w:hint="eastAsia"/>
                      <w:lang w:eastAsia="zh-CN"/>
                    </w:rPr>
                    <w:t>t</w:t>
                  </w:r>
                </w:p>
              </w:tc>
              <w:tc>
                <w:tcPr>
                  <w:tcW w:w="1791" w:type="dxa"/>
                  <w:vAlign w:val="center"/>
                </w:tcPr>
                <w:p w14:paraId="401ADDDA">
                  <w:pPr>
                    <w:jc w:val="center"/>
                    <w:rPr>
                      <w:rFonts w:hint="eastAsia"/>
                      <w:lang w:eastAsia="zh-CN"/>
                    </w:rPr>
                  </w:pPr>
                  <w:r>
                    <w:rPr>
                      <w:rFonts w:hint="eastAsia"/>
                      <w:lang w:val="en-US" w:eastAsia="zh-CN"/>
                    </w:rPr>
                    <w:t>50</w:t>
                  </w:r>
                  <w:r>
                    <w:rPr>
                      <w:rFonts w:hint="eastAsia"/>
                      <w:lang w:eastAsia="zh-CN"/>
                    </w:rPr>
                    <w:t>t</w:t>
                  </w:r>
                </w:p>
              </w:tc>
              <w:tc>
                <w:tcPr>
                  <w:tcW w:w="1791" w:type="dxa"/>
                  <w:vAlign w:val="center"/>
                </w:tcPr>
                <w:p w14:paraId="2798323C">
                  <w:pPr>
                    <w:pStyle w:val="71"/>
                    <w:rPr>
                      <w:lang w:eastAsia="zh-CN"/>
                    </w:rPr>
                  </w:pPr>
                  <w:r>
                    <w:rPr>
                      <w:rFonts w:hint="eastAsia"/>
                      <w:lang w:eastAsia="zh-CN"/>
                    </w:rPr>
                    <w:t>外购</w:t>
                  </w:r>
                </w:p>
              </w:tc>
              <w:tc>
                <w:tcPr>
                  <w:tcW w:w="2544" w:type="dxa"/>
                  <w:vAlign w:val="center"/>
                </w:tcPr>
                <w:p w14:paraId="258D14A7">
                  <w:pPr>
                    <w:pStyle w:val="71"/>
                    <w:rPr>
                      <w:lang w:eastAsia="zh-CN"/>
                    </w:rPr>
                  </w:pPr>
                  <w:r>
                    <w:rPr>
                      <w:rFonts w:hint="eastAsia"/>
                      <w:lang w:eastAsia="zh-CN"/>
                    </w:rPr>
                    <w:t>预制板骨架结构原料</w:t>
                  </w:r>
                </w:p>
              </w:tc>
            </w:tr>
            <w:tr w14:paraId="3CCB1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061589E5">
                  <w:pPr>
                    <w:pStyle w:val="71"/>
                    <w:rPr>
                      <w:lang w:eastAsia="zh-CN"/>
                    </w:rPr>
                  </w:pPr>
                  <w:r>
                    <w:rPr>
                      <w:rFonts w:hint="eastAsia"/>
                      <w:lang w:eastAsia="zh-CN"/>
                    </w:rPr>
                    <w:t>2</w:t>
                  </w:r>
                </w:p>
              </w:tc>
              <w:tc>
                <w:tcPr>
                  <w:tcW w:w="1664" w:type="dxa"/>
                  <w:vAlign w:val="center"/>
                </w:tcPr>
                <w:p w14:paraId="02B35083">
                  <w:pPr>
                    <w:pStyle w:val="71"/>
                    <w:rPr>
                      <w:lang w:eastAsia="zh-CN"/>
                    </w:rPr>
                  </w:pPr>
                  <w:r>
                    <w:rPr>
                      <w:rFonts w:hint="eastAsia"/>
                      <w:lang w:eastAsia="zh-CN"/>
                    </w:rPr>
                    <w:t>水泥</w:t>
                  </w:r>
                </w:p>
              </w:tc>
              <w:tc>
                <w:tcPr>
                  <w:tcW w:w="1536" w:type="dxa"/>
                  <w:vAlign w:val="center"/>
                </w:tcPr>
                <w:p w14:paraId="3999DCC0">
                  <w:pPr>
                    <w:pStyle w:val="71"/>
                    <w:rPr>
                      <w:color w:val="FF0000"/>
                      <w:lang w:eastAsia="zh-CN"/>
                    </w:rPr>
                  </w:pPr>
                  <w:r>
                    <w:rPr>
                      <w:rFonts w:hint="eastAsia"/>
                      <w:lang w:val="en-US" w:eastAsia="zh-CN"/>
                    </w:rPr>
                    <w:t>867</w:t>
                  </w:r>
                  <w:r>
                    <w:rPr>
                      <w:rFonts w:hint="eastAsia"/>
                      <w:lang w:eastAsia="zh-CN"/>
                    </w:rPr>
                    <w:t>t</w:t>
                  </w:r>
                </w:p>
              </w:tc>
              <w:tc>
                <w:tcPr>
                  <w:tcW w:w="1791" w:type="dxa"/>
                  <w:vAlign w:val="center"/>
                </w:tcPr>
                <w:p w14:paraId="4B5B50C3">
                  <w:pPr>
                    <w:jc w:val="center"/>
                    <w:rPr>
                      <w:rFonts w:hint="default"/>
                      <w:lang w:val="en-US" w:eastAsia="zh-CN"/>
                    </w:rPr>
                  </w:pPr>
                  <w:r>
                    <w:rPr>
                      <w:rFonts w:hint="eastAsia"/>
                      <w:lang w:val="en-US" w:eastAsia="zh-CN"/>
                    </w:rPr>
                    <w:t>100t</w:t>
                  </w:r>
                </w:p>
              </w:tc>
              <w:tc>
                <w:tcPr>
                  <w:tcW w:w="1791" w:type="dxa"/>
                  <w:vAlign w:val="center"/>
                </w:tcPr>
                <w:p w14:paraId="308E0699">
                  <w:pPr>
                    <w:pStyle w:val="71"/>
                    <w:rPr>
                      <w:lang w:eastAsia="zh-CN"/>
                    </w:rPr>
                  </w:pPr>
                  <w:r>
                    <w:rPr>
                      <w:rFonts w:hint="eastAsia"/>
                      <w:lang w:eastAsia="zh-CN"/>
                    </w:rPr>
                    <w:t>外购</w:t>
                  </w:r>
                </w:p>
              </w:tc>
              <w:tc>
                <w:tcPr>
                  <w:tcW w:w="2544" w:type="dxa"/>
                  <w:vAlign w:val="center"/>
                </w:tcPr>
                <w:p w14:paraId="1ADE8D2F">
                  <w:pPr>
                    <w:pStyle w:val="71"/>
                    <w:rPr>
                      <w:rFonts w:hint="default"/>
                      <w:lang w:val="en-US" w:eastAsia="zh-CN"/>
                    </w:rPr>
                  </w:pPr>
                  <w:r>
                    <w:rPr>
                      <w:rFonts w:hint="eastAsia"/>
                      <w:lang w:val="en-US" w:eastAsia="zh-CN"/>
                    </w:rPr>
                    <w:t>混凝土</w:t>
                  </w:r>
                  <w:r>
                    <w:rPr>
                      <w:rFonts w:hint="eastAsia"/>
                      <w:lang w:eastAsia="zh-CN"/>
                    </w:rPr>
                    <w:t>原料</w:t>
                  </w:r>
                </w:p>
              </w:tc>
            </w:tr>
            <w:tr w14:paraId="18E96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757B1826">
                  <w:pPr>
                    <w:pStyle w:val="71"/>
                    <w:rPr>
                      <w:lang w:eastAsia="zh-CN"/>
                    </w:rPr>
                  </w:pPr>
                  <w:r>
                    <w:rPr>
                      <w:rFonts w:hint="eastAsia"/>
                      <w:lang w:eastAsia="zh-CN"/>
                    </w:rPr>
                    <w:t>3</w:t>
                  </w:r>
                </w:p>
              </w:tc>
              <w:tc>
                <w:tcPr>
                  <w:tcW w:w="1664" w:type="dxa"/>
                  <w:vAlign w:val="center"/>
                </w:tcPr>
                <w:p w14:paraId="7B7E30D4">
                  <w:pPr>
                    <w:pStyle w:val="71"/>
                    <w:rPr>
                      <w:lang w:eastAsia="zh-CN"/>
                    </w:rPr>
                  </w:pPr>
                  <w:r>
                    <w:rPr>
                      <w:rFonts w:hint="eastAsia"/>
                      <w:lang w:eastAsia="zh-CN"/>
                    </w:rPr>
                    <w:t>砂子</w:t>
                  </w:r>
                </w:p>
              </w:tc>
              <w:tc>
                <w:tcPr>
                  <w:tcW w:w="1536" w:type="dxa"/>
                  <w:vAlign w:val="center"/>
                </w:tcPr>
                <w:p w14:paraId="7B2583E8">
                  <w:pPr>
                    <w:pStyle w:val="71"/>
                    <w:rPr>
                      <w:lang w:eastAsia="zh-CN"/>
                    </w:rPr>
                  </w:pPr>
                  <w:r>
                    <w:rPr>
                      <w:rFonts w:hint="eastAsia"/>
                      <w:lang w:val="en-US" w:eastAsia="zh-CN"/>
                    </w:rPr>
                    <w:t>1733</w:t>
                  </w:r>
                  <w:r>
                    <w:rPr>
                      <w:rFonts w:hint="eastAsia"/>
                      <w:lang w:eastAsia="zh-CN"/>
                    </w:rPr>
                    <w:t>t</w:t>
                  </w:r>
                </w:p>
              </w:tc>
              <w:tc>
                <w:tcPr>
                  <w:tcW w:w="1791" w:type="dxa"/>
                  <w:vAlign w:val="center"/>
                </w:tcPr>
                <w:p w14:paraId="26DB605E">
                  <w:pPr>
                    <w:jc w:val="center"/>
                    <w:rPr>
                      <w:rFonts w:hint="eastAsia"/>
                      <w:lang w:eastAsia="zh-CN"/>
                    </w:rPr>
                  </w:pPr>
                  <w:r>
                    <w:rPr>
                      <w:rFonts w:hint="eastAsia"/>
                      <w:lang w:val="en-US" w:eastAsia="zh-CN"/>
                    </w:rPr>
                    <w:t>200</w:t>
                  </w:r>
                  <w:r>
                    <w:rPr>
                      <w:rFonts w:hint="eastAsia"/>
                      <w:lang w:eastAsia="zh-CN"/>
                    </w:rPr>
                    <w:t>t</w:t>
                  </w:r>
                </w:p>
              </w:tc>
              <w:tc>
                <w:tcPr>
                  <w:tcW w:w="1791" w:type="dxa"/>
                  <w:vAlign w:val="center"/>
                </w:tcPr>
                <w:p w14:paraId="0D9AD19C">
                  <w:pPr>
                    <w:pStyle w:val="71"/>
                    <w:rPr>
                      <w:lang w:eastAsia="zh-CN"/>
                    </w:rPr>
                  </w:pPr>
                  <w:r>
                    <w:rPr>
                      <w:rFonts w:hint="eastAsia"/>
                      <w:lang w:eastAsia="zh-CN"/>
                    </w:rPr>
                    <w:t>外购</w:t>
                  </w:r>
                </w:p>
              </w:tc>
              <w:tc>
                <w:tcPr>
                  <w:tcW w:w="2544" w:type="dxa"/>
                  <w:vAlign w:val="center"/>
                </w:tcPr>
                <w:p w14:paraId="359EB164">
                  <w:pPr>
                    <w:pStyle w:val="71"/>
                    <w:rPr>
                      <w:rFonts w:hint="default"/>
                      <w:lang w:val="en-US" w:eastAsia="zh-CN"/>
                    </w:rPr>
                  </w:pPr>
                  <w:r>
                    <w:rPr>
                      <w:rFonts w:hint="eastAsia"/>
                      <w:lang w:val="en-US" w:eastAsia="zh-CN"/>
                    </w:rPr>
                    <w:t>混凝土</w:t>
                  </w:r>
                  <w:r>
                    <w:rPr>
                      <w:rFonts w:hint="eastAsia"/>
                      <w:lang w:eastAsia="zh-CN"/>
                    </w:rPr>
                    <w:t>原料</w:t>
                  </w:r>
                </w:p>
              </w:tc>
            </w:tr>
            <w:tr w14:paraId="2F369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472AAEF7">
                  <w:pPr>
                    <w:pStyle w:val="71"/>
                    <w:rPr>
                      <w:lang w:eastAsia="zh-CN"/>
                    </w:rPr>
                  </w:pPr>
                  <w:r>
                    <w:rPr>
                      <w:rFonts w:hint="eastAsia"/>
                      <w:lang w:eastAsia="zh-CN"/>
                    </w:rPr>
                    <w:t>4</w:t>
                  </w:r>
                </w:p>
              </w:tc>
              <w:tc>
                <w:tcPr>
                  <w:tcW w:w="1664" w:type="dxa"/>
                  <w:vAlign w:val="center"/>
                </w:tcPr>
                <w:p w14:paraId="72AE0FC9">
                  <w:pPr>
                    <w:pStyle w:val="71"/>
                    <w:rPr>
                      <w:lang w:eastAsia="zh-CN"/>
                    </w:rPr>
                  </w:pPr>
                  <w:r>
                    <w:rPr>
                      <w:rFonts w:hint="eastAsia"/>
                      <w:lang w:eastAsia="zh-CN"/>
                    </w:rPr>
                    <w:t>石子</w:t>
                  </w:r>
                </w:p>
              </w:tc>
              <w:tc>
                <w:tcPr>
                  <w:tcW w:w="1536" w:type="dxa"/>
                  <w:vAlign w:val="center"/>
                </w:tcPr>
                <w:p w14:paraId="7802E55D">
                  <w:pPr>
                    <w:pStyle w:val="71"/>
                    <w:rPr>
                      <w:lang w:eastAsia="zh-CN"/>
                    </w:rPr>
                  </w:pPr>
                  <w:r>
                    <w:rPr>
                      <w:rFonts w:hint="eastAsia"/>
                      <w:lang w:val="en-US" w:eastAsia="zh-CN"/>
                    </w:rPr>
                    <w:t>2600</w:t>
                  </w:r>
                  <w:r>
                    <w:rPr>
                      <w:rFonts w:hint="eastAsia"/>
                      <w:lang w:eastAsia="zh-CN"/>
                    </w:rPr>
                    <w:t>t</w:t>
                  </w:r>
                </w:p>
              </w:tc>
              <w:tc>
                <w:tcPr>
                  <w:tcW w:w="1791" w:type="dxa"/>
                  <w:vAlign w:val="center"/>
                </w:tcPr>
                <w:p w14:paraId="76BB69D7">
                  <w:pPr>
                    <w:jc w:val="center"/>
                    <w:rPr>
                      <w:rFonts w:hint="eastAsia"/>
                      <w:lang w:eastAsia="zh-CN"/>
                    </w:rPr>
                  </w:pPr>
                  <w:r>
                    <w:rPr>
                      <w:rFonts w:hint="eastAsia"/>
                      <w:lang w:val="en-US" w:eastAsia="zh-CN"/>
                    </w:rPr>
                    <w:t>300</w:t>
                  </w:r>
                  <w:r>
                    <w:rPr>
                      <w:rFonts w:hint="eastAsia"/>
                      <w:lang w:eastAsia="zh-CN"/>
                    </w:rPr>
                    <w:t>t</w:t>
                  </w:r>
                </w:p>
              </w:tc>
              <w:tc>
                <w:tcPr>
                  <w:tcW w:w="1791" w:type="dxa"/>
                  <w:vAlign w:val="center"/>
                </w:tcPr>
                <w:p w14:paraId="34AFAC18">
                  <w:pPr>
                    <w:pStyle w:val="71"/>
                    <w:rPr>
                      <w:lang w:eastAsia="zh-CN"/>
                    </w:rPr>
                  </w:pPr>
                  <w:r>
                    <w:rPr>
                      <w:rFonts w:hint="eastAsia"/>
                      <w:lang w:eastAsia="zh-CN"/>
                    </w:rPr>
                    <w:t>外购</w:t>
                  </w:r>
                </w:p>
              </w:tc>
              <w:tc>
                <w:tcPr>
                  <w:tcW w:w="2544" w:type="dxa"/>
                  <w:vAlign w:val="center"/>
                </w:tcPr>
                <w:p w14:paraId="132FD448">
                  <w:pPr>
                    <w:pStyle w:val="71"/>
                    <w:rPr>
                      <w:lang w:eastAsia="zh-CN"/>
                    </w:rPr>
                  </w:pPr>
                  <w:r>
                    <w:rPr>
                      <w:rFonts w:hint="eastAsia"/>
                      <w:lang w:val="en-US" w:eastAsia="zh-CN"/>
                    </w:rPr>
                    <w:t>混凝土</w:t>
                  </w:r>
                  <w:r>
                    <w:rPr>
                      <w:rFonts w:hint="eastAsia"/>
                      <w:lang w:eastAsia="zh-CN"/>
                    </w:rPr>
                    <w:t>原料</w:t>
                  </w:r>
                </w:p>
              </w:tc>
            </w:tr>
            <w:tr w14:paraId="4188A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229A9EBD">
                  <w:pPr>
                    <w:pStyle w:val="71"/>
                    <w:rPr>
                      <w:lang w:eastAsia="zh-CN"/>
                    </w:rPr>
                  </w:pPr>
                  <w:r>
                    <w:rPr>
                      <w:rFonts w:hint="eastAsia"/>
                      <w:lang w:eastAsia="zh-CN"/>
                    </w:rPr>
                    <w:t>5</w:t>
                  </w:r>
                </w:p>
              </w:tc>
              <w:tc>
                <w:tcPr>
                  <w:tcW w:w="1664" w:type="dxa"/>
                  <w:vAlign w:val="center"/>
                </w:tcPr>
                <w:p w14:paraId="0A19D1E1">
                  <w:pPr>
                    <w:pStyle w:val="71"/>
                    <w:rPr>
                      <w:lang w:eastAsia="zh-CN"/>
                    </w:rPr>
                  </w:pPr>
                  <w:r>
                    <w:rPr>
                      <w:rFonts w:hint="eastAsia"/>
                      <w:lang w:eastAsia="zh-CN"/>
                    </w:rPr>
                    <w:t>薄膜</w:t>
                  </w:r>
                </w:p>
              </w:tc>
              <w:tc>
                <w:tcPr>
                  <w:tcW w:w="1536" w:type="dxa"/>
                  <w:vAlign w:val="center"/>
                </w:tcPr>
                <w:p w14:paraId="1F04E62F">
                  <w:pPr>
                    <w:pStyle w:val="71"/>
                    <w:rPr>
                      <w:lang w:eastAsia="zh-CN"/>
                    </w:rPr>
                  </w:pPr>
                  <w:r>
                    <w:rPr>
                      <w:rFonts w:hint="eastAsia"/>
                      <w:lang w:val="en-US" w:eastAsia="zh-CN"/>
                    </w:rPr>
                    <w:t>1</w:t>
                  </w:r>
                  <w:r>
                    <w:rPr>
                      <w:lang w:eastAsia="zh-CN"/>
                    </w:rPr>
                    <w:t>00</w:t>
                  </w:r>
                  <w:r>
                    <w:rPr>
                      <w:rFonts w:hint="eastAsia"/>
                      <w:lang w:eastAsia="zh-CN"/>
                    </w:rPr>
                    <w:t>kg</w:t>
                  </w:r>
                </w:p>
              </w:tc>
              <w:tc>
                <w:tcPr>
                  <w:tcW w:w="1791" w:type="dxa"/>
                  <w:vAlign w:val="center"/>
                </w:tcPr>
                <w:p w14:paraId="51C5B197">
                  <w:pPr>
                    <w:pStyle w:val="71"/>
                    <w:rPr>
                      <w:rFonts w:hint="default"/>
                      <w:lang w:val="en-US" w:eastAsia="zh-CN"/>
                    </w:rPr>
                  </w:pPr>
                  <w:r>
                    <w:rPr>
                      <w:rFonts w:hint="eastAsia"/>
                      <w:lang w:val="en-US" w:eastAsia="zh-CN"/>
                    </w:rPr>
                    <w:t>1</w:t>
                  </w:r>
                  <w:r>
                    <w:rPr>
                      <w:lang w:eastAsia="zh-CN"/>
                    </w:rPr>
                    <w:t>00</w:t>
                  </w:r>
                  <w:r>
                    <w:rPr>
                      <w:rFonts w:hint="eastAsia"/>
                      <w:lang w:eastAsia="zh-CN"/>
                    </w:rPr>
                    <w:t>kg</w:t>
                  </w:r>
                </w:p>
              </w:tc>
              <w:tc>
                <w:tcPr>
                  <w:tcW w:w="1791" w:type="dxa"/>
                  <w:vAlign w:val="center"/>
                </w:tcPr>
                <w:p w14:paraId="7D87651D">
                  <w:pPr>
                    <w:pStyle w:val="71"/>
                    <w:rPr>
                      <w:lang w:eastAsia="zh-CN"/>
                    </w:rPr>
                  </w:pPr>
                  <w:r>
                    <w:rPr>
                      <w:rFonts w:hint="eastAsia"/>
                      <w:lang w:eastAsia="zh-CN"/>
                    </w:rPr>
                    <w:t>外购</w:t>
                  </w:r>
                </w:p>
              </w:tc>
              <w:tc>
                <w:tcPr>
                  <w:tcW w:w="2544" w:type="dxa"/>
                  <w:vAlign w:val="center"/>
                </w:tcPr>
                <w:p w14:paraId="7803F66A">
                  <w:pPr>
                    <w:pStyle w:val="71"/>
                    <w:rPr>
                      <w:lang w:eastAsia="zh-CN"/>
                    </w:rPr>
                  </w:pPr>
                  <w:r>
                    <w:rPr>
                      <w:rFonts w:hint="eastAsia"/>
                      <w:lang w:eastAsia="zh-CN"/>
                    </w:rPr>
                    <w:t>成品板养护套膜原料</w:t>
                  </w:r>
                </w:p>
              </w:tc>
            </w:tr>
            <w:tr w14:paraId="56558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2" w:type="dxa"/>
                  <w:gridSpan w:val="6"/>
                  <w:vAlign w:val="center"/>
                </w:tcPr>
                <w:p w14:paraId="55A84B97">
                  <w:pPr>
                    <w:pStyle w:val="71"/>
                    <w:rPr>
                      <w:rFonts w:hint="eastAsia" w:cs="Times New Roman"/>
                      <w:color w:val="auto"/>
                      <w:szCs w:val="21"/>
                      <w:lang w:val="en-US" w:eastAsia="zh-CN"/>
                    </w:rPr>
                  </w:pPr>
                  <w:r>
                    <w:rPr>
                      <w:rFonts w:hint="eastAsia" w:cs="Times New Roman"/>
                      <w:color w:val="auto"/>
                      <w:szCs w:val="21"/>
                      <w:lang w:val="en-US" w:eastAsia="zh-CN"/>
                    </w:rPr>
                    <w:t>水泥料槽</w:t>
                  </w:r>
                </w:p>
              </w:tc>
            </w:tr>
            <w:tr w14:paraId="43AF5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5D7B3EEC">
                  <w:pPr>
                    <w:pStyle w:val="71"/>
                    <w:rPr>
                      <w:rFonts w:hint="default"/>
                      <w:lang w:val="en-US" w:eastAsia="zh-CN"/>
                    </w:rPr>
                  </w:pPr>
                  <w:r>
                    <w:rPr>
                      <w:rFonts w:hint="eastAsia"/>
                      <w:lang w:val="en-US" w:eastAsia="zh-CN"/>
                    </w:rPr>
                    <w:t>1</w:t>
                  </w:r>
                </w:p>
              </w:tc>
              <w:tc>
                <w:tcPr>
                  <w:tcW w:w="1664" w:type="dxa"/>
                  <w:vAlign w:val="center"/>
                </w:tcPr>
                <w:p w14:paraId="1CB24C87">
                  <w:pPr>
                    <w:pStyle w:val="71"/>
                    <w:ind w:firstLine="0" w:firstLineChars="0"/>
                    <w:rPr>
                      <w:rFonts w:hint="eastAsia"/>
                      <w:lang w:eastAsia="zh-CN"/>
                    </w:rPr>
                  </w:pPr>
                  <w:r>
                    <w:rPr>
                      <w:rFonts w:hint="eastAsia"/>
                      <w:lang w:eastAsia="zh-CN"/>
                    </w:rPr>
                    <w:t>水泥</w:t>
                  </w:r>
                </w:p>
              </w:tc>
              <w:tc>
                <w:tcPr>
                  <w:tcW w:w="1536" w:type="dxa"/>
                  <w:vAlign w:val="center"/>
                </w:tcPr>
                <w:p w14:paraId="3EF4C201">
                  <w:pPr>
                    <w:pStyle w:val="71"/>
                    <w:rPr>
                      <w:rFonts w:hint="default"/>
                      <w:lang w:val="en-US" w:eastAsia="zh-CN"/>
                    </w:rPr>
                  </w:pPr>
                  <w:r>
                    <w:rPr>
                      <w:rFonts w:hint="eastAsia"/>
                      <w:lang w:val="en-US" w:eastAsia="zh-CN"/>
                    </w:rPr>
                    <w:t>83</w:t>
                  </w:r>
                </w:p>
              </w:tc>
              <w:tc>
                <w:tcPr>
                  <w:tcW w:w="1791" w:type="dxa"/>
                  <w:vAlign w:val="center"/>
                </w:tcPr>
                <w:p w14:paraId="53F17645">
                  <w:pPr>
                    <w:ind w:firstLine="0" w:firstLineChars="0"/>
                    <w:jc w:val="center"/>
                    <w:rPr>
                      <w:rFonts w:hint="eastAsia"/>
                      <w:lang w:eastAsia="zh-CN"/>
                    </w:rPr>
                  </w:pPr>
                  <w:r>
                    <w:rPr>
                      <w:rFonts w:hint="eastAsia"/>
                      <w:lang w:val="en-US" w:eastAsia="zh-CN"/>
                    </w:rPr>
                    <w:t>100t</w:t>
                  </w:r>
                </w:p>
              </w:tc>
              <w:tc>
                <w:tcPr>
                  <w:tcW w:w="1791" w:type="dxa"/>
                  <w:vAlign w:val="center"/>
                </w:tcPr>
                <w:p w14:paraId="26B7D244">
                  <w:pPr>
                    <w:pStyle w:val="71"/>
                    <w:ind w:firstLine="0" w:firstLineChars="0"/>
                    <w:rPr>
                      <w:rFonts w:hint="eastAsia"/>
                      <w:lang w:eastAsia="zh-CN"/>
                    </w:rPr>
                  </w:pPr>
                  <w:r>
                    <w:rPr>
                      <w:rFonts w:hint="eastAsia"/>
                      <w:lang w:eastAsia="zh-CN"/>
                    </w:rPr>
                    <w:t>外购</w:t>
                  </w:r>
                </w:p>
              </w:tc>
              <w:tc>
                <w:tcPr>
                  <w:tcW w:w="2544" w:type="dxa"/>
                  <w:vAlign w:val="center"/>
                </w:tcPr>
                <w:p w14:paraId="1931C20B">
                  <w:pPr>
                    <w:pStyle w:val="71"/>
                    <w:ind w:firstLine="0" w:firstLineChars="0"/>
                    <w:rPr>
                      <w:rFonts w:hint="eastAsia"/>
                      <w:lang w:eastAsia="zh-CN"/>
                    </w:rPr>
                  </w:pPr>
                  <w:r>
                    <w:rPr>
                      <w:rFonts w:hint="eastAsia"/>
                      <w:lang w:val="en-US" w:eastAsia="zh-CN"/>
                    </w:rPr>
                    <w:t>混凝土</w:t>
                  </w:r>
                  <w:r>
                    <w:rPr>
                      <w:rFonts w:hint="eastAsia"/>
                      <w:lang w:eastAsia="zh-CN"/>
                    </w:rPr>
                    <w:t>原料</w:t>
                  </w:r>
                </w:p>
              </w:tc>
            </w:tr>
            <w:tr w14:paraId="01663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27A968B1">
                  <w:pPr>
                    <w:pStyle w:val="71"/>
                    <w:rPr>
                      <w:rFonts w:hint="default"/>
                      <w:lang w:val="en-US" w:eastAsia="zh-CN"/>
                    </w:rPr>
                  </w:pPr>
                  <w:r>
                    <w:rPr>
                      <w:rFonts w:hint="eastAsia"/>
                      <w:lang w:val="en-US" w:eastAsia="zh-CN"/>
                    </w:rPr>
                    <w:t>2</w:t>
                  </w:r>
                </w:p>
              </w:tc>
              <w:tc>
                <w:tcPr>
                  <w:tcW w:w="1664" w:type="dxa"/>
                  <w:vAlign w:val="center"/>
                </w:tcPr>
                <w:p w14:paraId="346BFF82">
                  <w:pPr>
                    <w:pStyle w:val="71"/>
                    <w:ind w:firstLine="0" w:firstLineChars="0"/>
                    <w:rPr>
                      <w:rFonts w:hint="eastAsia"/>
                      <w:lang w:eastAsia="zh-CN"/>
                    </w:rPr>
                  </w:pPr>
                  <w:r>
                    <w:rPr>
                      <w:rFonts w:hint="eastAsia"/>
                      <w:lang w:eastAsia="zh-CN"/>
                    </w:rPr>
                    <w:t>砂子</w:t>
                  </w:r>
                </w:p>
              </w:tc>
              <w:tc>
                <w:tcPr>
                  <w:tcW w:w="1536" w:type="dxa"/>
                  <w:vAlign w:val="center"/>
                </w:tcPr>
                <w:p w14:paraId="551CD28C">
                  <w:pPr>
                    <w:pStyle w:val="71"/>
                    <w:rPr>
                      <w:rFonts w:hint="default"/>
                      <w:lang w:val="en-US" w:eastAsia="zh-CN"/>
                    </w:rPr>
                  </w:pPr>
                  <w:r>
                    <w:rPr>
                      <w:rFonts w:hint="eastAsia"/>
                      <w:lang w:val="en-US" w:eastAsia="zh-CN"/>
                    </w:rPr>
                    <w:t>167</w:t>
                  </w:r>
                </w:p>
              </w:tc>
              <w:tc>
                <w:tcPr>
                  <w:tcW w:w="1791" w:type="dxa"/>
                  <w:vAlign w:val="center"/>
                </w:tcPr>
                <w:p w14:paraId="69EFB0A3">
                  <w:pPr>
                    <w:ind w:firstLine="0" w:firstLineChars="0"/>
                    <w:jc w:val="center"/>
                    <w:rPr>
                      <w:rFonts w:hint="eastAsia"/>
                      <w:lang w:eastAsia="zh-CN"/>
                    </w:rPr>
                  </w:pPr>
                  <w:r>
                    <w:rPr>
                      <w:rFonts w:hint="eastAsia"/>
                      <w:lang w:val="en-US" w:eastAsia="zh-CN"/>
                    </w:rPr>
                    <w:t>30</w:t>
                  </w:r>
                  <w:r>
                    <w:rPr>
                      <w:rFonts w:hint="eastAsia"/>
                      <w:lang w:eastAsia="zh-CN"/>
                    </w:rPr>
                    <w:t>t</w:t>
                  </w:r>
                </w:p>
              </w:tc>
              <w:tc>
                <w:tcPr>
                  <w:tcW w:w="1791" w:type="dxa"/>
                  <w:vAlign w:val="center"/>
                </w:tcPr>
                <w:p w14:paraId="47292014">
                  <w:pPr>
                    <w:pStyle w:val="71"/>
                    <w:ind w:firstLine="0" w:firstLineChars="0"/>
                    <w:rPr>
                      <w:rFonts w:hint="eastAsia"/>
                      <w:lang w:eastAsia="zh-CN"/>
                    </w:rPr>
                  </w:pPr>
                  <w:r>
                    <w:rPr>
                      <w:rFonts w:hint="eastAsia"/>
                      <w:lang w:eastAsia="zh-CN"/>
                    </w:rPr>
                    <w:t>外购</w:t>
                  </w:r>
                </w:p>
              </w:tc>
              <w:tc>
                <w:tcPr>
                  <w:tcW w:w="2544" w:type="dxa"/>
                  <w:vAlign w:val="center"/>
                </w:tcPr>
                <w:p w14:paraId="290C805C">
                  <w:pPr>
                    <w:ind w:firstLine="0" w:firstLineChars="0"/>
                    <w:jc w:val="center"/>
                    <w:rPr>
                      <w:rFonts w:hint="eastAsia"/>
                      <w:lang w:eastAsia="zh-CN"/>
                    </w:rPr>
                  </w:pPr>
                  <w:r>
                    <w:rPr>
                      <w:rFonts w:hint="eastAsia"/>
                      <w:lang w:val="en-US" w:eastAsia="zh-CN"/>
                    </w:rPr>
                    <w:t>混凝土</w:t>
                  </w:r>
                  <w:r>
                    <w:rPr>
                      <w:rFonts w:hint="eastAsia"/>
                      <w:lang w:eastAsia="zh-CN"/>
                    </w:rPr>
                    <w:t>原料</w:t>
                  </w:r>
                </w:p>
              </w:tc>
            </w:tr>
            <w:tr w14:paraId="2FD89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126772E6">
                  <w:pPr>
                    <w:pStyle w:val="71"/>
                    <w:rPr>
                      <w:rFonts w:hint="default"/>
                      <w:lang w:val="en-US" w:eastAsia="zh-CN"/>
                    </w:rPr>
                  </w:pPr>
                  <w:r>
                    <w:rPr>
                      <w:rFonts w:hint="eastAsia"/>
                      <w:lang w:val="en-US" w:eastAsia="zh-CN"/>
                    </w:rPr>
                    <w:t>3</w:t>
                  </w:r>
                </w:p>
              </w:tc>
              <w:tc>
                <w:tcPr>
                  <w:tcW w:w="1664" w:type="dxa"/>
                  <w:vAlign w:val="center"/>
                </w:tcPr>
                <w:p w14:paraId="433A0F3B">
                  <w:pPr>
                    <w:pStyle w:val="71"/>
                    <w:ind w:firstLine="0" w:firstLineChars="0"/>
                    <w:rPr>
                      <w:rFonts w:hint="eastAsia"/>
                      <w:lang w:eastAsia="zh-CN"/>
                    </w:rPr>
                  </w:pPr>
                  <w:r>
                    <w:rPr>
                      <w:rFonts w:hint="eastAsia"/>
                      <w:lang w:eastAsia="zh-CN"/>
                    </w:rPr>
                    <w:t>石子</w:t>
                  </w:r>
                </w:p>
              </w:tc>
              <w:tc>
                <w:tcPr>
                  <w:tcW w:w="1536" w:type="dxa"/>
                  <w:vAlign w:val="center"/>
                </w:tcPr>
                <w:p w14:paraId="5A6B2BC4">
                  <w:pPr>
                    <w:pStyle w:val="71"/>
                    <w:rPr>
                      <w:rFonts w:hint="default"/>
                      <w:lang w:val="en-US" w:eastAsia="zh-CN"/>
                    </w:rPr>
                  </w:pPr>
                  <w:r>
                    <w:rPr>
                      <w:rFonts w:hint="eastAsia"/>
                      <w:lang w:val="en-US" w:eastAsia="zh-CN"/>
                    </w:rPr>
                    <w:t>250</w:t>
                  </w:r>
                </w:p>
              </w:tc>
              <w:tc>
                <w:tcPr>
                  <w:tcW w:w="1791" w:type="dxa"/>
                  <w:vAlign w:val="center"/>
                </w:tcPr>
                <w:p w14:paraId="214A8DBE">
                  <w:pPr>
                    <w:ind w:firstLine="0" w:firstLineChars="0"/>
                    <w:jc w:val="center"/>
                    <w:rPr>
                      <w:rFonts w:hint="eastAsia"/>
                      <w:lang w:eastAsia="zh-CN"/>
                    </w:rPr>
                  </w:pPr>
                  <w:r>
                    <w:rPr>
                      <w:rFonts w:hint="eastAsia"/>
                      <w:lang w:val="en-US" w:eastAsia="zh-CN"/>
                    </w:rPr>
                    <w:t>30</w:t>
                  </w:r>
                  <w:r>
                    <w:rPr>
                      <w:rFonts w:hint="eastAsia"/>
                      <w:lang w:eastAsia="zh-CN"/>
                    </w:rPr>
                    <w:t>t</w:t>
                  </w:r>
                </w:p>
              </w:tc>
              <w:tc>
                <w:tcPr>
                  <w:tcW w:w="1791" w:type="dxa"/>
                  <w:vAlign w:val="center"/>
                </w:tcPr>
                <w:p w14:paraId="1FF6336B">
                  <w:pPr>
                    <w:pStyle w:val="71"/>
                    <w:ind w:firstLine="0" w:firstLineChars="0"/>
                    <w:rPr>
                      <w:rFonts w:hint="eastAsia"/>
                      <w:lang w:eastAsia="zh-CN"/>
                    </w:rPr>
                  </w:pPr>
                  <w:r>
                    <w:rPr>
                      <w:rFonts w:hint="eastAsia"/>
                      <w:lang w:eastAsia="zh-CN"/>
                    </w:rPr>
                    <w:t>外购</w:t>
                  </w:r>
                </w:p>
              </w:tc>
              <w:tc>
                <w:tcPr>
                  <w:tcW w:w="2544" w:type="dxa"/>
                  <w:vAlign w:val="center"/>
                </w:tcPr>
                <w:p w14:paraId="635718D3">
                  <w:pPr>
                    <w:ind w:firstLine="0" w:firstLineChars="0"/>
                    <w:jc w:val="center"/>
                    <w:rPr>
                      <w:rFonts w:hint="eastAsia"/>
                      <w:lang w:eastAsia="zh-CN"/>
                    </w:rPr>
                  </w:pPr>
                  <w:r>
                    <w:rPr>
                      <w:rFonts w:hint="eastAsia"/>
                      <w:lang w:val="en-US" w:eastAsia="zh-CN"/>
                    </w:rPr>
                    <w:t>混凝土</w:t>
                  </w:r>
                  <w:r>
                    <w:rPr>
                      <w:rFonts w:hint="eastAsia"/>
                      <w:lang w:eastAsia="zh-CN"/>
                    </w:rPr>
                    <w:t>原料</w:t>
                  </w:r>
                </w:p>
              </w:tc>
            </w:tr>
            <w:tr w14:paraId="0BD9D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0CCC0193">
                  <w:pPr>
                    <w:pStyle w:val="71"/>
                    <w:rPr>
                      <w:rFonts w:hint="default"/>
                      <w:lang w:val="en-US" w:eastAsia="zh-CN"/>
                    </w:rPr>
                  </w:pPr>
                  <w:r>
                    <w:rPr>
                      <w:rFonts w:hint="eastAsia"/>
                      <w:lang w:val="en-US" w:eastAsia="zh-CN"/>
                    </w:rPr>
                    <w:t>4</w:t>
                  </w:r>
                </w:p>
              </w:tc>
              <w:tc>
                <w:tcPr>
                  <w:tcW w:w="1664" w:type="dxa"/>
                  <w:vAlign w:val="center"/>
                </w:tcPr>
                <w:p w14:paraId="6EFEB5B9">
                  <w:pPr>
                    <w:pStyle w:val="71"/>
                    <w:ind w:firstLine="0" w:firstLineChars="0"/>
                    <w:rPr>
                      <w:rFonts w:hint="eastAsia"/>
                      <w:lang w:eastAsia="zh-CN"/>
                    </w:rPr>
                  </w:pPr>
                  <w:r>
                    <w:rPr>
                      <w:rFonts w:hint="eastAsia"/>
                      <w:lang w:eastAsia="zh-CN"/>
                    </w:rPr>
                    <w:t>薄膜</w:t>
                  </w:r>
                </w:p>
              </w:tc>
              <w:tc>
                <w:tcPr>
                  <w:tcW w:w="1536" w:type="dxa"/>
                  <w:vAlign w:val="center"/>
                </w:tcPr>
                <w:p w14:paraId="1AED6FDE">
                  <w:pPr>
                    <w:pStyle w:val="71"/>
                    <w:rPr>
                      <w:rFonts w:hint="default"/>
                      <w:lang w:val="en-US" w:eastAsia="zh-CN"/>
                    </w:rPr>
                  </w:pPr>
                  <w:r>
                    <w:rPr>
                      <w:rFonts w:hint="eastAsia"/>
                      <w:lang w:val="en-US" w:eastAsia="zh-CN"/>
                    </w:rPr>
                    <w:t>15</w:t>
                  </w:r>
                  <w:r>
                    <w:rPr>
                      <w:rFonts w:hint="eastAsia"/>
                      <w:lang w:eastAsia="zh-CN"/>
                    </w:rPr>
                    <w:t>kg</w:t>
                  </w:r>
                </w:p>
              </w:tc>
              <w:tc>
                <w:tcPr>
                  <w:tcW w:w="1791" w:type="dxa"/>
                  <w:vAlign w:val="center"/>
                </w:tcPr>
                <w:p w14:paraId="4D405BD4">
                  <w:pPr>
                    <w:ind w:firstLine="0" w:firstLineChars="0"/>
                    <w:jc w:val="center"/>
                    <w:rPr>
                      <w:rFonts w:hint="eastAsia"/>
                      <w:lang w:eastAsia="zh-CN"/>
                    </w:rPr>
                  </w:pPr>
                  <w:r>
                    <w:rPr>
                      <w:rFonts w:hint="eastAsia"/>
                      <w:lang w:val="en-US" w:eastAsia="zh-CN"/>
                    </w:rPr>
                    <w:t>15</w:t>
                  </w:r>
                  <w:r>
                    <w:rPr>
                      <w:rFonts w:hint="eastAsia"/>
                      <w:lang w:eastAsia="zh-CN"/>
                    </w:rPr>
                    <w:t>kg</w:t>
                  </w:r>
                </w:p>
              </w:tc>
              <w:tc>
                <w:tcPr>
                  <w:tcW w:w="1791" w:type="dxa"/>
                  <w:vAlign w:val="center"/>
                </w:tcPr>
                <w:p w14:paraId="3EB011A7">
                  <w:pPr>
                    <w:pStyle w:val="71"/>
                    <w:ind w:firstLine="0" w:firstLineChars="0"/>
                    <w:rPr>
                      <w:rFonts w:hint="eastAsia"/>
                      <w:lang w:eastAsia="zh-CN"/>
                    </w:rPr>
                  </w:pPr>
                  <w:r>
                    <w:rPr>
                      <w:rFonts w:hint="eastAsia"/>
                      <w:lang w:eastAsia="zh-CN"/>
                    </w:rPr>
                    <w:t>外购</w:t>
                  </w:r>
                </w:p>
              </w:tc>
              <w:tc>
                <w:tcPr>
                  <w:tcW w:w="2544" w:type="dxa"/>
                  <w:vAlign w:val="center"/>
                </w:tcPr>
                <w:p w14:paraId="14E8B185">
                  <w:pPr>
                    <w:pStyle w:val="71"/>
                    <w:rPr>
                      <w:rFonts w:hint="eastAsia"/>
                      <w:lang w:eastAsia="zh-CN"/>
                    </w:rPr>
                  </w:pPr>
                  <w:r>
                    <w:rPr>
                      <w:rFonts w:hint="eastAsia"/>
                      <w:lang w:eastAsia="zh-CN"/>
                    </w:rPr>
                    <w:t>成品板养护套膜原料</w:t>
                  </w:r>
                </w:p>
              </w:tc>
            </w:tr>
            <w:tr w14:paraId="217F0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638BA6B4">
                  <w:pPr>
                    <w:pStyle w:val="71"/>
                    <w:rPr>
                      <w:rFonts w:hint="eastAsia"/>
                      <w:lang w:eastAsia="zh-CN"/>
                    </w:rPr>
                  </w:pPr>
                </w:p>
              </w:tc>
              <w:tc>
                <w:tcPr>
                  <w:tcW w:w="1664" w:type="dxa"/>
                  <w:vAlign w:val="center"/>
                </w:tcPr>
                <w:p w14:paraId="2CF6CBFB">
                  <w:pPr>
                    <w:pStyle w:val="71"/>
                    <w:ind w:firstLine="0" w:firstLineChars="0"/>
                    <w:rPr>
                      <w:rFonts w:hint="eastAsia"/>
                      <w:lang w:eastAsia="zh-CN"/>
                    </w:rPr>
                  </w:pPr>
                </w:p>
              </w:tc>
              <w:tc>
                <w:tcPr>
                  <w:tcW w:w="1536" w:type="dxa"/>
                  <w:vAlign w:val="center"/>
                </w:tcPr>
                <w:p w14:paraId="295120BC">
                  <w:pPr>
                    <w:pStyle w:val="71"/>
                    <w:rPr>
                      <w:lang w:eastAsia="zh-CN"/>
                    </w:rPr>
                  </w:pPr>
                </w:p>
              </w:tc>
              <w:tc>
                <w:tcPr>
                  <w:tcW w:w="1791" w:type="dxa"/>
                  <w:vAlign w:val="center"/>
                </w:tcPr>
                <w:p w14:paraId="2FD4E111">
                  <w:pPr>
                    <w:pStyle w:val="71"/>
                    <w:jc w:val="center"/>
                    <w:rPr>
                      <w:rFonts w:hint="eastAsia"/>
                      <w:lang w:eastAsia="zh-CN"/>
                    </w:rPr>
                  </w:pPr>
                </w:p>
              </w:tc>
              <w:tc>
                <w:tcPr>
                  <w:tcW w:w="1791" w:type="dxa"/>
                  <w:vAlign w:val="center"/>
                </w:tcPr>
                <w:p w14:paraId="09B81909">
                  <w:pPr>
                    <w:pStyle w:val="71"/>
                    <w:rPr>
                      <w:rFonts w:hint="eastAsia"/>
                      <w:lang w:eastAsia="zh-CN"/>
                    </w:rPr>
                  </w:pPr>
                </w:p>
              </w:tc>
              <w:tc>
                <w:tcPr>
                  <w:tcW w:w="2544" w:type="dxa"/>
                  <w:vAlign w:val="center"/>
                </w:tcPr>
                <w:p w14:paraId="387A2B69">
                  <w:pPr>
                    <w:pStyle w:val="71"/>
                    <w:rPr>
                      <w:rFonts w:hint="eastAsia"/>
                      <w:lang w:eastAsia="zh-CN"/>
                    </w:rPr>
                  </w:pPr>
                </w:p>
              </w:tc>
            </w:tr>
            <w:tr w14:paraId="2F291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2" w:type="dxa"/>
                  <w:gridSpan w:val="6"/>
                  <w:vAlign w:val="center"/>
                </w:tcPr>
                <w:p w14:paraId="3FD631AF">
                  <w:pPr>
                    <w:pStyle w:val="71"/>
                    <w:rPr>
                      <w:rFonts w:hint="eastAsia"/>
                      <w:lang w:val="en-US" w:eastAsia="zh-CN"/>
                    </w:rPr>
                  </w:pPr>
                  <w:r>
                    <w:rPr>
                      <w:rFonts w:hint="eastAsia"/>
                      <w:lang w:val="en-US" w:eastAsia="zh-CN"/>
                    </w:rPr>
                    <w:t>不锈钢</w:t>
                  </w:r>
                  <w:r>
                    <w:rPr>
                      <w:rFonts w:hint="eastAsia" w:cs="Times New Roman"/>
                      <w:color w:val="auto"/>
                      <w:szCs w:val="21"/>
                      <w:lang w:val="en-US" w:eastAsia="zh-CN"/>
                    </w:rPr>
                    <w:t>料槽</w:t>
                  </w:r>
                </w:p>
              </w:tc>
            </w:tr>
            <w:tr w14:paraId="66348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1B2133E4">
                  <w:pPr>
                    <w:pStyle w:val="71"/>
                    <w:rPr>
                      <w:rFonts w:hint="default"/>
                      <w:lang w:val="en-US" w:eastAsia="zh-CN"/>
                    </w:rPr>
                  </w:pPr>
                  <w:r>
                    <w:rPr>
                      <w:rFonts w:hint="eastAsia"/>
                      <w:lang w:val="en-US" w:eastAsia="zh-CN"/>
                    </w:rPr>
                    <w:t>1</w:t>
                  </w:r>
                </w:p>
              </w:tc>
              <w:tc>
                <w:tcPr>
                  <w:tcW w:w="1664" w:type="dxa"/>
                  <w:vAlign w:val="center"/>
                </w:tcPr>
                <w:p w14:paraId="0FBCDCA8">
                  <w:pPr>
                    <w:pStyle w:val="71"/>
                    <w:ind w:firstLine="0" w:firstLineChars="0"/>
                    <w:rPr>
                      <w:rFonts w:hint="default"/>
                      <w:lang w:val="en-US" w:eastAsia="zh-CN"/>
                    </w:rPr>
                  </w:pPr>
                  <w:r>
                    <w:rPr>
                      <w:rFonts w:hint="eastAsia"/>
                      <w:lang w:val="en-US" w:eastAsia="zh-CN"/>
                    </w:rPr>
                    <w:t>不锈钢板</w:t>
                  </w:r>
                </w:p>
              </w:tc>
              <w:tc>
                <w:tcPr>
                  <w:tcW w:w="1536" w:type="dxa"/>
                  <w:vAlign w:val="center"/>
                </w:tcPr>
                <w:p w14:paraId="4A951D52">
                  <w:pPr>
                    <w:pStyle w:val="71"/>
                    <w:rPr>
                      <w:rFonts w:hint="default"/>
                      <w:lang w:val="en-US" w:eastAsia="zh-CN"/>
                    </w:rPr>
                  </w:pPr>
                  <w:r>
                    <w:rPr>
                      <w:rFonts w:hint="eastAsia"/>
                      <w:lang w:val="en-US" w:eastAsia="zh-CN"/>
                    </w:rPr>
                    <w:t>2000</w:t>
                  </w:r>
                  <w:r>
                    <w:rPr>
                      <w:rFonts w:hint="eastAsia"/>
                      <w:lang w:eastAsia="zh-CN"/>
                    </w:rPr>
                    <w:t>t</w:t>
                  </w:r>
                </w:p>
              </w:tc>
              <w:tc>
                <w:tcPr>
                  <w:tcW w:w="1791" w:type="dxa"/>
                  <w:vAlign w:val="center"/>
                </w:tcPr>
                <w:p w14:paraId="713DB863">
                  <w:pPr>
                    <w:pStyle w:val="71"/>
                    <w:rPr>
                      <w:rFonts w:hint="eastAsia"/>
                      <w:lang w:val="en-US" w:eastAsia="zh-CN"/>
                    </w:rPr>
                  </w:pPr>
                  <w:r>
                    <w:rPr>
                      <w:rFonts w:hint="eastAsia"/>
                      <w:lang w:val="en-US" w:eastAsia="zh-CN"/>
                    </w:rPr>
                    <w:t>200</w:t>
                  </w:r>
                  <w:r>
                    <w:rPr>
                      <w:rFonts w:hint="eastAsia"/>
                      <w:lang w:eastAsia="zh-CN"/>
                    </w:rPr>
                    <w:t>t</w:t>
                  </w:r>
                </w:p>
              </w:tc>
              <w:tc>
                <w:tcPr>
                  <w:tcW w:w="1791" w:type="dxa"/>
                  <w:vAlign w:val="center"/>
                </w:tcPr>
                <w:p w14:paraId="0EF0CCF5">
                  <w:pPr>
                    <w:pStyle w:val="71"/>
                    <w:rPr>
                      <w:rFonts w:hint="default"/>
                      <w:lang w:val="en-US" w:eastAsia="zh-CN"/>
                    </w:rPr>
                  </w:pPr>
                  <w:r>
                    <w:rPr>
                      <w:rFonts w:hint="eastAsia"/>
                      <w:lang w:val="en-US" w:eastAsia="zh-CN"/>
                    </w:rPr>
                    <w:t>外购</w:t>
                  </w:r>
                </w:p>
              </w:tc>
              <w:tc>
                <w:tcPr>
                  <w:tcW w:w="2544" w:type="dxa"/>
                  <w:vAlign w:val="center"/>
                </w:tcPr>
                <w:p w14:paraId="51824E53">
                  <w:pPr>
                    <w:pStyle w:val="71"/>
                    <w:rPr>
                      <w:rFonts w:hint="default"/>
                      <w:lang w:val="en-US" w:eastAsia="zh-CN"/>
                    </w:rPr>
                  </w:pPr>
                  <w:r>
                    <w:rPr>
                      <w:rFonts w:hint="eastAsia"/>
                      <w:lang w:val="en-US" w:eastAsia="zh-CN"/>
                    </w:rPr>
                    <w:t>不锈钢料槽原料</w:t>
                  </w:r>
                </w:p>
              </w:tc>
            </w:tr>
            <w:tr w14:paraId="73186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2" w:type="dxa"/>
                  <w:gridSpan w:val="6"/>
                  <w:vAlign w:val="center"/>
                </w:tcPr>
                <w:p w14:paraId="0213B5F1">
                  <w:pPr>
                    <w:pStyle w:val="71"/>
                    <w:rPr>
                      <w:rFonts w:hint="eastAsia"/>
                      <w:lang w:val="en-US" w:eastAsia="zh-CN"/>
                    </w:rPr>
                  </w:pPr>
                  <w:r>
                    <w:rPr>
                      <w:rFonts w:hint="eastAsia"/>
                      <w:lang w:val="en-US" w:eastAsia="zh-CN"/>
                    </w:rPr>
                    <w:t>其他</w:t>
                  </w:r>
                </w:p>
              </w:tc>
            </w:tr>
            <w:tr w14:paraId="76072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2055F4DE">
                  <w:pPr>
                    <w:pStyle w:val="71"/>
                    <w:rPr>
                      <w:rFonts w:hint="default"/>
                      <w:lang w:val="en-US" w:eastAsia="zh-CN"/>
                    </w:rPr>
                  </w:pPr>
                  <w:r>
                    <w:rPr>
                      <w:rFonts w:hint="eastAsia"/>
                      <w:lang w:val="en-US" w:eastAsia="zh-CN"/>
                    </w:rPr>
                    <w:t>1</w:t>
                  </w:r>
                </w:p>
              </w:tc>
              <w:tc>
                <w:tcPr>
                  <w:tcW w:w="1664" w:type="dxa"/>
                  <w:vAlign w:val="center"/>
                </w:tcPr>
                <w:p w14:paraId="5EE73511">
                  <w:pPr>
                    <w:pStyle w:val="71"/>
                    <w:ind w:firstLine="0" w:firstLineChars="0"/>
                    <w:rPr>
                      <w:rFonts w:hint="default"/>
                      <w:lang w:val="en-US" w:eastAsia="zh-CN"/>
                    </w:rPr>
                  </w:pPr>
                  <w:r>
                    <w:rPr>
                      <w:rFonts w:hint="eastAsia"/>
                      <w:lang w:val="en-US" w:eastAsia="zh-CN"/>
                    </w:rPr>
                    <w:t>无铅焊丝</w:t>
                  </w:r>
                </w:p>
              </w:tc>
              <w:tc>
                <w:tcPr>
                  <w:tcW w:w="1536" w:type="dxa"/>
                  <w:vAlign w:val="center"/>
                </w:tcPr>
                <w:p w14:paraId="662A38FC">
                  <w:pPr>
                    <w:pStyle w:val="71"/>
                    <w:rPr>
                      <w:rFonts w:hint="default"/>
                      <w:lang w:val="en-US" w:eastAsia="zh-CN"/>
                    </w:rPr>
                  </w:pPr>
                  <w:r>
                    <w:rPr>
                      <w:rFonts w:hint="eastAsia"/>
                      <w:lang w:val="en-US" w:eastAsia="zh-CN"/>
                    </w:rPr>
                    <w:t>2</w:t>
                  </w:r>
                  <w:r>
                    <w:rPr>
                      <w:rFonts w:hint="eastAsia"/>
                      <w:lang w:eastAsia="zh-CN"/>
                    </w:rPr>
                    <w:t>t</w:t>
                  </w:r>
                </w:p>
              </w:tc>
              <w:tc>
                <w:tcPr>
                  <w:tcW w:w="1791" w:type="dxa"/>
                  <w:vAlign w:val="center"/>
                </w:tcPr>
                <w:p w14:paraId="1D3EE53F">
                  <w:pPr>
                    <w:pStyle w:val="71"/>
                    <w:rPr>
                      <w:rFonts w:hint="eastAsia"/>
                      <w:lang w:val="en-US" w:eastAsia="zh-CN"/>
                    </w:rPr>
                  </w:pPr>
                  <w:r>
                    <w:rPr>
                      <w:rFonts w:hint="eastAsia"/>
                      <w:lang w:val="en-US" w:eastAsia="zh-CN"/>
                    </w:rPr>
                    <w:t>1</w:t>
                  </w:r>
                  <w:r>
                    <w:rPr>
                      <w:rFonts w:hint="eastAsia"/>
                      <w:lang w:eastAsia="zh-CN"/>
                    </w:rPr>
                    <w:t>t</w:t>
                  </w:r>
                </w:p>
              </w:tc>
              <w:tc>
                <w:tcPr>
                  <w:tcW w:w="1791" w:type="dxa"/>
                  <w:vAlign w:val="center"/>
                </w:tcPr>
                <w:p w14:paraId="543410D7">
                  <w:pPr>
                    <w:pStyle w:val="71"/>
                    <w:ind w:firstLine="0" w:firstLineChars="0"/>
                    <w:rPr>
                      <w:rFonts w:hint="eastAsia" w:ascii="Times New Roman" w:hAnsi="Times New Roman" w:eastAsia="宋体" w:cs="Times New Roman"/>
                      <w:bCs/>
                      <w:iCs/>
                      <w:kern w:val="2"/>
                      <w:sz w:val="21"/>
                      <w:szCs w:val="22"/>
                      <w:lang w:val="en-US" w:eastAsia="zh-CN" w:bidi="en-US"/>
                    </w:rPr>
                  </w:pPr>
                  <w:r>
                    <w:rPr>
                      <w:rFonts w:hint="eastAsia"/>
                      <w:lang w:eastAsia="zh-CN"/>
                    </w:rPr>
                    <w:t>外购</w:t>
                  </w:r>
                </w:p>
              </w:tc>
              <w:tc>
                <w:tcPr>
                  <w:tcW w:w="2544" w:type="dxa"/>
                  <w:vAlign w:val="center"/>
                </w:tcPr>
                <w:p w14:paraId="3654F14B">
                  <w:pPr>
                    <w:pStyle w:val="71"/>
                    <w:rPr>
                      <w:rFonts w:hint="eastAsia"/>
                      <w:lang w:val="en-US" w:eastAsia="zh-CN"/>
                    </w:rPr>
                  </w:pPr>
                </w:p>
              </w:tc>
            </w:tr>
            <w:tr w14:paraId="7CF8F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019F95CD">
                  <w:pPr>
                    <w:pStyle w:val="71"/>
                    <w:rPr>
                      <w:rFonts w:hint="default"/>
                      <w:lang w:val="en-US" w:eastAsia="zh-CN"/>
                    </w:rPr>
                  </w:pPr>
                  <w:r>
                    <w:rPr>
                      <w:rFonts w:hint="eastAsia"/>
                      <w:lang w:val="en-US" w:eastAsia="zh-CN"/>
                    </w:rPr>
                    <w:t>2</w:t>
                  </w:r>
                </w:p>
              </w:tc>
              <w:tc>
                <w:tcPr>
                  <w:tcW w:w="1664" w:type="dxa"/>
                  <w:vAlign w:val="center"/>
                </w:tcPr>
                <w:p w14:paraId="74A31BF3">
                  <w:pPr>
                    <w:pStyle w:val="71"/>
                    <w:ind w:firstLine="0" w:firstLineChars="0"/>
                    <w:rPr>
                      <w:rFonts w:hint="default"/>
                      <w:lang w:val="en-US" w:eastAsia="zh-CN"/>
                    </w:rPr>
                  </w:pPr>
                  <w:r>
                    <w:rPr>
                      <w:rFonts w:hint="eastAsia"/>
                      <w:lang w:val="en-US" w:eastAsia="zh-CN"/>
                    </w:rPr>
                    <w:t>二氧化碳</w:t>
                  </w:r>
                </w:p>
              </w:tc>
              <w:tc>
                <w:tcPr>
                  <w:tcW w:w="1536" w:type="dxa"/>
                  <w:vAlign w:val="center"/>
                </w:tcPr>
                <w:p w14:paraId="64785B3A">
                  <w:pPr>
                    <w:pStyle w:val="71"/>
                    <w:rPr>
                      <w:rFonts w:hint="default"/>
                      <w:lang w:val="en-US" w:eastAsia="zh-CN"/>
                    </w:rPr>
                  </w:pPr>
                  <w:r>
                    <w:rPr>
                      <w:rFonts w:hint="eastAsia"/>
                      <w:lang w:val="en-US" w:eastAsia="zh-CN"/>
                    </w:rPr>
                    <w:t>100瓶</w:t>
                  </w:r>
                </w:p>
              </w:tc>
              <w:tc>
                <w:tcPr>
                  <w:tcW w:w="1791" w:type="dxa"/>
                  <w:vAlign w:val="center"/>
                </w:tcPr>
                <w:p w14:paraId="726EAA90">
                  <w:pPr>
                    <w:pStyle w:val="71"/>
                    <w:rPr>
                      <w:rFonts w:hint="default"/>
                      <w:lang w:val="en-US" w:eastAsia="zh-CN"/>
                    </w:rPr>
                  </w:pPr>
                  <w:r>
                    <w:rPr>
                      <w:rFonts w:hint="eastAsia"/>
                      <w:lang w:val="en-US" w:eastAsia="zh-CN"/>
                    </w:rPr>
                    <w:t>20瓶</w:t>
                  </w:r>
                </w:p>
              </w:tc>
              <w:tc>
                <w:tcPr>
                  <w:tcW w:w="1791" w:type="dxa"/>
                  <w:vAlign w:val="center"/>
                </w:tcPr>
                <w:p w14:paraId="53357B2B">
                  <w:pPr>
                    <w:pStyle w:val="71"/>
                    <w:ind w:firstLine="0" w:firstLineChars="0"/>
                    <w:rPr>
                      <w:rFonts w:hint="eastAsia" w:ascii="Times New Roman" w:hAnsi="Times New Roman" w:eastAsia="宋体" w:cs="Times New Roman"/>
                      <w:bCs/>
                      <w:iCs/>
                      <w:kern w:val="2"/>
                      <w:sz w:val="21"/>
                      <w:szCs w:val="22"/>
                      <w:lang w:val="en-US" w:eastAsia="zh-CN" w:bidi="en-US"/>
                    </w:rPr>
                  </w:pPr>
                  <w:r>
                    <w:rPr>
                      <w:rFonts w:hint="eastAsia"/>
                      <w:lang w:eastAsia="zh-CN"/>
                    </w:rPr>
                    <w:t>外购</w:t>
                  </w:r>
                </w:p>
              </w:tc>
              <w:tc>
                <w:tcPr>
                  <w:tcW w:w="2544" w:type="dxa"/>
                  <w:vAlign w:val="center"/>
                </w:tcPr>
                <w:p w14:paraId="4E754C7D">
                  <w:pPr>
                    <w:pStyle w:val="71"/>
                    <w:rPr>
                      <w:rFonts w:hint="eastAsia"/>
                      <w:lang w:val="en-US" w:eastAsia="zh-CN"/>
                    </w:rPr>
                  </w:pPr>
                  <w:r>
                    <w:rPr>
                      <w:rFonts w:hint="eastAsia"/>
                      <w:color w:val="auto"/>
                    </w:rPr>
                    <w:t>40L/瓶</w:t>
                  </w:r>
                </w:p>
              </w:tc>
            </w:tr>
            <w:tr w14:paraId="316EF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4C556424">
                  <w:pPr>
                    <w:pStyle w:val="71"/>
                    <w:rPr>
                      <w:rFonts w:hint="default"/>
                      <w:lang w:val="en-US" w:eastAsia="zh-CN"/>
                    </w:rPr>
                  </w:pPr>
                  <w:r>
                    <w:rPr>
                      <w:rFonts w:hint="eastAsia"/>
                      <w:lang w:val="en-US" w:eastAsia="zh-CN"/>
                    </w:rPr>
                    <w:t>3</w:t>
                  </w:r>
                </w:p>
              </w:tc>
              <w:tc>
                <w:tcPr>
                  <w:tcW w:w="1664" w:type="dxa"/>
                  <w:vAlign w:val="center"/>
                </w:tcPr>
                <w:p w14:paraId="2FC0227A">
                  <w:pPr>
                    <w:pStyle w:val="71"/>
                    <w:ind w:firstLine="0" w:firstLineChars="0"/>
                    <w:rPr>
                      <w:rFonts w:hint="default"/>
                      <w:lang w:val="en-US" w:eastAsia="zh-CN"/>
                    </w:rPr>
                  </w:pPr>
                  <w:r>
                    <w:rPr>
                      <w:rFonts w:hint="eastAsia"/>
                      <w:lang w:val="en-US" w:eastAsia="zh-CN"/>
                    </w:rPr>
                    <w:t>机油</w:t>
                  </w:r>
                </w:p>
              </w:tc>
              <w:tc>
                <w:tcPr>
                  <w:tcW w:w="1536" w:type="dxa"/>
                  <w:vAlign w:val="center"/>
                </w:tcPr>
                <w:p w14:paraId="136AFFE4">
                  <w:pPr>
                    <w:pStyle w:val="71"/>
                    <w:rPr>
                      <w:rFonts w:hint="default"/>
                      <w:lang w:val="en-US" w:eastAsia="zh-CN"/>
                    </w:rPr>
                  </w:pPr>
                  <w:r>
                    <w:rPr>
                      <w:rFonts w:hint="eastAsia"/>
                      <w:lang w:val="en-US" w:eastAsia="zh-CN"/>
                    </w:rPr>
                    <w:t>100kg</w:t>
                  </w:r>
                </w:p>
              </w:tc>
              <w:tc>
                <w:tcPr>
                  <w:tcW w:w="1791" w:type="dxa"/>
                  <w:vAlign w:val="center"/>
                </w:tcPr>
                <w:p w14:paraId="0BF7675E">
                  <w:pPr>
                    <w:pStyle w:val="71"/>
                    <w:rPr>
                      <w:rFonts w:hint="default"/>
                      <w:lang w:val="en-US" w:eastAsia="zh-CN"/>
                    </w:rPr>
                  </w:pPr>
                  <w:r>
                    <w:rPr>
                      <w:rFonts w:hint="eastAsia"/>
                      <w:lang w:val="en-US" w:eastAsia="zh-CN"/>
                    </w:rPr>
                    <w:t>20kg</w:t>
                  </w:r>
                </w:p>
              </w:tc>
              <w:tc>
                <w:tcPr>
                  <w:tcW w:w="1791" w:type="dxa"/>
                  <w:vAlign w:val="center"/>
                </w:tcPr>
                <w:p w14:paraId="25181886">
                  <w:pPr>
                    <w:pStyle w:val="71"/>
                    <w:ind w:firstLine="0" w:firstLineChars="0"/>
                    <w:rPr>
                      <w:rFonts w:hint="eastAsia"/>
                      <w:lang w:eastAsia="zh-CN"/>
                    </w:rPr>
                  </w:pPr>
                  <w:r>
                    <w:rPr>
                      <w:rFonts w:hint="eastAsia"/>
                      <w:lang w:eastAsia="zh-CN"/>
                    </w:rPr>
                    <w:t>外购</w:t>
                  </w:r>
                </w:p>
              </w:tc>
              <w:tc>
                <w:tcPr>
                  <w:tcW w:w="2544" w:type="dxa"/>
                  <w:vAlign w:val="center"/>
                </w:tcPr>
                <w:p w14:paraId="401CA694">
                  <w:pPr>
                    <w:pStyle w:val="71"/>
                    <w:rPr>
                      <w:rFonts w:hint="eastAsia"/>
                      <w:color w:val="auto"/>
                    </w:rPr>
                  </w:pPr>
                </w:p>
              </w:tc>
            </w:tr>
            <w:tr w14:paraId="3EEAA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2" w:type="dxa"/>
                  <w:gridSpan w:val="6"/>
                  <w:vAlign w:val="center"/>
                </w:tcPr>
                <w:p w14:paraId="39096058">
                  <w:pPr>
                    <w:pStyle w:val="71"/>
                    <w:rPr>
                      <w:rFonts w:hint="eastAsia"/>
                      <w:lang w:val="en-US" w:eastAsia="zh-CN"/>
                    </w:rPr>
                  </w:pPr>
                  <w:r>
                    <w:rPr>
                      <w:rFonts w:hint="eastAsia"/>
                      <w:lang w:val="en-US" w:eastAsia="zh-CN"/>
                    </w:rPr>
                    <w:t>能源</w:t>
                  </w:r>
                </w:p>
              </w:tc>
            </w:tr>
            <w:tr w14:paraId="627D9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7314DA02">
                  <w:pPr>
                    <w:pStyle w:val="71"/>
                    <w:rPr>
                      <w:rFonts w:hint="default"/>
                      <w:sz w:val="18"/>
                      <w:szCs w:val="18"/>
                      <w:lang w:val="en-US" w:eastAsia="zh-CN"/>
                    </w:rPr>
                  </w:pPr>
                  <w:r>
                    <w:rPr>
                      <w:rFonts w:hint="eastAsia"/>
                      <w:sz w:val="18"/>
                      <w:szCs w:val="18"/>
                      <w:lang w:val="en-US" w:eastAsia="zh-CN"/>
                    </w:rPr>
                    <w:t>1</w:t>
                  </w:r>
                </w:p>
              </w:tc>
              <w:tc>
                <w:tcPr>
                  <w:tcW w:w="1664" w:type="dxa"/>
                  <w:vAlign w:val="center"/>
                </w:tcPr>
                <w:p w14:paraId="4C9E5FAB">
                  <w:pPr>
                    <w:pStyle w:val="71"/>
                    <w:ind w:firstLine="0" w:firstLineChars="0"/>
                    <w:rPr>
                      <w:rFonts w:hint="default"/>
                      <w:sz w:val="18"/>
                      <w:szCs w:val="18"/>
                      <w:lang w:val="en-US" w:eastAsia="zh-CN"/>
                    </w:rPr>
                  </w:pPr>
                  <w:r>
                    <w:rPr>
                      <w:rFonts w:hint="eastAsia"/>
                      <w:sz w:val="18"/>
                      <w:szCs w:val="18"/>
                      <w:lang w:val="en-US" w:eastAsia="zh-CN"/>
                    </w:rPr>
                    <w:t>水</w:t>
                  </w:r>
                </w:p>
              </w:tc>
              <w:tc>
                <w:tcPr>
                  <w:tcW w:w="1536" w:type="dxa"/>
                  <w:vAlign w:val="center"/>
                </w:tcPr>
                <w:p w14:paraId="1A510311">
                  <w:pPr>
                    <w:pStyle w:val="71"/>
                    <w:rPr>
                      <w:color w:val="auto"/>
                      <w:lang w:eastAsia="zh-CN"/>
                    </w:rPr>
                  </w:pP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791" w:type="dxa"/>
                  <w:vAlign w:val="center"/>
                </w:tcPr>
                <w:p w14:paraId="471DAC0A">
                  <w:pPr>
                    <w:pStyle w:val="71"/>
                    <w:rPr>
                      <w:rFonts w:hint="default"/>
                      <w:color w:val="auto"/>
                      <w:lang w:val="en-US" w:eastAsia="zh-CN"/>
                    </w:rPr>
                  </w:pPr>
                  <w:r>
                    <w:rPr>
                      <w:rFonts w:hint="eastAsia"/>
                      <w:color w:val="auto"/>
                      <w:lang w:val="en-US" w:eastAsia="zh-CN"/>
                    </w:rPr>
                    <w:t>1500</w:t>
                  </w:r>
                </w:p>
              </w:tc>
              <w:tc>
                <w:tcPr>
                  <w:tcW w:w="1791" w:type="dxa"/>
                  <w:vAlign w:val="center"/>
                </w:tcPr>
                <w:p w14:paraId="36D939E8">
                  <w:pPr>
                    <w:pStyle w:val="71"/>
                    <w:rPr>
                      <w:rFonts w:hint="eastAsia"/>
                      <w:color w:val="auto"/>
                      <w:lang w:eastAsia="zh-CN"/>
                    </w:rPr>
                  </w:pPr>
                  <w:r>
                    <w:rPr>
                      <w:rFonts w:hint="eastAsia" w:cs="Times New Roman"/>
                      <w:color w:val="auto"/>
                      <w:szCs w:val="21"/>
                      <w:lang w:val="en-US" w:eastAsia="zh-CN"/>
                    </w:rPr>
                    <w:t>地下</w:t>
                  </w:r>
                  <w:r>
                    <w:rPr>
                      <w:rFonts w:hint="default" w:ascii="Times New Roman" w:hAnsi="Times New Roman" w:cs="Times New Roman"/>
                      <w:color w:val="auto"/>
                      <w:szCs w:val="21"/>
                      <w:lang w:val="en-US" w:eastAsia="zh-CN"/>
                    </w:rPr>
                    <w:t>水井</w:t>
                  </w:r>
                </w:p>
              </w:tc>
              <w:tc>
                <w:tcPr>
                  <w:tcW w:w="2544" w:type="dxa"/>
                  <w:vAlign w:val="center"/>
                </w:tcPr>
                <w:p w14:paraId="1E1A4CD5">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r>
            <w:tr w14:paraId="6B7A1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6" w:type="dxa"/>
                  <w:vAlign w:val="center"/>
                </w:tcPr>
                <w:p w14:paraId="0F1E59F9">
                  <w:pPr>
                    <w:pStyle w:val="71"/>
                    <w:rPr>
                      <w:rFonts w:hint="default"/>
                      <w:sz w:val="18"/>
                      <w:szCs w:val="18"/>
                      <w:lang w:val="en-US" w:eastAsia="zh-CN"/>
                    </w:rPr>
                  </w:pPr>
                  <w:r>
                    <w:rPr>
                      <w:rFonts w:hint="eastAsia"/>
                      <w:sz w:val="18"/>
                      <w:szCs w:val="18"/>
                      <w:lang w:val="en-US" w:eastAsia="zh-CN"/>
                    </w:rPr>
                    <w:t>2</w:t>
                  </w:r>
                </w:p>
              </w:tc>
              <w:tc>
                <w:tcPr>
                  <w:tcW w:w="1664" w:type="dxa"/>
                  <w:vAlign w:val="center"/>
                </w:tcPr>
                <w:p w14:paraId="20606415">
                  <w:pPr>
                    <w:pStyle w:val="71"/>
                    <w:ind w:firstLine="0" w:firstLineChars="0"/>
                    <w:rPr>
                      <w:rFonts w:hint="default"/>
                      <w:sz w:val="18"/>
                      <w:szCs w:val="18"/>
                      <w:lang w:val="en-US" w:eastAsia="zh-CN"/>
                    </w:rPr>
                  </w:pPr>
                  <w:r>
                    <w:rPr>
                      <w:rFonts w:hint="eastAsia"/>
                      <w:sz w:val="18"/>
                      <w:szCs w:val="18"/>
                      <w:lang w:val="en-US" w:eastAsia="zh-CN"/>
                    </w:rPr>
                    <w:t>电</w:t>
                  </w:r>
                </w:p>
              </w:tc>
              <w:tc>
                <w:tcPr>
                  <w:tcW w:w="1536" w:type="dxa"/>
                  <w:vAlign w:val="center"/>
                </w:tcPr>
                <w:p w14:paraId="6D53F71B">
                  <w:pPr>
                    <w:pStyle w:val="71"/>
                    <w:rPr>
                      <w:color w:val="auto"/>
                      <w:lang w:eastAsia="zh-CN"/>
                    </w:rPr>
                  </w:pPr>
                  <w:r>
                    <w:rPr>
                      <w:rFonts w:hint="default" w:ascii="Times New Roman" w:hAnsi="Times New Roman" w:eastAsia="宋体" w:cs="Times New Roman"/>
                      <w:color w:val="auto"/>
                      <w:szCs w:val="21"/>
                    </w:rPr>
                    <w:t>kW·h/a</w:t>
                  </w:r>
                </w:p>
              </w:tc>
              <w:tc>
                <w:tcPr>
                  <w:tcW w:w="1791" w:type="dxa"/>
                  <w:vAlign w:val="center"/>
                </w:tcPr>
                <w:p w14:paraId="009489DB">
                  <w:pPr>
                    <w:pStyle w:val="71"/>
                    <w:rPr>
                      <w:rFonts w:hint="eastAsia"/>
                      <w:color w:val="auto"/>
                      <w:lang w:eastAsia="zh-CN"/>
                    </w:rPr>
                  </w:pPr>
                  <w:r>
                    <w:rPr>
                      <w:rFonts w:hint="eastAsia" w:cs="Times New Roman"/>
                      <w:color w:val="auto"/>
                      <w:szCs w:val="21"/>
                      <w:lang w:val="en-US" w:eastAsia="zh-CN"/>
                    </w:rPr>
                    <w:t>1</w:t>
                  </w:r>
                  <w:r>
                    <w:rPr>
                      <w:rFonts w:hint="default" w:ascii="Times New Roman" w:hAnsi="Times New Roman" w:cs="Times New Roman"/>
                      <w:color w:val="auto"/>
                      <w:szCs w:val="21"/>
                      <w:lang w:val="en-US" w:eastAsia="zh-CN"/>
                    </w:rPr>
                    <w:t>0</w:t>
                  </w:r>
                  <w:r>
                    <w:rPr>
                      <w:rFonts w:hint="default" w:ascii="Times New Roman" w:hAnsi="Times New Roman" w:eastAsia="宋体" w:cs="Times New Roman"/>
                      <w:color w:val="auto"/>
                      <w:szCs w:val="21"/>
                    </w:rPr>
                    <w:t>万</w:t>
                  </w:r>
                </w:p>
              </w:tc>
              <w:tc>
                <w:tcPr>
                  <w:tcW w:w="1791" w:type="dxa"/>
                  <w:vAlign w:val="center"/>
                </w:tcPr>
                <w:p w14:paraId="38A33AB1">
                  <w:pPr>
                    <w:pStyle w:val="71"/>
                    <w:rPr>
                      <w:rFonts w:hint="eastAsia"/>
                      <w:color w:val="auto"/>
                      <w:lang w:eastAsia="zh-CN"/>
                    </w:rPr>
                  </w:pPr>
                  <w:r>
                    <w:rPr>
                      <w:rFonts w:hint="default" w:ascii="Times New Roman" w:hAnsi="Times New Roman" w:cs="Times New Roman"/>
                      <w:color w:val="auto"/>
                      <w:szCs w:val="21"/>
                      <w:lang w:val="en-US" w:eastAsia="zh-CN"/>
                    </w:rPr>
                    <w:t>当地电网</w:t>
                  </w:r>
                </w:p>
              </w:tc>
              <w:tc>
                <w:tcPr>
                  <w:tcW w:w="2544" w:type="dxa"/>
                  <w:vAlign w:val="center"/>
                </w:tcPr>
                <w:p w14:paraId="35C50513">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r>
          </w:tbl>
          <w:p w14:paraId="6B4F154B">
            <w:pPr>
              <w:pStyle w:val="27"/>
              <w:rPr>
                <w:rFonts w:hint="default"/>
              </w:rPr>
            </w:pPr>
          </w:p>
          <w:p w14:paraId="12250E2A">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2、主要设备</w:t>
            </w:r>
          </w:p>
          <w:p w14:paraId="0DD55C51">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本项目生产中使用的主要设备见下表。</w:t>
            </w:r>
          </w:p>
          <w:p w14:paraId="1716DD15">
            <w:pPr>
              <w:spacing w:line="360" w:lineRule="auto"/>
              <w:ind w:firstLine="48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表1-</w:t>
            </w:r>
            <w:r>
              <w:rPr>
                <w:rFonts w:hint="eastAsia" w:cs="Times New Roman"/>
                <w:b/>
                <w:bCs/>
                <w:color w:val="auto"/>
                <w:szCs w:val="21"/>
                <w:lang w:val="en-US" w:eastAsia="zh-CN"/>
              </w:rPr>
              <w:t>14</w:t>
            </w:r>
            <w:r>
              <w:rPr>
                <w:rFonts w:hint="default" w:ascii="Times New Roman" w:hAnsi="Times New Roman" w:eastAsia="宋体" w:cs="Times New Roman"/>
                <w:b/>
                <w:bCs/>
                <w:color w:val="auto"/>
                <w:szCs w:val="21"/>
              </w:rPr>
              <w:t xml:space="preserve">  主要生产设备一览表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500"/>
              <w:gridCol w:w="799"/>
              <w:gridCol w:w="3658"/>
              <w:gridCol w:w="1948"/>
            </w:tblGrid>
            <w:tr w14:paraId="4F1E8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720149D8">
                  <w:pPr>
                    <w:pStyle w:val="71"/>
                    <w:rPr>
                      <w:lang w:eastAsia="zh-CN"/>
                    </w:rPr>
                  </w:pPr>
                  <w:r>
                    <w:rPr>
                      <w:rFonts w:hint="eastAsia"/>
                      <w:lang w:eastAsia="zh-CN"/>
                    </w:rPr>
                    <w:t>序号</w:t>
                  </w:r>
                </w:p>
              </w:tc>
              <w:tc>
                <w:tcPr>
                  <w:tcW w:w="1255" w:type="pct"/>
                  <w:shd w:val="clear" w:color="auto" w:fill="auto"/>
                  <w:vAlign w:val="center"/>
                </w:tcPr>
                <w:p w14:paraId="491C892D">
                  <w:pPr>
                    <w:pStyle w:val="71"/>
                    <w:rPr>
                      <w:lang w:eastAsia="zh-CN"/>
                    </w:rPr>
                  </w:pPr>
                  <w:r>
                    <w:rPr>
                      <w:rFonts w:hint="eastAsia"/>
                      <w:lang w:eastAsia="zh-CN"/>
                    </w:rPr>
                    <w:t>设备名称</w:t>
                  </w:r>
                </w:p>
              </w:tc>
              <w:tc>
                <w:tcPr>
                  <w:tcW w:w="401" w:type="pct"/>
                  <w:shd w:val="clear" w:color="auto" w:fill="auto"/>
                  <w:vAlign w:val="center"/>
                </w:tcPr>
                <w:p w14:paraId="59ED8D02">
                  <w:pPr>
                    <w:pStyle w:val="71"/>
                    <w:rPr>
                      <w:lang w:eastAsia="zh-CN"/>
                    </w:rPr>
                  </w:pPr>
                  <w:r>
                    <w:rPr>
                      <w:rFonts w:hint="eastAsia"/>
                      <w:lang w:eastAsia="zh-CN"/>
                    </w:rPr>
                    <w:t>单位</w:t>
                  </w:r>
                </w:p>
              </w:tc>
              <w:tc>
                <w:tcPr>
                  <w:tcW w:w="1836" w:type="pct"/>
                  <w:shd w:val="clear" w:color="auto" w:fill="auto"/>
                  <w:vAlign w:val="center"/>
                </w:tcPr>
                <w:p w14:paraId="3FCB3F40">
                  <w:pPr>
                    <w:pStyle w:val="71"/>
                    <w:rPr>
                      <w:lang w:eastAsia="zh-CN"/>
                    </w:rPr>
                  </w:pPr>
                  <w:r>
                    <w:rPr>
                      <w:rFonts w:hint="eastAsia"/>
                      <w:lang w:eastAsia="zh-CN"/>
                    </w:rPr>
                    <w:t>用途/型号</w:t>
                  </w:r>
                </w:p>
              </w:tc>
              <w:tc>
                <w:tcPr>
                  <w:tcW w:w="978" w:type="pct"/>
                  <w:shd w:val="clear" w:color="auto" w:fill="auto"/>
                  <w:vAlign w:val="center"/>
                </w:tcPr>
                <w:p w14:paraId="459C77B9">
                  <w:pPr>
                    <w:pStyle w:val="71"/>
                    <w:rPr>
                      <w:lang w:eastAsia="zh-CN"/>
                    </w:rPr>
                  </w:pPr>
                  <w:r>
                    <w:rPr>
                      <w:rFonts w:hint="eastAsia"/>
                      <w:lang w:eastAsia="zh-CN"/>
                    </w:rPr>
                    <w:t>数量</w:t>
                  </w:r>
                </w:p>
              </w:tc>
            </w:tr>
            <w:tr w14:paraId="1DD6B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20E2E227">
                  <w:pPr>
                    <w:pStyle w:val="71"/>
                    <w:rPr>
                      <w:lang w:eastAsia="zh-CN"/>
                    </w:rPr>
                  </w:pPr>
                  <w:r>
                    <w:rPr>
                      <w:lang w:eastAsia="zh-CN"/>
                    </w:rPr>
                    <w:t>1</w:t>
                  </w:r>
                </w:p>
              </w:tc>
              <w:tc>
                <w:tcPr>
                  <w:tcW w:w="1255" w:type="pct"/>
                  <w:shd w:val="clear" w:color="auto" w:fill="auto"/>
                  <w:vAlign w:val="center"/>
                </w:tcPr>
                <w:p w14:paraId="6AF68ABF">
                  <w:pPr>
                    <w:pStyle w:val="71"/>
                    <w:rPr>
                      <w:rFonts w:hint="default"/>
                      <w:lang w:val="en-US" w:eastAsia="zh-CN"/>
                    </w:rPr>
                  </w:pPr>
                  <w:r>
                    <w:rPr>
                      <w:rFonts w:hint="eastAsia"/>
                      <w:lang w:val="en-US" w:eastAsia="zh-CN"/>
                    </w:rPr>
                    <w:t>焊接机</w:t>
                  </w:r>
                </w:p>
              </w:tc>
              <w:tc>
                <w:tcPr>
                  <w:tcW w:w="401" w:type="pct"/>
                  <w:shd w:val="clear" w:color="auto" w:fill="auto"/>
                  <w:vAlign w:val="center"/>
                </w:tcPr>
                <w:p w14:paraId="56564954">
                  <w:pPr>
                    <w:pStyle w:val="71"/>
                    <w:rPr>
                      <w:lang w:eastAsia="zh-CN"/>
                    </w:rPr>
                  </w:pPr>
                  <w:r>
                    <w:rPr>
                      <w:rFonts w:hint="eastAsia"/>
                      <w:lang w:eastAsia="zh-CN"/>
                    </w:rPr>
                    <w:t>台</w:t>
                  </w:r>
                </w:p>
              </w:tc>
              <w:tc>
                <w:tcPr>
                  <w:tcW w:w="1836" w:type="pct"/>
                  <w:shd w:val="clear" w:color="auto" w:fill="auto"/>
                  <w:vAlign w:val="center"/>
                </w:tcPr>
                <w:p w14:paraId="61B62B40">
                  <w:pPr>
                    <w:pStyle w:val="71"/>
                    <w:rPr>
                      <w:rFonts w:hint="default"/>
                      <w:lang w:val="en-US" w:eastAsia="zh-CN"/>
                    </w:rPr>
                  </w:pPr>
                  <w:r>
                    <w:rPr>
                      <w:rFonts w:hint="eastAsia"/>
                      <w:lang w:val="en-US" w:eastAsia="zh-CN"/>
                    </w:rPr>
                    <w:t>31</w:t>
                  </w:r>
                </w:p>
              </w:tc>
              <w:tc>
                <w:tcPr>
                  <w:tcW w:w="978" w:type="pct"/>
                  <w:shd w:val="clear" w:color="auto" w:fill="auto"/>
                  <w:vAlign w:val="center"/>
                </w:tcPr>
                <w:p w14:paraId="596EF9B9">
                  <w:pPr>
                    <w:pStyle w:val="71"/>
                    <w:rPr>
                      <w:lang w:eastAsia="zh-CN"/>
                    </w:rPr>
                  </w:pPr>
                  <w:r>
                    <w:rPr>
                      <w:rFonts w:hint="eastAsia"/>
                      <w:lang w:val="en-US" w:eastAsia="zh-CN"/>
                    </w:rPr>
                    <w:t>5</w:t>
                  </w:r>
                </w:p>
              </w:tc>
            </w:tr>
            <w:tr w14:paraId="608F8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7DA0C4E9">
                  <w:pPr>
                    <w:pStyle w:val="71"/>
                    <w:rPr>
                      <w:lang w:eastAsia="zh-CN"/>
                    </w:rPr>
                  </w:pPr>
                  <w:r>
                    <w:rPr>
                      <w:lang w:eastAsia="zh-CN"/>
                    </w:rPr>
                    <w:t>2</w:t>
                  </w:r>
                </w:p>
              </w:tc>
              <w:tc>
                <w:tcPr>
                  <w:tcW w:w="1255" w:type="pct"/>
                  <w:shd w:val="clear" w:color="auto" w:fill="auto"/>
                  <w:vAlign w:val="center"/>
                </w:tcPr>
                <w:p w14:paraId="48A979FD">
                  <w:pPr>
                    <w:pStyle w:val="71"/>
                    <w:rPr>
                      <w:rFonts w:hint="default"/>
                      <w:lang w:val="en-US" w:eastAsia="zh-CN"/>
                    </w:rPr>
                  </w:pPr>
                  <w:r>
                    <w:rPr>
                      <w:rFonts w:hint="eastAsia"/>
                      <w:lang w:val="en-US" w:eastAsia="zh-CN"/>
                    </w:rPr>
                    <w:t>水泥筒仓</w:t>
                  </w:r>
                </w:p>
              </w:tc>
              <w:tc>
                <w:tcPr>
                  <w:tcW w:w="401" w:type="pct"/>
                  <w:shd w:val="clear" w:color="auto" w:fill="auto"/>
                  <w:vAlign w:val="center"/>
                </w:tcPr>
                <w:p w14:paraId="62F95D6E">
                  <w:pPr>
                    <w:pStyle w:val="71"/>
                    <w:rPr>
                      <w:lang w:eastAsia="zh-CN"/>
                    </w:rPr>
                  </w:pPr>
                  <w:r>
                    <w:rPr>
                      <w:rFonts w:hint="eastAsia"/>
                      <w:lang w:eastAsia="zh-CN"/>
                    </w:rPr>
                    <w:t>台</w:t>
                  </w:r>
                </w:p>
              </w:tc>
              <w:tc>
                <w:tcPr>
                  <w:tcW w:w="1836" w:type="pct"/>
                  <w:shd w:val="clear" w:color="auto" w:fill="auto"/>
                  <w:vAlign w:val="center"/>
                </w:tcPr>
                <w:p w14:paraId="65574007">
                  <w:pPr>
                    <w:pStyle w:val="71"/>
                    <w:rPr>
                      <w:rFonts w:hint="default"/>
                      <w:lang w:val="en-US" w:eastAsia="zh-CN"/>
                    </w:rPr>
                  </w:pPr>
                  <w:r>
                    <w:rPr>
                      <w:rFonts w:hint="eastAsia"/>
                      <w:lang w:val="en-US" w:eastAsia="zh-CN"/>
                    </w:rPr>
                    <w:t>100t</w:t>
                  </w:r>
                </w:p>
              </w:tc>
              <w:tc>
                <w:tcPr>
                  <w:tcW w:w="978" w:type="pct"/>
                  <w:shd w:val="clear" w:color="auto" w:fill="auto"/>
                  <w:vAlign w:val="center"/>
                </w:tcPr>
                <w:p w14:paraId="5CBC155F">
                  <w:pPr>
                    <w:pStyle w:val="71"/>
                    <w:rPr>
                      <w:lang w:eastAsia="zh-CN"/>
                    </w:rPr>
                  </w:pPr>
                  <w:r>
                    <w:rPr>
                      <w:rFonts w:hint="eastAsia"/>
                      <w:lang w:val="en-US" w:eastAsia="zh-CN"/>
                    </w:rPr>
                    <w:t>1</w:t>
                  </w:r>
                </w:p>
              </w:tc>
            </w:tr>
            <w:tr w14:paraId="502DC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099F29FC">
                  <w:pPr>
                    <w:pStyle w:val="71"/>
                    <w:rPr>
                      <w:lang w:eastAsia="zh-CN"/>
                    </w:rPr>
                  </w:pPr>
                  <w:r>
                    <w:rPr>
                      <w:lang w:eastAsia="zh-CN"/>
                    </w:rPr>
                    <w:t>3</w:t>
                  </w:r>
                </w:p>
              </w:tc>
              <w:tc>
                <w:tcPr>
                  <w:tcW w:w="1255" w:type="pct"/>
                  <w:shd w:val="clear" w:color="auto" w:fill="auto"/>
                  <w:vAlign w:val="center"/>
                </w:tcPr>
                <w:p w14:paraId="1129D908">
                  <w:pPr>
                    <w:pStyle w:val="71"/>
                    <w:rPr>
                      <w:rFonts w:hint="default"/>
                      <w:lang w:val="en-US" w:eastAsia="zh-CN"/>
                    </w:rPr>
                  </w:pPr>
                  <w:r>
                    <w:rPr>
                      <w:rFonts w:hint="eastAsia"/>
                      <w:lang w:val="en-US" w:eastAsia="zh-CN"/>
                    </w:rPr>
                    <w:t>钢筋调直切割机</w:t>
                  </w:r>
                </w:p>
              </w:tc>
              <w:tc>
                <w:tcPr>
                  <w:tcW w:w="401" w:type="pct"/>
                  <w:shd w:val="clear" w:color="auto" w:fill="auto"/>
                  <w:vAlign w:val="center"/>
                </w:tcPr>
                <w:p w14:paraId="43336C3E">
                  <w:pPr>
                    <w:pStyle w:val="71"/>
                    <w:rPr>
                      <w:lang w:eastAsia="zh-CN"/>
                    </w:rPr>
                  </w:pPr>
                  <w:r>
                    <w:rPr>
                      <w:rFonts w:hint="eastAsia"/>
                      <w:lang w:eastAsia="zh-CN"/>
                    </w:rPr>
                    <w:t>台</w:t>
                  </w:r>
                </w:p>
              </w:tc>
              <w:tc>
                <w:tcPr>
                  <w:tcW w:w="1836" w:type="pct"/>
                  <w:shd w:val="clear" w:color="auto" w:fill="auto"/>
                  <w:vAlign w:val="center"/>
                </w:tcPr>
                <w:p w14:paraId="794F11A5">
                  <w:pPr>
                    <w:pStyle w:val="71"/>
                    <w:rPr>
                      <w:lang w:eastAsia="zh-CN"/>
                    </w:rPr>
                  </w:pPr>
                  <w:r>
                    <w:rPr>
                      <w:rFonts w:hint="eastAsia"/>
                      <w:lang w:val="en-US" w:eastAsia="zh-CN"/>
                    </w:rPr>
                    <w:t>GT5-14BW</w:t>
                  </w:r>
                </w:p>
              </w:tc>
              <w:tc>
                <w:tcPr>
                  <w:tcW w:w="978" w:type="pct"/>
                  <w:shd w:val="clear" w:color="auto" w:fill="auto"/>
                  <w:vAlign w:val="center"/>
                </w:tcPr>
                <w:p w14:paraId="55D8B721">
                  <w:pPr>
                    <w:pStyle w:val="71"/>
                    <w:rPr>
                      <w:lang w:eastAsia="zh-CN"/>
                    </w:rPr>
                  </w:pPr>
                  <w:r>
                    <w:rPr>
                      <w:rFonts w:hint="eastAsia"/>
                      <w:lang w:val="en-US" w:eastAsia="zh-CN"/>
                    </w:rPr>
                    <w:t>1</w:t>
                  </w:r>
                </w:p>
              </w:tc>
            </w:tr>
            <w:tr w14:paraId="78850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2151C2F1">
                  <w:pPr>
                    <w:pStyle w:val="71"/>
                    <w:rPr>
                      <w:lang w:eastAsia="zh-CN"/>
                    </w:rPr>
                  </w:pPr>
                  <w:r>
                    <w:rPr>
                      <w:lang w:eastAsia="zh-CN"/>
                    </w:rPr>
                    <w:t>4</w:t>
                  </w:r>
                </w:p>
              </w:tc>
              <w:tc>
                <w:tcPr>
                  <w:tcW w:w="1255" w:type="pct"/>
                  <w:shd w:val="clear" w:color="auto" w:fill="auto"/>
                  <w:vAlign w:val="center"/>
                </w:tcPr>
                <w:p w14:paraId="68887B6E">
                  <w:pPr>
                    <w:pStyle w:val="71"/>
                    <w:rPr>
                      <w:lang w:eastAsia="zh-CN"/>
                    </w:rPr>
                  </w:pPr>
                  <w:r>
                    <w:rPr>
                      <w:rFonts w:hint="eastAsia"/>
                      <w:lang w:eastAsia="zh-CN"/>
                    </w:rPr>
                    <w:t>搅拌机</w:t>
                  </w:r>
                </w:p>
              </w:tc>
              <w:tc>
                <w:tcPr>
                  <w:tcW w:w="401" w:type="pct"/>
                  <w:shd w:val="clear" w:color="auto" w:fill="auto"/>
                  <w:vAlign w:val="center"/>
                </w:tcPr>
                <w:p w14:paraId="5B677EFA">
                  <w:pPr>
                    <w:pStyle w:val="71"/>
                    <w:rPr>
                      <w:lang w:eastAsia="zh-CN"/>
                    </w:rPr>
                  </w:pPr>
                  <w:r>
                    <w:rPr>
                      <w:rFonts w:hint="eastAsia"/>
                      <w:lang w:eastAsia="zh-CN"/>
                    </w:rPr>
                    <w:t>台</w:t>
                  </w:r>
                </w:p>
              </w:tc>
              <w:tc>
                <w:tcPr>
                  <w:tcW w:w="1836" w:type="pct"/>
                  <w:shd w:val="clear" w:color="auto" w:fill="auto"/>
                  <w:vAlign w:val="center"/>
                </w:tcPr>
                <w:p w14:paraId="2091CA76">
                  <w:pPr>
                    <w:pStyle w:val="71"/>
                    <w:rPr>
                      <w:lang w:eastAsia="zh-CN"/>
                    </w:rPr>
                  </w:pPr>
                  <w:r>
                    <w:rPr>
                      <w:rFonts w:hint="eastAsia"/>
                      <w:lang w:eastAsia="zh-CN"/>
                    </w:rPr>
                    <w:t>物料搅拌/JS50型</w:t>
                  </w:r>
                </w:p>
              </w:tc>
              <w:tc>
                <w:tcPr>
                  <w:tcW w:w="978" w:type="pct"/>
                  <w:shd w:val="clear" w:color="auto" w:fill="auto"/>
                  <w:vAlign w:val="center"/>
                </w:tcPr>
                <w:p w14:paraId="4FF1D3C4">
                  <w:pPr>
                    <w:pStyle w:val="71"/>
                    <w:rPr>
                      <w:lang w:eastAsia="zh-CN"/>
                    </w:rPr>
                  </w:pPr>
                  <w:r>
                    <w:rPr>
                      <w:lang w:eastAsia="zh-CN"/>
                    </w:rPr>
                    <w:t>1</w:t>
                  </w:r>
                </w:p>
              </w:tc>
            </w:tr>
            <w:tr w14:paraId="21433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6A42C60F">
                  <w:pPr>
                    <w:pStyle w:val="71"/>
                    <w:rPr>
                      <w:lang w:eastAsia="zh-CN"/>
                    </w:rPr>
                  </w:pPr>
                  <w:r>
                    <w:rPr>
                      <w:lang w:eastAsia="zh-CN"/>
                    </w:rPr>
                    <w:t>5</w:t>
                  </w:r>
                </w:p>
              </w:tc>
              <w:tc>
                <w:tcPr>
                  <w:tcW w:w="1255" w:type="pct"/>
                  <w:shd w:val="clear" w:color="auto" w:fill="auto"/>
                  <w:vAlign w:val="center"/>
                </w:tcPr>
                <w:p w14:paraId="0F963E98">
                  <w:pPr>
                    <w:pStyle w:val="71"/>
                    <w:rPr>
                      <w:rFonts w:hint="default"/>
                      <w:lang w:val="en-US" w:eastAsia="zh-CN"/>
                    </w:rPr>
                  </w:pPr>
                  <w:r>
                    <w:rPr>
                      <w:rFonts w:hint="eastAsia"/>
                      <w:lang w:eastAsia="zh-CN"/>
                    </w:rPr>
                    <w:t>配料</w:t>
                  </w:r>
                  <w:r>
                    <w:rPr>
                      <w:rFonts w:hint="eastAsia"/>
                      <w:lang w:val="en-US" w:eastAsia="zh-CN"/>
                    </w:rPr>
                    <w:t>提升斗</w:t>
                  </w:r>
                </w:p>
              </w:tc>
              <w:tc>
                <w:tcPr>
                  <w:tcW w:w="401" w:type="pct"/>
                  <w:shd w:val="clear" w:color="auto" w:fill="auto"/>
                  <w:vAlign w:val="center"/>
                </w:tcPr>
                <w:p w14:paraId="76447918">
                  <w:pPr>
                    <w:pStyle w:val="71"/>
                    <w:rPr>
                      <w:lang w:eastAsia="zh-CN"/>
                    </w:rPr>
                  </w:pPr>
                  <w:r>
                    <w:rPr>
                      <w:rFonts w:hint="eastAsia"/>
                      <w:lang w:eastAsia="zh-CN"/>
                    </w:rPr>
                    <w:t>套</w:t>
                  </w:r>
                </w:p>
              </w:tc>
              <w:tc>
                <w:tcPr>
                  <w:tcW w:w="1836" w:type="pct"/>
                  <w:shd w:val="clear" w:color="auto" w:fill="auto"/>
                  <w:vAlign w:val="center"/>
                </w:tcPr>
                <w:p w14:paraId="6D22683D">
                  <w:pPr>
                    <w:pStyle w:val="71"/>
                    <w:rPr>
                      <w:lang w:eastAsia="zh-CN"/>
                    </w:rPr>
                  </w:pPr>
                  <w:r>
                    <w:rPr>
                      <w:rFonts w:hint="eastAsia"/>
                      <w:lang w:eastAsia="zh-CN"/>
                    </w:rPr>
                    <w:t>物料配比</w:t>
                  </w:r>
                </w:p>
              </w:tc>
              <w:tc>
                <w:tcPr>
                  <w:tcW w:w="978" w:type="pct"/>
                  <w:shd w:val="clear" w:color="auto" w:fill="auto"/>
                  <w:vAlign w:val="center"/>
                </w:tcPr>
                <w:p w14:paraId="28C0F814">
                  <w:pPr>
                    <w:pStyle w:val="71"/>
                    <w:rPr>
                      <w:lang w:eastAsia="zh-CN"/>
                    </w:rPr>
                  </w:pPr>
                  <w:r>
                    <w:rPr>
                      <w:lang w:eastAsia="zh-CN"/>
                    </w:rPr>
                    <w:t>1</w:t>
                  </w:r>
                </w:p>
              </w:tc>
            </w:tr>
            <w:tr w14:paraId="4C502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46FD8298">
                  <w:pPr>
                    <w:pStyle w:val="71"/>
                    <w:rPr>
                      <w:lang w:eastAsia="zh-CN"/>
                    </w:rPr>
                  </w:pPr>
                  <w:r>
                    <w:rPr>
                      <w:rFonts w:hint="eastAsia"/>
                      <w:lang w:eastAsia="zh-CN"/>
                    </w:rPr>
                    <w:t>6</w:t>
                  </w:r>
                </w:p>
              </w:tc>
              <w:tc>
                <w:tcPr>
                  <w:tcW w:w="1255" w:type="pct"/>
                  <w:shd w:val="clear" w:color="auto" w:fill="auto"/>
                  <w:vAlign w:val="center"/>
                </w:tcPr>
                <w:p w14:paraId="0BE75BBB">
                  <w:pPr>
                    <w:pStyle w:val="71"/>
                    <w:rPr>
                      <w:lang w:eastAsia="zh-CN"/>
                    </w:rPr>
                  </w:pPr>
                  <w:r>
                    <w:rPr>
                      <w:rFonts w:hint="eastAsia"/>
                      <w:lang w:eastAsia="zh-CN"/>
                    </w:rPr>
                    <w:t>螺旋水泥输送带</w:t>
                  </w:r>
                </w:p>
              </w:tc>
              <w:tc>
                <w:tcPr>
                  <w:tcW w:w="401" w:type="pct"/>
                  <w:shd w:val="clear" w:color="auto" w:fill="auto"/>
                  <w:vAlign w:val="center"/>
                </w:tcPr>
                <w:p w14:paraId="34189A05">
                  <w:pPr>
                    <w:pStyle w:val="71"/>
                    <w:rPr>
                      <w:lang w:eastAsia="zh-CN"/>
                    </w:rPr>
                  </w:pPr>
                  <w:r>
                    <w:rPr>
                      <w:rFonts w:hint="eastAsia"/>
                      <w:lang w:eastAsia="zh-CN"/>
                    </w:rPr>
                    <w:t>条</w:t>
                  </w:r>
                </w:p>
              </w:tc>
              <w:tc>
                <w:tcPr>
                  <w:tcW w:w="1836" w:type="pct"/>
                  <w:shd w:val="clear" w:color="auto" w:fill="auto"/>
                  <w:vAlign w:val="center"/>
                </w:tcPr>
                <w:p w14:paraId="343285DC">
                  <w:pPr>
                    <w:pStyle w:val="71"/>
                    <w:rPr>
                      <w:lang w:eastAsia="zh-CN"/>
                    </w:rPr>
                  </w:pPr>
                  <w:r>
                    <w:rPr>
                      <w:rFonts w:hint="eastAsia"/>
                      <w:lang w:eastAsia="zh-CN"/>
                    </w:rPr>
                    <w:t>水泥输送</w:t>
                  </w:r>
                </w:p>
              </w:tc>
              <w:tc>
                <w:tcPr>
                  <w:tcW w:w="978" w:type="pct"/>
                  <w:shd w:val="clear" w:color="auto" w:fill="auto"/>
                  <w:vAlign w:val="center"/>
                </w:tcPr>
                <w:p w14:paraId="78154965">
                  <w:pPr>
                    <w:pStyle w:val="71"/>
                    <w:rPr>
                      <w:lang w:eastAsia="zh-CN"/>
                    </w:rPr>
                  </w:pPr>
                  <w:r>
                    <w:rPr>
                      <w:rFonts w:hint="eastAsia"/>
                      <w:lang w:val="en-US" w:eastAsia="zh-CN"/>
                    </w:rPr>
                    <w:t>1</w:t>
                  </w:r>
                </w:p>
              </w:tc>
            </w:tr>
            <w:tr w14:paraId="31167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0DE942E3">
                  <w:pPr>
                    <w:pStyle w:val="71"/>
                    <w:rPr>
                      <w:lang w:eastAsia="zh-CN"/>
                    </w:rPr>
                  </w:pPr>
                  <w:r>
                    <w:rPr>
                      <w:rFonts w:hint="eastAsia"/>
                      <w:lang w:eastAsia="zh-CN"/>
                    </w:rPr>
                    <w:t>7</w:t>
                  </w:r>
                </w:p>
              </w:tc>
              <w:tc>
                <w:tcPr>
                  <w:tcW w:w="1255" w:type="pct"/>
                  <w:shd w:val="clear" w:color="auto" w:fill="auto"/>
                  <w:vAlign w:val="center"/>
                </w:tcPr>
                <w:p w14:paraId="04EA0459">
                  <w:pPr>
                    <w:pStyle w:val="71"/>
                    <w:rPr>
                      <w:lang w:eastAsia="zh-CN"/>
                    </w:rPr>
                  </w:pPr>
                  <w:r>
                    <w:rPr>
                      <w:rFonts w:hint="eastAsia"/>
                      <w:lang w:eastAsia="zh-CN"/>
                    </w:rPr>
                    <w:t>水泥称</w:t>
                  </w:r>
                </w:p>
              </w:tc>
              <w:tc>
                <w:tcPr>
                  <w:tcW w:w="401" w:type="pct"/>
                  <w:shd w:val="clear" w:color="auto" w:fill="auto"/>
                  <w:vAlign w:val="center"/>
                </w:tcPr>
                <w:p w14:paraId="66E35334">
                  <w:pPr>
                    <w:pStyle w:val="71"/>
                    <w:rPr>
                      <w:lang w:eastAsia="zh-CN"/>
                    </w:rPr>
                  </w:pPr>
                  <w:r>
                    <w:rPr>
                      <w:rFonts w:hint="eastAsia"/>
                      <w:lang w:eastAsia="zh-CN"/>
                    </w:rPr>
                    <w:t>台</w:t>
                  </w:r>
                </w:p>
              </w:tc>
              <w:tc>
                <w:tcPr>
                  <w:tcW w:w="1836" w:type="pct"/>
                  <w:shd w:val="clear" w:color="auto" w:fill="auto"/>
                  <w:vAlign w:val="center"/>
                </w:tcPr>
                <w:p w14:paraId="1B7F5C16">
                  <w:pPr>
                    <w:pStyle w:val="71"/>
                    <w:rPr>
                      <w:lang w:eastAsia="zh-CN"/>
                    </w:rPr>
                  </w:pPr>
                  <w:r>
                    <w:rPr>
                      <w:rFonts w:hint="eastAsia"/>
                      <w:lang w:eastAsia="zh-CN"/>
                    </w:rPr>
                    <w:t>水泥称重</w:t>
                  </w:r>
                </w:p>
              </w:tc>
              <w:tc>
                <w:tcPr>
                  <w:tcW w:w="978" w:type="pct"/>
                  <w:shd w:val="clear" w:color="auto" w:fill="auto"/>
                  <w:vAlign w:val="center"/>
                </w:tcPr>
                <w:p w14:paraId="69A9AD65">
                  <w:pPr>
                    <w:pStyle w:val="71"/>
                    <w:rPr>
                      <w:lang w:eastAsia="zh-CN"/>
                    </w:rPr>
                  </w:pPr>
                  <w:r>
                    <w:rPr>
                      <w:lang w:eastAsia="zh-CN"/>
                    </w:rPr>
                    <w:t>1</w:t>
                  </w:r>
                </w:p>
              </w:tc>
            </w:tr>
            <w:tr w14:paraId="7DB30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64DC1E7C">
                  <w:pPr>
                    <w:pStyle w:val="71"/>
                    <w:rPr>
                      <w:lang w:eastAsia="zh-CN"/>
                    </w:rPr>
                  </w:pPr>
                  <w:r>
                    <w:rPr>
                      <w:lang w:eastAsia="zh-CN"/>
                    </w:rPr>
                    <w:t>8</w:t>
                  </w:r>
                </w:p>
              </w:tc>
              <w:tc>
                <w:tcPr>
                  <w:tcW w:w="1255" w:type="pct"/>
                  <w:shd w:val="clear" w:color="auto" w:fill="auto"/>
                  <w:vAlign w:val="center"/>
                </w:tcPr>
                <w:p w14:paraId="37BD800C">
                  <w:pPr>
                    <w:pStyle w:val="71"/>
                    <w:rPr>
                      <w:lang w:eastAsia="zh-CN"/>
                    </w:rPr>
                  </w:pPr>
                  <w:r>
                    <w:rPr>
                      <w:rFonts w:hint="eastAsia"/>
                      <w:lang w:eastAsia="zh-CN"/>
                    </w:rPr>
                    <w:t>布袋除尘器</w:t>
                  </w:r>
                </w:p>
              </w:tc>
              <w:tc>
                <w:tcPr>
                  <w:tcW w:w="401" w:type="pct"/>
                  <w:shd w:val="clear" w:color="auto" w:fill="auto"/>
                  <w:vAlign w:val="center"/>
                </w:tcPr>
                <w:p w14:paraId="121093BB">
                  <w:pPr>
                    <w:pStyle w:val="71"/>
                    <w:rPr>
                      <w:lang w:eastAsia="zh-CN"/>
                    </w:rPr>
                  </w:pPr>
                  <w:r>
                    <w:rPr>
                      <w:rFonts w:hint="eastAsia"/>
                      <w:lang w:eastAsia="zh-CN"/>
                    </w:rPr>
                    <w:t>台</w:t>
                  </w:r>
                </w:p>
              </w:tc>
              <w:tc>
                <w:tcPr>
                  <w:tcW w:w="1836" w:type="pct"/>
                  <w:shd w:val="clear" w:color="auto" w:fill="auto"/>
                  <w:vAlign w:val="center"/>
                </w:tcPr>
                <w:p w14:paraId="563C2604">
                  <w:pPr>
                    <w:pStyle w:val="71"/>
                    <w:rPr>
                      <w:lang w:eastAsia="zh-CN"/>
                    </w:rPr>
                  </w:pPr>
                  <w:r>
                    <w:rPr>
                      <w:rFonts w:hint="eastAsia"/>
                      <w:lang w:eastAsia="zh-CN"/>
                    </w:rPr>
                    <w:t>除尘/</w:t>
                  </w:r>
                  <w:r>
                    <w:rPr>
                      <w:rFonts w:hint="eastAsia"/>
                      <w:lang w:val="en-US" w:eastAsia="zh-CN"/>
                    </w:rPr>
                    <w:t>10</w:t>
                  </w:r>
                  <w:r>
                    <w:rPr>
                      <w:rFonts w:hint="eastAsia"/>
                      <w:lang w:eastAsia="zh-CN"/>
                    </w:rPr>
                    <w:t>000m</w:t>
                  </w:r>
                  <w:r>
                    <w:rPr>
                      <w:rFonts w:hint="eastAsia"/>
                      <w:vertAlign w:val="superscript"/>
                      <w:lang w:eastAsia="zh-CN"/>
                    </w:rPr>
                    <w:t>3</w:t>
                  </w:r>
                  <w:r>
                    <w:rPr>
                      <w:rFonts w:hint="eastAsia"/>
                      <w:lang w:eastAsia="zh-CN"/>
                    </w:rPr>
                    <w:t>/h</w:t>
                  </w:r>
                </w:p>
              </w:tc>
              <w:tc>
                <w:tcPr>
                  <w:tcW w:w="978" w:type="pct"/>
                  <w:shd w:val="clear" w:color="auto" w:fill="auto"/>
                  <w:vAlign w:val="center"/>
                </w:tcPr>
                <w:p w14:paraId="79EE3374">
                  <w:pPr>
                    <w:pStyle w:val="71"/>
                    <w:rPr>
                      <w:lang w:eastAsia="zh-CN"/>
                    </w:rPr>
                  </w:pPr>
                  <w:r>
                    <w:rPr>
                      <w:lang w:eastAsia="zh-CN"/>
                    </w:rPr>
                    <w:t>1</w:t>
                  </w:r>
                </w:p>
              </w:tc>
            </w:tr>
            <w:tr w14:paraId="44E11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303095D9">
                  <w:pPr>
                    <w:pStyle w:val="71"/>
                    <w:rPr>
                      <w:lang w:eastAsia="zh-CN"/>
                    </w:rPr>
                  </w:pPr>
                  <w:r>
                    <w:rPr>
                      <w:lang w:eastAsia="zh-CN"/>
                    </w:rPr>
                    <w:t>9</w:t>
                  </w:r>
                </w:p>
              </w:tc>
              <w:tc>
                <w:tcPr>
                  <w:tcW w:w="1255" w:type="pct"/>
                  <w:shd w:val="clear" w:color="auto" w:fill="auto"/>
                  <w:vAlign w:val="center"/>
                </w:tcPr>
                <w:p w14:paraId="5D0D7861">
                  <w:pPr>
                    <w:pStyle w:val="71"/>
                    <w:rPr>
                      <w:lang w:eastAsia="zh-CN"/>
                    </w:rPr>
                  </w:pPr>
                  <w:r>
                    <w:rPr>
                      <w:rFonts w:hint="eastAsia"/>
                      <w:lang w:eastAsia="zh-CN"/>
                    </w:rPr>
                    <w:t>高刚雕刻模具</w:t>
                  </w:r>
                </w:p>
              </w:tc>
              <w:tc>
                <w:tcPr>
                  <w:tcW w:w="401" w:type="pct"/>
                  <w:shd w:val="clear" w:color="auto" w:fill="auto"/>
                  <w:vAlign w:val="center"/>
                </w:tcPr>
                <w:p w14:paraId="24E65765">
                  <w:pPr>
                    <w:pStyle w:val="71"/>
                    <w:rPr>
                      <w:lang w:eastAsia="zh-CN"/>
                    </w:rPr>
                  </w:pPr>
                  <w:r>
                    <w:rPr>
                      <w:rFonts w:hint="eastAsia"/>
                      <w:lang w:eastAsia="zh-CN"/>
                    </w:rPr>
                    <w:t>套</w:t>
                  </w:r>
                </w:p>
              </w:tc>
              <w:tc>
                <w:tcPr>
                  <w:tcW w:w="1836" w:type="pct"/>
                  <w:shd w:val="clear" w:color="auto" w:fill="auto"/>
                  <w:vAlign w:val="center"/>
                </w:tcPr>
                <w:p w14:paraId="54D99A4B">
                  <w:pPr>
                    <w:pStyle w:val="71"/>
                    <w:rPr>
                      <w:lang w:eastAsia="zh-CN"/>
                    </w:rPr>
                  </w:pPr>
                  <w:r>
                    <w:rPr>
                      <w:rFonts w:hint="eastAsia"/>
                      <w:lang w:eastAsia="zh-CN"/>
                    </w:rPr>
                    <w:t>模具/JD-3000</w:t>
                  </w:r>
                </w:p>
              </w:tc>
              <w:tc>
                <w:tcPr>
                  <w:tcW w:w="978" w:type="pct"/>
                  <w:shd w:val="clear" w:color="auto" w:fill="auto"/>
                  <w:vAlign w:val="center"/>
                </w:tcPr>
                <w:p w14:paraId="0F5451EB">
                  <w:pPr>
                    <w:pStyle w:val="71"/>
                    <w:rPr>
                      <w:rFonts w:hint="default"/>
                      <w:lang w:val="en-US" w:eastAsia="zh-CN"/>
                    </w:rPr>
                  </w:pPr>
                  <w:r>
                    <w:rPr>
                      <w:rFonts w:hint="eastAsia"/>
                      <w:lang w:val="en-US" w:eastAsia="zh-CN"/>
                    </w:rPr>
                    <w:t>2</w:t>
                  </w:r>
                </w:p>
              </w:tc>
            </w:tr>
            <w:tr w14:paraId="684AC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32BA2E54">
                  <w:pPr>
                    <w:pStyle w:val="71"/>
                    <w:rPr>
                      <w:lang w:eastAsia="zh-CN"/>
                    </w:rPr>
                  </w:pPr>
                  <w:r>
                    <w:rPr>
                      <w:lang w:eastAsia="zh-CN"/>
                    </w:rPr>
                    <w:t>10</w:t>
                  </w:r>
                </w:p>
              </w:tc>
              <w:tc>
                <w:tcPr>
                  <w:tcW w:w="1255" w:type="pct"/>
                  <w:shd w:val="clear" w:color="auto" w:fill="auto"/>
                  <w:vAlign w:val="center"/>
                </w:tcPr>
                <w:p w14:paraId="5B2B81A0">
                  <w:pPr>
                    <w:pStyle w:val="71"/>
                    <w:rPr>
                      <w:lang w:eastAsia="zh-CN"/>
                    </w:rPr>
                  </w:pPr>
                  <w:r>
                    <w:rPr>
                      <w:rFonts w:hint="eastAsia"/>
                      <w:lang w:eastAsia="zh-CN"/>
                    </w:rPr>
                    <w:t>运输漏粪板装置、漏粪板反转装置、</w:t>
                  </w:r>
                  <w:r>
                    <w:rPr>
                      <w:rFonts w:hint="eastAsia"/>
                      <w:lang w:val="en-US" w:eastAsia="zh-CN"/>
                    </w:rPr>
                    <w:t>地轨</w:t>
                  </w:r>
                  <w:r>
                    <w:rPr>
                      <w:rFonts w:hint="eastAsia"/>
                      <w:lang w:eastAsia="zh-CN"/>
                    </w:rPr>
                    <w:t>、道轨立柱、平衡装置、成品板码垛系统等</w:t>
                  </w:r>
                </w:p>
              </w:tc>
              <w:tc>
                <w:tcPr>
                  <w:tcW w:w="401" w:type="pct"/>
                  <w:shd w:val="clear" w:color="auto" w:fill="auto"/>
                  <w:vAlign w:val="center"/>
                </w:tcPr>
                <w:p w14:paraId="0E166A31">
                  <w:pPr>
                    <w:pStyle w:val="71"/>
                    <w:rPr>
                      <w:lang w:eastAsia="zh-CN"/>
                    </w:rPr>
                  </w:pPr>
                  <w:r>
                    <w:rPr>
                      <w:rFonts w:hint="eastAsia"/>
                      <w:lang w:eastAsia="zh-CN"/>
                    </w:rPr>
                    <w:t>套</w:t>
                  </w:r>
                </w:p>
              </w:tc>
              <w:tc>
                <w:tcPr>
                  <w:tcW w:w="1836" w:type="pct"/>
                  <w:shd w:val="clear" w:color="auto" w:fill="auto"/>
                  <w:vAlign w:val="center"/>
                </w:tcPr>
                <w:p w14:paraId="7BC97164">
                  <w:pPr>
                    <w:pStyle w:val="71"/>
                    <w:rPr>
                      <w:lang w:eastAsia="zh-CN"/>
                    </w:rPr>
                  </w:pPr>
                  <w:r>
                    <w:rPr>
                      <w:rFonts w:hint="eastAsia"/>
                      <w:lang w:eastAsia="zh-CN"/>
                    </w:rPr>
                    <w:t>漏粪板生产/JD-3000</w:t>
                  </w:r>
                </w:p>
              </w:tc>
              <w:tc>
                <w:tcPr>
                  <w:tcW w:w="978" w:type="pct"/>
                  <w:shd w:val="clear" w:color="auto" w:fill="auto"/>
                  <w:vAlign w:val="center"/>
                </w:tcPr>
                <w:p w14:paraId="6D66BD32">
                  <w:pPr>
                    <w:pStyle w:val="71"/>
                    <w:rPr>
                      <w:lang w:eastAsia="zh-CN"/>
                    </w:rPr>
                  </w:pPr>
                  <w:r>
                    <w:rPr>
                      <w:rFonts w:hint="eastAsia"/>
                      <w:lang w:val="en-US" w:eastAsia="zh-CN"/>
                    </w:rPr>
                    <w:t>2</w:t>
                  </w:r>
                </w:p>
              </w:tc>
            </w:tr>
            <w:tr w14:paraId="68389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1AB7553A">
                  <w:pPr>
                    <w:pStyle w:val="71"/>
                    <w:rPr>
                      <w:lang w:eastAsia="zh-CN"/>
                    </w:rPr>
                  </w:pPr>
                  <w:r>
                    <w:rPr>
                      <w:lang w:eastAsia="zh-CN"/>
                    </w:rPr>
                    <w:t>11</w:t>
                  </w:r>
                </w:p>
              </w:tc>
              <w:tc>
                <w:tcPr>
                  <w:tcW w:w="1255" w:type="pct"/>
                  <w:shd w:val="clear" w:color="auto" w:fill="auto"/>
                  <w:vAlign w:val="center"/>
                </w:tcPr>
                <w:p w14:paraId="14D86CD8">
                  <w:pPr>
                    <w:pStyle w:val="71"/>
                    <w:rPr>
                      <w:lang w:eastAsia="zh-CN"/>
                    </w:rPr>
                  </w:pPr>
                  <w:r>
                    <w:rPr>
                      <w:rFonts w:hint="eastAsia"/>
                      <w:lang w:eastAsia="zh-CN"/>
                    </w:rPr>
                    <w:t>漏粪板专用托盘</w:t>
                  </w:r>
                </w:p>
              </w:tc>
              <w:tc>
                <w:tcPr>
                  <w:tcW w:w="401" w:type="pct"/>
                  <w:shd w:val="clear" w:color="auto" w:fill="auto"/>
                  <w:vAlign w:val="center"/>
                </w:tcPr>
                <w:p w14:paraId="37BB819C">
                  <w:pPr>
                    <w:pStyle w:val="71"/>
                    <w:rPr>
                      <w:lang w:eastAsia="zh-CN"/>
                    </w:rPr>
                  </w:pPr>
                  <w:r>
                    <w:rPr>
                      <w:rFonts w:hint="eastAsia"/>
                      <w:lang w:eastAsia="zh-CN"/>
                    </w:rPr>
                    <w:t>个</w:t>
                  </w:r>
                </w:p>
              </w:tc>
              <w:tc>
                <w:tcPr>
                  <w:tcW w:w="1836" w:type="pct"/>
                  <w:shd w:val="clear" w:color="auto" w:fill="auto"/>
                  <w:vAlign w:val="center"/>
                </w:tcPr>
                <w:p w14:paraId="7BBCE58D">
                  <w:pPr>
                    <w:pStyle w:val="71"/>
                    <w:rPr>
                      <w:lang w:eastAsia="zh-CN"/>
                    </w:rPr>
                  </w:pPr>
                  <w:r>
                    <w:rPr>
                      <w:rFonts w:hint="eastAsia"/>
                      <w:lang w:eastAsia="zh-CN"/>
                    </w:rPr>
                    <w:t>每条生产线100-120个/ JD-3000</w:t>
                  </w:r>
                </w:p>
              </w:tc>
              <w:tc>
                <w:tcPr>
                  <w:tcW w:w="978" w:type="pct"/>
                  <w:shd w:val="clear" w:color="auto" w:fill="auto"/>
                  <w:vAlign w:val="center"/>
                </w:tcPr>
                <w:p w14:paraId="4B288A75">
                  <w:pPr>
                    <w:pStyle w:val="71"/>
                    <w:rPr>
                      <w:lang w:eastAsia="zh-CN"/>
                    </w:rPr>
                  </w:pPr>
                  <w:r>
                    <w:rPr>
                      <w:lang w:eastAsia="zh-CN"/>
                    </w:rPr>
                    <w:t>/</w:t>
                  </w:r>
                </w:p>
              </w:tc>
            </w:tr>
            <w:tr w14:paraId="772D5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590FC9AD">
                  <w:pPr>
                    <w:pStyle w:val="71"/>
                    <w:rPr>
                      <w:lang w:eastAsia="zh-CN"/>
                    </w:rPr>
                  </w:pPr>
                  <w:r>
                    <w:rPr>
                      <w:lang w:eastAsia="zh-CN"/>
                    </w:rPr>
                    <w:t>12</w:t>
                  </w:r>
                </w:p>
              </w:tc>
              <w:tc>
                <w:tcPr>
                  <w:tcW w:w="1255" w:type="pct"/>
                  <w:shd w:val="clear" w:color="auto" w:fill="auto"/>
                  <w:vAlign w:val="center"/>
                </w:tcPr>
                <w:p w14:paraId="78907B7E">
                  <w:pPr>
                    <w:pStyle w:val="71"/>
                    <w:rPr>
                      <w:lang w:eastAsia="zh-CN"/>
                    </w:rPr>
                  </w:pPr>
                  <w:r>
                    <w:rPr>
                      <w:rFonts w:hint="eastAsia"/>
                      <w:lang w:eastAsia="zh-CN"/>
                    </w:rPr>
                    <w:t>道轨、滑行母托、自动气缸等</w:t>
                  </w:r>
                </w:p>
              </w:tc>
              <w:tc>
                <w:tcPr>
                  <w:tcW w:w="401" w:type="pct"/>
                  <w:shd w:val="clear" w:color="auto" w:fill="auto"/>
                  <w:vAlign w:val="center"/>
                </w:tcPr>
                <w:p w14:paraId="5222694B">
                  <w:pPr>
                    <w:pStyle w:val="71"/>
                    <w:rPr>
                      <w:lang w:eastAsia="zh-CN"/>
                    </w:rPr>
                  </w:pPr>
                  <w:r>
                    <w:rPr>
                      <w:rFonts w:hint="eastAsia"/>
                      <w:lang w:eastAsia="zh-CN"/>
                    </w:rPr>
                    <w:t>套</w:t>
                  </w:r>
                </w:p>
              </w:tc>
              <w:tc>
                <w:tcPr>
                  <w:tcW w:w="1836" w:type="pct"/>
                  <w:shd w:val="clear" w:color="auto" w:fill="auto"/>
                  <w:vAlign w:val="center"/>
                </w:tcPr>
                <w:p w14:paraId="530BCD50">
                  <w:pPr>
                    <w:pStyle w:val="71"/>
                    <w:rPr>
                      <w:lang w:eastAsia="zh-CN"/>
                    </w:rPr>
                  </w:pPr>
                  <w:r>
                    <w:rPr>
                      <w:rFonts w:hint="eastAsia"/>
                      <w:lang w:eastAsia="zh-CN"/>
                    </w:rPr>
                    <w:t>自动地推/ JD-3000</w:t>
                  </w:r>
                </w:p>
              </w:tc>
              <w:tc>
                <w:tcPr>
                  <w:tcW w:w="978" w:type="pct"/>
                  <w:shd w:val="clear" w:color="auto" w:fill="auto"/>
                  <w:vAlign w:val="center"/>
                </w:tcPr>
                <w:p w14:paraId="714BC862">
                  <w:pPr>
                    <w:pStyle w:val="71"/>
                    <w:rPr>
                      <w:lang w:eastAsia="zh-CN"/>
                    </w:rPr>
                  </w:pPr>
                  <w:r>
                    <w:rPr>
                      <w:lang w:eastAsia="zh-CN"/>
                    </w:rPr>
                    <w:t>1</w:t>
                  </w:r>
                </w:p>
              </w:tc>
            </w:tr>
            <w:tr w14:paraId="35B59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19E958A8">
                  <w:pPr>
                    <w:pStyle w:val="71"/>
                    <w:rPr>
                      <w:lang w:eastAsia="zh-CN"/>
                    </w:rPr>
                  </w:pPr>
                  <w:r>
                    <w:rPr>
                      <w:lang w:eastAsia="zh-CN"/>
                    </w:rPr>
                    <w:t>13</w:t>
                  </w:r>
                </w:p>
              </w:tc>
              <w:tc>
                <w:tcPr>
                  <w:tcW w:w="1255" w:type="pct"/>
                  <w:shd w:val="clear" w:color="auto" w:fill="auto"/>
                  <w:vAlign w:val="center"/>
                </w:tcPr>
                <w:p w14:paraId="39F84CFC">
                  <w:pPr>
                    <w:pStyle w:val="71"/>
                    <w:rPr>
                      <w:lang w:eastAsia="zh-CN"/>
                    </w:rPr>
                  </w:pPr>
                  <w:r>
                    <w:rPr>
                      <w:rFonts w:hint="eastAsia"/>
                      <w:lang w:eastAsia="zh-CN"/>
                    </w:rPr>
                    <w:t>传输带</w:t>
                  </w:r>
                </w:p>
              </w:tc>
              <w:tc>
                <w:tcPr>
                  <w:tcW w:w="401" w:type="pct"/>
                  <w:shd w:val="clear" w:color="auto" w:fill="auto"/>
                  <w:vAlign w:val="center"/>
                </w:tcPr>
                <w:p w14:paraId="77B1D922">
                  <w:pPr>
                    <w:pStyle w:val="71"/>
                    <w:rPr>
                      <w:lang w:eastAsia="zh-CN"/>
                    </w:rPr>
                  </w:pPr>
                  <w:r>
                    <w:rPr>
                      <w:rFonts w:hint="eastAsia"/>
                      <w:lang w:eastAsia="zh-CN"/>
                    </w:rPr>
                    <w:t>条</w:t>
                  </w:r>
                </w:p>
              </w:tc>
              <w:tc>
                <w:tcPr>
                  <w:tcW w:w="1836" w:type="pct"/>
                  <w:shd w:val="clear" w:color="auto" w:fill="auto"/>
                  <w:vAlign w:val="center"/>
                </w:tcPr>
                <w:p w14:paraId="4019502A">
                  <w:pPr>
                    <w:pStyle w:val="71"/>
                    <w:rPr>
                      <w:lang w:eastAsia="zh-CN"/>
                    </w:rPr>
                  </w:pPr>
                  <w:r>
                    <w:rPr>
                      <w:rFonts w:hint="eastAsia"/>
                      <w:lang w:eastAsia="zh-CN"/>
                    </w:rPr>
                    <w:t>输送/ JD-3000</w:t>
                  </w:r>
                </w:p>
              </w:tc>
              <w:tc>
                <w:tcPr>
                  <w:tcW w:w="978" w:type="pct"/>
                  <w:shd w:val="clear" w:color="auto" w:fill="auto"/>
                  <w:vAlign w:val="center"/>
                </w:tcPr>
                <w:p w14:paraId="4541AF1B">
                  <w:pPr>
                    <w:pStyle w:val="71"/>
                    <w:rPr>
                      <w:lang w:eastAsia="zh-CN"/>
                    </w:rPr>
                  </w:pPr>
                  <w:r>
                    <w:rPr>
                      <w:rFonts w:hint="eastAsia"/>
                      <w:lang w:val="en-US" w:eastAsia="zh-CN"/>
                    </w:rPr>
                    <w:t>2</w:t>
                  </w:r>
                </w:p>
              </w:tc>
            </w:tr>
            <w:tr w14:paraId="10E01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23642BCA">
                  <w:pPr>
                    <w:pStyle w:val="71"/>
                    <w:rPr>
                      <w:lang w:eastAsia="zh-CN"/>
                    </w:rPr>
                  </w:pPr>
                  <w:r>
                    <w:rPr>
                      <w:lang w:eastAsia="zh-CN"/>
                    </w:rPr>
                    <w:t>14</w:t>
                  </w:r>
                </w:p>
              </w:tc>
              <w:tc>
                <w:tcPr>
                  <w:tcW w:w="1255" w:type="pct"/>
                  <w:shd w:val="clear" w:color="auto" w:fill="auto"/>
                  <w:vAlign w:val="center"/>
                </w:tcPr>
                <w:p w14:paraId="1B75A97A">
                  <w:pPr>
                    <w:pStyle w:val="71"/>
                    <w:rPr>
                      <w:lang w:eastAsia="zh-CN"/>
                    </w:rPr>
                  </w:pPr>
                  <w:r>
                    <w:rPr>
                      <w:rFonts w:hint="eastAsia"/>
                      <w:lang w:eastAsia="zh-CN"/>
                    </w:rPr>
                    <w:t>空压机</w:t>
                  </w:r>
                </w:p>
              </w:tc>
              <w:tc>
                <w:tcPr>
                  <w:tcW w:w="401" w:type="pct"/>
                  <w:shd w:val="clear" w:color="auto" w:fill="auto"/>
                  <w:vAlign w:val="center"/>
                </w:tcPr>
                <w:p w14:paraId="2CC329AD">
                  <w:pPr>
                    <w:pStyle w:val="71"/>
                    <w:rPr>
                      <w:lang w:eastAsia="zh-CN"/>
                    </w:rPr>
                  </w:pPr>
                  <w:r>
                    <w:rPr>
                      <w:rFonts w:hint="eastAsia"/>
                      <w:lang w:eastAsia="zh-CN"/>
                    </w:rPr>
                    <w:t>台</w:t>
                  </w:r>
                </w:p>
              </w:tc>
              <w:tc>
                <w:tcPr>
                  <w:tcW w:w="1836" w:type="pct"/>
                  <w:shd w:val="clear" w:color="auto" w:fill="auto"/>
                  <w:vAlign w:val="center"/>
                </w:tcPr>
                <w:p w14:paraId="5D4AB34A">
                  <w:pPr>
                    <w:pStyle w:val="71"/>
                    <w:rPr>
                      <w:lang w:eastAsia="zh-CN"/>
                    </w:rPr>
                  </w:pPr>
                  <w:r>
                    <w:rPr>
                      <w:rFonts w:hint="eastAsia"/>
                      <w:lang w:eastAsia="zh-CN"/>
                    </w:rPr>
                    <w:t>提供压缩空气</w:t>
                  </w:r>
                </w:p>
              </w:tc>
              <w:tc>
                <w:tcPr>
                  <w:tcW w:w="978" w:type="pct"/>
                  <w:shd w:val="clear" w:color="auto" w:fill="auto"/>
                  <w:vAlign w:val="center"/>
                </w:tcPr>
                <w:p w14:paraId="7854B9BA">
                  <w:pPr>
                    <w:pStyle w:val="71"/>
                    <w:rPr>
                      <w:lang w:eastAsia="zh-CN"/>
                    </w:rPr>
                  </w:pPr>
                  <w:r>
                    <w:rPr>
                      <w:lang w:eastAsia="zh-CN"/>
                    </w:rPr>
                    <w:t>1</w:t>
                  </w:r>
                </w:p>
              </w:tc>
            </w:tr>
            <w:tr w14:paraId="6D3B6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6717A958">
                  <w:pPr>
                    <w:pStyle w:val="71"/>
                    <w:rPr>
                      <w:rFonts w:hint="default"/>
                      <w:lang w:val="en-US" w:eastAsia="zh-CN"/>
                    </w:rPr>
                  </w:pPr>
                  <w:r>
                    <w:rPr>
                      <w:rFonts w:hint="eastAsia"/>
                      <w:lang w:val="en-US" w:eastAsia="zh-CN"/>
                    </w:rPr>
                    <w:t>15</w:t>
                  </w:r>
                </w:p>
              </w:tc>
              <w:tc>
                <w:tcPr>
                  <w:tcW w:w="1255" w:type="pct"/>
                  <w:shd w:val="clear" w:color="auto" w:fill="auto"/>
                  <w:vAlign w:val="center"/>
                </w:tcPr>
                <w:p w14:paraId="66FCABFD">
                  <w:pPr>
                    <w:pStyle w:val="71"/>
                    <w:rPr>
                      <w:rFonts w:hint="default"/>
                      <w:lang w:val="en-US" w:eastAsia="zh-CN"/>
                    </w:rPr>
                  </w:pPr>
                  <w:r>
                    <w:rPr>
                      <w:rFonts w:hint="eastAsia"/>
                      <w:lang w:val="en-US" w:eastAsia="zh-CN"/>
                    </w:rPr>
                    <w:t>行车</w:t>
                  </w:r>
                </w:p>
              </w:tc>
              <w:tc>
                <w:tcPr>
                  <w:tcW w:w="401" w:type="pct"/>
                  <w:shd w:val="clear" w:color="auto" w:fill="auto"/>
                  <w:vAlign w:val="center"/>
                </w:tcPr>
                <w:p w14:paraId="1FE66D22">
                  <w:pPr>
                    <w:pStyle w:val="71"/>
                    <w:rPr>
                      <w:rFonts w:hint="default"/>
                      <w:lang w:val="en-US" w:eastAsia="zh-CN"/>
                    </w:rPr>
                  </w:pPr>
                  <w:r>
                    <w:rPr>
                      <w:rFonts w:hint="eastAsia"/>
                      <w:lang w:val="en-US" w:eastAsia="zh-CN"/>
                    </w:rPr>
                    <w:t>台</w:t>
                  </w:r>
                </w:p>
              </w:tc>
              <w:tc>
                <w:tcPr>
                  <w:tcW w:w="1836" w:type="pct"/>
                  <w:shd w:val="clear" w:color="auto" w:fill="auto"/>
                  <w:vAlign w:val="center"/>
                </w:tcPr>
                <w:p w14:paraId="0B201F34">
                  <w:pPr>
                    <w:pStyle w:val="71"/>
                    <w:rPr>
                      <w:rFonts w:hint="default"/>
                      <w:lang w:val="en-US" w:eastAsia="zh-CN"/>
                    </w:rPr>
                  </w:pPr>
                  <w:r>
                    <w:rPr>
                      <w:rFonts w:hint="eastAsia"/>
                      <w:lang w:val="en-US" w:eastAsia="zh-CN"/>
                    </w:rPr>
                    <w:t>吊装成品</w:t>
                  </w:r>
                </w:p>
              </w:tc>
              <w:tc>
                <w:tcPr>
                  <w:tcW w:w="978" w:type="pct"/>
                  <w:shd w:val="clear" w:color="auto" w:fill="auto"/>
                  <w:vAlign w:val="center"/>
                </w:tcPr>
                <w:p w14:paraId="04B13581">
                  <w:pPr>
                    <w:pStyle w:val="71"/>
                    <w:rPr>
                      <w:rFonts w:hint="default"/>
                      <w:lang w:val="en-US" w:eastAsia="zh-CN"/>
                    </w:rPr>
                  </w:pPr>
                  <w:r>
                    <w:rPr>
                      <w:rFonts w:hint="eastAsia"/>
                      <w:lang w:val="en-US" w:eastAsia="zh-CN"/>
                    </w:rPr>
                    <w:t>1</w:t>
                  </w:r>
                </w:p>
              </w:tc>
            </w:tr>
            <w:tr w14:paraId="34F5C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131C18FC">
                  <w:pPr>
                    <w:pStyle w:val="71"/>
                    <w:rPr>
                      <w:rFonts w:hint="default"/>
                      <w:lang w:val="en-US" w:eastAsia="zh-CN"/>
                    </w:rPr>
                  </w:pPr>
                  <w:r>
                    <w:rPr>
                      <w:rFonts w:hint="eastAsia"/>
                      <w:lang w:val="en-US" w:eastAsia="zh-CN"/>
                    </w:rPr>
                    <w:t>16</w:t>
                  </w:r>
                </w:p>
              </w:tc>
              <w:tc>
                <w:tcPr>
                  <w:tcW w:w="1255" w:type="pct"/>
                  <w:shd w:val="clear" w:color="auto" w:fill="auto"/>
                  <w:vAlign w:val="center"/>
                </w:tcPr>
                <w:p w14:paraId="080873FA">
                  <w:pPr>
                    <w:pStyle w:val="71"/>
                    <w:rPr>
                      <w:rFonts w:hint="default"/>
                      <w:lang w:val="en-US" w:eastAsia="zh-CN"/>
                    </w:rPr>
                  </w:pPr>
                  <w:r>
                    <w:rPr>
                      <w:rFonts w:hint="eastAsia"/>
                      <w:lang w:val="en-US" w:eastAsia="zh-CN"/>
                    </w:rPr>
                    <w:t>叉车</w:t>
                  </w:r>
                </w:p>
              </w:tc>
              <w:tc>
                <w:tcPr>
                  <w:tcW w:w="401" w:type="pct"/>
                  <w:shd w:val="clear" w:color="auto" w:fill="auto"/>
                  <w:vAlign w:val="center"/>
                </w:tcPr>
                <w:p w14:paraId="14736BBD">
                  <w:pPr>
                    <w:pStyle w:val="71"/>
                    <w:rPr>
                      <w:rFonts w:hint="default"/>
                      <w:lang w:val="en-US" w:eastAsia="zh-CN"/>
                    </w:rPr>
                  </w:pPr>
                  <w:r>
                    <w:rPr>
                      <w:rFonts w:hint="eastAsia"/>
                      <w:lang w:val="en-US" w:eastAsia="zh-CN"/>
                    </w:rPr>
                    <w:t>台</w:t>
                  </w:r>
                </w:p>
              </w:tc>
              <w:tc>
                <w:tcPr>
                  <w:tcW w:w="1836" w:type="pct"/>
                  <w:shd w:val="clear" w:color="auto" w:fill="auto"/>
                  <w:vAlign w:val="center"/>
                </w:tcPr>
                <w:p w14:paraId="552BCBF7">
                  <w:pPr>
                    <w:pStyle w:val="71"/>
                    <w:rPr>
                      <w:rFonts w:hint="default"/>
                      <w:lang w:val="en-US" w:eastAsia="zh-CN"/>
                    </w:rPr>
                  </w:pPr>
                  <w:r>
                    <w:rPr>
                      <w:rFonts w:hint="eastAsia"/>
                      <w:lang w:val="en-US" w:eastAsia="zh-CN"/>
                    </w:rPr>
                    <w:t>装卸车</w:t>
                  </w:r>
                </w:p>
              </w:tc>
              <w:tc>
                <w:tcPr>
                  <w:tcW w:w="978" w:type="pct"/>
                  <w:shd w:val="clear" w:color="auto" w:fill="auto"/>
                  <w:vAlign w:val="center"/>
                </w:tcPr>
                <w:p w14:paraId="756598C3">
                  <w:pPr>
                    <w:pStyle w:val="71"/>
                    <w:rPr>
                      <w:rFonts w:hint="default"/>
                      <w:lang w:val="en-US" w:eastAsia="zh-CN"/>
                    </w:rPr>
                  </w:pPr>
                  <w:r>
                    <w:rPr>
                      <w:rFonts w:hint="eastAsia"/>
                      <w:lang w:val="en-US" w:eastAsia="zh-CN"/>
                    </w:rPr>
                    <w:t>2</w:t>
                  </w:r>
                </w:p>
              </w:tc>
            </w:tr>
            <w:tr w14:paraId="18544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7" w:type="pct"/>
                  <w:shd w:val="clear" w:color="auto" w:fill="auto"/>
                  <w:vAlign w:val="center"/>
                </w:tcPr>
                <w:p w14:paraId="3B7C49C2">
                  <w:pPr>
                    <w:pStyle w:val="71"/>
                    <w:rPr>
                      <w:rFonts w:hint="default"/>
                      <w:lang w:val="en-US" w:eastAsia="zh-CN"/>
                    </w:rPr>
                  </w:pPr>
                  <w:r>
                    <w:rPr>
                      <w:rFonts w:hint="eastAsia"/>
                      <w:lang w:val="en-US" w:eastAsia="zh-CN"/>
                    </w:rPr>
                    <w:t>17</w:t>
                  </w:r>
                </w:p>
              </w:tc>
              <w:tc>
                <w:tcPr>
                  <w:tcW w:w="1255" w:type="pct"/>
                  <w:shd w:val="clear" w:color="auto" w:fill="auto"/>
                  <w:vAlign w:val="center"/>
                </w:tcPr>
                <w:p w14:paraId="764CB262">
                  <w:pPr>
                    <w:pStyle w:val="71"/>
                    <w:rPr>
                      <w:rFonts w:hint="default"/>
                      <w:lang w:val="en-US" w:eastAsia="zh-CN"/>
                    </w:rPr>
                  </w:pPr>
                  <w:r>
                    <w:rPr>
                      <w:rFonts w:hint="eastAsia"/>
                      <w:lang w:val="en-US" w:eastAsia="zh-CN"/>
                    </w:rPr>
                    <w:t>折弯机</w:t>
                  </w:r>
                </w:p>
              </w:tc>
              <w:tc>
                <w:tcPr>
                  <w:tcW w:w="401" w:type="pct"/>
                  <w:shd w:val="clear" w:color="auto" w:fill="auto"/>
                  <w:vAlign w:val="center"/>
                </w:tcPr>
                <w:p w14:paraId="4F7CFDFB">
                  <w:pPr>
                    <w:jc w:val="center"/>
                    <w:rPr>
                      <w:rFonts w:hint="eastAsia" w:ascii="Times New Roman" w:hAnsi="Times New Roman" w:eastAsia="宋体" w:cs="Times New Roman"/>
                      <w:bCs/>
                      <w:iCs/>
                      <w:kern w:val="2"/>
                      <w:sz w:val="21"/>
                      <w:szCs w:val="22"/>
                      <w:lang w:val="en-US" w:eastAsia="zh-CN" w:bidi="en-US"/>
                    </w:rPr>
                  </w:pPr>
                  <w:r>
                    <w:rPr>
                      <w:rFonts w:hint="eastAsia" w:ascii="Times New Roman" w:hAnsi="Times New Roman" w:eastAsia="宋体" w:cs="Times New Roman"/>
                      <w:bCs/>
                      <w:iCs/>
                      <w:kern w:val="2"/>
                      <w:sz w:val="21"/>
                      <w:szCs w:val="22"/>
                      <w:lang w:val="en-US" w:eastAsia="zh-CN" w:bidi="en-US"/>
                    </w:rPr>
                    <w:t>台</w:t>
                  </w:r>
                </w:p>
              </w:tc>
              <w:tc>
                <w:tcPr>
                  <w:tcW w:w="1836" w:type="pct"/>
                  <w:shd w:val="clear" w:color="auto" w:fill="auto"/>
                  <w:vAlign w:val="center"/>
                </w:tcPr>
                <w:p w14:paraId="48553827">
                  <w:pPr>
                    <w:pStyle w:val="71"/>
                    <w:rPr>
                      <w:rFonts w:hint="default"/>
                      <w:lang w:val="en-US" w:eastAsia="zh-CN"/>
                    </w:rPr>
                  </w:pPr>
                  <w:r>
                    <w:rPr>
                      <w:rFonts w:hint="eastAsia"/>
                      <w:lang w:val="en-US" w:eastAsia="zh-CN"/>
                    </w:rPr>
                    <w:t>PDA</w:t>
                  </w:r>
                </w:p>
              </w:tc>
              <w:tc>
                <w:tcPr>
                  <w:tcW w:w="978" w:type="pct"/>
                  <w:shd w:val="clear" w:color="auto" w:fill="auto"/>
                  <w:vAlign w:val="center"/>
                </w:tcPr>
                <w:p w14:paraId="4719F992">
                  <w:pPr>
                    <w:pStyle w:val="71"/>
                    <w:rPr>
                      <w:rFonts w:hint="default"/>
                      <w:lang w:val="en-US" w:eastAsia="zh-CN"/>
                    </w:rPr>
                  </w:pPr>
                  <w:r>
                    <w:rPr>
                      <w:rFonts w:hint="eastAsia"/>
                      <w:lang w:val="en-US" w:eastAsia="zh-CN"/>
                    </w:rPr>
                    <w:t>1</w:t>
                  </w:r>
                </w:p>
              </w:tc>
            </w:tr>
            <w:tr w14:paraId="787F9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2266963B">
                  <w:pPr>
                    <w:pStyle w:val="71"/>
                    <w:rPr>
                      <w:rFonts w:hint="default"/>
                      <w:lang w:val="en-US" w:eastAsia="zh-CN"/>
                    </w:rPr>
                  </w:pPr>
                  <w:r>
                    <w:rPr>
                      <w:rFonts w:hint="eastAsia"/>
                      <w:lang w:val="en-US" w:eastAsia="zh-CN"/>
                    </w:rPr>
                    <w:t>18</w:t>
                  </w:r>
                </w:p>
              </w:tc>
              <w:tc>
                <w:tcPr>
                  <w:tcW w:w="1255" w:type="pct"/>
                  <w:shd w:val="clear" w:color="auto" w:fill="auto"/>
                  <w:vAlign w:val="center"/>
                </w:tcPr>
                <w:p w14:paraId="6549FF66">
                  <w:pPr>
                    <w:pStyle w:val="71"/>
                    <w:rPr>
                      <w:rFonts w:hint="default"/>
                      <w:lang w:val="en-US" w:eastAsia="zh-CN"/>
                    </w:rPr>
                  </w:pPr>
                  <w:r>
                    <w:rPr>
                      <w:rFonts w:hint="eastAsia"/>
                      <w:lang w:val="en-US" w:eastAsia="zh-CN"/>
                    </w:rPr>
                    <w:t>剪板机</w:t>
                  </w:r>
                </w:p>
              </w:tc>
              <w:tc>
                <w:tcPr>
                  <w:tcW w:w="401" w:type="pct"/>
                  <w:shd w:val="clear" w:color="auto" w:fill="auto"/>
                  <w:vAlign w:val="center"/>
                </w:tcPr>
                <w:p w14:paraId="693A8FBC">
                  <w:pPr>
                    <w:jc w:val="center"/>
                    <w:rPr>
                      <w:rFonts w:hint="eastAsia" w:ascii="Times New Roman" w:hAnsi="Times New Roman" w:eastAsia="宋体" w:cs="Times New Roman"/>
                      <w:bCs/>
                      <w:iCs/>
                      <w:kern w:val="2"/>
                      <w:sz w:val="21"/>
                      <w:szCs w:val="22"/>
                      <w:lang w:val="en-US" w:eastAsia="zh-CN" w:bidi="en-US"/>
                    </w:rPr>
                  </w:pPr>
                  <w:r>
                    <w:rPr>
                      <w:rFonts w:hint="eastAsia" w:ascii="Times New Roman" w:hAnsi="Times New Roman" w:eastAsia="宋体" w:cs="Times New Roman"/>
                      <w:bCs/>
                      <w:iCs/>
                      <w:kern w:val="2"/>
                      <w:sz w:val="21"/>
                      <w:szCs w:val="22"/>
                      <w:lang w:val="en-US" w:eastAsia="zh-CN" w:bidi="en-US"/>
                    </w:rPr>
                    <w:t>台</w:t>
                  </w:r>
                </w:p>
              </w:tc>
              <w:tc>
                <w:tcPr>
                  <w:tcW w:w="1836" w:type="pct"/>
                  <w:shd w:val="clear" w:color="auto" w:fill="auto"/>
                  <w:vAlign w:val="center"/>
                </w:tcPr>
                <w:p w14:paraId="5A73C90F">
                  <w:pPr>
                    <w:pStyle w:val="71"/>
                    <w:rPr>
                      <w:rFonts w:hint="eastAsia"/>
                      <w:lang w:val="en-US" w:eastAsia="zh-CN"/>
                    </w:rPr>
                  </w:pPr>
                </w:p>
              </w:tc>
              <w:tc>
                <w:tcPr>
                  <w:tcW w:w="978" w:type="pct"/>
                  <w:shd w:val="clear" w:color="auto" w:fill="auto"/>
                  <w:vAlign w:val="center"/>
                </w:tcPr>
                <w:p w14:paraId="331F890F">
                  <w:pPr>
                    <w:pStyle w:val="71"/>
                    <w:rPr>
                      <w:rFonts w:hint="default"/>
                      <w:lang w:val="en-US" w:eastAsia="zh-CN"/>
                    </w:rPr>
                  </w:pPr>
                  <w:r>
                    <w:rPr>
                      <w:rFonts w:hint="eastAsia"/>
                      <w:lang w:val="en-US" w:eastAsia="zh-CN"/>
                    </w:rPr>
                    <w:t>1</w:t>
                  </w:r>
                </w:p>
              </w:tc>
            </w:tr>
            <w:tr w14:paraId="276F5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vAlign w:val="center"/>
                </w:tcPr>
                <w:p w14:paraId="5E1A70C1">
                  <w:pPr>
                    <w:pStyle w:val="71"/>
                    <w:rPr>
                      <w:rFonts w:hint="default"/>
                      <w:lang w:val="en-US" w:eastAsia="zh-CN"/>
                    </w:rPr>
                  </w:pPr>
                  <w:r>
                    <w:rPr>
                      <w:rFonts w:hint="eastAsia"/>
                      <w:lang w:val="en-US" w:eastAsia="zh-CN"/>
                    </w:rPr>
                    <w:t>19</w:t>
                  </w:r>
                </w:p>
              </w:tc>
              <w:tc>
                <w:tcPr>
                  <w:tcW w:w="1255" w:type="pct"/>
                  <w:shd w:val="clear" w:color="auto" w:fill="auto"/>
                  <w:vAlign w:val="center"/>
                </w:tcPr>
                <w:p w14:paraId="6D01A2F3">
                  <w:pPr>
                    <w:pStyle w:val="71"/>
                    <w:rPr>
                      <w:rFonts w:hint="default"/>
                      <w:lang w:val="en-US" w:eastAsia="zh-CN"/>
                    </w:rPr>
                  </w:pPr>
                  <w:r>
                    <w:rPr>
                      <w:rFonts w:hint="eastAsia"/>
                      <w:lang w:val="en-US" w:eastAsia="zh-CN"/>
                    </w:rPr>
                    <w:t>焊接烟尘处理器</w:t>
                  </w:r>
                </w:p>
              </w:tc>
              <w:tc>
                <w:tcPr>
                  <w:tcW w:w="401" w:type="pct"/>
                  <w:shd w:val="clear" w:color="auto" w:fill="auto"/>
                  <w:vAlign w:val="center"/>
                </w:tcPr>
                <w:p w14:paraId="2ACFCDB9">
                  <w:pPr>
                    <w:jc w:val="center"/>
                    <w:rPr>
                      <w:rFonts w:hint="eastAsia" w:ascii="Times New Roman" w:hAnsi="Times New Roman" w:eastAsia="宋体" w:cs="Times New Roman"/>
                      <w:bCs/>
                      <w:iCs/>
                      <w:kern w:val="2"/>
                      <w:sz w:val="21"/>
                      <w:szCs w:val="22"/>
                      <w:lang w:val="en-US" w:eastAsia="zh-CN" w:bidi="en-US"/>
                    </w:rPr>
                  </w:pPr>
                  <w:r>
                    <w:rPr>
                      <w:rFonts w:hint="eastAsia" w:ascii="Times New Roman" w:hAnsi="Times New Roman" w:eastAsia="宋体" w:cs="Times New Roman"/>
                      <w:bCs/>
                      <w:iCs/>
                      <w:kern w:val="2"/>
                      <w:sz w:val="21"/>
                      <w:szCs w:val="22"/>
                      <w:lang w:val="en-US" w:eastAsia="zh-CN" w:bidi="en-US"/>
                    </w:rPr>
                    <w:t>台</w:t>
                  </w:r>
                </w:p>
              </w:tc>
              <w:tc>
                <w:tcPr>
                  <w:tcW w:w="1836" w:type="pct"/>
                  <w:shd w:val="clear" w:color="auto" w:fill="auto"/>
                  <w:vAlign w:val="center"/>
                </w:tcPr>
                <w:p w14:paraId="33F384F0">
                  <w:pPr>
                    <w:pStyle w:val="71"/>
                    <w:rPr>
                      <w:rFonts w:hint="eastAsia"/>
                      <w:lang w:val="en-US" w:eastAsia="zh-CN"/>
                    </w:rPr>
                  </w:pPr>
                </w:p>
              </w:tc>
              <w:tc>
                <w:tcPr>
                  <w:tcW w:w="978" w:type="pct"/>
                  <w:shd w:val="clear" w:color="auto" w:fill="auto"/>
                  <w:vAlign w:val="center"/>
                </w:tcPr>
                <w:p w14:paraId="65CAAEC3">
                  <w:pPr>
                    <w:pStyle w:val="71"/>
                    <w:rPr>
                      <w:rFonts w:hint="default"/>
                      <w:lang w:val="en-US" w:eastAsia="zh-CN"/>
                    </w:rPr>
                  </w:pPr>
                  <w:r>
                    <w:rPr>
                      <w:rFonts w:hint="eastAsia"/>
                      <w:lang w:val="en-US" w:eastAsia="zh-CN"/>
                    </w:rPr>
                    <w:t>1</w:t>
                  </w:r>
                </w:p>
              </w:tc>
            </w:tr>
          </w:tbl>
          <w:p w14:paraId="6283545D">
            <w:pPr>
              <w:pStyle w:val="27"/>
              <w:rPr>
                <w:rFonts w:hint="default"/>
              </w:rPr>
            </w:pPr>
          </w:p>
          <w:p w14:paraId="62A13E97">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eastAsia="zh-CN"/>
              </w:rPr>
              <w:t>十</w:t>
            </w:r>
            <w:r>
              <w:rPr>
                <w:rFonts w:hint="default" w:ascii="Times New Roman" w:hAnsi="Times New Roman" w:eastAsia="宋体" w:cs="Times New Roman"/>
                <w:b/>
                <w:bCs/>
                <w:color w:val="auto"/>
                <w:sz w:val="28"/>
                <w:szCs w:val="28"/>
              </w:rPr>
              <w:t>、用水及动力供给</w:t>
            </w:r>
          </w:p>
          <w:p w14:paraId="6CABC390">
            <w:pPr>
              <w:spacing w:line="360" w:lineRule="auto"/>
              <w:ind w:firstLine="480" w:firstLineChars="200"/>
              <w:rPr>
                <w:rFonts w:hint="default"/>
                <w:sz w:val="24"/>
                <w:szCs w:val="24"/>
              </w:rPr>
            </w:pPr>
            <w:r>
              <w:rPr>
                <w:rFonts w:hint="default"/>
                <w:sz w:val="24"/>
                <w:szCs w:val="24"/>
              </w:rPr>
              <w:t>本项目机械设备</w:t>
            </w:r>
            <w:r>
              <w:rPr>
                <w:rFonts w:hint="eastAsia"/>
                <w:sz w:val="24"/>
                <w:szCs w:val="24"/>
                <w:lang w:val="en-US" w:eastAsia="zh-CN"/>
              </w:rPr>
              <w:t>和搅拌机均</w:t>
            </w:r>
            <w:r>
              <w:rPr>
                <w:rFonts w:hint="default"/>
                <w:sz w:val="24"/>
                <w:szCs w:val="24"/>
              </w:rPr>
              <w:t>不进行清洗，因此本项目无机械设备清洗用水；车辆进出会携带少量砂砾，易掉落，项目采取及时对道路路面进行清扫，厂房地面及厂区道路已进行硬化，并对进出车辆轮胎进行冲洗。</w:t>
            </w:r>
          </w:p>
          <w:p w14:paraId="7E33EAA9">
            <w:pPr>
              <w:spacing w:line="360" w:lineRule="auto"/>
              <w:ind w:firstLine="482" w:firstLineChars="200"/>
              <w:rPr>
                <w:rFonts w:hint="default"/>
                <w:b/>
                <w:bCs/>
                <w:sz w:val="24"/>
                <w:szCs w:val="24"/>
              </w:rPr>
            </w:pPr>
            <w:r>
              <w:rPr>
                <w:rFonts w:hint="default"/>
                <w:b/>
                <w:bCs/>
                <w:sz w:val="24"/>
                <w:szCs w:val="24"/>
              </w:rPr>
              <w:t>1、给水</w:t>
            </w:r>
          </w:p>
          <w:p w14:paraId="6A8E0532">
            <w:pPr>
              <w:spacing w:line="360" w:lineRule="auto"/>
              <w:ind w:firstLine="480" w:firstLineChars="200"/>
              <w:rPr>
                <w:rFonts w:hint="default" w:eastAsia="宋体"/>
                <w:sz w:val="24"/>
                <w:szCs w:val="24"/>
                <w:lang w:val="en-US" w:eastAsia="zh-CN"/>
              </w:rPr>
            </w:pPr>
            <w:r>
              <w:rPr>
                <w:rFonts w:hint="eastAsia"/>
                <w:sz w:val="24"/>
                <w:szCs w:val="24"/>
                <w:lang w:val="en-US" w:eastAsia="zh-CN"/>
              </w:rPr>
              <w:t>本项目用水采用</w:t>
            </w:r>
            <w:r>
              <w:rPr>
                <w:rFonts w:hint="eastAsia" w:cs="Times New Roman"/>
                <w:color w:val="auto"/>
                <w:sz w:val="24"/>
                <w:szCs w:val="24"/>
                <w:lang w:val="en-US" w:eastAsia="zh-CN"/>
              </w:rPr>
              <w:t>地下井水，水质和水量能偶满足生产、生活需要</w:t>
            </w:r>
            <w:r>
              <w:rPr>
                <w:rFonts w:hint="default" w:ascii="Times New Roman" w:hAnsi="Times New Roman" w:eastAsia="宋体" w:cs="Times New Roman"/>
                <w:color w:val="auto"/>
                <w:sz w:val="24"/>
                <w:szCs w:val="24"/>
              </w:rPr>
              <w:t>，项目</w:t>
            </w:r>
            <w:r>
              <w:rPr>
                <w:rFonts w:hint="eastAsia" w:ascii="Times New Roman" w:hAnsi="Times New Roman" w:cs="Times New Roman"/>
                <w:color w:val="auto"/>
                <w:sz w:val="24"/>
                <w:szCs w:val="24"/>
                <w:lang w:val="en-US" w:eastAsia="zh-CN"/>
              </w:rPr>
              <w:t>不</w:t>
            </w:r>
            <w:r>
              <w:rPr>
                <w:rFonts w:hint="default" w:ascii="Times New Roman" w:hAnsi="Times New Roman" w:eastAsia="宋体" w:cs="Times New Roman"/>
                <w:color w:val="auto"/>
                <w:sz w:val="24"/>
                <w:szCs w:val="24"/>
              </w:rPr>
              <w:t>设置员工食堂</w:t>
            </w:r>
            <w:r>
              <w:rPr>
                <w:rFonts w:hint="eastAsia" w:cs="Times New Roman"/>
                <w:color w:val="auto"/>
                <w:sz w:val="24"/>
                <w:szCs w:val="24"/>
                <w:lang w:val="en-US" w:eastAsia="zh-CN"/>
              </w:rPr>
              <w:t>和住宿。本项目建成后，用水环节主要为员工生活用水、搅拌用水、</w:t>
            </w:r>
            <w:r>
              <w:rPr>
                <w:rFonts w:hint="eastAsia"/>
                <w:sz w:val="24"/>
                <w:szCs w:val="24"/>
              </w:rPr>
              <w:t>洗车平台用水</w:t>
            </w:r>
            <w:r>
              <w:rPr>
                <w:rFonts w:hint="eastAsia" w:cs="Times New Roman"/>
                <w:color w:val="auto"/>
                <w:sz w:val="24"/>
                <w:szCs w:val="24"/>
                <w:lang w:val="en-US" w:eastAsia="zh-CN"/>
              </w:rPr>
              <w:t>、作业区地面冲洗用水、养护用水、堆场降尘</w:t>
            </w:r>
            <w:r>
              <w:rPr>
                <w:rFonts w:hint="default" w:ascii="Times New Roman" w:hAnsi="Times New Roman" w:cs="Times New Roman"/>
                <w:color w:val="auto"/>
                <w:sz w:val="24"/>
                <w:szCs w:val="24"/>
                <w:lang w:eastAsia="zh-CN"/>
              </w:rPr>
              <w:t>用水</w:t>
            </w:r>
            <w:r>
              <w:rPr>
                <w:rFonts w:hint="eastAsia" w:cs="Times New Roman"/>
                <w:color w:val="auto"/>
                <w:sz w:val="24"/>
                <w:szCs w:val="24"/>
                <w:lang w:eastAsia="zh-CN"/>
              </w:rPr>
              <w:t>、</w:t>
            </w:r>
            <w:r>
              <w:rPr>
                <w:rFonts w:hint="eastAsia" w:cs="Times New Roman"/>
                <w:color w:val="auto"/>
                <w:sz w:val="24"/>
                <w:szCs w:val="24"/>
                <w:lang w:val="en-US" w:eastAsia="zh-CN"/>
              </w:rPr>
              <w:t>厂区降尘用水和绿化用水。</w:t>
            </w:r>
          </w:p>
          <w:p w14:paraId="694097B8">
            <w:pPr>
              <w:spacing w:line="360" w:lineRule="auto"/>
              <w:ind w:firstLine="480" w:firstLineChars="200"/>
              <w:rPr>
                <w:rFonts w:hint="eastAsia"/>
                <w:sz w:val="24"/>
                <w:szCs w:val="24"/>
                <w:lang w:val="en-US" w:eastAsia="zh-CN"/>
              </w:rPr>
            </w:pPr>
            <w:r>
              <w:rPr>
                <w:rFonts w:hint="eastAsia"/>
                <w:sz w:val="24"/>
                <w:szCs w:val="24"/>
                <w:lang w:val="en-US" w:eastAsia="zh-CN"/>
              </w:rPr>
              <w:t>①生活用水</w:t>
            </w:r>
          </w:p>
          <w:p w14:paraId="19C9F18B">
            <w:pPr>
              <w:spacing w:line="360" w:lineRule="auto"/>
              <w:ind w:firstLine="480" w:firstLineChars="200"/>
              <w:rPr>
                <w:rFonts w:hint="eastAsia"/>
                <w:color w:val="000000"/>
                <w:sz w:val="24"/>
                <w:lang w:val="en-US" w:eastAsia="zh-CN"/>
              </w:rPr>
            </w:pPr>
            <w:r>
              <w:rPr>
                <w:rFonts w:hint="default"/>
                <w:sz w:val="24"/>
                <w:szCs w:val="24"/>
                <w:lang w:val="en-US" w:eastAsia="zh-CN"/>
              </w:rPr>
              <w:t>本项目劳动定员</w:t>
            </w:r>
            <w:r>
              <w:rPr>
                <w:rFonts w:hint="eastAsia"/>
                <w:sz w:val="24"/>
                <w:szCs w:val="24"/>
                <w:lang w:val="en-US" w:eastAsia="zh-CN"/>
              </w:rPr>
              <w:t>6</w:t>
            </w:r>
            <w:r>
              <w:rPr>
                <w:rFonts w:hint="default"/>
                <w:sz w:val="24"/>
                <w:szCs w:val="24"/>
                <w:lang w:val="en-US" w:eastAsia="zh-CN"/>
              </w:rPr>
              <w:t>人，年工作</w:t>
            </w:r>
            <w:r>
              <w:rPr>
                <w:rFonts w:hint="eastAsia"/>
                <w:sz w:val="24"/>
                <w:szCs w:val="24"/>
                <w:lang w:val="en-US" w:eastAsia="zh-CN"/>
              </w:rPr>
              <w:t>3</w:t>
            </w:r>
            <w:r>
              <w:rPr>
                <w:rFonts w:hint="default"/>
                <w:sz w:val="24"/>
                <w:szCs w:val="24"/>
                <w:lang w:val="en-US" w:eastAsia="zh-CN"/>
              </w:rPr>
              <w:t>00天</w:t>
            </w:r>
            <w:r>
              <w:rPr>
                <w:rFonts w:hint="eastAsia"/>
                <w:sz w:val="24"/>
                <w:szCs w:val="24"/>
                <w:lang w:val="en-US" w:eastAsia="zh-CN"/>
              </w:rPr>
              <w:t>，</w:t>
            </w:r>
            <w:r>
              <w:rPr>
                <w:rFonts w:hint="default"/>
                <w:sz w:val="24"/>
                <w:szCs w:val="24"/>
                <w:lang w:val="en-US" w:eastAsia="zh-CN"/>
              </w:rPr>
              <w:t>项目</w:t>
            </w:r>
            <w:r>
              <w:rPr>
                <w:rFonts w:hint="eastAsia"/>
                <w:sz w:val="24"/>
                <w:szCs w:val="24"/>
                <w:lang w:val="en-US" w:eastAsia="zh-CN"/>
              </w:rPr>
              <w:t>不</w:t>
            </w:r>
            <w:r>
              <w:rPr>
                <w:rFonts w:hint="default"/>
                <w:sz w:val="24"/>
                <w:szCs w:val="24"/>
                <w:lang w:val="en-US" w:eastAsia="zh-CN"/>
              </w:rPr>
              <w:t>设置员工食堂</w:t>
            </w:r>
            <w:r>
              <w:rPr>
                <w:rFonts w:hint="eastAsia"/>
                <w:sz w:val="24"/>
                <w:szCs w:val="24"/>
                <w:lang w:val="en-US" w:eastAsia="zh-CN"/>
              </w:rPr>
              <w:t>和住宿。根据《建筑给水排水设计规范》（GB50015-2009），员工用水定额选用50L/（人·d），则生活用水量为0.3m</w:t>
            </w:r>
            <w:r>
              <w:rPr>
                <w:rFonts w:hint="eastAsia"/>
                <w:sz w:val="24"/>
                <w:szCs w:val="24"/>
                <w:vertAlign w:val="superscript"/>
                <w:lang w:val="en-US" w:eastAsia="zh-CN"/>
              </w:rPr>
              <w:t>3</w:t>
            </w:r>
            <w:r>
              <w:rPr>
                <w:rFonts w:hint="eastAsia"/>
                <w:sz w:val="24"/>
                <w:szCs w:val="24"/>
                <w:lang w:val="en-US" w:eastAsia="zh-CN"/>
              </w:rPr>
              <w:t>/d，即90m</w:t>
            </w:r>
            <w:r>
              <w:rPr>
                <w:rFonts w:hint="eastAsia"/>
                <w:sz w:val="24"/>
                <w:szCs w:val="24"/>
                <w:vertAlign w:val="superscript"/>
                <w:lang w:val="en-US" w:eastAsia="zh-CN"/>
              </w:rPr>
              <w:t>3</w:t>
            </w:r>
            <w:r>
              <w:rPr>
                <w:rFonts w:hint="eastAsia"/>
                <w:sz w:val="24"/>
                <w:szCs w:val="24"/>
                <w:lang w:val="en-US" w:eastAsia="zh-CN"/>
              </w:rPr>
              <w:t xml:space="preserve">/a。 </w:t>
            </w:r>
            <w:r>
              <w:rPr>
                <w:rFonts w:hint="eastAsia"/>
                <w:color w:val="000000"/>
                <w:sz w:val="24"/>
                <w:lang w:val="en-US" w:eastAsia="zh-CN"/>
              </w:rPr>
              <w:t xml:space="preserve">   </w:t>
            </w:r>
          </w:p>
          <w:p w14:paraId="77DF6216">
            <w:pPr>
              <w:spacing w:line="360" w:lineRule="auto"/>
              <w:ind w:firstLine="480" w:firstLineChars="200"/>
              <w:rPr>
                <w:rFonts w:hint="eastAsia"/>
                <w:sz w:val="24"/>
                <w:szCs w:val="24"/>
                <w:lang w:val="en-US" w:eastAsia="zh-CN"/>
              </w:rPr>
            </w:pPr>
            <w:r>
              <w:rPr>
                <w:rFonts w:hint="eastAsia"/>
                <w:sz w:val="24"/>
                <w:szCs w:val="24"/>
                <w:lang w:val="en-US" w:eastAsia="zh-CN"/>
              </w:rPr>
              <w:t>②搅拌用水</w:t>
            </w:r>
          </w:p>
          <w:p w14:paraId="13E93027">
            <w:pPr>
              <w:spacing w:line="360" w:lineRule="auto"/>
              <w:ind w:firstLine="480" w:firstLineChars="200"/>
              <w:rPr>
                <w:rFonts w:hint="eastAsia"/>
                <w:color w:val="000000"/>
                <w:sz w:val="24"/>
                <w:lang w:val="en-US" w:eastAsia="zh-CN"/>
              </w:rPr>
            </w:pPr>
            <w:r>
              <w:rPr>
                <w:rFonts w:hint="eastAsia"/>
                <w:sz w:val="24"/>
                <w:szCs w:val="24"/>
                <w:lang w:val="en-US" w:eastAsia="zh-CN"/>
              </w:rPr>
              <w:t>根据《普通混凝土配合比设计规程》（JGJ 55–2011），每生产1m</w:t>
            </w:r>
            <w:r>
              <w:rPr>
                <w:rFonts w:hint="eastAsia"/>
                <w:sz w:val="24"/>
                <w:szCs w:val="24"/>
                <w:vertAlign w:val="superscript"/>
                <w:lang w:val="en-US" w:eastAsia="zh-CN"/>
              </w:rPr>
              <w:t>3</w:t>
            </w:r>
            <w:r>
              <w:rPr>
                <w:rFonts w:hint="eastAsia"/>
                <w:sz w:val="24"/>
                <w:szCs w:val="24"/>
                <w:lang w:val="en-US" w:eastAsia="zh-CN"/>
              </w:rPr>
              <w:t>混凝土用水量取200kg，则本项目砼结构构件生产线生产用水为 12.3m</w:t>
            </w:r>
            <w:r>
              <w:rPr>
                <w:rFonts w:hint="eastAsia"/>
                <w:sz w:val="24"/>
                <w:szCs w:val="24"/>
                <w:vertAlign w:val="superscript"/>
                <w:lang w:val="en-US" w:eastAsia="zh-CN"/>
              </w:rPr>
              <w:t>3</w:t>
            </w:r>
            <w:r>
              <w:rPr>
                <w:rFonts w:hint="eastAsia"/>
                <w:sz w:val="24"/>
                <w:szCs w:val="24"/>
                <w:lang w:val="en-US" w:eastAsia="zh-CN"/>
              </w:rPr>
              <w:t>/d（3700m</w:t>
            </w:r>
            <w:r>
              <w:rPr>
                <w:rFonts w:hint="eastAsia"/>
                <w:sz w:val="24"/>
                <w:szCs w:val="24"/>
                <w:vertAlign w:val="superscript"/>
                <w:lang w:val="en-US" w:eastAsia="zh-CN"/>
              </w:rPr>
              <w:t>3</w:t>
            </w:r>
            <w:r>
              <w:rPr>
                <w:rFonts w:hint="eastAsia"/>
                <w:sz w:val="24"/>
                <w:szCs w:val="24"/>
                <w:lang w:val="en-US" w:eastAsia="zh-CN"/>
              </w:rPr>
              <w:t>/a）</w:t>
            </w:r>
            <w:r>
              <w:rPr>
                <w:rFonts w:hint="eastAsia"/>
                <w:color w:val="000000"/>
                <w:sz w:val="24"/>
                <w:lang w:val="en-US" w:eastAsia="zh-CN"/>
              </w:rPr>
              <w:t>。</w:t>
            </w:r>
            <w:r>
              <w:rPr>
                <w:rFonts w:hint="eastAsia"/>
                <w:color w:val="auto"/>
                <w:sz w:val="24"/>
                <w:lang w:val="en-US" w:eastAsia="zh-CN"/>
              </w:rPr>
              <w:t>项目搅拌用水的其中一部分（599.25m</w:t>
            </w:r>
            <w:r>
              <w:rPr>
                <w:rFonts w:hint="eastAsia"/>
                <w:color w:val="auto"/>
                <w:sz w:val="24"/>
                <w:vertAlign w:val="superscript"/>
                <w:lang w:val="en-US" w:eastAsia="zh-CN"/>
              </w:rPr>
              <w:t>3</w:t>
            </w:r>
            <w:r>
              <w:rPr>
                <w:rFonts w:hint="eastAsia"/>
                <w:color w:val="auto"/>
                <w:sz w:val="24"/>
                <w:lang w:val="en-US" w:eastAsia="zh-CN"/>
              </w:rPr>
              <w:t>/a）由回用水提供，其余部分（3140.75m</w:t>
            </w:r>
            <w:r>
              <w:rPr>
                <w:rFonts w:hint="eastAsia"/>
                <w:color w:val="auto"/>
                <w:sz w:val="24"/>
                <w:vertAlign w:val="superscript"/>
                <w:lang w:val="en-US" w:eastAsia="zh-CN"/>
              </w:rPr>
              <w:t>3</w:t>
            </w:r>
            <w:r>
              <w:rPr>
                <w:rFonts w:hint="eastAsia"/>
                <w:color w:val="auto"/>
                <w:sz w:val="24"/>
                <w:lang w:val="en-US" w:eastAsia="zh-CN"/>
              </w:rPr>
              <w:t>/a）由地下水井提供。搅拌用水随产品带走或挥发，不外排。</w:t>
            </w:r>
          </w:p>
          <w:p w14:paraId="6EAB8013">
            <w:pPr>
              <w:spacing w:line="360" w:lineRule="auto"/>
              <w:ind w:firstLine="480" w:firstLineChars="200"/>
              <w:rPr>
                <w:rFonts w:hint="eastAsia"/>
                <w:color w:val="000000"/>
                <w:sz w:val="24"/>
                <w:lang w:val="en-US" w:eastAsia="zh-CN"/>
              </w:rPr>
            </w:pPr>
            <w:r>
              <w:rPr>
                <w:rFonts w:hint="eastAsia"/>
                <w:color w:val="000000"/>
                <w:sz w:val="24"/>
                <w:lang w:val="en-US" w:eastAsia="zh-CN"/>
              </w:rPr>
              <w:t>③</w:t>
            </w:r>
            <w:r>
              <w:rPr>
                <w:rFonts w:hint="eastAsia"/>
                <w:sz w:val="24"/>
                <w:szCs w:val="24"/>
              </w:rPr>
              <w:t>洗车平台用水</w:t>
            </w:r>
            <w:r>
              <w:rPr>
                <w:rFonts w:hint="eastAsia"/>
                <w:color w:val="000000"/>
                <w:sz w:val="24"/>
                <w:lang w:val="en-US" w:eastAsia="zh-CN"/>
              </w:rPr>
              <w:t>：</w:t>
            </w:r>
            <w:r>
              <w:rPr>
                <w:sz w:val="24"/>
              </w:rPr>
              <w:t>项目大门附近设一洗车平台</w:t>
            </w:r>
            <w:r>
              <w:rPr>
                <w:kern w:val="0"/>
                <w:sz w:val="24"/>
              </w:rPr>
              <w:t>，</w:t>
            </w:r>
            <w:r>
              <w:rPr>
                <w:rFonts w:hint="eastAsia"/>
                <w:kern w:val="0"/>
                <w:sz w:val="24"/>
              </w:rPr>
              <w:t>对出厂</w:t>
            </w:r>
            <w:r>
              <w:rPr>
                <w:sz w:val="24"/>
              </w:rPr>
              <w:t>车辆</w:t>
            </w:r>
            <w:r>
              <w:rPr>
                <w:kern w:val="0"/>
                <w:sz w:val="24"/>
              </w:rPr>
              <w:t>轮胎</w:t>
            </w:r>
            <w:r>
              <w:rPr>
                <w:rFonts w:hint="eastAsia"/>
                <w:sz w:val="24"/>
              </w:rPr>
              <w:t>进行</w:t>
            </w:r>
            <w:r>
              <w:rPr>
                <w:sz w:val="24"/>
              </w:rPr>
              <w:t>清洗。</w:t>
            </w:r>
            <w:r>
              <w:rPr>
                <w:bCs/>
                <w:sz w:val="24"/>
              </w:rPr>
              <w:t>本项目成品运输量平均为</w:t>
            </w:r>
            <w:r>
              <w:rPr>
                <w:rFonts w:hint="eastAsia"/>
                <w:bCs/>
                <w:sz w:val="24"/>
                <w:lang w:val="en-US" w:eastAsia="zh-CN"/>
              </w:rPr>
              <w:t>25</w:t>
            </w:r>
            <w:r>
              <w:rPr>
                <w:bCs/>
                <w:sz w:val="24"/>
              </w:rPr>
              <w:t>t/d，按单车1次运输量为</w:t>
            </w:r>
            <w:r>
              <w:rPr>
                <w:rFonts w:hint="eastAsia"/>
                <w:bCs/>
                <w:sz w:val="24"/>
                <w:lang w:val="en-US" w:eastAsia="zh-CN"/>
              </w:rPr>
              <w:t>5</w:t>
            </w:r>
            <w:r>
              <w:rPr>
                <w:rFonts w:hint="eastAsia"/>
                <w:bCs/>
                <w:sz w:val="24"/>
              </w:rPr>
              <w:t>t</w:t>
            </w:r>
            <w:r>
              <w:rPr>
                <w:bCs/>
                <w:sz w:val="24"/>
              </w:rPr>
              <w:t>计算，每天约需运输</w:t>
            </w:r>
            <w:r>
              <w:rPr>
                <w:rFonts w:hint="eastAsia"/>
                <w:bCs/>
                <w:sz w:val="24"/>
                <w:lang w:val="en-US" w:eastAsia="zh-CN"/>
              </w:rPr>
              <w:t>5</w:t>
            </w:r>
            <w:r>
              <w:rPr>
                <w:bCs/>
                <w:sz w:val="24"/>
              </w:rPr>
              <w:t>辆。</w:t>
            </w:r>
            <w:r>
              <w:rPr>
                <w:sz w:val="24"/>
              </w:rPr>
              <w:t>载重汽车清洁循环用水冲洗补水量为40L/（辆•次），则需补水量为</w:t>
            </w:r>
            <w:r>
              <w:rPr>
                <w:rFonts w:hint="eastAsia"/>
                <w:sz w:val="24"/>
                <w:lang w:val="en-US" w:eastAsia="zh-CN"/>
              </w:rPr>
              <w:t>0.2</w:t>
            </w:r>
            <w:r>
              <w:rPr>
                <w:sz w:val="24"/>
              </w:rPr>
              <w:t>m</w:t>
            </w:r>
            <w:r>
              <w:rPr>
                <w:sz w:val="24"/>
                <w:vertAlign w:val="superscript"/>
              </w:rPr>
              <w:t>3</w:t>
            </w:r>
            <w:r>
              <w:rPr>
                <w:sz w:val="24"/>
              </w:rPr>
              <w:t>/d，全年耗水量为</w:t>
            </w:r>
            <w:r>
              <w:rPr>
                <w:rFonts w:hint="eastAsia"/>
                <w:sz w:val="24"/>
                <w:lang w:val="en-US" w:eastAsia="zh-CN"/>
              </w:rPr>
              <w:t>60</w:t>
            </w:r>
            <w:r>
              <w:rPr>
                <w:color w:val="000000"/>
                <w:spacing w:val="4"/>
                <w:sz w:val="24"/>
              </w:rPr>
              <w:t>m</w:t>
            </w:r>
            <w:r>
              <w:rPr>
                <w:color w:val="000000"/>
                <w:spacing w:val="4"/>
                <w:sz w:val="24"/>
                <w:vertAlign w:val="superscript"/>
              </w:rPr>
              <w:t>3</w:t>
            </w:r>
            <w:r>
              <w:rPr>
                <w:color w:val="000000"/>
                <w:spacing w:val="4"/>
                <w:sz w:val="24"/>
              </w:rPr>
              <w:t>/a</w:t>
            </w:r>
            <w:r>
              <w:rPr>
                <w:rFonts w:hint="eastAsia"/>
                <w:color w:val="000000"/>
                <w:sz w:val="24"/>
                <w:lang w:val="en-US" w:eastAsia="zh-CN"/>
              </w:rPr>
              <w:t>。</w:t>
            </w:r>
          </w:p>
          <w:p w14:paraId="59CD4631">
            <w:pPr>
              <w:spacing w:line="360" w:lineRule="auto"/>
              <w:ind w:firstLine="480" w:firstLineChars="200"/>
              <w:rPr>
                <w:rFonts w:hint="eastAsia"/>
                <w:sz w:val="24"/>
                <w:szCs w:val="24"/>
                <w:lang w:val="en-US" w:eastAsia="zh-CN"/>
              </w:rPr>
            </w:pPr>
            <w:r>
              <w:rPr>
                <w:rFonts w:hint="eastAsia"/>
                <w:sz w:val="24"/>
                <w:szCs w:val="24"/>
                <w:lang w:val="en-US" w:eastAsia="zh-CN"/>
              </w:rPr>
              <w:t>④作业区地面冲洗用水</w:t>
            </w:r>
          </w:p>
          <w:p w14:paraId="319C8562">
            <w:pPr>
              <w:spacing w:line="360" w:lineRule="auto"/>
              <w:ind w:firstLine="480" w:firstLineChars="200"/>
              <w:rPr>
                <w:rFonts w:hint="default"/>
                <w:sz w:val="24"/>
                <w:szCs w:val="24"/>
                <w:lang w:val="en-US" w:eastAsia="zh-CN"/>
              </w:rPr>
            </w:pPr>
            <w:r>
              <w:rPr>
                <w:rFonts w:hint="eastAsia"/>
                <w:sz w:val="24"/>
                <w:szCs w:val="24"/>
                <w:lang w:val="en-US" w:eastAsia="zh-CN"/>
              </w:rPr>
              <w:t>项目搅拌作业区面积约为350m</w:t>
            </w:r>
            <w:r>
              <w:rPr>
                <w:rFonts w:hint="eastAsia"/>
                <w:sz w:val="24"/>
                <w:szCs w:val="24"/>
                <w:vertAlign w:val="superscript"/>
                <w:lang w:val="en-US" w:eastAsia="zh-CN"/>
              </w:rPr>
              <w:t>3</w:t>
            </w:r>
            <w:r>
              <w:rPr>
                <w:rFonts w:hint="eastAsia"/>
                <w:sz w:val="24"/>
                <w:szCs w:val="24"/>
                <w:lang w:val="en-US" w:eastAsia="zh-CN"/>
              </w:rPr>
              <w:t>，冲洗水量按10L/（m</w:t>
            </w:r>
            <w:r>
              <w:rPr>
                <w:rFonts w:hint="eastAsia"/>
                <w:sz w:val="24"/>
                <w:szCs w:val="24"/>
                <w:vertAlign w:val="superscript"/>
                <w:lang w:val="en-US" w:eastAsia="zh-CN"/>
              </w:rPr>
              <w:t>2</w:t>
            </w:r>
            <w:r>
              <w:rPr>
                <w:rFonts w:hint="eastAsia" w:ascii="微软雅黑" w:hAnsi="微软雅黑" w:eastAsia="微软雅黑" w:cs="微软雅黑"/>
                <w:sz w:val="24"/>
                <w:szCs w:val="24"/>
                <w:lang w:val="en-US" w:eastAsia="zh-CN"/>
              </w:rPr>
              <w:t>·次</w:t>
            </w:r>
            <w:r>
              <w:rPr>
                <w:rFonts w:hint="eastAsia"/>
                <w:sz w:val="24"/>
                <w:szCs w:val="24"/>
                <w:lang w:val="en-US" w:eastAsia="zh-CN"/>
              </w:rPr>
              <w:t>）计，每两天冲洗一次，即年冲洗天数为150天，则作业区地面冲洗用水量为525m</w:t>
            </w:r>
            <w:r>
              <w:rPr>
                <w:rFonts w:hint="eastAsia"/>
                <w:sz w:val="24"/>
                <w:szCs w:val="24"/>
                <w:vertAlign w:val="superscript"/>
                <w:lang w:val="en-US" w:eastAsia="zh-CN"/>
              </w:rPr>
              <w:t>3</w:t>
            </w:r>
            <w:r>
              <w:rPr>
                <w:rFonts w:hint="eastAsia"/>
                <w:sz w:val="24"/>
                <w:szCs w:val="24"/>
                <w:lang w:val="en-US" w:eastAsia="zh-CN"/>
              </w:rPr>
              <w:t>/a。</w:t>
            </w:r>
          </w:p>
          <w:p w14:paraId="50A523C7">
            <w:pPr>
              <w:spacing w:line="360" w:lineRule="auto"/>
              <w:ind w:firstLine="480" w:firstLineChars="200"/>
              <w:rPr>
                <w:rFonts w:hint="eastAsia"/>
                <w:sz w:val="24"/>
                <w:szCs w:val="24"/>
                <w:lang w:val="en-US" w:eastAsia="zh-CN"/>
              </w:rPr>
            </w:pPr>
            <w:r>
              <w:rPr>
                <w:rFonts w:hint="eastAsia"/>
                <w:sz w:val="24"/>
                <w:szCs w:val="24"/>
                <w:lang w:val="en-US" w:eastAsia="zh-CN"/>
              </w:rPr>
              <w:t>⑤洒水抑尘用水</w:t>
            </w:r>
          </w:p>
          <w:p w14:paraId="43B74A42">
            <w:pPr>
              <w:spacing w:line="360" w:lineRule="auto"/>
              <w:ind w:firstLine="480" w:firstLineChars="200"/>
              <w:rPr>
                <w:rFonts w:hint="default"/>
                <w:sz w:val="24"/>
                <w:szCs w:val="24"/>
                <w:lang w:val="en-US" w:eastAsia="zh-CN"/>
              </w:rPr>
            </w:pPr>
            <w:r>
              <w:rPr>
                <w:rFonts w:hint="eastAsia"/>
                <w:sz w:val="24"/>
                <w:szCs w:val="24"/>
                <w:lang w:val="en-US" w:eastAsia="zh-CN"/>
              </w:rPr>
              <w:t>为降低厂区风力起尘和道路运输扬尘和堆场扬尘，厂区内地面全部硬化，同时对厂区、道路和堆场每日洒水降尘，厂区需洒水面积约为800m</w:t>
            </w:r>
            <w:r>
              <w:rPr>
                <w:rFonts w:hint="eastAsia"/>
                <w:sz w:val="24"/>
                <w:szCs w:val="24"/>
                <w:vertAlign w:val="superscript"/>
                <w:lang w:val="en-US" w:eastAsia="zh-CN"/>
              </w:rPr>
              <w:t>2</w:t>
            </w:r>
            <w:r>
              <w:rPr>
                <w:rFonts w:hint="eastAsia"/>
                <w:sz w:val="24"/>
                <w:szCs w:val="24"/>
                <w:lang w:val="en-US" w:eastAsia="zh-CN"/>
              </w:rPr>
              <w:t>，喷洒用水量按1.0L/（m</w:t>
            </w:r>
            <w:r>
              <w:rPr>
                <w:rFonts w:hint="eastAsia"/>
                <w:sz w:val="24"/>
                <w:szCs w:val="24"/>
                <w:vertAlign w:val="superscript"/>
                <w:lang w:val="en-US" w:eastAsia="zh-CN"/>
              </w:rPr>
              <w:t>2</w:t>
            </w:r>
            <w:r>
              <w:rPr>
                <w:rFonts w:hint="eastAsia"/>
                <w:sz w:val="24"/>
                <w:szCs w:val="24"/>
                <w:lang w:val="en-US" w:eastAsia="zh-CN"/>
              </w:rPr>
              <w:t>·d）计，则厂区降尘洒水用量约为0.8</w:t>
            </w:r>
            <w:r>
              <w:rPr>
                <w:rFonts w:hint="eastAsia"/>
                <w:color w:val="000000"/>
                <w:sz w:val="24"/>
                <w:lang w:val="en-US" w:eastAsia="zh-CN"/>
              </w:rPr>
              <w:t>m</w:t>
            </w:r>
            <w:r>
              <w:rPr>
                <w:rFonts w:hint="eastAsia"/>
                <w:color w:val="000000"/>
                <w:sz w:val="24"/>
                <w:vertAlign w:val="superscript"/>
                <w:lang w:val="en-US" w:eastAsia="zh-CN"/>
              </w:rPr>
              <w:t>3</w:t>
            </w:r>
            <w:r>
              <w:rPr>
                <w:rFonts w:hint="eastAsia"/>
                <w:color w:val="000000"/>
                <w:sz w:val="24"/>
                <w:lang w:val="en-US" w:eastAsia="zh-CN"/>
              </w:rPr>
              <w:t>/d（240m</w:t>
            </w:r>
            <w:r>
              <w:rPr>
                <w:rFonts w:hint="eastAsia"/>
                <w:color w:val="000000"/>
                <w:sz w:val="24"/>
                <w:vertAlign w:val="superscript"/>
                <w:lang w:val="en-US" w:eastAsia="zh-CN"/>
              </w:rPr>
              <w:t>3</w:t>
            </w:r>
            <w:r>
              <w:rPr>
                <w:rFonts w:hint="eastAsia"/>
                <w:color w:val="000000"/>
                <w:sz w:val="24"/>
                <w:lang w:val="en-US" w:eastAsia="zh-CN"/>
              </w:rPr>
              <w:t>/a）。</w:t>
            </w:r>
          </w:p>
          <w:p w14:paraId="761FA6A2">
            <w:pPr>
              <w:spacing w:line="360" w:lineRule="auto"/>
              <w:ind w:firstLine="480" w:firstLineChars="200"/>
              <w:rPr>
                <w:rFonts w:hint="default"/>
                <w:sz w:val="24"/>
                <w:szCs w:val="24"/>
                <w:lang w:val="en-US" w:eastAsia="zh-CN"/>
              </w:rPr>
            </w:pPr>
            <w:r>
              <w:rPr>
                <w:rFonts w:hint="eastAsia"/>
                <w:sz w:val="24"/>
                <w:szCs w:val="24"/>
                <w:lang w:val="en-US" w:eastAsia="zh-CN"/>
              </w:rPr>
              <w:t>⑥堆场降尘用水</w:t>
            </w:r>
          </w:p>
          <w:p w14:paraId="2D08C085">
            <w:pPr>
              <w:spacing w:line="360" w:lineRule="auto"/>
              <w:ind w:firstLine="480" w:firstLineChars="200"/>
              <w:rPr>
                <w:rFonts w:hint="default"/>
                <w:sz w:val="24"/>
                <w:szCs w:val="24"/>
                <w:lang w:val="en-US" w:eastAsia="zh-CN"/>
              </w:rPr>
            </w:pPr>
            <w:r>
              <w:rPr>
                <w:rFonts w:hint="eastAsia"/>
                <w:sz w:val="24"/>
                <w:szCs w:val="24"/>
                <w:lang w:val="en-US" w:eastAsia="zh-CN"/>
              </w:rPr>
              <w:t>本项目原料堆场设置为全密闭厂房，仅留进出口通道敞开，进出通道安装防尘帘进行遮挡，对场内设置自动感应式防尘管路系统，进行喷淋除尘，根据建设单位介绍，防尘系统（10个喷头）用水量约为0.6m</w:t>
            </w:r>
            <w:r>
              <w:rPr>
                <w:rFonts w:hint="eastAsia"/>
                <w:sz w:val="24"/>
                <w:szCs w:val="24"/>
                <w:vertAlign w:val="superscript"/>
                <w:lang w:val="en-US" w:eastAsia="zh-CN"/>
              </w:rPr>
              <w:t>3</w:t>
            </w:r>
            <w:r>
              <w:rPr>
                <w:rFonts w:hint="eastAsia"/>
                <w:sz w:val="24"/>
                <w:szCs w:val="24"/>
                <w:lang w:val="en-US" w:eastAsia="zh-CN"/>
              </w:rPr>
              <w:t>/d（180m</w:t>
            </w:r>
            <w:r>
              <w:rPr>
                <w:rFonts w:hint="eastAsia"/>
                <w:sz w:val="24"/>
                <w:szCs w:val="24"/>
                <w:vertAlign w:val="superscript"/>
                <w:lang w:val="en-US" w:eastAsia="zh-CN"/>
              </w:rPr>
              <w:t>3</w:t>
            </w:r>
            <w:r>
              <w:rPr>
                <w:rFonts w:hint="eastAsia"/>
                <w:sz w:val="24"/>
                <w:szCs w:val="24"/>
                <w:lang w:val="en-US" w:eastAsia="zh-CN"/>
              </w:rPr>
              <w:t>/a）。</w:t>
            </w:r>
          </w:p>
          <w:p w14:paraId="294E6774">
            <w:pPr>
              <w:spacing w:line="360" w:lineRule="auto"/>
              <w:ind w:firstLine="480" w:firstLineChars="200"/>
              <w:rPr>
                <w:rFonts w:hint="default"/>
                <w:sz w:val="24"/>
                <w:szCs w:val="24"/>
                <w:lang w:val="en-US" w:eastAsia="zh-CN"/>
              </w:rPr>
            </w:pPr>
            <w:r>
              <w:rPr>
                <w:rFonts w:hint="eastAsia"/>
                <w:sz w:val="24"/>
                <w:szCs w:val="24"/>
                <w:lang w:val="en-US" w:eastAsia="zh-CN"/>
              </w:rPr>
              <w:t>⑦养护用水</w:t>
            </w:r>
          </w:p>
          <w:p w14:paraId="213205FD">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本项目水泥制品需进行养护，根据业主资料，板材出厂前会进行三天的喷水养护，该部分用水量约0.5m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/d，150m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w:t>
            </w:r>
          </w:p>
          <w:p w14:paraId="6087FDDD">
            <w:pPr>
              <w:spacing w:line="360" w:lineRule="auto"/>
              <w:ind w:firstLine="480" w:firstLineChars="200"/>
              <w:rPr>
                <w:rFonts w:hint="eastAsia"/>
                <w:sz w:val="24"/>
                <w:szCs w:val="24"/>
                <w:lang w:val="en-US" w:eastAsia="zh-CN"/>
              </w:rPr>
            </w:pPr>
            <w:r>
              <w:rPr>
                <w:rFonts w:hint="eastAsia"/>
                <w:sz w:val="24"/>
                <w:szCs w:val="24"/>
                <w:lang w:val="en-US" w:eastAsia="zh-CN"/>
              </w:rPr>
              <w:t>⑧绿化用水</w:t>
            </w:r>
          </w:p>
          <w:p w14:paraId="3A3AE539">
            <w:pPr>
              <w:spacing w:line="360" w:lineRule="auto"/>
              <w:ind w:firstLine="480" w:firstLineChars="200"/>
              <w:rPr>
                <w:rFonts w:hint="default" w:eastAsia="宋体"/>
                <w:sz w:val="24"/>
                <w:szCs w:val="24"/>
                <w:lang w:val="en-US" w:eastAsia="zh-CN"/>
              </w:rPr>
            </w:pPr>
            <w:r>
              <w:rPr>
                <w:rFonts w:hint="eastAsia"/>
                <w:sz w:val="24"/>
                <w:szCs w:val="24"/>
                <w:lang w:val="en-US" w:eastAsia="zh-CN"/>
              </w:rPr>
              <w:t>根据</w:t>
            </w:r>
            <w:r>
              <w:rPr>
                <w:color w:val="000000"/>
                <w:sz w:val="24"/>
              </w:rPr>
              <w:t>《建筑给水排水设计规范》（GB50015-2009）</w:t>
            </w:r>
            <w:r>
              <w:rPr>
                <w:rFonts w:hint="eastAsia"/>
                <w:color w:val="000000"/>
                <w:sz w:val="24"/>
                <w:lang w:val="en-US" w:eastAsia="zh-CN"/>
              </w:rPr>
              <w:t>绿化用水定额为1.0~3.0</w:t>
            </w:r>
            <w:r>
              <w:rPr>
                <w:rFonts w:hint="eastAsia"/>
                <w:sz w:val="24"/>
                <w:szCs w:val="24"/>
                <w:lang w:val="en-US" w:eastAsia="zh-CN"/>
              </w:rPr>
              <w:t>L/（m</w:t>
            </w:r>
            <w:r>
              <w:rPr>
                <w:rFonts w:hint="eastAsia"/>
                <w:sz w:val="24"/>
                <w:szCs w:val="24"/>
                <w:vertAlign w:val="superscript"/>
                <w:lang w:val="en-US" w:eastAsia="zh-CN"/>
              </w:rPr>
              <w:t>2</w:t>
            </w:r>
            <w:r>
              <w:rPr>
                <w:rFonts w:hint="eastAsia"/>
                <w:sz w:val="24"/>
                <w:szCs w:val="24"/>
                <w:lang w:val="en-US" w:eastAsia="zh-CN"/>
              </w:rPr>
              <w:t>·d），根据项目实际情况，项目绿化用水定额选用1.0L/（m</w:t>
            </w:r>
            <w:r>
              <w:rPr>
                <w:rFonts w:hint="eastAsia"/>
                <w:sz w:val="24"/>
                <w:szCs w:val="24"/>
                <w:vertAlign w:val="superscript"/>
                <w:lang w:val="en-US" w:eastAsia="zh-CN"/>
              </w:rPr>
              <w:t>2</w:t>
            </w:r>
            <w:r>
              <w:rPr>
                <w:rFonts w:hint="eastAsia"/>
                <w:sz w:val="24"/>
                <w:szCs w:val="24"/>
                <w:lang w:val="en-US" w:eastAsia="zh-CN"/>
              </w:rPr>
              <w:t>·d）。本项目绿化面积约为100m</w:t>
            </w:r>
            <w:r>
              <w:rPr>
                <w:rFonts w:hint="eastAsia"/>
                <w:sz w:val="24"/>
                <w:szCs w:val="24"/>
                <w:vertAlign w:val="superscript"/>
                <w:lang w:val="en-US" w:eastAsia="zh-CN"/>
              </w:rPr>
              <w:t>2</w:t>
            </w:r>
            <w:r>
              <w:rPr>
                <w:rFonts w:hint="eastAsia"/>
                <w:sz w:val="24"/>
                <w:szCs w:val="24"/>
                <w:lang w:val="en-US" w:eastAsia="zh-CN"/>
              </w:rPr>
              <w:t>，每年绿化天数按120天计算，则本项目绿化用水量约为12</w:t>
            </w:r>
            <w:r>
              <w:rPr>
                <w:rFonts w:hint="eastAsia"/>
                <w:color w:val="000000"/>
                <w:sz w:val="24"/>
                <w:lang w:val="en-US" w:eastAsia="zh-CN"/>
              </w:rPr>
              <w:t>m</w:t>
            </w:r>
            <w:r>
              <w:rPr>
                <w:rFonts w:hint="eastAsia"/>
                <w:color w:val="000000"/>
                <w:sz w:val="24"/>
                <w:vertAlign w:val="superscript"/>
                <w:lang w:val="en-US" w:eastAsia="zh-CN"/>
              </w:rPr>
              <w:t>3</w:t>
            </w:r>
            <w:r>
              <w:rPr>
                <w:rFonts w:hint="eastAsia"/>
                <w:color w:val="000000"/>
                <w:sz w:val="24"/>
                <w:lang w:val="en-US" w:eastAsia="zh-CN"/>
              </w:rPr>
              <w:t>/a。</w:t>
            </w:r>
          </w:p>
          <w:p w14:paraId="58FFC7A4">
            <w:pPr>
              <w:spacing w:line="360" w:lineRule="auto"/>
              <w:ind w:firstLine="480" w:firstLineChars="200"/>
              <w:rPr>
                <w:rFonts w:hint="default"/>
                <w:sz w:val="24"/>
                <w:szCs w:val="24"/>
              </w:rPr>
            </w:pPr>
            <w:r>
              <w:rPr>
                <w:rFonts w:hint="default"/>
                <w:sz w:val="24"/>
                <w:szCs w:val="24"/>
              </w:rPr>
              <w:t>本项目用水</w:t>
            </w:r>
            <w:r>
              <w:rPr>
                <w:rFonts w:hint="eastAsia"/>
                <w:sz w:val="24"/>
                <w:szCs w:val="24"/>
                <w:lang w:val="en-US" w:eastAsia="zh-CN"/>
              </w:rPr>
              <w:t>情况见下表，水平衡见图</w:t>
            </w:r>
            <w:r>
              <w:rPr>
                <w:rFonts w:hint="default"/>
                <w:sz w:val="24"/>
                <w:szCs w:val="24"/>
              </w:rPr>
              <w:t>。</w:t>
            </w:r>
          </w:p>
          <w:p w14:paraId="17BD13EB">
            <w:pPr>
              <w:pStyle w:val="67"/>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表1-</w:t>
            </w:r>
            <w:r>
              <w:rPr>
                <w:rFonts w:hint="eastAsia" w:ascii="Times New Roman" w:hAnsi="Times New Roman" w:cs="Times New Roman"/>
                <w:lang w:val="en-US" w:eastAsia="zh-CN"/>
              </w:rPr>
              <w:t>15</w:t>
            </w:r>
            <w:r>
              <w:rPr>
                <w:rFonts w:hint="default" w:ascii="Times New Roman" w:hAnsi="Times New Roman" w:cs="Times New Roman"/>
                <w:lang w:val="en-US" w:eastAsia="zh-CN"/>
              </w:rPr>
              <w:t xml:space="preserve">  项目用水及分配情况</w:t>
            </w:r>
          </w:p>
          <w:tbl>
            <w:tblPr>
              <w:tblStyle w:val="23"/>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1"/>
              <w:gridCol w:w="1689"/>
              <w:gridCol w:w="2043"/>
              <w:gridCol w:w="1118"/>
              <w:gridCol w:w="1074"/>
              <w:gridCol w:w="1890"/>
            </w:tblGrid>
            <w:tr w14:paraId="0FF0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161" w:type="dxa"/>
                  <w:gridSpan w:val="2"/>
                  <w:vAlign w:val="center"/>
                </w:tcPr>
                <w:p w14:paraId="002406B4">
                  <w:pPr>
                    <w:spacing w:line="276" w:lineRule="auto"/>
                    <w:jc w:val="center"/>
                    <w:rPr>
                      <w:rFonts w:hint="default" w:eastAsia="宋体"/>
                      <w:lang w:val="en-US" w:eastAsia="zh-CN"/>
                    </w:rPr>
                  </w:pPr>
                  <w:r>
                    <w:rPr>
                      <w:rFonts w:hint="eastAsia"/>
                      <w:lang w:val="en-US" w:eastAsia="zh-CN"/>
                    </w:rPr>
                    <w:t>用水环节</w:t>
                  </w:r>
                </w:p>
              </w:tc>
              <w:tc>
                <w:tcPr>
                  <w:tcW w:w="1689" w:type="dxa"/>
                  <w:vAlign w:val="center"/>
                </w:tcPr>
                <w:p w14:paraId="6DEC487C">
                  <w:pPr>
                    <w:spacing w:line="276" w:lineRule="auto"/>
                    <w:jc w:val="center"/>
                    <w:rPr>
                      <w:rFonts w:hint="default"/>
                      <w:lang w:val="en-US" w:eastAsia="zh-CN"/>
                    </w:rPr>
                  </w:pPr>
                  <w:r>
                    <w:rPr>
                      <w:rFonts w:hint="eastAsia"/>
                      <w:lang w:val="en-US" w:eastAsia="zh-CN"/>
                    </w:rPr>
                    <w:t>用水规模</w:t>
                  </w:r>
                </w:p>
              </w:tc>
              <w:tc>
                <w:tcPr>
                  <w:tcW w:w="2043" w:type="dxa"/>
                  <w:vAlign w:val="center"/>
                </w:tcPr>
                <w:p w14:paraId="3D21F37C">
                  <w:pPr>
                    <w:spacing w:line="276" w:lineRule="auto"/>
                    <w:jc w:val="center"/>
                    <w:rPr>
                      <w:rFonts w:hint="eastAsia" w:eastAsia="宋体"/>
                      <w:lang w:eastAsia="zh-CN"/>
                    </w:rPr>
                  </w:pPr>
                  <w:r>
                    <w:rPr>
                      <w:rFonts w:hint="default"/>
                    </w:rPr>
                    <w:t>用水</w:t>
                  </w:r>
                  <w:r>
                    <w:rPr>
                      <w:rFonts w:hint="eastAsia"/>
                      <w:lang w:val="en-US" w:eastAsia="zh-CN"/>
                    </w:rPr>
                    <w:t>定额</w:t>
                  </w:r>
                </w:p>
              </w:tc>
              <w:tc>
                <w:tcPr>
                  <w:tcW w:w="1118" w:type="dxa"/>
                  <w:vAlign w:val="center"/>
                </w:tcPr>
                <w:p w14:paraId="4EE9A78B">
                  <w:pPr>
                    <w:spacing w:line="276" w:lineRule="auto"/>
                    <w:jc w:val="center"/>
                    <w:rPr>
                      <w:rFonts w:hint="default" w:eastAsia="宋体"/>
                      <w:lang w:val="en-US" w:eastAsia="zh-CN"/>
                    </w:rPr>
                  </w:pPr>
                  <w:r>
                    <w:rPr>
                      <w:rFonts w:hint="eastAsia"/>
                      <w:lang w:val="en-US" w:eastAsia="zh-CN"/>
                    </w:rPr>
                    <w:t>用水量（</w:t>
                  </w:r>
                  <w:r>
                    <w:rPr>
                      <w:rFonts w:hint="eastAsia"/>
                      <w:color w:val="000000"/>
                      <w:sz w:val="24"/>
                      <w:lang w:val="en-US" w:eastAsia="zh-CN"/>
                    </w:rPr>
                    <w:t>m</w:t>
                  </w:r>
                  <w:r>
                    <w:rPr>
                      <w:rFonts w:hint="eastAsia"/>
                      <w:color w:val="000000"/>
                      <w:sz w:val="24"/>
                      <w:vertAlign w:val="superscript"/>
                      <w:lang w:val="en-US" w:eastAsia="zh-CN"/>
                    </w:rPr>
                    <w:t>3</w:t>
                  </w:r>
                  <w:r>
                    <w:rPr>
                      <w:rFonts w:hint="eastAsia"/>
                      <w:color w:val="000000"/>
                      <w:sz w:val="24"/>
                      <w:lang w:val="en-US" w:eastAsia="zh-CN"/>
                    </w:rPr>
                    <w:t>/a</w:t>
                  </w:r>
                  <w:r>
                    <w:rPr>
                      <w:rFonts w:hint="eastAsia"/>
                      <w:lang w:val="en-US" w:eastAsia="zh-CN"/>
                    </w:rPr>
                    <w:t>）</w:t>
                  </w:r>
                </w:p>
              </w:tc>
              <w:tc>
                <w:tcPr>
                  <w:tcW w:w="1074" w:type="dxa"/>
                  <w:vAlign w:val="center"/>
                </w:tcPr>
                <w:p w14:paraId="33A2DE86">
                  <w:pPr>
                    <w:spacing w:line="276" w:lineRule="auto"/>
                    <w:jc w:val="center"/>
                    <w:rPr>
                      <w:rFonts w:hint="default" w:eastAsia="宋体"/>
                      <w:lang w:val="en-US" w:eastAsia="zh-CN"/>
                    </w:rPr>
                  </w:pPr>
                  <w:r>
                    <w:rPr>
                      <w:rFonts w:hint="eastAsia"/>
                      <w:lang w:val="en-US" w:eastAsia="zh-CN"/>
                    </w:rPr>
                    <w:t>废水量（</w:t>
                  </w:r>
                  <w:r>
                    <w:rPr>
                      <w:rFonts w:hint="eastAsia"/>
                      <w:color w:val="000000"/>
                      <w:sz w:val="24"/>
                      <w:lang w:val="en-US" w:eastAsia="zh-CN"/>
                    </w:rPr>
                    <w:t>m</w:t>
                  </w:r>
                  <w:r>
                    <w:rPr>
                      <w:rFonts w:hint="eastAsia"/>
                      <w:color w:val="000000"/>
                      <w:sz w:val="24"/>
                      <w:vertAlign w:val="superscript"/>
                      <w:lang w:val="en-US" w:eastAsia="zh-CN"/>
                    </w:rPr>
                    <w:t>3</w:t>
                  </w:r>
                  <w:r>
                    <w:rPr>
                      <w:rFonts w:hint="eastAsia"/>
                      <w:color w:val="000000"/>
                      <w:sz w:val="24"/>
                      <w:lang w:val="en-US" w:eastAsia="zh-CN"/>
                    </w:rPr>
                    <w:t>/a</w:t>
                  </w:r>
                  <w:r>
                    <w:rPr>
                      <w:rFonts w:hint="eastAsia"/>
                      <w:lang w:val="en-US" w:eastAsia="zh-CN"/>
                    </w:rPr>
                    <w:t>）</w:t>
                  </w:r>
                </w:p>
              </w:tc>
              <w:tc>
                <w:tcPr>
                  <w:tcW w:w="1890" w:type="dxa"/>
                  <w:vAlign w:val="center"/>
                </w:tcPr>
                <w:p w14:paraId="69FCEE4C">
                  <w:pPr>
                    <w:spacing w:line="276" w:lineRule="auto"/>
                    <w:jc w:val="center"/>
                    <w:rPr>
                      <w:rFonts w:hint="default" w:eastAsia="宋体"/>
                      <w:lang w:val="en-US" w:eastAsia="zh-CN"/>
                    </w:rPr>
                  </w:pPr>
                  <w:r>
                    <w:rPr>
                      <w:rFonts w:hint="eastAsia"/>
                      <w:lang w:val="en-US" w:eastAsia="zh-CN"/>
                    </w:rPr>
                    <w:t>排水去向</w:t>
                  </w:r>
                </w:p>
              </w:tc>
            </w:tr>
            <w:tr w14:paraId="4A32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1" w:type="dxa"/>
                  <w:gridSpan w:val="2"/>
                  <w:vAlign w:val="center"/>
                </w:tcPr>
                <w:p w14:paraId="36A14B2A">
                  <w:pPr>
                    <w:spacing w:line="276" w:lineRule="auto"/>
                    <w:jc w:val="center"/>
                    <w:rPr>
                      <w:rFonts w:hint="default"/>
                    </w:rPr>
                  </w:pPr>
                  <w:r>
                    <w:rPr>
                      <w:rFonts w:hint="default"/>
                    </w:rPr>
                    <w:t>生活用水</w:t>
                  </w:r>
                </w:p>
              </w:tc>
              <w:tc>
                <w:tcPr>
                  <w:tcW w:w="1689" w:type="dxa"/>
                  <w:vAlign w:val="center"/>
                </w:tcPr>
                <w:p w14:paraId="4DE0D4E1">
                  <w:pPr>
                    <w:spacing w:line="276" w:lineRule="auto"/>
                    <w:jc w:val="center"/>
                    <w:rPr>
                      <w:rFonts w:hint="default" w:eastAsia="宋体"/>
                      <w:lang w:val="en-US" w:eastAsia="zh-CN"/>
                    </w:rPr>
                  </w:pPr>
                  <w:r>
                    <w:rPr>
                      <w:rFonts w:hint="eastAsia"/>
                      <w:lang w:val="en-US" w:eastAsia="zh-CN"/>
                    </w:rPr>
                    <w:t>6</w:t>
                  </w:r>
                  <w:r>
                    <w:rPr>
                      <w:rFonts w:hint="default"/>
                    </w:rPr>
                    <w:t>人</w:t>
                  </w:r>
                  <w:r>
                    <w:rPr>
                      <w:rFonts w:hint="eastAsia"/>
                      <w:lang w:eastAsia="zh-CN"/>
                    </w:rPr>
                    <w:t>，</w:t>
                  </w:r>
                  <w:r>
                    <w:rPr>
                      <w:rFonts w:hint="eastAsia"/>
                      <w:lang w:val="en-US" w:eastAsia="zh-CN"/>
                    </w:rPr>
                    <w:t>300d</w:t>
                  </w:r>
                </w:p>
              </w:tc>
              <w:tc>
                <w:tcPr>
                  <w:tcW w:w="2043" w:type="dxa"/>
                  <w:vAlign w:val="center"/>
                </w:tcPr>
                <w:p w14:paraId="56FED1F0">
                  <w:pPr>
                    <w:spacing w:line="276" w:lineRule="auto"/>
                    <w:jc w:val="center"/>
                    <w:rPr>
                      <w:rFonts w:hint="default"/>
                      <w:lang w:val="en-US" w:eastAsia="zh-CN"/>
                    </w:rPr>
                  </w:pPr>
                  <w:r>
                    <w:rPr>
                      <w:rFonts w:hint="eastAsia"/>
                      <w:lang w:val="en-US" w:eastAsia="zh-CN"/>
                    </w:rPr>
                    <w:t>50L</w:t>
                  </w:r>
                  <w:r>
                    <w:rPr>
                      <w:rFonts w:hint="default"/>
                      <w:lang w:val="en-US" w:eastAsia="zh-CN"/>
                    </w:rPr>
                    <w:t>/人﹒d</w:t>
                  </w:r>
                </w:p>
              </w:tc>
              <w:tc>
                <w:tcPr>
                  <w:tcW w:w="1118" w:type="dxa"/>
                  <w:vAlign w:val="center"/>
                </w:tcPr>
                <w:p w14:paraId="0A75A48C">
                  <w:pPr>
                    <w:spacing w:line="276" w:lineRule="auto"/>
                    <w:jc w:val="center"/>
                    <w:rPr>
                      <w:rFonts w:hint="default" w:eastAsia="宋体"/>
                      <w:lang w:val="en-US" w:eastAsia="zh-CN"/>
                    </w:rPr>
                  </w:pPr>
                  <w:r>
                    <w:rPr>
                      <w:rFonts w:hint="eastAsia"/>
                      <w:lang w:val="en-US" w:eastAsia="zh-CN"/>
                    </w:rPr>
                    <w:t>90</w:t>
                  </w:r>
                </w:p>
              </w:tc>
              <w:tc>
                <w:tcPr>
                  <w:tcW w:w="1074" w:type="dxa"/>
                  <w:vAlign w:val="center"/>
                </w:tcPr>
                <w:p w14:paraId="269E0B4E">
                  <w:pPr>
                    <w:spacing w:line="276" w:lineRule="auto"/>
                    <w:jc w:val="center"/>
                    <w:rPr>
                      <w:rFonts w:hint="default" w:eastAsia="宋体"/>
                      <w:lang w:val="en-US" w:eastAsia="zh-CN"/>
                    </w:rPr>
                  </w:pPr>
                  <w:r>
                    <w:rPr>
                      <w:rFonts w:hint="eastAsia"/>
                      <w:lang w:val="en-US" w:eastAsia="zh-CN"/>
                    </w:rPr>
                    <w:t>72</w:t>
                  </w:r>
                </w:p>
              </w:tc>
              <w:tc>
                <w:tcPr>
                  <w:tcW w:w="1890" w:type="dxa"/>
                  <w:vMerge w:val="restart"/>
                  <w:vAlign w:val="center"/>
                </w:tcPr>
                <w:p w14:paraId="75FD7C34">
                  <w:pPr>
                    <w:spacing w:line="276"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生活污水进入化粪池处理，由周边农户清捞用于农肥，不外排；</w:t>
                  </w:r>
                </w:p>
                <w:p w14:paraId="5401FF3E">
                  <w:pPr>
                    <w:spacing w:line="276" w:lineRule="auto"/>
                    <w:jc w:val="center"/>
                    <w:rPr>
                      <w:rFonts w:hint="default"/>
                      <w:lang w:val="en-US" w:eastAsia="zh-CN"/>
                    </w:rPr>
                  </w:pPr>
                  <w:r>
                    <w:rPr>
                      <w:rFonts w:hint="eastAsia" w:ascii="Times New Roman" w:hAnsi="Times New Roman" w:cs="Times New Roman"/>
                      <w:lang w:val="en-US" w:eastAsia="zh-CN"/>
                    </w:rPr>
                    <w:t>生产废水在沉淀池内经沉淀后回用，不外排。</w:t>
                  </w:r>
                </w:p>
              </w:tc>
            </w:tr>
            <w:tr w14:paraId="5302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restart"/>
                  <w:vAlign w:val="center"/>
                </w:tcPr>
                <w:p w14:paraId="64882B83">
                  <w:pPr>
                    <w:spacing w:line="276" w:lineRule="auto"/>
                    <w:jc w:val="center"/>
                    <w:rPr>
                      <w:rFonts w:hint="default"/>
                      <w:lang w:val="en-US" w:eastAsia="zh-CN"/>
                    </w:rPr>
                  </w:pPr>
                  <w:r>
                    <w:rPr>
                      <w:rFonts w:hint="eastAsia"/>
                      <w:lang w:val="en-US" w:eastAsia="zh-CN"/>
                    </w:rPr>
                    <w:t>搅拌用水</w:t>
                  </w:r>
                </w:p>
              </w:tc>
              <w:tc>
                <w:tcPr>
                  <w:tcW w:w="1081" w:type="dxa"/>
                  <w:vAlign w:val="center"/>
                </w:tcPr>
                <w:p w14:paraId="5AE58410">
                  <w:pPr>
                    <w:spacing w:line="276" w:lineRule="auto"/>
                    <w:jc w:val="center"/>
                    <w:rPr>
                      <w:rFonts w:hint="default"/>
                      <w:lang w:val="en-US" w:eastAsia="zh-CN"/>
                    </w:rPr>
                  </w:pPr>
                  <w:r>
                    <w:rPr>
                      <w:rFonts w:hint="eastAsia"/>
                      <w:lang w:val="en-US" w:eastAsia="zh-CN"/>
                    </w:rPr>
                    <w:t>漏粪板</w:t>
                  </w:r>
                </w:p>
              </w:tc>
              <w:tc>
                <w:tcPr>
                  <w:tcW w:w="1689" w:type="dxa"/>
                  <w:vMerge w:val="restart"/>
                  <w:vAlign w:val="center"/>
                </w:tcPr>
                <w:p w14:paraId="1A73B9F3">
                  <w:pPr>
                    <w:spacing w:line="276" w:lineRule="auto"/>
                    <w:jc w:val="center"/>
                    <w:rPr>
                      <w:rFonts w:hint="default"/>
                      <w:lang w:val="en-US" w:eastAsia="zh-CN"/>
                    </w:rPr>
                  </w:pPr>
                  <w:r>
                    <w:rPr>
                      <w:rFonts w:hint="eastAsia"/>
                      <w:lang w:val="en-US" w:eastAsia="zh-CN"/>
                    </w:rPr>
                    <w:t>18500m</w:t>
                  </w:r>
                  <w:r>
                    <w:rPr>
                      <w:rFonts w:hint="eastAsia"/>
                      <w:vertAlign w:val="superscript"/>
                      <w:lang w:val="en-US" w:eastAsia="zh-CN"/>
                    </w:rPr>
                    <w:t>3</w:t>
                  </w:r>
                </w:p>
              </w:tc>
              <w:tc>
                <w:tcPr>
                  <w:tcW w:w="2043" w:type="dxa"/>
                  <w:vMerge w:val="restart"/>
                  <w:vAlign w:val="center"/>
                </w:tcPr>
                <w:p w14:paraId="2C75AA61">
                  <w:pPr>
                    <w:spacing w:line="276" w:lineRule="auto"/>
                    <w:jc w:val="center"/>
                    <w:rPr>
                      <w:rFonts w:hint="default"/>
                      <w:lang w:val="en-US" w:eastAsia="zh-CN"/>
                    </w:rPr>
                  </w:pPr>
                  <w:r>
                    <w:rPr>
                      <w:rFonts w:hint="eastAsia"/>
                      <w:lang w:val="en-US" w:eastAsia="zh-CN"/>
                    </w:rPr>
                    <w:t>200kg</w:t>
                  </w:r>
                  <w:r>
                    <w:rPr>
                      <w:rFonts w:hint="default"/>
                      <w:lang w:val="en-US" w:eastAsia="zh-CN"/>
                    </w:rPr>
                    <w:t>/</w:t>
                  </w:r>
                  <w:r>
                    <w:rPr>
                      <w:rFonts w:hint="eastAsia"/>
                      <w:lang w:val="en-US" w:eastAsia="zh-CN"/>
                    </w:rPr>
                    <w:t>m</w:t>
                  </w:r>
                  <w:r>
                    <w:rPr>
                      <w:rFonts w:hint="eastAsia"/>
                      <w:vertAlign w:val="superscript"/>
                      <w:lang w:val="en-US" w:eastAsia="zh-CN"/>
                    </w:rPr>
                    <w:t>3</w:t>
                  </w:r>
                </w:p>
              </w:tc>
              <w:tc>
                <w:tcPr>
                  <w:tcW w:w="1118" w:type="dxa"/>
                  <w:vMerge w:val="restart"/>
                  <w:vAlign w:val="center"/>
                </w:tcPr>
                <w:p w14:paraId="46A15006">
                  <w:pPr>
                    <w:spacing w:line="276" w:lineRule="auto"/>
                    <w:jc w:val="center"/>
                    <w:rPr>
                      <w:rFonts w:hint="default" w:eastAsia="宋体"/>
                      <w:lang w:val="en-US" w:eastAsia="zh-CN"/>
                    </w:rPr>
                  </w:pPr>
                  <w:r>
                    <w:rPr>
                      <w:rFonts w:hint="eastAsia"/>
                      <w:lang w:val="en-US" w:eastAsia="zh-CN"/>
                    </w:rPr>
                    <w:t>3700</w:t>
                  </w:r>
                </w:p>
              </w:tc>
              <w:tc>
                <w:tcPr>
                  <w:tcW w:w="1074" w:type="dxa"/>
                  <w:vMerge w:val="restart"/>
                  <w:vAlign w:val="center"/>
                </w:tcPr>
                <w:p w14:paraId="079EFF42">
                  <w:pPr>
                    <w:spacing w:line="276" w:lineRule="auto"/>
                    <w:jc w:val="center"/>
                    <w:rPr>
                      <w:rFonts w:hint="default"/>
                      <w:lang w:val="en-US" w:eastAsia="zh-CN"/>
                    </w:rPr>
                  </w:pPr>
                  <w:r>
                    <w:rPr>
                      <w:rFonts w:hint="eastAsia"/>
                      <w:lang w:val="en-US" w:eastAsia="zh-CN"/>
                    </w:rPr>
                    <w:t>0</w:t>
                  </w:r>
                </w:p>
              </w:tc>
              <w:tc>
                <w:tcPr>
                  <w:tcW w:w="1890" w:type="dxa"/>
                  <w:vMerge w:val="continue"/>
                  <w:vAlign w:val="center"/>
                </w:tcPr>
                <w:p w14:paraId="47056F45">
                  <w:pPr>
                    <w:spacing w:line="276" w:lineRule="auto"/>
                    <w:jc w:val="center"/>
                    <w:rPr>
                      <w:rFonts w:hint="default"/>
                    </w:rPr>
                  </w:pPr>
                </w:p>
              </w:tc>
            </w:tr>
            <w:tr w14:paraId="3D30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80" w:type="dxa"/>
                  <w:vMerge w:val="continue"/>
                  <w:vAlign w:val="center"/>
                </w:tcPr>
                <w:p w14:paraId="0A758CBC">
                  <w:pPr>
                    <w:spacing w:line="276" w:lineRule="auto"/>
                    <w:jc w:val="center"/>
                    <w:rPr>
                      <w:rFonts w:hint="default"/>
                      <w:lang w:val="en-US" w:eastAsia="zh-CN"/>
                    </w:rPr>
                  </w:pPr>
                </w:p>
              </w:tc>
              <w:tc>
                <w:tcPr>
                  <w:tcW w:w="1081" w:type="dxa"/>
                  <w:vAlign w:val="center"/>
                </w:tcPr>
                <w:p w14:paraId="1CACFF13">
                  <w:pPr>
                    <w:spacing w:line="276" w:lineRule="auto"/>
                    <w:jc w:val="center"/>
                    <w:rPr>
                      <w:rFonts w:hint="default"/>
                      <w:lang w:val="en-US" w:eastAsia="zh-CN"/>
                    </w:rPr>
                  </w:pPr>
                  <w:r>
                    <w:rPr>
                      <w:rFonts w:hint="eastAsia"/>
                      <w:lang w:val="en-US" w:eastAsia="zh-CN"/>
                    </w:rPr>
                    <w:t>料槽</w:t>
                  </w:r>
                </w:p>
              </w:tc>
              <w:tc>
                <w:tcPr>
                  <w:tcW w:w="1689" w:type="dxa"/>
                  <w:vMerge w:val="continue"/>
                  <w:vAlign w:val="center"/>
                </w:tcPr>
                <w:p w14:paraId="0B48383A">
                  <w:pPr>
                    <w:spacing w:line="276" w:lineRule="auto"/>
                    <w:jc w:val="center"/>
                    <w:rPr>
                      <w:rFonts w:hint="default" w:eastAsia="宋体"/>
                      <w:lang w:val="en-US" w:eastAsia="zh-CN"/>
                    </w:rPr>
                  </w:pPr>
                </w:p>
              </w:tc>
              <w:tc>
                <w:tcPr>
                  <w:tcW w:w="2043" w:type="dxa"/>
                  <w:vMerge w:val="continue"/>
                  <w:vAlign w:val="center"/>
                </w:tcPr>
                <w:p w14:paraId="53C1A987">
                  <w:pPr>
                    <w:spacing w:line="276" w:lineRule="auto"/>
                    <w:jc w:val="center"/>
                    <w:rPr>
                      <w:rFonts w:hint="default"/>
                      <w:lang w:val="en-US" w:eastAsia="zh-CN"/>
                    </w:rPr>
                  </w:pPr>
                </w:p>
              </w:tc>
              <w:tc>
                <w:tcPr>
                  <w:tcW w:w="1118" w:type="dxa"/>
                  <w:vMerge w:val="continue"/>
                  <w:vAlign w:val="center"/>
                </w:tcPr>
                <w:p w14:paraId="7F7704CB">
                  <w:pPr>
                    <w:spacing w:line="276" w:lineRule="auto"/>
                    <w:jc w:val="center"/>
                    <w:rPr>
                      <w:rFonts w:hint="default"/>
                      <w:lang w:val="en-US" w:eastAsia="zh-CN"/>
                    </w:rPr>
                  </w:pPr>
                </w:p>
              </w:tc>
              <w:tc>
                <w:tcPr>
                  <w:tcW w:w="1074" w:type="dxa"/>
                  <w:vMerge w:val="continue"/>
                  <w:vAlign w:val="center"/>
                </w:tcPr>
                <w:p w14:paraId="37F1D64B">
                  <w:pPr>
                    <w:spacing w:line="276" w:lineRule="auto"/>
                    <w:jc w:val="center"/>
                    <w:rPr>
                      <w:rFonts w:hint="default"/>
                      <w:lang w:val="en-US" w:eastAsia="zh-CN"/>
                    </w:rPr>
                  </w:pPr>
                </w:p>
              </w:tc>
              <w:tc>
                <w:tcPr>
                  <w:tcW w:w="1890" w:type="dxa"/>
                  <w:vMerge w:val="continue"/>
                  <w:vAlign w:val="center"/>
                </w:tcPr>
                <w:p w14:paraId="76833ECD">
                  <w:pPr>
                    <w:spacing w:line="276" w:lineRule="auto"/>
                    <w:jc w:val="center"/>
                    <w:rPr>
                      <w:rFonts w:hint="eastAsia"/>
                      <w:lang w:val="en-US" w:eastAsia="zh-CN"/>
                    </w:rPr>
                  </w:pPr>
                </w:p>
              </w:tc>
            </w:tr>
            <w:tr w14:paraId="32E9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61" w:type="dxa"/>
                  <w:gridSpan w:val="2"/>
                  <w:vAlign w:val="center"/>
                </w:tcPr>
                <w:p w14:paraId="441FFAE5">
                  <w:pPr>
                    <w:spacing w:line="276" w:lineRule="auto"/>
                    <w:jc w:val="center"/>
                    <w:rPr>
                      <w:rFonts w:hint="default"/>
                      <w:lang w:val="en-US" w:eastAsia="zh-CN"/>
                    </w:rPr>
                  </w:pPr>
                  <w:r>
                    <w:rPr>
                      <w:rFonts w:hint="eastAsia"/>
                      <w:szCs w:val="21"/>
                    </w:rPr>
                    <w:t>轮胎冲洗平台</w:t>
                  </w:r>
                </w:p>
              </w:tc>
              <w:tc>
                <w:tcPr>
                  <w:tcW w:w="1689" w:type="dxa"/>
                  <w:vAlign w:val="center"/>
                </w:tcPr>
                <w:p w14:paraId="249C433A">
                  <w:pPr>
                    <w:spacing w:line="276" w:lineRule="auto"/>
                    <w:jc w:val="center"/>
                    <w:rPr>
                      <w:rFonts w:hint="default"/>
                      <w:lang w:val="en-US" w:eastAsia="zh-CN"/>
                    </w:rPr>
                  </w:pPr>
                  <w:r>
                    <w:rPr>
                      <w:rFonts w:hint="eastAsia"/>
                      <w:lang w:val="en-US" w:eastAsia="zh-CN"/>
                    </w:rPr>
                    <w:t>5辆次</w:t>
                  </w:r>
                </w:p>
              </w:tc>
              <w:tc>
                <w:tcPr>
                  <w:tcW w:w="2043" w:type="dxa"/>
                  <w:vAlign w:val="center"/>
                </w:tcPr>
                <w:p w14:paraId="2D769792">
                  <w:pPr>
                    <w:spacing w:line="276" w:lineRule="auto"/>
                    <w:jc w:val="center"/>
                    <w:rPr>
                      <w:rFonts w:hint="default" w:ascii="Times New Roman" w:hAnsi="Times New Roman" w:cs="Times New Roman"/>
                      <w:lang w:val="en-US" w:eastAsia="zh-CN"/>
                    </w:rPr>
                  </w:pPr>
                  <w:r>
                    <w:rPr>
                      <w:rFonts w:hint="eastAsia" w:cs="Times New Roman"/>
                      <w:lang w:val="en-US" w:eastAsia="zh-CN"/>
                    </w:rPr>
                    <w:t>0.04</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/辆次</w:t>
                  </w:r>
                </w:p>
              </w:tc>
              <w:tc>
                <w:tcPr>
                  <w:tcW w:w="1118" w:type="dxa"/>
                  <w:vAlign w:val="center"/>
                </w:tcPr>
                <w:p w14:paraId="0EBFAB18">
                  <w:pPr>
                    <w:spacing w:line="276" w:lineRule="auto"/>
                    <w:jc w:val="center"/>
                    <w:rPr>
                      <w:rFonts w:hint="default"/>
                      <w:lang w:val="en-US" w:eastAsia="zh-CN"/>
                    </w:rPr>
                  </w:pPr>
                  <w:r>
                    <w:rPr>
                      <w:rFonts w:hint="eastAsia"/>
                      <w:lang w:val="en-US" w:eastAsia="zh-CN"/>
                    </w:rPr>
                    <w:t>60</w:t>
                  </w:r>
                </w:p>
              </w:tc>
              <w:tc>
                <w:tcPr>
                  <w:tcW w:w="1074" w:type="dxa"/>
                  <w:vAlign w:val="center"/>
                </w:tcPr>
                <w:p w14:paraId="770806A6">
                  <w:pPr>
                    <w:keepNext w:val="0"/>
                    <w:keepLines w:val="0"/>
                    <w:widowControl/>
                    <w:suppressLineNumbers w:val="0"/>
                    <w:jc w:val="center"/>
                    <w:rPr>
                      <w:rFonts w:hint="eastAsia" w:eastAsia="宋体"/>
                      <w:lang w:val="en-US" w:eastAsia="zh-CN"/>
                    </w:rPr>
                  </w:pPr>
                  <w:r>
                    <w:rPr>
                      <w:rFonts w:hint="eastAsia"/>
                      <w:lang w:val="en-US" w:eastAsia="zh-CN"/>
                    </w:rPr>
                    <w:t>51（损耗率15%）</w:t>
                  </w:r>
                </w:p>
              </w:tc>
              <w:tc>
                <w:tcPr>
                  <w:tcW w:w="1890" w:type="dxa"/>
                  <w:vMerge w:val="continue"/>
                  <w:vAlign w:val="center"/>
                </w:tcPr>
                <w:p w14:paraId="5471B4AD">
                  <w:pPr>
                    <w:keepNext w:val="0"/>
                    <w:keepLines w:val="0"/>
                    <w:widowControl/>
                    <w:suppressLineNumbers w:val="0"/>
                    <w:jc w:val="center"/>
                    <w:rPr>
                      <w:rFonts w:hint="default"/>
                      <w:lang w:val="en-US" w:eastAsia="zh-CN"/>
                    </w:rPr>
                  </w:pPr>
                </w:p>
              </w:tc>
            </w:tr>
            <w:tr w14:paraId="0F33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61" w:type="dxa"/>
                  <w:gridSpan w:val="2"/>
                  <w:vAlign w:val="center"/>
                </w:tcPr>
                <w:p w14:paraId="62BF6799">
                  <w:pPr>
                    <w:spacing w:line="276" w:lineRule="auto"/>
                    <w:jc w:val="center"/>
                    <w:rPr>
                      <w:rFonts w:hint="default"/>
                      <w:lang w:val="en-US" w:eastAsia="zh-CN"/>
                    </w:rPr>
                  </w:pPr>
                  <w:r>
                    <w:rPr>
                      <w:rFonts w:hint="eastAsia"/>
                      <w:lang w:val="en-US" w:eastAsia="zh-CN"/>
                    </w:rPr>
                    <w:t>作业区地面冲洗用水</w:t>
                  </w:r>
                </w:p>
              </w:tc>
              <w:tc>
                <w:tcPr>
                  <w:tcW w:w="1689" w:type="dxa"/>
                  <w:vAlign w:val="center"/>
                </w:tcPr>
                <w:p w14:paraId="2C93DC82">
                  <w:pPr>
                    <w:spacing w:line="276" w:lineRule="auto"/>
                    <w:jc w:val="center"/>
                    <w:rPr>
                      <w:rFonts w:hint="default" w:ascii="Times New Roman" w:hAnsi="Times New Roman" w:cs="Times New Roman"/>
                      <w:lang w:val="en-US" w:eastAsia="zh-CN"/>
                    </w:rPr>
                  </w:pPr>
                  <w:r>
                    <w:rPr>
                      <w:rFonts w:hint="eastAsia" w:cs="Times New Roman"/>
                      <w:lang w:val="en-US" w:eastAsia="zh-CN"/>
                    </w:rPr>
                    <w:t>350</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eastAsia" w:ascii="Times New Roman" w:hAnsi="Times New Roman" w:cs="Times New Roman"/>
                      <w:vertAlign w:val="baseline"/>
                      <w:lang w:val="en-US" w:eastAsia="zh-CN"/>
                    </w:rPr>
                    <w:t>，150次</w:t>
                  </w:r>
                </w:p>
              </w:tc>
              <w:tc>
                <w:tcPr>
                  <w:tcW w:w="2043" w:type="dxa"/>
                  <w:vAlign w:val="center"/>
                </w:tcPr>
                <w:p w14:paraId="6A418D6E">
                  <w:pPr>
                    <w:spacing w:line="276"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10L/（m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·次）</w:t>
                  </w:r>
                </w:p>
              </w:tc>
              <w:tc>
                <w:tcPr>
                  <w:tcW w:w="1118" w:type="dxa"/>
                  <w:vAlign w:val="center"/>
                </w:tcPr>
                <w:p w14:paraId="468A6B1B">
                  <w:pPr>
                    <w:spacing w:line="276" w:lineRule="auto"/>
                    <w:jc w:val="center"/>
                    <w:rPr>
                      <w:rFonts w:hint="default"/>
                      <w:lang w:val="en-US" w:eastAsia="zh-CN"/>
                    </w:rPr>
                  </w:pPr>
                  <w:r>
                    <w:rPr>
                      <w:rFonts w:hint="eastAsia"/>
                      <w:lang w:val="en-US" w:eastAsia="zh-CN"/>
                    </w:rPr>
                    <w:t>525</w:t>
                  </w:r>
                </w:p>
              </w:tc>
              <w:tc>
                <w:tcPr>
                  <w:tcW w:w="1074" w:type="dxa"/>
                  <w:vAlign w:val="center"/>
                </w:tcPr>
                <w:p w14:paraId="4F2BB472">
                  <w:pPr>
                    <w:keepNext w:val="0"/>
                    <w:keepLines w:val="0"/>
                    <w:widowControl/>
                    <w:suppressLineNumbers w:val="0"/>
                    <w:jc w:val="center"/>
                    <w:rPr>
                      <w:rFonts w:hint="eastAsia" w:eastAsia="宋体"/>
                      <w:lang w:val="en-US" w:eastAsia="zh-CN"/>
                    </w:rPr>
                  </w:pPr>
                  <w:r>
                    <w:rPr>
                      <w:rFonts w:hint="eastAsia"/>
                      <w:lang w:val="en-US" w:eastAsia="zh-CN"/>
                    </w:rPr>
                    <w:t>446.25（损耗率15%）</w:t>
                  </w:r>
                </w:p>
              </w:tc>
              <w:tc>
                <w:tcPr>
                  <w:tcW w:w="1890" w:type="dxa"/>
                  <w:vMerge w:val="continue"/>
                  <w:vAlign w:val="center"/>
                </w:tcPr>
                <w:p w14:paraId="2C3A8F6B">
                  <w:pPr>
                    <w:keepNext w:val="0"/>
                    <w:keepLines w:val="0"/>
                    <w:widowControl/>
                    <w:suppressLineNumbers w:val="0"/>
                    <w:jc w:val="center"/>
                    <w:rPr>
                      <w:rFonts w:hint="default"/>
                      <w:lang w:val="en-US" w:eastAsia="zh-CN"/>
                    </w:rPr>
                  </w:pPr>
                </w:p>
              </w:tc>
            </w:tr>
            <w:tr w14:paraId="23D1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61" w:type="dxa"/>
                  <w:gridSpan w:val="2"/>
                  <w:vAlign w:val="center"/>
                </w:tcPr>
                <w:p w14:paraId="32DFE237">
                  <w:pPr>
                    <w:spacing w:line="276" w:lineRule="auto"/>
                    <w:jc w:val="center"/>
                    <w:rPr>
                      <w:rFonts w:hint="default"/>
                      <w:lang w:val="en-US" w:eastAsia="zh-CN"/>
                    </w:rPr>
                  </w:pPr>
                  <w:r>
                    <w:rPr>
                      <w:rFonts w:hint="eastAsia"/>
                      <w:lang w:val="en-US" w:eastAsia="zh-CN"/>
                    </w:rPr>
                    <w:t>洒水抑尘用水</w:t>
                  </w:r>
                </w:p>
              </w:tc>
              <w:tc>
                <w:tcPr>
                  <w:tcW w:w="1689" w:type="dxa"/>
                  <w:vAlign w:val="center"/>
                </w:tcPr>
                <w:p w14:paraId="5FDB2E47">
                  <w:pPr>
                    <w:spacing w:line="276" w:lineRule="auto"/>
                    <w:jc w:val="center"/>
                    <w:rPr>
                      <w:rFonts w:hint="default"/>
                      <w:lang w:val="en-US" w:eastAsia="zh-CN"/>
                    </w:rPr>
                  </w:pPr>
                  <w:r>
                    <w:rPr>
                      <w:rFonts w:hint="eastAsia" w:cs="Times New Roman"/>
                      <w:lang w:val="en-US" w:eastAsia="zh-CN"/>
                    </w:rPr>
                    <w:t>800</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eastAsia" w:ascii="Times New Roman" w:hAnsi="Times New Roman" w:cs="Times New Roman"/>
                      <w:vertAlign w:val="baseline"/>
                      <w:lang w:val="en-US" w:eastAsia="zh-CN"/>
                    </w:rPr>
                    <w:t>，</w:t>
                  </w:r>
                  <w:r>
                    <w:rPr>
                      <w:rFonts w:hint="eastAsia"/>
                      <w:lang w:val="en-US" w:eastAsia="zh-CN"/>
                    </w:rPr>
                    <w:t>300天</w:t>
                  </w:r>
                </w:p>
              </w:tc>
              <w:tc>
                <w:tcPr>
                  <w:tcW w:w="2043" w:type="dxa"/>
                  <w:vAlign w:val="center"/>
                </w:tcPr>
                <w:p w14:paraId="4A1A7B41">
                  <w:pPr>
                    <w:spacing w:line="276"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1.0L/（m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·d）</w:t>
                  </w:r>
                </w:p>
              </w:tc>
              <w:tc>
                <w:tcPr>
                  <w:tcW w:w="1118" w:type="dxa"/>
                  <w:vAlign w:val="center"/>
                </w:tcPr>
                <w:p w14:paraId="704199A9">
                  <w:pPr>
                    <w:spacing w:line="276" w:lineRule="auto"/>
                    <w:jc w:val="center"/>
                    <w:rPr>
                      <w:rFonts w:hint="default" w:ascii="Times New Roman" w:hAnsi="Times New Roman" w:cs="Times New Roman"/>
                      <w:lang w:val="en-US" w:eastAsia="zh-CN"/>
                    </w:rPr>
                  </w:pPr>
                  <w:r>
                    <w:rPr>
                      <w:rFonts w:hint="eastAsia" w:cs="Times New Roman"/>
                      <w:lang w:val="en-US" w:eastAsia="zh-CN"/>
                    </w:rPr>
                    <w:t>240</w:t>
                  </w:r>
                </w:p>
              </w:tc>
              <w:tc>
                <w:tcPr>
                  <w:tcW w:w="1074" w:type="dxa"/>
                  <w:vAlign w:val="center"/>
                </w:tcPr>
                <w:p w14:paraId="01ACCB02">
                  <w:pPr>
                    <w:keepNext w:val="0"/>
                    <w:keepLines w:val="0"/>
                    <w:widowControl/>
                    <w:suppressLineNumbers w:val="0"/>
                    <w:jc w:val="center"/>
                    <w:rPr>
                      <w:rFonts w:hint="eastAsia" w:eastAsia="宋体"/>
                      <w:lang w:val="en-US" w:eastAsia="zh-CN"/>
                    </w:rPr>
                  </w:pPr>
                  <w:r>
                    <w:rPr>
                      <w:rFonts w:hint="eastAsia"/>
                      <w:lang w:val="en-US" w:eastAsia="zh-CN"/>
                    </w:rPr>
                    <w:t>0</w:t>
                  </w:r>
                </w:p>
              </w:tc>
              <w:tc>
                <w:tcPr>
                  <w:tcW w:w="1890" w:type="dxa"/>
                  <w:vMerge w:val="continue"/>
                  <w:vAlign w:val="center"/>
                </w:tcPr>
                <w:p w14:paraId="516BC19C">
                  <w:pPr>
                    <w:keepNext w:val="0"/>
                    <w:keepLines w:val="0"/>
                    <w:widowControl/>
                    <w:suppressLineNumbers w:val="0"/>
                    <w:jc w:val="center"/>
                    <w:rPr>
                      <w:rFonts w:hint="default"/>
                      <w:lang w:val="en-US" w:eastAsia="zh-CN"/>
                    </w:rPr>
                  </w:pPr>
                </w:p>
              </w:tc>
            </w:tr>
            <w:tr w14:paraId="189A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61" w:type="dxa"/>
                  <w:gridSpan w:val="2"/>
                  <w:vAlign w:val="center"/>
                </w:tcPr>
                <w:p w14:paraId="4259E5D0">
                  <w:pPr>
                    <w:spacing w:line="276" w:lineRule="auto"/>
                    <w:jc w:val="center"/>
                    <w:rPr>
                      <w:rFonts w:hint="default"/>
                      <w:lang w:val="en-US" w:eastAsia="zh-CN"/>
                    </w:rPr>
                  </w:pPr>
                  <w:r>
                    <w:rPr>
                      <w:rFonts w:hint="eastAsia"/>
                      <w:lang w:val="en-US" w:eastAsia="zh-CN"/>
                    </w:rPr>
                    <w:t>堆场降尘用水</w:t>
                  </w:r>
                </w:p>
              </w:tc>
              <w:tc>
                <w:tcPr>
                  <w:tcW w:w="1689" w:type="dxa"/>
                  <w:vAlign w:val="center"/>
                </w:tcPr>
                <w:p w14:paraId="6F70A6E9">
                  <w:pPr>
                    <w:spacing w:line="276" w:lineRule="auto"/>
                    <w:jc w:val="center"/>
                    <w:rPr>
                      <w:rFonts w:hint="eastAsia" w:ascii="Times New Roman" w:hAnsi="Times New Roman" w:cs="Times New Roman"/>
                      <w:lang w:val="en-US" w:eastAsia="zh-CN"/>
                    </w:rPr>
                  </w:pPr>
                  <w:r>
                    <w:rPr>
                      <w:rFonts w:hint="eastAsia" w:cs="Times New Roman"/>
                      <w:lang w:val="en-US" w:eastAsia="zh-CN"/>
                    </w:rPr>
                    <w:t>10</w:t>
                  </w:r>
                  <w:r>
                    <w:rPr>
                      <w:rFonts w:hint="eastAsia" w:ascii="Times New Roman" w:hAnsi="Times New Roman" w:cs="Times New Roman"/>
                      <w:lang w:val="en-US" w:eastAsia="zh-CN"/>
                    </w:rPr>
                    <w:t>个</w:t>
                  </w:r>
                  <w:r>
                    <w:rPr>
                      <w:rFonts w:hint="eastAsia" w:ascii="Times New Roman" w:hAnsi="Times New Roman" w:cs="Times New Roman"/>
                      <w:vertAlign w:val="baseline"/>
                      <w:lang w:val="en-US" w:eastAsia="zh-CN"/>
                    </w:rPr>
                    <w:t>，</w:t>
                  </w:r>
                  <w:r>
                    <w:rPr>
                      <w:rFonts w:hint="eastAsia"/>
                      <w:lang w:val="en-US" w:eastAsia="zh-CN"/>
                    </w:rPr>
                    <w:t>300天</w:t>
                  </w:r>
                </w:p>
              </w:tc>
              <w:tc>
                <w:tcPr>
                  <w:tcW w:w="2043" w:type="dxa"/>
                  <w:vAlign w:val="center"/>
                </w:tcPr>
                <w:p w14:paraId="7E315C9A">
                  <w:pPr>
                    <w:spacing w:line="276" w:lineRule="auto"/>
                    <w:jc w:val="center"/>
                    <w:rPr>
                      <w:rFonts w:hint="eastAsia" w:ascii="Times New Roman" w:hAnsi="Times New Roman" w:cs="Times New Roman"/>
                      <w:lang w:val="en-US" w:eastAsia="zh-CN"/>
                    </w:rPr>
                  </w:pPr>
                  <w:r>
                    <w:rPr>
                      <w:rFonts w:hint="default" w:ascii="Times New Roman" w:hAnsi="Times New Roman" w:eastAsia="宋体" w:cs="Times New Roman"/>
                      <w:color w:val="auto"/>
                      <w:szCs w:val="21"/>
                    </w:rPr>
                    <w:t>15L/h•个（以4h计）</w:t>
                  </w:r>
                </w:p>
              </w:tc>
              <w:tc>
                <w:tcPr>
                  <w:tcW w:w="1118" w:type="dxa"/>
                  <w:vAlign w:val="center"/>
                </w:tcPr>
                <w:p w14:paraId="20B166DC">
                  <w:pPr>
                    <w:spacing w:line="276" w:lineRule="auto"/>
                    <w:jc w:val="center"/>
                    <w:rPr>
                      <w:rFonts w:hint="default" w:ascii="Times New Roman" w:hAnsi="Times New Roman" w:cs="Times New Roman"/>
                      <w:lang w:val="en-US" w:eastAsia="zh-CN"/>
                    </w:rPr>
                  </w:pPr>
                  <w:r>
                    <w:rPr>
                      <w:rFonts w:hint="eastAsia" w:cs="Times New Roman"/>
                      <w:lang w:val="en-US" w:eastAsia="zh-CN"/>
                    </w:rPr>
                    <w:t>180</w:t>
                  </w:r>
                </w:p>
              </w:tc>
              <w:tc>
                <w:tcPr>
                  <w:tcW w:w="1074" w:type="dxa"/>
                  <w:vAlign w:val="center"/>
                </w:tcPr>
                <w:p w14:paraId="6ECB6DBE">
                  <w:pPr>
                    <w:keepNext w:val="0"/>
                    <w:keepLines w:val="0"/>
                    <w:widowControl/>
                    <w:suppressLineNumbers w:val="0"/>
                    <w:jc w:val="center"/>
                    <w:rPr>
                      <w:rFonts w:hint="default"/>
                      <w:lang w:val="en-US" w:eastAsia="zh-CN"/>
                    </w:rPr>
                  </w:pPr>
                  <w:r>
                    <w:rPr>
                      <w:rFonts w:hint="eastAsia"/>
                      <w:lang w:val="en-US" w:eastAsia="zh-CN"/>
                    </w:rPr>
                    <w:t>0</w:t>
                  </w:r>
                </w:p>
              </w:tc>
              <w:tc>
                <w:tcPr>
                  <w:tcW w:w="1890" w:type="dxa"/>
                  <w:vMerge w:val="continue"/>
                  <w:vAlign w:val="center"/>
                </w:tcPr>
                <w:p w14:paraId="0C1E9F00">
                  <w:pPr>
                    <w:keepNext w:val="0"/>
                    <w:keepLines w:val="0"/>
                    <w:widowControl/>
                    <w:suppressLineNumbers w:val="0"/>
                    <w:jc w:val="center"/>
                    <w:rPr>
                      <w:rFonts w:hint="default"/>
                      <w:lang w:val="en-US" w:eastAsia="zh-CN"/>
                    </w:rPr>
                  </w:pPr>
                </w:p>
              </w:tc>
            </w:tr>
            <w:tr w14:paraId="4808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61" w:type="dxa"/>
                  <w:gridSpan w:val="2"/>
                  <w:vAlign w:val="center"/>
                </w:tcPr>
                <w:p w14:paraId="062576ED">
                  <w:pPr>
                    <w:spacing w:line="276" w:lineRule="auto"/>
                    <w:jc w:val="center"/>
                    <w:rPr>
                      <w:rFonts w:hint="default"/>
                      <w:lang w:val="en-US" w:eastAsia="zh-CN"/>
                    </w:rPr>
                  </w:pPr>
                  <w:r>
                    <w:rPr>
                      <w:rFonts w:hint="eastAsia"/>
                      <w:lang w:val="en-US" w:eastAsia="zh-CN"/>
                    </w:rPr>
                    <w:t>养护用水</w:t>
                  </w:r>
                </w:p>
              </w:tc>
              <w:tc>
                <w:tcPr>
                  <w:tcW w:w="1689" w:type="dxa"/>
                  <w:vAlign w:val="center"/>
                </w:tcPr>
                <w:p w14:paraId="5CAF71DD">
                  <w:pPr>
                    <w:spacing w:line="276" w:lineRule="auto"/>
                    <w:jc w:val="center"/>
                    <w:rPr>
                      <w:rFonts w:hint="default" w:cs="Times New Roman"/>
                      <w:lang w:val="en-US" w:eastAsia="zh-CN"/>
                    </w:rPr>
                  </w:pPr>
                  <w:r>
                    <w:rPr>
                      <w:rFonts w:hint="eastAsia" w:cs="Times New Roman"/>
                      <w:lang w:val="en-US" w:eastAsia="zh-CN"/>
                    </w:rPr>
                    <w:t>/</w:t>
                  </w:r>
                </w:p>
              </w:tc>
              <w:tc>
                <w:tcPr>
                  <w:tcW w:w="2043" w:type="dxa"/>
                  <w:vAlign w:val="center"/>
                </w:tcPr>
                <w:p w14:paraId="0290282B">
                  <w:pPr>
                    <w:spacing w:line="276" w:lineRule="auto"/>
                    <w:jc w:val="center"/>
                    <w:rPr>
                      <w:rFonts w:hint="default" w:ascii="Times New Roman" w:hAnsi="Times New Roman" w:eastAsia="宋体" w:cs="Times New Roman"/>
                      <w:color w:val="auto"/>
                      <w:szCs w:val="21"/>
                    </w:rPr>
                  </w:pPr>
                  <w:r>
                    <w:rPr>
                      <w:rFonts w:hint="eastAsia" w:cs="Times New Roman"/>
                      <w:lang w:val="en-US" w:eastAsia="zh-CN"/>
                    </w:rPr>
                    <w:t>0.3</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/d</w:t>
                  </w:r>
                </w:p>
              </w:tc>
              <w:tc>
                <w:tcPr>
                  <w:tcW w:w="1118" w:type="dxa"/>
                  <w:vAlign w:val="center"/>
                </w:tcPr>
                <w:p w14:paraId="5C1F9F1A">
                  <w:pPr>
                    <w:spacing w:line="276" w:lineRule="auto"/>
                    <w:jc w:val="center"/>
                    <w:rPr>
                      <w:rFonts w:hint="default" w:cs="Times New Roman"/>
                      <w:lang w:val="en-US" w:eastAsia="zh-CN"/>
                    </w:rPr>
                  </w:pPr>
                  <w:r>
                    <w:rPr>
                      <w:rFonts w:hint="eastAsia" w:cs="Times New Roman"/>
                      <w:lang w:val="en-US" w:eastAsia="zh-CN"/>
                    </w:rPr>
                    <w:t>150</w:t>
                  </w:r>
                </w:p>
              </w:tc>
              <w:tc>
                <w:tcPr>
                  <w:tcW w:w="1074" w:type="dxa"/>
                  <w:vAlign w:val="center"/>
                </w:tcPr>
                <w:p w14:paraId="608693F9">
                  <w:pPr>
                    <w:keepNext w:val="0"/>
                    <w:keepLines w:val="0"/>
                    <w:widowControl/>
                    <w:suppressLineNumbers w:val="0"/>
                    <w:jc w:val="center"/>
                    <w:rPr>
                      <w:rFonts w:hint="default"/>
                      <w:lang w:val="en-US" w:eastAsia="zh-CN"/>
                    </w:rPr>
                  </w:pPr>
                  <w:r>
                    <w:rPr>
                      <w:rFonts w:hint="eastAsia"/>
                      <w:lang w:val="en-US" w:eastAsia="zh-CN"/>
                    </w:rPr>
                    <w:t>0</w:t>
                  </w:r>
                </w:p>
              </w:tc>
              <w:tc>
                <w:tcPr>
                  <w:tcW w:w="1890" w:type="dxa"/>
                  <w:vMerge w:val="continue"/>
                  <w:vAlign w:val="center"/>
                </w:tcPr>
                <w:p w14:paraId="760A6CA0">
                  <w:pPr>
                    <w:keepNext w:val="0"/>
                    <w:keepLines w:val="0"/>
                    <w:widowControl/>
                    <w:suppressLineNumbers w:val="0"/>
                    <w:jc w:val="center"/>
                    <w:rPr>
                      <w:rFonts w:hint="default"/>
                      <w:lang w:val="en-US" w:eastAsia="zh-CN"/>
                    </w:rPr>
                  </w:pPr>
                </w:p>
              </w:tc>
            </w:tr>
            <w:tr w14:paraId="0B96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61" w:type="dxa"/>
                  <w:gridSpan w:val="2"/>
                  <w:vAlign w:val="center"/>
                </w:tcPr>
                <w:p w14:paraId="782D750D">
                  <w:pPr>
                    <w:spacing w:line="276" w:lineRule="auto"/>
                    <w:jc w:val="center"/>
                    <w:rPr>
                      <w:rFonts w:hint="default"/>
                      <w:lang w:val="en-US" w:eastAsia="zh-CN"/>
                    </w:rPr>
                  </w:pPr>
                  <w:r>
                    <w:rPr>
                      <w:rFonts w:hint="eastAsia"/>
                      <w:lang w:val="en-US" w:eastAsia="zh-CN"/>
                    </w:rPr>
                    <w:t>绿化用水</w:t>
                  </w:r>
                </w:p>
              </w:tc>
              <w:tc>
                <w:tcPr>
                  <w:tcW w:w="1689" w:type="dxa"/>
                  <w:vAlign w:val="center"/>
                </w:tcPr>
                <w:p w14:paraId="1DE07EBE">
                  <w:pPr>
                    <w:spacing w:line="276" w:lineRule="auto"/>
                    <w:jc w:val="center"/>
                    <w:rPr>
                      <w:rFonts w:hint="default"/>
                      <w:lang w:val="en-US" w:eastAsia="zh-CN"/>
                    </w:rPr>
                  </w:pPr>
                  <w:r>
                    <w:rPr>
                      <w:rFonts w:hint="eastAsia" w:cs="Times New Roman"/>
                      <w:lang w:val="en-US" w:eastAsia="zh-CN"/>
                    </w:rPr>
                    <w:t>100</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eastAsia" w:ascii="Times New Roman" w:hAnsi="Times New Roman" w:cs="Times New Roman"/>
                      <w:vertAlign w:val="baseline"/>
                      <w:lang w:val="en-US" w:eastAsia="zh-CN"/>
                    </w:rPr>
                    <w:t>，</w:t>
                  </w:r>
                  <w:r>
                    <w:rPr>
                      <w:rFonts w:hint="eastAsia"/>
                      <w:lang w:val="en-US" w:eastAsia="zh-CN"/>
                    </w:rPr>
                    <w:t>120天</w:t>
                  </w:r>
                </w:p>
              </w:tc>
              <w:tc>
                <w:tcPr>
                  <w:tcW w:w="2043" w:type="dxa"/>
                  <w:vAlign w:val="center"/>
                </w:tcPr>
                <w:p w14:paraId="772CF060">
                  <w:pPr>
                    <w:spacing w:line="276" w:lineRule="auto"/>
                    <w:jc w:val="center"/>
                    <w:rPr>
                      <w:rFonts w:hint="default"/>
                      <w:lang w:val="en-US" w:eastAsia="zh-CN"/>
                    </w:rPr>
                  </w:pPr>
                  <w:r>
                    <w:rPr>
                      <w:rFonts w:hint="eastAsia" w:ascii="Times New Roman" w:hAnsi="Times New Roman" w:cs="Times New Roman"/>
                      <w:lang w:val="en-US" w:eastAsia="zh-CN"/>
                    </w:rPr>
                    <w:t>1.0L/（m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·d）</w:t>
                  </w:r>
                </w:p>
              </w:tc>
              <w:tc>
                <w:tcPr>
                  <w:tcW w:w="1118" w:type="dxa"/>
                  <w:vAlign w:val="center"/>
                </w:tcPr>
                <w:p w14:paraId="0E1D1497">
                  <w:pPr>
                    <w:spacing w:line="276" w:lineRule="auto"/>
                    <w:jc w:val="center"/>
                    <w:rPr>
                      <w:rFonts w:hint="default"/>
                      <w:lang w:val="en-US" w:eastAsia="zh-CN"/>
                    </w:rPr>
                  </w:pPr>
                  <w:r>
                    <w:rPr>
                      <w:rFonts w:hint="eastAsia"/>
                      <w:lang w:val="en-US" w:eastAsia="zh-CN"/>
                    </w:rPr>
                    <w:t>12</w:t>
                  </w:r>
                </w:p>
              </w:tc>
              <w:tc>
                <w:tcPr>
                  <w:tcW w:w="1074" w:type="dxa"/>
                  <w:vAlign w:val="center"/>
                </w:tcPr>
                <w:p w14:paraId="13CF1BB5">
                  <w:pPr>
                    <w:keepNext w:val="0"/>
                    <w:keepLines w:val="0"/>
                    <w:widowControl/>
                    <w:suppressLineNumbers w:val="0"/>
                    <w:jc w:val="center"/>
                    <w:rPr>
                      <w:rFonts w:hint="eastAsia" w:eastAsia="宋体"/>
                      <w:lang w:val="en-US" w:eastAsia="zh-CN"/>
                    </w:rPr>
                  </w:pPr>
                  <w:r>
                    <w:rPr>
                      <w:rFonts w:hint="eastAsia"/>
                      <w:lang w:val="en-US" w:eastAsia="zh-CN"/>
                    </w:rPr>
                    <w:t>0</w:t>
                  </w:r>
                </w:p>
              </w:tc>
              <w:tc>
                <w:tcPr>
                  <w:tcW w:w="1890" w:type="dxa"/>
                  <w:vMerge w:val="continue"/>
                  <w:vAlign w:val="center"/>
                </w:tcPr>
                <w:p w14:paraId="436408DB">
                  <w:pPr>
                    <w:keepNext w:val="0"/>
                    <w:keepLines w:val="0"/>
                    <w:widowControl/>
                    <w:suppressLineNumbers w:val="0"/>
                    <w:jc w:val="center"/>
                    <w:rPr>
                      <w:rFonts w:hint="default"/>
                      <w:lang w:val="en-US" w:eastAsia="zh-CN"/>
                    </w:rPr>
                  </w:pPr>
                </w:p>
              </w:tc>
            </w:tr>
            <w:tr w14:paraId="0C12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893" w:type="dxa"/>
                  <w:gridSpan w:val="4"/>
                  <w:vAlign w:val="center"/>
                </w:tcPr>
                <w:p w14:paraId="601B6BE7">
                  <w:pPr>
                    <w:spacing w:line="276" w:lineRule="auto"/>
                    <w:jc w:val="center"/>
                    <w:rPr>
                      <w:rFonts w:hint="default"/>
                    </w:rPr>
                  </w:pPr>
                  <w:r>
                    <w:rPr>
                      <w:rFonts w:hint="eastAsia"/>
                      <w:lang w:val="en-US" w:eastAsia="zh-CN"/>
                    </w:rPr>
                    <w:t>合</w:t>
                  </w:r>
                  <w:r>
                    <w:rPr>
                      <w:rFonts w:hint="default"/>
                    </w:rPr>
                    <w:t>计</w:t>
                  </w:r>
                </w:p>
              </w:tc>
              <w:tc>
                <w:tcPr>
                  <w:tcW w:w="1118" w:type="dxa"/>
                  <w:vAlign w:val="center"/>
                </w:tcPr>
                <w:p w14:paraId="5DEF7961">
                  <w:pPr>
                    <w:spacing w:line="276" w:lineRule="auto"/>
                    <w:jc w:val="center"/>
                    <w:rPr>
                      <w:rFonts w:hint="default" w:eastAsia="宋体"/>
                      <w:lang w:val="en-US" w:eastAsia="zh-CN"/>
                    </w:rPr>
                  </w:pPr>
                  <w:r>
                    <w:rPr>
                      <w:rFonts w:hint="eastAsia"/>
                      <w:lang w:val="en-US" w:eastAsia="zh-CN"/>
                    </w:rPr>
                    <w:t>4957</w:t>
                  </w:r>
                </w:p>
              </w:tc>
              <w:tc>
                <w:tcPr>
                  <w:tcW w:w="1074" w:type="dxa"/>
                  <w:vAlign w:val="center"/>
                </w:tcPr>
                <w:p w14:paraId="742DB75D">
                  <w:pPr>
                    <w:spacing w:line="276" w:lineRule="auto"/>
                    <w:jc w:val="center"/>
                    <w:rPr>
                      <w:rFonts w:hint="eastAsia" w:eastAsia="宋体"/>
                      <w:lang w:val="en-US" w:eastAsia="zh-CN"/>
                    </w:rPr>
                  </w:pPr>
                  <w:r>
                    <w:rPr>
                      <w:rFonts w:hint="eastAsia"/>
                      <w:lang w:val="en-US" w:eastAsia="zh-CN"/>
                    </w:rPr>
                    <w:t>0</w:t>
                  </w:r>
                </w:p>
              </w:tc>
              <w:tc>
                <w:tcPr>
                  <w:tcW w:w="1890" w:type="dxa"/>
                  <w:vAlign w:val="center"/>
                </w:tcPr>
                <w:p w14:paraId="035C87E0">
                  <w:pPr>
                    <w:spacing w:line="276" w:lineRule="auto"/>
                    <w:jc w:val="center"/>
                    <w:rPr>
                      <w:rFonts w:hint="eastAsia" w:eastAsia="宋体"/>
                      <w:lang w:val="en-US" w:eastAsia="zh-CN"/>
                    </w:rPr>
                  </w:pPr>
                  <w:r>
                    <w:rPr>
                      <w:rFonts w:hint="eastAsia"/>
                      <w:lang w:val="en-US" w:eastAsia="zh-CN"/>
                    </w:rPr>
                    <w:t>/</w:t>
                  </w:r>
                </w:p>
              </w:tc>
            </w:tr>
          </w:tbl>
          <w:p w14:paraId="35FD16C5">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2、排水</w:t>
            </w:r>
          </w:p>
          <w:p w14:paraId="3ACC7B21">
            <w:pPr>
              <w:spacing w:line="360" w:lineRule="auto"/>
              <w:ind w:firstLine="480" w:firstLineChars="200"/>
              <w:rPr>
                <w:rFonts w:hint="default"/>
                <w:color w:val="auto"/>
                <w:sz w:val="24"/>
                <w:szCs w:val="24"/>
                <w:lang w:val="en-US" w:eastAsia="zh-CN"/>
              </w:rPr>
            </w:pPr>
            <w:r>
              <w:rPr>
                <w:rFonts w:hint="default" w:ascii="Times New Roman" w:hAnsi="Times New Roman" w:eastAsia="宋体" w:cs="Times New Roman"/>
                <w:color w:val="auto"/>
                <w:sz w:val="24"/>
                <w:szCs w:val="24"/>
              </w:rPr>
              <w:t>本项目采取雨污分流制，雨水排入雨水沟后进入附近沟渠。</w:t>
            </w:r>
            <w:r>
              <w:rPr>
                <w:rFonts w:hint="default"/>
                <w:color w:val="auto"/>
                <w:sz w:val="24"/>
                <w:szCs w:val="24"/>
              </w:rPr>
              <w:t>本项目车间及道路洒水降尘用水蒸发</w:t>
            </w:r>
            <w:r>
              <w:rPr>
                <w:rFonts w:hint="default"/>
                <w:color w:val="auto"/>
                <w:sz w:val="24"/>
                <w:szCs w:val="24"/>
                <w:lang w:val="en-US" w:eastAsia="zh-CN"/>
              </w:rPr>
              <w:t>，</w:t>
            </w:r>
            <w:r>
              <w:rPr>
                <w:rFonts w:hint="eastAsia"/>
                <w:color w:val="auto"/>
                <w:sz w:val="24"/>
                <w:szCs w:val="24"/>
                <w:lang w:val="en-US" w:eastAsia="zh-CN"/>
              </w:rPr>
              <w:t>轮胎冲洗平台用水</w:t>
            </w:r>
            <w:r>
              <w:rPr>
                <w:rFonts w:hint="eastAsia"/>
                <w:color w:val="auto"/>
                <w:sz w:val="24"/>
                <w:szCs w:val="24"/>
                <w:lang w:eastAsia="zh-CN"/>
              </w:rPr>
              <w:t>、</w:t>
            </w:r>
            <w:r>
              <w:rPr>
                <w:rFonts w:hint="eastAsia"/>
                <w:color w:val="auto"/>
                <w:sz w:val="24"/>
                <w:szCs w:val="24"/>
                <w:lang w:val="en-US" w:eastAsia="zh-CN"/>
              </w:rPr>
              <w:t>地面冲洗水</w:t>
            </w:r>
            <w:r>
              <w:rPr>
                <w:rFonts w:hint="default"/>
                <w:color w:val="auto"/>
                <w:sz w:val="24"/>
                <w:szCs w:val="24"/>
              </w:rPr>
              <w:t>经沉淀池处理后循环使用，</w:t>
            </w:r>
            <w:r>
              <w:rPr>
                <w:rFonts w:hint="eastAsia"/>
                <w:color w:val="auto"/>
                <w:sz w:val="24"/>
                <w:szCs w:val="24"/>
                <w:lang w:val="en-US" w:eastAsia="zh-CN"/>
              </w:rPr>
              <w:t>堆场防尘用水部分蒸发后进入产品。</w:t>
            </w:r>
            <w:r>
              <w:rPr>
                <w:rFonts w:hint="default"/>
                <w:color w:val="auto"/>
                <w:sz w:val="24"/>
                <w:szCs w:val="24"/>
              </w:rPr>
              <w:t>本项目无生产废水外排。</w:t>
            </w:r>
            <w:r>
              <w:rPr>
                <w:rFonts w:hint="default"/>
                <w:color w:val="auto"/>
                <w:sz w:val="24"/>
                <w:szCs w:val="24"/>
                <w:lang w:val="en-US" w:eastAsia="zh-CN"/>
              </w:rPr>
              <w:t>生活污水经厂区已建</w:t>
            </w:r>
            <w:r>
              <w:rPr>
                <w:rFonts w:hint="eastAsia"/>
                <w:color w:val="auto"/>
                <w:sz w:val="24"/>
                <w:szCs w:val="24"/>
                <w:lang w:val="en-US" w:eastAsia="zh-CN"/>
              </w:rPr>
              <w:t>预处理池</w:t>
            </w:r>
            <w:r>
              <w:rPr>
                <w:rFonts w:hint="default"/>
                <w:color w:val="auto"/>
                <w:sz w:val="24"/>
                <w:szCs w:val="24"/>
                <w:lang w:val="en-US" w:eastAsia="zh-CN"/>
              </w:rPr>
              <w:t>处理后</w:t>
            </w:r>
            <w:r>
              <w:rPr>
                <w:rFonts w:hint="eastAsia"/>
                <w:color w:val="auto"/>
                <w:sz w:val="24"/>
                <w:szCs w:val="24"/>
                <w:lang w:val="en-US" w:eastAsia="zh-CN"/>
              </w:rPr>
              <w:t>用于周边农田施肥</w:t>
            </w:r>
            <w:r>
              <w:rPr>
                <w:rFonts w:hint="default"/>
                <w:color w:val="auto"/>
                <w:sz w:val="24"/>
                <w:szCs w:val="24"/>
                <w:lang w:val="en-US" w:eastAsia="zh-CN"/>
              </w:rPr>
              <w:t>。</w:t>
            </w:r>
          </w:p>
          <w:p w14:paraId="6A370493">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3、供电</w:t>
            </w:r>
          </w:p>
          <w:p w14:paraId="69EBE08C">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本项目用电由</w:t>
            </w:r>
            <w:r>
              <w:rPr>
                <w:rFonts w:hint="default" w:ascii="Times New Roman" w:hAnsi="Times New Roman" w:cs="Times New Roman"/>
                <w:color w:val="auto"/>
                <w:sz w:val="24"/>
                <w:szCs w:val="24"/>
                <w:lang w:val="en-US" w:eastAsia="zh-CN"/>
              </w:rPr>
              <w:t>当地</w:t>
            </w:r>
            <w:r>
              <w:rPr>
                <w:rFonts w:hint="default" w:ascii="Times New Roman" w:hAnsi="Times New Roman" w:eastAsia="宋体" w:cs="Times New Roman"/>
                <w:color w:val="auto"/>
                <w:sz w:val="24"/>
                <w:szCs w:val="24"/>
              </w:rPr>
              <w:t>电网供应，厂区内</w:t>
            </w:r>
            <w:r>
              <w:rPr>
                <w:rFonts w:hint="default" w:ascii="Times New Roman" w:hAnsi="Times New Roman" w:cs="Times New Roman"/>
                <w:color w:val="auto"/>
                <w:sz w:val="24"/>
                <w:szCs w:val="24"/>
                <w:lang w:val="en-US" w:eastAsia="zh-CN"/>
              </w:rPr>
              <w:t>已</w:t>
            </w:r>
            <w:r>
              <w:rPr>
                <w:rFonts w:hint="default" w:ascii="Times New Roman" w:hAnsi="Times New Roman" w:eastAsia="宋体" w:cs="Times New Roman"/>
                <w:color w:val="auto"/>
                <w:sz w:val="24"/>
                <w:szCs w:val="24"/>
              </w:rPr>
              <w:t>设置配电房，以满足项目用电需求。</w:t>
            </w:r>
          </w:p>
          <w:p w14:paraId="3FD94E73">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4、空调系统</w:t>
            </w:r>
          </w:p>
          <w:p w14:paraId="0C94352C">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本项目生产车间未设置空调系统，仅在办公区设置分体式空调。</w:t>
            </w:r>
          </w:p>
          <w:p w14:paraId="4EEAFD4E">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十</w:t>
            </w:r>
            <w:r>
              <w:rPr>
                <w:rFonts w:hint="default" w:ascii="Times New Roman" w:hAnsi="Times New Roman" w:cs="Times New Roman"/>
                <w:b/>
                <w:bCs/>
                <w:color w:val="auto"/>
                <w:sz w:val="28"/>
                <w:szCs w:val="28"/>
                <w:lang w:val="en-US" w:eastAsia="zh-CN"/>
              </w:rPr>
              <w:t>一</w:t>
            </w:r>
            <w:r>
              <w:rPr>
                <w:rFonts w:hint="default" w:ascii="Times New Roman" w:hAnsi="Times New Roman" w:eastAsia="宋体" w:cs="Times New Roman"/>
                <w:b/>
                <w:bCs/>
                <w:color w:val="auto"/>
                <w:sz w:val="28"/>
                <w:szCs w:val="28"/>
              </w:rPr>
              <w:t>、劳动定员及工作制度</w:t>
            </w:r>
          </w:p>
          <w:p w14:paraId="75892D84">
            <w:pPr>
              <w:spacing w:line="360" w:lineRule="auto"/>
              <w:ind w:firstLine="48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1、劳动定员</w:t>
            </w:r>
          </w:p>
          <w:p w14:paraId="6121BA8B">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本项目劳动定员</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人。</w:t>
            </w:r>
          </w:p>
          <w:p w14:paraId="64C1D518">
            <w:pPr>
              <w:spacing w:line="360" w:lineRule="auto"/>
              <w:ind w:firstLine="48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2、工作制度</w:t>
            </w:r>
          </w:p>
          <w:p w14:paraId="08C82D37">
            <w:pPr>
              <w:spacing w:line="360" w:lineRule="auto"/>
              <w:ind w:firstLine="480"/>
              <w:rPr>
                <w:rFonts w:hint="default" w:ascii="Times New Roman" w:hAnsi="Times New Roman" w:eastAsia="宋体" w:cs="Times New Roman"/>
                <w:color w:val="C00000"/>
                <w:sz w:val="24"/>
                <w:szCs w:val="24"/>
                <w:lang w:val="en-US" w:eastAsia="zh-CN"/>
              </w:rPr>
            </w:pPr>
            <w:r>
              <w:rPr>
                <w:rFonts w:hint="default" w:ascii="Times New Roman" w:hAnsi="Times New Roman" w:eastAsia="宋体" w:cs="Times New Roman"/>
                <w:color w:val="auto"/>
                <w:sz w:val="24"/>
                <w:szCs w:val="24"/>
              </w:rPr>
              <w:t>本项目实行8小时工作制，年工作3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0天。</w:t>
            </w:r>
            <w:r>
              <w:rPr>
                <w:rFonts w:hint="eastAsia" w:cs="Times New Roman"/>
                <w:b/>
                <w:bCs/>
                <w:color w:val="auto"/>
                <w:sz w:val="24"/>
                <w:szCs w:val="24"/>
                <w:lang w:val="en-US" w:eastAsia="zh-CN"/>
              </w:rPr>
              <w:t>夜间不生产。</w:t>
            </w:r>
          </w:p>
        </w:tc>
      </w:tr>
      <w:tr w14:paraId="7AA3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193" w:type="dxa"/>
            <w:gridSpan w:val="7"/>
            <w:shd w:val="clear" w:color="auto" w:fill="auto"/>
          </w:tcPr>
          <w:p w14:paraId="4827C738">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与本项目有关的原有污染情况及主要环境问题</w:t>
            </w:r>
          </w:p>
          <w:p w14:paraId="4ECD2628">
            <w:pPr>
              <w:pStyle w:val="2"/>
              <w:numPr>
                <w:ilvl w:val="0"/>
                <w:numId w:val="0"/>
              </w:numPr>
              <w:spacing w:line="360" w:lineRule="auto"/>
              <w:ind w:firstLine="480" w:firstLineChars="200"/>
              <w:rPr>
                <w:rFonts w:hint="default" w:ascii="Times New Roman" w:hAnsi="Times New Roman" w:cs="Times New Roman"/>
                <w:b w:val="0"/>
                <w:bCs w:val="0"/>
                <w:color w:val="C00000"/>
                <w:sz w:val="24"/>
                <w:szCs w:val="24"/>
                <w:vertAlign w:val="baseline"/>
                <w:lang w:val="en-US" w:eastAsia="zh-CN"/>
              </w:rPr>
            </w:pPr>
            <w:r>
              <w:rPr>
                <w:rFonts w:hint="default" w:ascii="Times New Roman" w:hAnsi="Times New Roman" w:eastAsia="宋体" w:cs="Times New Roman"/>
                <w:color w:val="auto"/>
                <w:sz w:val="24"/>
                <w:szCs w:val="24"/>
              </w:rPr>
              <w:t>本项目为新建项目，</w:t>
            </w:r>
            <w:r>
              <w:rPr>
                <w:rFonts w:hint="eastAsia" w:ascii="Times New Roman" w:cs="Times New Roman"/>
                <w:color w:val="auto"/>
                <w:sz w:val="24"/>
                <w:szCs w:val="24"/>
                <w:lang w:val="en-US" w:eastAsia="zh-CN"/>
              </w:rPr>
              <w:t>项目</w:t>
            </w:r>
            <w:r>
              <w:rPr>
                <w:rFonts w:hint="eastAsia" w:ascii="宋体" w:hAnsi="宋体" w:eastAsia="宋体" w:cs="宋体"/>
                <w:color w:val="auto"/>
                <w:sz w:val="24"/>
                <w:szCs w:val="24"/>
                <w:lang w:val="en-US" w:eastAsia="zh-CN"/>
              </w:rPr>
              <w:t>位于蓬溪县蓬南镇长石村4社，项目所在地原为蝉茧加工企业</w:t>
            </w:r>
            <w:r>
              <w:rPr>
                <w:rFonts w:hint="eastAsia" w:hAnsi="宋体" w:cs="宋体"/>
                <w:color w:val="auto"/>
                <w:sz w:val="24"/>
                <w:szCs w:val="24"/>
                <w:lang w:val="en-US" w:eastAsia="zh-CN"/>
              </w:rPr>
              <w:t>（原国营企业，已倒闭，当地政府通过拍卖形式出让土地）</w:t>
            </w:r>
            <w:r>
              <w:rPr>
                <w:rFonts w:hint="eastAsia" w:ascii="宋体" w:hAnsi="宋体" w:eastAsia="宋体" w:cs="宋体"/>
                <w:color w:val="auto"/>
                <w:sz w:val="24"/>
                <w:szCs w:val="24"/>
                <w:lang w:val="en-US" w:eastAsia="zh-CN"/>
              </w:rPr>
              <w:t>，建设单位通过拍卖获得该土地所有权，项目所在地现土地已经全部硬化，且有3F办公楼一栋。建设单位将依托此楼做为办公楼使用。</w:t>
            </w:r>
            <w:r>
              <w:rPr>
                <w:rFonts w:hint="eastAsia" w:hAnsi="宋体" w:cs="宋体"/>
                <w:color w:val="auto"/>
                <w:sz w:val="24"/>
                <w:szCs w:val="24"/>
                <w:lang w:val="en-US" w:eastAsia="zh-CN"/>
              </w:rPr>
              <w:t>经现场勘察，</w:t>
            </w:r>
            <w:r>
              <w:rPr>
                <w:rFonts w:hint="default" w:ascii="Times New Roman" w:hAnsi="Times New Roman" w:cs="Times New Roman"/>
                <w:color w:val="auto"/>
                <w:sz w:val="24"/>
                <w:szCs w:val="24"/>
              </w:rPr>
              <w:t>无与本项目有关的原有污染情况。</w:t>
            </w:r>
          </w:p>
        </w:tc>
      </w:tr>
    </w:tbl>
    <w:p w14:paraId="47AAA46C">
      <w:pPr>
        <w:spacing w:line="360" w:lineRule="auto"/>
        <w:ind w:firstLine="281" w:firstLineChars="100"/>
        <w:outlineLvl w:val="0"/>
        <w:rPr>
          <w:rFonts w:hint="default" w:ascii="Times New Roman" w:hAnsi="Times New Roman" w:eastAsia="宋体" w:cs="Times New Roman"/>
          <w:b/>
          <w:color w:val="auto"/>
          <w:sz w:val="28"/>
          <w:szCs w:val="28"/>
        </w:rPr>
      </w:pPr>
    </w:p>
    <w:p w14:paraId="231F34C9">
      <w:pPr>
        <w:spacing w:line="360" w:lineRule="auto"/>
        <w:ind w:firstLine="281" w:firstLineChars="100"/>
        <w:outlineLvl w:val="0"/>
        <w:rPr>
          <w:rFonts w:hint="default" w:ascii="Times New Roman" w:hAnsi="Times New Roman" w:eastAsia="宋体" w:cs="Times New Roman"/>
          <w:b/>
          <w:color w:val="auto"/>
          <w:sz w:val="28"/>
          <w:szCs w:val="28"/>
        </w:rPr>
      </w:pPr>
    </w:p>
    <w:p w14:paraId="7C698724">
      <w:pPr>
        <w:spacing w:line="360" w:lineRule="auto"/>
        <w:ind w:firstLine="281" w:firstLineChars="100"/>
        <w:outlineLvl w:val="0"/>
        <w:rPr>
          <w:rFonts w:hint="default" w:ascii="Times New Roman" w:hAnsi="Times New Roman" w:eastAsia="宋体" w:cs="Times New Roman"/>
          <w:b/>
          <w:color w:val="auto"/>
          <w:sz w:val="28"/>
          <w:szCs w:val="28"/>
        </w:rPr>
      </w:pPr>
    </w:p>
    <w:p w14:paraId="1F7983D0">
      <w:pPr>
        <w:spacing w:line="360" w:lineRule="auto"/>
        <w:ind w:firstLine="281" w:firstLineChars="100"/>
        <w:outlineLvl w:val="0"/>
        <w:rPr>
          <w:rFonts w:hint="default" w:ascii="Times New Roman" w:hAnsi="Times New Roman" w:eastAsia="宋体" w:cs="Times New Roman"/>
          <w:b/>
          <w:color w:val="auto"/>
          <w:sz w:val="28"/>
          <w:szCs w:val="28"/>
        </w:rPr>
      </w:pPr>
    </w:p>
    <w:p w14:paraId="2028C8B1">
      <w:pPr>
        <w:spacing w:line="360" w:lineRule="auto"/>
        <w:ind w:firstLine="281" w:firstLineChars="100"/>
        <w:outlineLvl w:val="0"/>
        <w:rPr>
          <w:rFonts w:hint="default" w:ascii="Times New Roman" w:hAnsi="Times New Roman" w:eastAsia="宋体" w:cs="Times New Roman"/>
          <w:b/>
          <w:color w:val="auto"/>
          <w:sz w:val="28"/>
          <w:szCs w:val="28"/>
        </w:rPr>
      </w:pPr>
    </w:p>
    <w:p w14:paraId="3B8DB18E">
      <w:pPr>
        <w:spacing w:line="360" w:lineRule="auto"/>
        <w:ind w:firstLine="281" w:firstLineChars="100"/>
        <w:outlineLvl w:val="0"/>
        <w:rPr>
          <w:rFonts w:hint="default" w:ascii="Times New Roman" w:hAnsi="Times New Roman" w:eastAsia="宋体" w:cs="Times New Roman"/>
          <w:b/>
          <w:color w:val="auto"/>
          <w:sz w:val="28"/>
          <w:szCs w:val="28"/>
        </w:rPr>
      </w:pPr>
    </w:p>
    <w:p w14:paraId="0162C97F">
      <w:pPr>
        <w:spacing w:line="360" w:lineRule="auto"/>
        <w:ind w:firstLine="281" w:firstLineChars="100"/>
        <w:outlineLvl w:val="0"/>
        <w:rPr>
          <w:rFonts w:hint="default" w:ascii="Times New Roman" w:hAnsi="Times New Roman" w:eastAsia="宋体" w:cs="Times New Roman"/>
          <w:b/>
          <w:color w:val="auto"/>
          <w:sz w:val="28"/>
          <w:szCs w:val="28"/>
        </w:rPr>
      </w:pPr>
    </w:p>
    <w:p w14:paraId="6474BC1F">
      <w:pPr>
        <w:spacing w:line="360" w:lineRule="auto"/>
        <w:ind w:firstLine="281" w:firstLineChars="100"/>
        <w:outlineLvl w:val="0"/>
        <w:rPr>
          <w:rFonts w:hint="default" w:ascii="Times New Roman" w:hAnsi="Times New Roman" w:eastAsia="宋体" w:cs="Times New Roman"/>
          <w:b/>
          <w:color w:val="auto"/>
          <w:sz w:val="28"/>
          <w:szCs w:val="28"/>
        </w:rPr>
      </w:pPr>
    </w:p>
    <w:p w14:paraId="7CC68496">
      <w:pPr>
        <w:spacing w:line="360" w:lineRule="auto"/>
        <w:ind w:firstLine="281" w:firstLineChars="100"/>
        <w:outlineLvl w:val="0"/>
        <w:rPr>
          <w:rFonts w:hint="default" w:ascii="Times New Roman" w:hAnsi="Times New Roman" w:eastAsia="宋体" w:cs="Times New Roman"/>
          <w:b/>
          <w:color w:val="auto"/>
          <w:sz w:val="28"/>
          <w:szCs w:val="28"/>
        </w:rPr>
      </w:pPr>
    </w:p>
    <w:p w14:paraId="5BA277DB">
      <w:pPr>
        <w:spacing w:line="360" w:lineRule="auto"/>
        <w:ind w:firstLine="281" w:firstLineChars="100"/>
        <w:outlineLvl w:val="0"/>
        <w:rPr>
          <w:rFonts w:hint="default" w:ascii="Times New Roman" w:hAnsi="Times New Roman" w:eastAsia="宋体" w:cs="Times New Roman"/>
          <w:b/>
          <w:color w:val="auto"/>
          <w:sz w:val="28"/>
          <w:szCs w:val="28"/>
        </w:rPr>
      </w:pPr>
    </w:p>
    <w:p w14:paraId="7EFB7E13">
      <w:pPr>
        <w:spacing w:line="360" w:lineRule="auto"/>
        <w:ind w:firstLine="281" w:firstLineChars="100"/>
        <w:outlineLvl w:val="0"/>
        <w:rPr>
          <w:rFonts w:hint="default" w:ascii="Times New Roman" w:hAnsi="Times New Roman" w:eastAsia="宋体" w:cs="Times New Roman"/>
          <w:b/>
          <w:color w:val="auto"/>
          <w:sz w:val="28"/>
          <w:szCs w:val="28"/>
        </w:rPr>
      </w:pPr>
    </w:p>
    <w:p w14:paraId="01A605C6">
      <w:pPr>
        <w:spacing w:line="360" w:lineRule="auto"/>
        <w:ind w:firstLine="281" w:firstLineChars="100"/>
        <w:outlineLvl w:val="0"/>
        <w:rPr>
          <w:rFonts w:hint="default" w:ascii="Times New Roman" w:hAnsi="Times New Roman" w:eastAsia="宋体" w:cs="Times New Roman"/>
          <w:b/>
          <w:color w:val="auto"/>
          <w:sz w:val="28"/>
          <w:szCs w:val="28"/>
        </w:rPr>
      </w:pPr>
    </w:p>
    <w:p w14:paraId="213DA96E">
      <w:pPr>
        <w:spacing w:line="360" w:lineRule="auto"/>
        <w:ind w:firstLine="281" w:firstLineChars="100"/>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color w:val="auto"/>
          <w:sz w:val="28"/>
          <w:szCs w:val="28"/>
        </w:rPr>
        <w:t xml:space="preserve">建设项目所在地自然环境社会环境简况                         </w:t>
      </w:r>
      <w:r>
        <w:rPr>
          <w:rFonts w:hint="default" w:ascii="Times New Roman" w:hAnsi="Times New Roman" w:cs="Times New Roman"/>
          <w:b/>
          <w:color w:val="auto"/>
          <w:sz w:val="28"/>
          <w:szCs w:val="28"/>
          <w:lang w:val="en-US" w:eastAsia="zh-CN"/>
        </w:rPr>
        <w:tab/>
      </w:r>
      <w:r>
        <w:rPr>
          <w:rFonts w:hint="default" w:ascii="Times New Roman" w:hAnsi="Times New Roman" w:eastAsia="宋体" w:cs="Times New Roman"/>
          <w:b/>
          <w:color w:val="auto"/>
          <w:sz w:val="28"/>
          <w:szCs w:val="28"/>
        </w:rPr>
        <w:t>（表二）</w:t>
      </w:r>
    </w:p>
    <w:tbl>
      <w:tblPr>
        <w:tblStyle w:val="22"/>
        <w:tblW w:w="10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3"/>
      </w:tblGrid>
      <w:tr w14:paraId="16AE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93" w:type="dxa"/>
            <w:shd w:val="clear" w:color="auto" w:fill="auto"/>
            <w:vAlign w:val="center"/>
          </w:tcPr>
          <w:p w14:paraId="341E0198">
            <w:pPr>
              <w:spacing w:line="360" w:lineRule="auto"/>
              <w:rPr>
                <w:rFonts w:hint="default" w:ascii="Times New Roman" w:hAnsi="Times New Roman" w:eastAsia="宋体" w:cs="Times New Roman"/>
                <w:color w:val="C00000"/>
                <w:sz w:val="24"/>
              </w:rPr>
            </w:pPr>
            <w:r>
              <w:rPr>
                <w:rFonts w:hint="default" w:ascii="Times New Roman" w:hAnsi="Times New Roman" w:eastAsia="宋体" w:cs="Times New Roman"/>
                <w:b/>
                <w:bCs/>
                <w:color w:val="auto"/>
                <w:sz w:val="28"/>
                <w:szCs w:val="28"/>
              </w:rPr>
              <w:t>自然环境简况（地形、地貌、地质、气候、气象、水文、植被、生物多样性等）：</w:t>
            </w:r>
          </w:p>
          <w:p w14:paraId="7083064E">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1、地理位置</w:t>
            </w:r>
          </w:p>
          <w:p w14:paraId="29551971">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遂宁，位于四川盆地中部，涪江中游。介于东经150°03′26″—150°59′49″，北纬30°10′50″—31°10′50″。东西宽90.3公里，南北长108.9公里，总面积5300平方公里。东邻重庆、广安、南充，西连成都，南接内江、资阳，北靠德阳、绵阳，与成都、重庆呈等距三角。遂宁处于四川城镇化发展主轴上，成为全省战略部署建设的“六大都市区”之一。</w:t>
            </w:r>
          </w:p>
          <w:p w14:paraId="36049F29">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蓬溪县地处四川盆地中部偏东，周边与船山区、射洪县、大英、武胜、南充、西充以及重庆市的潼南区、合川区等八县市区毗邻接壤。幅员面积1251平方公里。全县辖31乡镇。</w:t>
            </w:r>
          </w:p>
          <w:p w14:paraId="1F9A12ED">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本项目位于蓬溪县蓬南镇</w:t>
            </w:r>
            <w:r>
              <w:rPr>
                <w:rFonts w:hint="default" w:ascii="Times New Roman" w:hAnsi="Times New Roman" w:cs="Times New Roman"/>
                <w:b w:val="0"/>
                <w:bCs w:val="0"/>
                <w:color w:val="auto"/>
                <w:sz w:val="24"/>
                <w:szCs w:val="24"/>
                <w:lang w:val="en-US" w:eastAsia="zh-CN"/>
              </w:rPr>
              <w:t>乐安村</w:t>
            </w:r>
            <w:r>
              <w:rPr>
                <w:rFonts w:hint="default" w:ascii="Times New Roman" w:hAnsi="Times New Roman" w:cs="Times New Roman"/>
                <w:b w:val="0"/>
                <w:bCs w:val="0"/>
                <w:color w:val="auto"/>
                <w:sz w:val="24"/>
                <w:szCs w:val="24"/>
              </w:rPr>
              <w:t>，项目地理位置详见附图</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rPr>
              <w:t>。</w:t>
            </w:r>
          </w:p>
          <w:p w14:paraId="495E04F9">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2、地质、地形、地貌</w:t>
            </w:r>
          </w:p>
          <w:p w14:paraId="3A7C991F">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遂宁市地质构造比较单一，属新华夏系第三沉降带，四川沉降带内的川中褶皱带，地表构造均始于印支期以后至喜山期以前产物，晚近时期表现为大面积歇上升。按地质分类，其构造形迹的展布为近东西向或近南北向和北东向特点，多呈弧形状。境内没有大的断裂，褶皱宽阔平缓，且多表现为彼此排列有序的背斜和向斜特点，只是在射洪县北15km处，有叠加于东西构造带之上的一个次级构造——天仙寺涡轮状构造，有多处向中心收敛，由向四周撒开的小型褶皱形成。全市出露的绝大部分地层属侏罗系（J），有少量白垩系（K）和第四系（Q）。遂宁地区属于地震基本烈度6度地区。</w:t>
            </w:r>
          </w:p>
          <w:p w14:paraId="3A36C52A">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蓬溪县地势四周高中部低，北部高于南部，由北向南呈波状缓倾。最高点在蓬南镇北坡，海拔565.8米，最低点在三凤镇荷叶乡细坝，海拔251.3米。涪江及其支流小潼河，蓬溪河（芝溪）流经县南和县中部，致使北部高于南部。中部地势较低，平均海拔低于296米。县境四周处于嘉陵江、涪江风水岭及其支流源头地带，地势较高，平均海拔404米，低山的山脊构成与邻县分界线。</w:t>
            </w:r>
          </w:p>
          <w:p w14:paraId="25958C44">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3、气候气象</w:t>
            </w:r>
          </w:p>
          <w:p w14:paraId="197710DA">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遂宁市属四川盆地亚热带湿润季风气候区，气候温和，雨量充沛，四季分明，无霜期长，云雾多，日照少。</w:t>
            </w:r>
          </w:p>
          <w:p w14:paraId="5D6127F4">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蓬溪气候属于中亚热带温湿季风气候区，雨量充沛，光照充足，气候温和，四季分明，年平均气温17℃，极端最高温39.4℃、极端最低气温-4.6℃，年平均降雨量929.5毫米，年平均日照数1471.7小时，年均蒸发量990.3mm，相对湿度82%，≥10℃的活动积温5383.2℃。</w:t>
            </w:r>
          </w:p>
          <w:p w14:paraId="2F8101D2">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4、土壤</w:t>
            </w:r>
          </w:p>
          <w:p w14:paraId="2D734E1A">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境内土壤是在特定区域环境下，受区域性气候、母岩、地形、生物等自然要素的综合影响和长时间人为的耕作活动过程中所逐步形成的。遂宁市大面积上分布着中生代侏罗系紫色砂页岩，计有上沙溪庙组（J2S）、遂宁组（J3S）、相沉积物，钙质胶结，极易淋溶，结构疏松，经风化成碎屑后，遭暴雨易流失，加之母质硅铝铁率2.28-2.68%，硅铝率3.74%，胶体品质差，土壤保蓄力弱，不耐旱。</w:t>
            </w:r>
          </w:p>
          <w:p w14:paraId="48903344">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5、河流水系</w:t>
            </w:r>
          </w:p>
          <w:p w14:paraId="389E163F">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蓬溪地处四川中部的嘉陵江与涪江之间的丘陵区，境内水系发达，溪河较多，源短水急。蓬溪县溪河共有198条，长964.8公里。其中10公里以上的15条。河网密度0.77公里/平方公里。水系呈平行状，格网状和树枝状，东南部蓬南镇境内的中和河、东保河和翻身乡、黄泥乡境内部分溪河流入嘉陵江属嘉陵江水系，其余镇乡河流流入涪江，属涪江水系</w:t>
            </w:r>
          </w:p>
          <w:p w14:paraId="4A98EAE8">
            <w:pPr>
              <w:tabs>
                <w:tab w:val="left" w:pos="4260"/>
              </w:tabs>
              <w:spacing w:line="360" w:lineRule="auto"/>
              <w:ind w:firstLine="482" w:firstLineChars="200"/>
              <w:rPr>
                <w:rFonts w:hint="default" w:ascii="Times New Roman" w:hAnsi="Times New Roman" w:cs="Times New Roman"/>
                <w:b w:val="0"/>
                <w:bCs w:val="0"/>
                <w:color w:val="auto"/>
                <w:sz w:val="24"/>
                <w:szCs w:val="24"/>
              </w:rPr>
            </w:pPr>
            <w:r>
              <w:rPr>
                <w:rFonts w:hint="default" w:ascii="Times New Roman" w:hAnsi="Times New Roman" w:cs="Times New Roman"/>
                <w:b/>
                <w:bCs/>
                <w:color w:val="auto"/>
                <w:sz w:val="24"/>
                <w:szCs w:val="24"/>
              </w:rPr>
              <w:t>本项目所在区域主要地表水体为</w:t>
            </w:r>
            <w:r>
              <w:rPr>
                <w:rFonts w:hint="eastAsia" w:cs="Times New Roman"/>
                <w:b/>
                <w:bCs/>
                <w:color w:val="auto"/>
                <w:sz w:val="24"/>
                <w:szCs w:val="24"/>
                <w:lang w:val="en-US" w:eastAsia="zh-CN"/>
              </w:rPr>
              <w:t>华兴河</w:t>
            </w:r>
            <w:r>
              <w:rPr>
                <w:rFonts w:hint="default" w:ascii="Times New Roman" w:hAnsi="Times New Roman" w:cs="Times New Roman"/>
                <w:b/>
                <w:bCs/>
                <w:color w:val="auto"/>
                <w:sz w:val="24"/>
                <w:szCs w:val="24"/>
              </w:rPr>
              <w:t>，拟建站址与</w:t>
            </w:r>
            <w:r>
              <w:rPr>
                <w:rFonts w:hint="eastAsia" w:cs="Times New Roman"/>
                <w:b/>
                <w:bCs/>
                <w:color w:val="auto"/>
                <w:sz w:val="24"/>
                <w:szCs w:val="24"/>
                <w:lang w:val="en-US" w:eastAsia="zh-CN"/>
              </w:rPr>
              <w:t>华兴河</w:t>
            </w:r>
            <w:r>
              <w:rPr>
                <w:rFonts w:hint="default" w:ascii="Times New Roman" w:hAnsi="Times New Roman" w:cs="Times New Roman"/>
                <w:b/>
                <w:bCs/>
                <w:color w:val="auto"/>
                <w:sz w:val="24"/>
                <w:szCs w:val="24"/>
              </w:rPr>
              <w:t>最近距离约</w:t>
            </w:r>
            <w:r>
              <w:rPr>
                <w:rFonts w:hint="eastAsia" w:ascii="Times New Roman" w:hAnsi="Times New Roman" w:cs="Times New Roman"/>
                <w:b/>
                <w:bCs/>
                <w:color w:val="auto"/>
                <w:sz w:val="24"/>
                <w:szCs w:val="24"/>
                <w:lang w:val="en-US" w:eastAsia="zh-CN"/>
              </w:rPr>
              <w:t>1.4km</w:t>
            </w:r>
            <w:r>
              <w:rPr>
                <w:rFonts w:hint="default" w:ascii="Times New Roman" w:hAnsi="Times New Roman" w:cs="Times New Roman"/>
                <w:b/>
                <w:bCs/>
                <w:color w:val="auto"/>
                <w:sz w:val="24"/>
                <w:szCs w:val="24"/>
              </w:rPr>
              <w:t>，</w:t>
            </w:r>
            <w:r>
              <w:rPr>
                <w:rFonts w:hint="eastAsia" w:cs="Times New Roman"/>
                <w:b/>
                <w:bCs/>
                <w:color w:val="auto"/>
                <w:sz w:val="24"/>
                <w:szCs w:val="24"/>
                <w:lang w:val="en-US" w:eastAsia="zh-CN"/>
              </w:rPr>
              <w:t>华兴河</w:t>
            </w:r>
            <w:r>
              <w:rPr>
                <w:rFonts w:hint="default" w:ascii="Times New Roman" w:hAnsi="Times New Roman" w:cs="Times New Roman"/>
                <w:b/>
                <w:bCs/>
                <w:color w:val="auto"/>
                <w:sz w:val="24"/>
                <w:szCs w:val="24"/>
              </w:rPr>
              <w:t>主要水体功能为农灌和工业用水。项目产生的废水由站区内化粪池处理达《污水综合排放标准》(GB8978-1996)中三级标准后</w:t>
            </w:r>
            <w:r>
              <w:rPr>
                <w:rFonts w:hint="eastAsia" w:ascii="Times New Roman" w:hAnsi="Times New Roman" w:cs="Times New Roman"/>
                <w:b/>
                <w:bCs/>
                <w:color w:val="auto"/>
                <w:sz w:val="24"/>
                <w:szCs w:val="24"/>
                <w:lang w:val="en-US" w:eastAsia="zh-CN"/>
              </w:rPr>
              <w:t>由市政污水管网进入蓬南镇污水处理厂处理</w:t>
            </w:r>
            <w:r>
              <w:rPr>
                <w:rFonts w:hint="default" w:ascii="Times New Roman" w:hAnsi="Times New Roman" w:cs="Times New Roman"/>
                <w:b/>
                <w:bCs/>
                <w:color w:val="auto"/>
                <w:sz w:val="24"/>
                <w:szCs w:val="24"/>
              </w:rPr>
              <w:t>，不会对周围地表水产生影响。</w:t>
            </w:r>
          </w:p>
          <w:p w14:paraId="65FC8821">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6、水文地质条件</w:t>
            </w:r>
          </w:p>
          <w:p w14:paraId="7975540D">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6.1、地质条件</w:t>
            </w:r>
          </w:p>
          <w:p w14:paraId="63215932">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根据项目岩土工程勘察报告和《区域水文地质普查报告--遂宁幅》，项目所在区域地层构成为第四系全新统人工填土层(Q4ml)和第四系全新统坡洪积(Q4dl+pl)粘土及下部侏罗系上统蓬莱镇组(J3P)。</w:t>
            </w:r>
          </w:p>
          <w:p w14:paraId="51525FA2">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（1）第四系全新统人工填土层(Q4ml)</w:t>
            </w:r>
          </w:p>
          <w:p w14:paraId="3B0C5F68">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①杂填土：杂色，稍湿，结构松散。多为建筑废弃土，以粘性土含碎砖、卵石、砼碎块组成，该层除办公及生活规划区之宿舍楼、食堂外，在场地内其它地段广泛分布，该层厚度变化大，钻孔揭露层厚为1.0～13.4m。</w:t>
            </w:r>
          </w:p>
          <w:p w14:paraId="7EC019F2">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②素填土：黄褐色，稍湿，结构松散，以粘性土为主，含少量碎砖、泥岩强风化碎屑等，在场地内广泛分布，该层厚度变化大，钻孔揭露层厚为2～12.5m。</w:t>
            </w:r>
          </w:p>
          <w:p w14:paraId="26352C40">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（2）第四系全新统坡洪积(Q4dl+pl)</w:t>
            </w:r>
          </w:p>
          <w:p w14:paraId="7D3BD739">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粘土：黄～黄褐色，稍湿～湿，可塑～硬塑，以可塑为主，含大量泥岩碎块。在场地分布连续，但厚度不均，钻孔揭露层厚5～12m。</w:t>
            </w:r>
          </w:p>
          <w:p w14:paraId="6CF130DC">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（3）侏罗系上统蓬莱镇组(J3P)</w:t>
            </w:r>
          </w:p>
          <w:p w14:paraId="0ECAAA08">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场地内基岩为紫红色泥岩为主，泥质胶结，泥质结构，厚层状构造，属软质岩，岩体完整性总体良好，为易软化岩，岩层产状近于水平。根据其风化程度将揭露深度内的泥岩分为强风化及中等风化二个亚层：</w:t>
            </w:r>
          </w:p>
          <w:p w14:paraId="66ACEC95">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强风化泥岩：主要分布于基岩上部，结构大部分被破坏，岩芯破碎，大多呈饼状、碎块状、短柱状，质软，手掰易断，干钻可钻进。该亚层遍布场地，钻孔揭露层厚为2～4m。</w:t>
            </w:r>
          </w:p>
          <w:p w14:paraId="49B7D9B6">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域内新构造运动不强烈，以大面积的间歇性抬升为主。由于构造平缓，岩层倾角小，构造应力弱，致使表层强风化泥岩网状裂隙普遍发育。</w:t>
            </w:r>
          </w:p>
          <w:p w14:paraId="0742EF1B">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中风化泥岩：主要分布于基岩中下部，岩芯较完整，大多呈柱状、短柱状，一般节长8～35cm，最长达50～65cm。全场地分布，钻孔揭露厚度为5～8m，未揭穿。</w:t>
            </w:r>
          </w:p>
          <w:p w14:paraId="75FFE979">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6.2、地下水类型</w:t>
            </w:r>
          </w:p>
          <w:p w14:paraId="411909F8">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根据项目岩土工程勘察报告和《区域水文地质普查报告--遂宁幅》，区域地下水类型主要为上层滞水和基岩裂隙水。上层滞水赋存于表层粘性土层中，受大气降水及地表水侧向径流补给。基岩裂隙水分布于基岩裂隙中，水量受大气降水及地势较高处地下水渗流补给和裂隙的发育程度控制，局部段裂隙发育，含水量一般。勘察期间未测得统一稳定的地下水位，在所测钻孔水位中，地下水埋深为一般为0.5～1.5m，最大埋深2.2m。</w:t>
            </w:r>
          </w:p>
          <w:p w14:paraId="4AEDA452">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场地地下水受地形因素影响较大，受地表水径流因素影响较大。由于粘土具有相对隔水性，在地形低洼地带之上覆人工填土的粘土层顶面，是地下水富集地带，但一般水量不大，用明泵排取即可。</w:t>
            </w:r>
          </w:p>
          <w:p w14:paraId="292949BC">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场地内地下水具埋藏较浅、季节性变化明显的特点。7、8、9月份为丰水期，12、1、2月份为枯水期，勘察期间处于平水期，在零星的钻孔中测得非统一地下水位，埋藏深度一般为为0.5～1.2m，标高324.60～310.49m。</w:t>
            </w:r>
          </w:p>
          <w:p w14:paraId="76D8D030">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6.3、地下水补给、径流和排泄条件</w:t>
            </w:r>
          </w:p>
          <w:p w14:paraId="415D7F27">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项目所在区域内地下水的补给条件受多种因素控制，并以大气降水的渗入为主要补给来源；广大红层丘陵地下水排泄方式以泉或泉群的形式在砂、泥岩接触处为主。相对而言，深切丘陵区沟谷发育，泉水出露较多，地下水具有良好的径流条件；在浅切丘陵区，地形切割浅，沟谷宽缓，且有第四系粘性土覆盖，泉少，水井多，地下水垂直蒸发或人工排泄亦强，径流条件差。总的特点：补给区与排泄区很近，径流途径短，径流畅通地段是地表水流的汇集区域。</w:t>
            </w:r>
          </w:p>
          <w:p w14:paraId="18206947">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本项目所在区域为场镇环境，周边居民生活饮用水均由</w:t>
            </w:r>
            <w:r>
              <w:rPr>
                <w:rFonts w:hint="eastAsia" w:cs="Times New Roman"/>
                <w:b w:val="0"/>
                <w:bCs w:val="0"/>
                <w:color w:val="auto"/>
                <w:sz w:val="24"/>
                <w:szCs w:val="24"/>
                <w:lang w:val="en-US" w:eastAsia="zh-CN"/>
              </w:rPr>
              <w:t>自打井水提供</w:t>
            </w:r>
            <w:r>
              <w:rPr>
                <w:rFonts w:hint="default" w:ascii="Times New Roman" w:hAnsi="Times New Roman" w:cs="Times New Roman"/>
                <w:b w:val="0"/>
                <w:bCs w:val="0"/>
                <w:color w:val="auto"/>
                <w:sz w:val="24"/>
                <w:szCs w:val="24"/>
              </w:rPr>
              <w:t>，地下水敏感程度</w:t>
            </w:r>
            <w:r>
              <w:rPr>
                <w:rFonts w:hint="eastAsia" w:cs="Times New Roman"/>
                <w:b w:val="0"/>
                <w:bCs w:val="0"/>
                <w:color w:val="auto"/>
                <w:sz w:val="24"/>
                <w:szCs w:val="24"/>
                <w:lang w:val="en-US" w:eastAsia="zh-CN"/>
              </w:rPr>
              <w:t>较为敏感</w:t>
            </w:r>
            <w:r>
              <w:rPr>
                <w:rFonts w:hint="default" w:ascii="Times New Roman" w:hAnsi="Times New Roman" w:cs="Times New Roman"/>
                <w:b w:val="0"/>
                <w:bCs w:val="0"/>
                <w:color w:val="auto"/>
                <w:sz w:val="24"/>
                <w:szCs w:val="24"/>
              </w:rPr>
              <w:t>。地下水动态主要特点是水位、水量、水温变化明显受季节控制，水位升高，全流量增大是与6、7、8、9月雨季吻合，而旱季1、2、3月降雨少，流量减小，机井水位显著降低，流量差异明显，变幅达2-4倍。</w:t>
            </w:r>
          </w:p>
          <w:p w14:paraId="56767CC9">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7、自然资源</w:t>
            </w:r>
          </w:p>
          <w:p w14:paraId="247DBA34">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从遂宁市地理位置、气候条件看，境内原生植被是亚热带常绿阔叶林，但由于农业开发，原生植被早已荡然无存，取而代之的是广阔的农作物植被，零星分散的小片人工林和四旁树，还有一些疏林灌丛、草坡和石骨子荒坡。</w:t>
            </w:r>
          </w:p>
          <w:p w14:paraId="77D3F506">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全市森林植被种群较单一，一般以柏木为主构成，群落外貌终年常绿，结构简单，层次较明显。可分乔木层、灌木层、草木层。灌木以横荆、马桑和刺梨、胡枝子、栽秧等，草本有地瓜藤、野棉花、蒲公英、白茅、金发草、荩草、羊胡子草、孔颖草、黄茅、蜈蚣草、雀稗、狗尾草、细柄草、鸢尾等。</w:t>
            </w:r>
          </w:p>
          <w:p w14:paraId="411F497D">
            <w:pPr>
              <w:tabs>
                <w:tab w:val="left" w:pos="4260"/>
              </w:tabs>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蓬溪县境内储量较多的矿藏主要有石油、天然气、井盐、砂金、石灰石等，尤以天然气和盐卤资源最为丰富。全境土壤成土母质，主要为侏罗纪系紫色砂泥岩风华而成的紫色土，砂石、页岩、粘土、盐卤等资源储量丰富，到2009年底，砂岩储量为1090450</w:t>
            </w:r>
            <w:r>
              <w:rPr>
                <w:rFonts w:hint="default" w:ascii="Times New Roman" w:hAnsi="Times New Roman" w:cs="Times New Roman"/>
                <w:b w:val="0"/>
                <w:bCs w:val="0"/>
                <w:color w:val="auto"/>
                <w:sz w:val="24"/>
                <w:szCs w:val="24"/>
                <w:lang w:val="en-US" w:eastAsia="zh-CN"/>
              </w:rPr>
              <w:t>万</w:t>
            </w:r>
            <w:r>
              <w:rPr>
                <w:rFonts w:hint="default" w:ascii="Times New Roman" w:hAnsi="Times New Roman" w:cs="Times New Roman"/>
                <w:b w:val="0"/>
                <w:bCs w:val="0"/>
                <w:color w:val="auto"/>
                <w:sz w:val="24"/>
                <w:szCs w:val="24"/>
              </w:rPr>
              <w:t>吨，砂砾28704万吨，页岩3664083万吨，粘土岩1643万吨，盐卤60万吨。</w:t>
            </w:r>
          </w:p>
          <w:p w14:paraId="3E364A62">
            <w:pPr>
              <w:tabs>
                <w:tab w:val="left" w:pos="4260"/>
              </w:tabs>
              <w:spacing w:line="360" w:lineRule="auto"/>
              <w:ind w:firstLine="482" w:firstLineChars="200"/>
              <w:rPr>
                <w:rFonts w:hint="default" w:ascii="Times New Roman" w:hAnsi="Times New Roman" w:eastAsia="宋体" w:cs="Times New Roman"/>
                <w:b/>
                <w:color w:val="C00000"/>
                <w:sz w:val="24"/>
                <w:szCs w:val="24"/>
                <w:lang w:val="en-US" w:eastAsia="zh-CN"/>
              </w:rPr>
            </w:pPr>
            <w:r>
              <w:rPr>
                <w:rFonts w:hint="default" w:ascii="Times New Roman" w:hAnsi="Times New Roman" w:cs="Times New Roman"/>
                <w:b/>
                <w:bCs/>
                <w:color w:val="auto"/>
                <w:sz w:val="24"/>
                <w:szCs w:val="24"/>
              </w:rPr>
              <w:t>经调查，评价区域内无集中式饮用水取水点及水源保护区、无自然保护区、无列入国家及地方保护名录的珍稀濒危动植物及古、大、珍、奇树木分布。</w:t>
            </w:r>
          </w:p>
        </w:tc>
      </w:tr>
    </w:tbl>
    <w:p w14:paraId="4970491B">
      <w:pPr>
        <w:spacing w:line="360" w:lineRule="auto"/>
        <w:rPr>
          <w:rFonts w:hint="default" w:ascii="Times New Roman" w:hAnsi="Times New Roman" w:eastAsia="宋体" w:cs="Times New Roman"/>
          <w:b/>
          <w:color w:val="C00000"/>
          <w:sz w:val="28"/>
          <w:szCs w:val="28"/>
        </w:rPr>
      </w:pPr>
    </w:p>
    <w:p w14:paraId="28BF6E14">
      <w:pPr>
        <w:spacing w:line="360" w:lineRule="auto"/>
        <w:rPr>
          <w:rFonts w:hint="default" w:ascii="Times New Roman" w:hAnsi="Times New Roman" w:eastAsia="宋体" w:cs="Times New Roman"/>
          <w:b/>
          <w:color w:val="C00000"/>
          <w:sz w:val="28"/>
          <w:szCs w:val="28"/>
        </w:rPr>
      </w:pPr>
    </w:p>
    <w:p w14:paraId="454175FA">
      <w:pPr>
        <w:spacing w:line="360" w:lineRule="auto"/>
        <w:rPr>
          <w:rFonts w:hint="default" w:ascii="Times New Roman" w:hAnsi="Times New Roman" w:eastAsia="宋体" w:cs="Times New Roman"/>
          <w:b/>
          <w:color w:val="C00000"/>
          <w:sz w:val="28"/>
          <w:szCs w:val="28"/>
        </w:rPr>
      </w:pPr>
    </w:p>
    <w:p w14:paraId="62F21268">
      <w:pPr>
        <w:spacing w:line="360" w:lineRule="auto"/>
        <w:ind w:firstLine="281" w:firstLineChars="100"/>
        <w:rPr>
          <w:rFonts w:hint="default" w:ascii="Times New Roman" w:hAnsi="Times New Roman" w:eastAsia="宋体" w:cs="Times New Roman"/>
          <w:b/>
          <w:color w:val="C00000"/>
          <w:sz w:val="28"/>
          <w:szCs w:val="28"/>
        </w:rPr>
      </w:pPr>
    </w:p>
    <w:p w14:paraId="023C98E3">
      <w:pPr>
        <w:spacing w:line="360" w:lineRule="auto"/>
        <w:ind w:firstLine="281" w:firstLineChars="100"/>
        <w:rPr>
          <w:rFonts w:hint="default" w:ascii="Times New Roman" w:hAnsi="Times New Roman" w:eastAsia="宋体" w:cs="Times New Roman"/>
          <w:b/>
          <w:color w:val="C00000"/>
          <w:sz w:val="28"/>
          <w:szCs w:val="28"/>
        </w:rPr>
      </w:pPr>
    </w:p>
    <w:p w14:paraId="280AEC95">
      <w:pPr>
        <w:spacing w:line="360" w:lineRule="auto"/>
        <w:ind w:firstLine="281" w:firstLineChars="100"/>
        <w:outlineLvl w:val="0"/>
        <w:rPr>
          <w:rFonts w:hint="default" w:ascii="Times New Roman" w:hAnsi="Times New Roman" w:eastAsia="宋体" w:cs="Times New Roman"/>
          <w:b/>
          <w:color w:val="auto"/>
          <w:sz w:val="28"/>
          <w:szCs w:val="28"/>
        </w:rPr>
      </w:pPr>
    </w:p>
    <w:p w14:paraId="4BCCE3FA">
      <w:pPr>
        <w:spacing w:line="360" w:lineRule="auto"/>
        <w:ind w:firstLine="281" w:firstLineChars="100"/>
        <w:outlineLvl w:val="0"/>
        <w:rPr>
          <w:rFonts w:hint="default" w:ascii="Times New Roman" w:hAnsi="Times New Roman" w:eastAsia="宋体" w:cs="Times New Roman"/>
          <w:b/>
          <w:color w:val="auto"/>
          <w:sz w:val="28"/>
          <w:szCs w:val="28"/>
        </w:rPr>
      </w:pPr>
    </w:p>
    <w:p w14:paraId="02D28F5C">
      <w:pPr>
        <w:spacing w:line="360" w:lineRule="auto"/>
        <w:ind w:firstLine="281" w:firstLineChars="100"/>
        <w:outlineLvl w:val="0"/>
        <w:rPr>
          <w:rFonts w:hint="default" w:ascii="Times New Roman" w:hAnsi="Times New Roman" w:eastAsia="宋体" w:cs="Times New Roman"/>
          <w:b/>
          <w:color w:val="auto"/>
          <w:sz w:val="28"/>
          <w:szCs w:val="28"/>
        </w:rPr>
      </w:pPr>
    </w:p>
    <w:p w14:paraId="1B3B849F">
      <w:pPr>
        <w:spacing w:line="360" w:lineRule="auto"/>
        <w:ind w:firstLine="281" w:firstLineChars="100"/>
        <w:outlineLvl w:val="0"/>
        <w:rPr>
          <w:rFonts w:hint="default" w:ascii="Times New Roman" w:hAnsi="Times New Roman" w:eastAsia="宋体" w:cs="Times New Roman"/>
          <w:b/>
          <w:color w:val="auto"/>
          <w:sz w:val="28"/>
          <w:szCs w:val="28"/>
        </w:rPr>
      </w:pPr>
    </w:p>
    <w:p w14:paraId="751AAC92">
      <w:pPr>
        <w:spacing w:line="360" w:lineRule="auto"/>
        <w:ind w:firstLine="281" w:firstLineChars="100"/>
        <w:outlineLvl w:val="0"/>
        <w:rPr>
          <w:rFonts w:hint="default" w:ascii="Times New Roman" w:hAnsi="Times New Roman" w:eastAsia="宋体" w:cs="Times New Roman"/>
          <w:b/>
          <w:color w:val="auto"/>
          <w:sz w:val="28"/>
          <w:szCs w:val="28"/>
        </w:rPr>
      </w:pPr>
    </w:p>
    <w:p w14:paraId="4D4AF047">
      <w:pPr>
        <w:spacing w:line="360" w:lineRule="auto"/>
        <w:ind w:firstLine="281" w:firstLineChars="100"/>
        <w:outlineLvl w:val="0"/>
        <w:rPr>
          <w:rFonts w:hint="default" w:ascii="Times New Roman" w:hAnsi="Times New Roman" w:eastAsia="宋体" w:cs="Times New Roman"/>
          <w:b/>
          <w:color w:val="auto"/>
          <w:sz w:val="28"/>
          <w:szCs w:val="28"/>
        </w:rPr>
      </w:pPr>
    </w:p>
    <w:p w14:paraId="1E9AE163">
      <w:pPr>
        <w:spacing w:line="360" w:lineRule="auto"/>
        <w:ind w:firstLine="281" w:firstLineChars="100"/>
        <w:outlineLvl w:val="0"/>
        <w:rPr>
          <w:rFonts w:hint="default" w:ascii="Times New Roman" w:hAnsi="Times New Roman" w:eastAsia="宋体" w:cs="Times New Roman"/>
          <w:b/>
          <w:color w:val="auto"/>
          <w:sz w:val="28"/>
          <w:szCs w:val="28"/>
        </w:rPr>
      </w:pPr>
    </w:p>
    <w:p w14:paraId="2C194A27">
      <w:pPr>
        <w:spacing w:line="360" w:lineRule="auto"/>
        <w:ind w:firstLine="281" w:firstLineChars="100"/>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color w:val="auto"/>
          <w:sz w:val="28"/>
          <w:szCs w:val="28"/>
        </w:rPr>
        <w:t>环境质量状况                                                  （表三）</w:t>
      </w:r>
    </w:p>
    <w:tbl>
      <w:tblPr>
        <w:tblStyle w:val="22"/>
        <w:tblW w:w="10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3"/>
      </w:tblGrid>
      <w:tr w14:paraId="7569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93" w:type="dxa"/>
            <w:shd w:val="clear" w:color="auto" w:fill="auto"/>
            <w:vAlign w:val="center"/>
          </w:tcPr>
          <w:p w14:paraId="086B3F12">
            <w:pPr>
              <w:spacing w:line="360" w:lineRule="auto"/>
              <w:rPr>
                <w:rFonts w:hint="default" w:ascii="Times New Roman" w:hAnsi="Times New Roman" w:eastAsia="宋体" w:cs="Times New Roman"/>
                <w:b/>
                <w:bCs w:val="0"/>
                <w:color w:val="auto"/>
                <w:sz w:val="28"/>
                <w:szCs w:val="24"/>
              </w:rPr>
            </w:pPr>
            <w:r>
              <w:rPr>
                <w:rFonts w:hint="default" w:ascii="Times New Roman" w:hAnsi="Times New Roman" w:eastAsia="宋体" w:cs="Times New Roman"/>
                <w:b/>
                <w:color w:val="auto"/>
                <w:sz w:val="28"/>
                <w:szCs w:val="24"/>
              </w:rPr>
              <w:t>建设项目所在地区域环境质量现状及主要环境问题（环境空气、地表水、地下水、</w:t>
            </w:r>
            <w:r>
              <w:rPr>
                <w:rFonts w:hint="default" w:ascii="Times New Roman" w:hAnsi="Times New Roman" w:eastAsia="宋体" w:cs="Times New Roman"/>
                <w:b/>
                <w:bCs w:val="0"/>
                <w:color w:val="auto"/>
                <w:sz w:val="28"/>
                <w:szCs w:val="24"/>
              </w:rPr>
              <w:t>声环境、生态环境等）：</w:t>
            </w:r>
          </w:p>
          <w:p w14:paraId="5F482A91">
            <w:pPr>
              <w:spacing w:line="360" w:lineRule="auto"/>
              <w:rPr>
                <w:rFonts w:hint="default" w:ascii="Times New Roman" w:hAnsi="Times New Roman" w:cs="Times New Roman"/>
                <w:b/>
                <w:bCs w:val="0"/>
                <w:color w:val="auto"/>
                <w:sz w:val="28"/>
                <w:szCs w:val="28"/>
                <w:lang w:eastAsia="zh-CN"/>
              </w:rPr>
            </w:pPr>
            <w:r>
              <w:rPr>
                <w:rFonts w:hint="default" w:ascii="Times New Roman" w:hAnsi="Times New Roman" w:eastAsia="宋体" w:cs="Times New Roman"/>
                <w:b/>
                <w:bCs w:val="0"/>
                <w:color w:val="auto"/>
                <w:sz w:val="28"/>
                <w:szCs w:val="28"/>
              </w:rPr>
              <w:t>一、</w:t>
            </w:r>
            <w:r>
              <w:rPr>
                <w:rFonts w:hint="default" w:ascii="Times New Roman" w:hAnsi="Times New Roman" w:cs="Times New Roman"/>
                <w:b/>
                <w:bCs w:val="0"/>
                <w:color w:val="auto"/>
                <w:sz w:val="28"/>
                <w:szCs w:val="28"/>
                <w:lang w:eastAsia="zh-CN"/>
              </w:rPr>
              <w:t>环境空气质量</w:t>
            </w:r>
          </w:p>
          <w:p w14:paraId="02D372E6">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根据《环境影响评价技术导则</w:t>
            </w:r>
            <w:r>
              <w:rPr>
                <w:rFonts w:hint="default" w:ascii="Times New Roman" w:hAnsi="Times New Roman" w:cs="Times New Roman"/>
                <w:color w:val="auto"/>
                <w:sz w:val="24"/>
                <w:lang w:val="en-US" w:eastAsia="zh-CN"/>
              </w:rPr>
              <w:t>-大气环境</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HJ 2.2-2018</w:t>
            </w:r>
            <w:r>
              <w:rPr>
                <w:rFonts w:hint="default" w:ascii="Times New Roman" w:hAnsi="Times New Roman" w:cs="Times New Roman"/>
                <w:color w:val="auto"/>
                <w:sz w:val="24"/>
                <w:lang w:eastAsia="zh-CN"/>
              </w:rPr>
              <w:t>），项目所在区域大气环境达标判定，优先采用国家或地方生态环境主管部门公开发布的评价基准年环境质量公告或环境质量报告中的数据或结论。</w:t>
            </w:r>
          </w:p>
          <w:p w14:paraId="3EB9F643">
            <w:pPr>
              <w:numPr>
                <w:ilvl w:val="0"/>
                <w:numId w:val="0"/>
              </w:numPr>
              <w:spacing w:line="360" w:lineRule="auto"/>
              <w:ind w:firstLine="482" w:firstLineChars="200"/>
              <w:rPr>
                <w:rFonts w:hint="default" w:ascii="Times New Roman" w:hAnsi="Times New Roman" w:cs="Times New Roman"/>
                <w:b/>
                <w:bCs/>
                <w:color w:val="auto"/>
                <w:sz w:val="24"/>
                <w:lang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区域大气环境质量现状</w:t>
            </w:r>
          </w:p>
          <w:p w14:paraId="27F1CA2D">
            <w:pPr>
              <w:pStyle w:val="2"/>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eastAsia="zh-CN"/>
              </w:rPr>
              <w:t>本项目位于</w:t>
            </w:r>
            <w:r>
              <w:rPr>
                <w:rFonts w:hint="eastAsia" w:ascii="Times New Roman" w:cs="Times New Roman"/>
                <w:b w:val="0"/>
                <w:bCs w:val="0"/>
                <w:color w:val="auto"/>
                <w:sz w:val="24"/>
                <w:lang w:val="en-US" w:eastAsia="zh-CN"/>
              </w:rPr>
              <w:t>蓬溪县蓬南</w:t>
            </w:r>
            <w:r>
              <w:rPr>
                <w:rFonts w:hint="eastAsia" w:ascii="Times New Roman" w:hAnsi="Times New Roman" w:cs="Times New Roman"/>
                <w:b w:val="0"/>
                <w:bCs w:val="0"/>
                <w:color w:val="auto"/>
                <w:sz w:val="24"/>
                <w:lang w:val="en-US" w:eastAsia="zh-CN"/>
              </w:rPr>
              <w:t>镇</w:t>
            </w:r>
            <w:r>
              <w:rPr>
                <w:rFonts w:hint="default" w:ascii="Times New Roman" w:hAnsi="Times New Roman" w:cs="Times New Roman"/>
                <w:color w:val="auto"/>
                <w:sz w:val="24"/>
                <w:szCs w:val="24"/>
                <w:lang w:val="en-US" w:eastAsia="zh-CN"/>
              </w:rPr>
              <w:t>长石村</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由于</w:t>
            </w:r>
            <w:r>
              <w:rPr>
                <w:rFonts w:hint="eastAsia" w:ascii="Times New Roman" w:cs="Times New Roman"/>
                <w:b w:val="0"/>
                <w:bCs w:val="0"/>
                <w:color w:val="auto"/>
                <w:sz w:val="24"/>
                <w:lang w:val="en-US" w:eastAsia="zh-CN"/>
              </w:rPr>
              <w:t>蓬溪县</w:t>
            </w:r>
            <w:r>
              <w:rPr>
                <w:rFonts w:hint="default" w:ascii="Times New Roman" w:hAnsi="Times New Roman" w:cs="Times New Roman"/>
                <w:b w:val="0"/>
                <w:bCs w:val="0"/>
                <w:color w:val="auto"/>
                <w:sz w:val="24"/>
                <w:lang w:val="en-US" w:eastAsia="zh-CN"/>
              </w:rPr>
              <w:t>暂未发布20</w:t>
            </w:r>
            <w:r>
              <w:rPr>
                <w:rFonts w:hint="eastAsia" w:ascii="Times New Roman" w:cs="Times New Roman"/>
                <w:b w:val="0"/>
                <w:bCs w:val="0"/>
                <w:color w:val="auto"/>
                <w:sz w:val="24"/>
                <w:lang w:val="en-US" w:eastAsia="zh-CN"/>
              </w:rPr>
              <w:t>20</w:t>
            </w:r>
            <w:r>
              <w:rPr>
                <w:rFonts w:hint="default" w:ascii="Times New Roman" w:hAnsi="Times New Roman" w:cs="Times New Roman"/>
                <w:b w:val="0"/>
                <w:bCs w:val="0"/>
                <w:color w:val="auto"/>
                <w:sz w:val="24"/>
                <w:lang w:val="en-US" w:eastAsia="zh-CN"/>
              </w:rPr>
              <w:t>年全年环境质量公报，</w:t>
            </w:r>
            <w:r>
              <w:rPr>
                <w:rFonts w:hint="default" w:ascii="Times New Roman" w:hAnsi="Times New Roman" w:cs="Times New Roman"/>
                <w:b w:val="0"/>
                <w:bCs w:val="0"/>
                <w:color w:val="auto"/>
                <w:sz w:val="24"/>
                <w:lang w:eastAsia="zh-CN"/>
              </w:rPr>
              <w:t>故本次评价参考</w:t>
            </w:r>
            <w:r>
              <w:rPr>
                <w:rFonts w:hint="default" w:ascii="Times New Roman" w:hAnsi="Times New Roman" w:cs="Times New Roman"/>
                <w:b w:val="0"/>
                <w:bCs w:val="0"/>
                <w:color w:val="auto"/>
                <w:sz w:val="24"/>
                <w:lang w:val="en-US" w:eastAsia="zh-CN"/>
              </w:rPr>
              <w:t>遂宁市生态环境局网站公布的《2019年遂宁市环境质量公告》。</w:t>
            </w:r>
          </w:p>
          <w:p w14:paraId="4BEA7C86">
            <w:pPr>
              <w:pStyle w:val="2"/>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b w:val="0"/>
                <w:bCs w:val="0"/>
                <w:color w:val="auto"/>
                <w:sz w:val="24"/>
                <w:lang w:val="en-US" w:eastAsia="zh-CN"/>
              </w:rPr>
              <w:t>本年遂宁市城区环境空气质量154天优、187天良、23天轻度污染、1天中度污染，空气质量达标天数比例95.7%。主要污染物SO</w:t>
            </w:r>
            <w:r>
              <w:rPr>
                <w:rFonts w:hint="default" w:ascii="Times New Roman" w:hAnsi="Times New Roman" w:cs="Times New Roman"/>
                <w:b w:val="0"/>
                <w:bCs w:val="0"/>
                <w:color w:val="auto"/>
                <w:sz w:val="24"/>
                <w:vertAlign w:val="subscript"/>
                <w:lang w:val="en-US" w:eastAsia="zh-CN"/>
              </w:rPr>
              <w:t>2</w:t>
            </w:r>
            <w:r>
              <w:rPr>
                <w:rFonts w:hint="default" w:ascii="Times New Roman" w:hAnsi="Times New Roman" w:cs="Times New Roman"/>
                <w:b w:val="0"/>
                <w:bCs w:val="0"/>
                <w:color w:val="auto"/>
                <w:sz w:val="24"/>
                <w:lang w:val="en-US" w:eastAsia="zh-CN"/>
              </w:rPr>
              <w:t>、NO</w:t>
            </w:r>
            <w:r>
              <w:rPr>
                <w:rFonts w:hint="default" w:ascii="Times New Roman" w:hAnsi="Times New Roman" w:cs="Times New Roman"/>
                <w:b w:val="0"/>
                <w:bCs w:val="0"/>
                <w:color w:val="auto"/>
                <w:sz w:val="24"/>
                <w:vertAlign w:val="subscript"/>
                <w:lang w:val="en-US" w:eastAsia="zh-CN"/>
              </w:rPr>
              <w:t>2</w:t>
            </w:r>
            <w:r>
              <w:rPr>
                <w:rFonts w:hint="default" w:ascii="Times New Roman" w:hAnsi="Times New Roman" w:cs="Times New Roman"/>
                <w:b w:val="0"/>
                <w:bCs w:val="0"/>
                <w:color w:val="auto"/>
                <w:sz w:val="24"/>
                <w:lang w:val="en-US" w:eastAsia="zh-CN"/>
              </w:rPr>
              <w:t>、PM</w:t>
            </w:r>
            <w:r>
              <w:rPr>
                <w:rFonts w:hint="default" w:ascii="Times New Roman" w:hAnsi="Times New Roman" w:cs="Times New Roman"/>
                <w:b w:val="0"/>
                <w:bCs w:val="0"/>
                <w:color w:val="auto"/>
                <w:sz w:val="24"/>
                <w:vertAlign w:val="subscript"/>
                <w:lang w:val="en-US" w:eastAsia="zh-CN"/>
              </w:rPr>
              <w:t>10</w:t>
            </w:r>
            <w:r>
              <w:rPr>
                <w:rFonts w:hint="default" w:ascii="Times New Roman" w:hAnsi="Times New Roman" w:cs="Times New Roman"/>
                <w:b w:val="0"/>
                <w:bCs w:val="0"/>
                <w:color w:val="auto"/>
                <w:sz w:val="24"/>
                <w:lang w:val="en-US" w:eastAsia="zh-CN"/>
              </w:rPr>
              <w:t>、PM</w:t>
            </w:r>
            <w:r>
              <w:rPr>
                <w:rFonts w:hint="default" w:ascii="Times New Roman" w:hAnsi="Times New Roman" w:cs="Times New Roman"/>
                <w:b w:val="0"/>
                <w:bCs w:val="0"/>
                <w:color w:val="auto"/>
                <w:sz w:val="24"/>
                <w:vertAlign w:val="subscript"/>
                <w:lang w:val="en-US" w:eastAsia="zh-CN"/>
              </w:rPr>
              <w:t>2.5</w:t>
            </w:r>
            <w:r>
              <w:rPr>
                <w:rFonts w:hint="default" w:ascii="Times New Roman" w:hAnsi="Times New Roman" w:cs="Times New Roman"/>
                <w:b w:val="0"/>
                <w:bCs w:val="0"/>
                <w:color w:val="auto"/>
                <w:sz w:val="24"/>
                <w:lang w:val="en-US" w:eastAsia="zh-CN"/>
              </w:rPr>
              <w:t>、CO和O</w:t>
            </w:r>
            <w:r>
              <w:rPr>
                <w:rFonts w:hint="default" w:ascii="Times New Roman" w:hAnsi="Times New Roman" w:cs="Times New Roman"/>
                <w:b w:val="0"/>
                <w:bCs w:val="0"/>
                <w:color w:val="auto"/>
                <w:sz w:val="24"/>
                <w:vertAlign w:val="subscript"/>
                <w:lang w:val="en-US" w:eastAsia="zh-CN"/>
              </w:rPr>
              <w:t>3</w:t>
            </w:r>
            <w:r>
              <w:rPr>
                <w:rFonts w:hint="default" w:ascii="Times New Roman" w:hAnsi="Times New Roman" w:cs="Times New Roman"/>
                <w:b w:val="0"/>
                <w:bCs w:val="0"/>
                <w:color w:val="auto"/>
                <w:sz w:val="24"/>
                <w:lang w:val="en-US" w:eastAsia="zh-CN"/>
              </w:rPr>
              <w:t>的年均值分别为9.3微克/立方米、23.1微克/立方米、49.0微克/立方米、31.2微克/立方米、0.9毫克/立方米和135.2微克/立方米。各测点主要污染物浓度详见表3-1</w:t>
            </w:r>
            <w:r>
              <w:rPr>
                <w:rFonts w:hint="default" w:ascii="Times New Roman" w:hAnsi="Times New Roman" w:cs="Times New Roman"/>
                <w:b w:val="0"/>
                <w:bCs w:val="0"/>
                <w:color w:val="auto"/>
                <w:sz w:val="24"/>
                <w:lang w:eastAsia="zh-CN"/>
              </w:rPr>
              <w:t>。</w:t>
            </w:r>
          </w:p>
          <w:p w14:paraId="1038EB75">
            <w:pPr>
              <w:pStyle w:val="70"/>
              <w:spacing w:line="360" w:lineRule="auto"/>
              <w:ind w:left="0" w:leftChars="0" w:firstLine="422" w:firstLineChars="20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3-1  大气环境质量监测结果统计表</w:t>
            </w:r>
          </w:p>
          <w:tbl>
            <w:tblPr>
              <w:tblStyle w:val="22"/>
              <w:tblW w:w="974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07"/>
              <w:gridCol w:w="949"/>
              <w:gridCol w:w="915"/>
              <w:gridCol w:w="915"/>
              <w:gridCol w:w="915"/>
              <w:gridCol w:w="944"/>
              <w:gridCol w:w="900"/>
              <w:gridCol w:w="887"/>
              <w:gridCol w:w="742"/>
              <w:gridCol w:w="706"/>
              <w:gridCol w:w="769"/>
            </w:tblGrid>
            <w:tr w14:paraId="550AF8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0" w:hRule="atLeast"/>
                <w:jc w:val="center"/>
              </w:trPr>
              <w:tc>
                <w:tcPr>
                  <w:tcW w:w="1107" w:type="dxa"/>
                  <w:tcBorders>
                    <w:bottom w:val="single" w:color="000000" w:sz="6" w:space="0"/>
                    <w:right w:val="single" w:color="000000" w:sz="6" w:space="0"/>
                  </w:tcBorders>
                  <w:shd w:val="clear" w:color="auto" w:fill="auto"/>
                  <w:noWrap/>
                  <w:vAlign w:val="center"/>
                </w:tcPr>
                <w:p w14:paraId="56384D6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各县区、园区</w:t>
                  </w:r>
                </w:p>
              </w:tc>
              <w:tc>
                <w:tcPr>
                  <w:tcW w:w="949" w:type="dxa"/>
                  <w:tcBorders>
                    <w:left w:val="single" w:color="auto" w:sz="6" w:space="0"/>
                    <w:bottom w:val="single" w:color="000000" w:sz="6" w:space="0"/>
                    <w:right w:val="single" w:color="000000" w:sz="6" w:space="0"/>
                  </w:tcBorders>
                  <w:shd w:val="clear" w:color="auto" w:fill="auto"/>
                  <w:noWrap/>
                  <w:vAlign w:val="center"/>
                </w:tcPr>
                <w:p w14:paraId="26C0564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监测站点</w:t>
                  </w:r>
                </w:p>
              </w:tc>
              <w:tc>
                <w:tcPr>
                  <w:tcW w:w="915" w:type="dxa"/>
                  <w:tcBorders>
                    <w:left w:val="single" w:color="auto" w:sz="6" w:space="0"/>
                    <w:bottom w:val="single" w:color="000000" w:sz="6" w:space="0"/>
                    <w:right w:val="single" w:color="000000" w:sz="6" w:space="0"/>
                  </w:tcBorders>
                  <w:shd w:val="clear" w:color="auto" w:fill="auto"/>
                  <w:noWrap/>
                  <w:vAlign w:val="center"/>
                </w:tcPr>
                <w:p w14:paraId="1BF3B4B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2</w:t>
                  </w:r>
                  <w:r>
                    <w:rPr>
                      <w:rFonts w:hint="default" w:ascii="Times New Roman" w:hAnsi="Times New Roman" w:cs="Times New Roman" w:eastAsiaTheme="minorEastAsia"/>
                      <w:color w:val="auto"/>
                      <w:sz w:val="21"/>
                      <w:szCs w:val="21"/>
                    </w:rPr>
                    <w:t>平均浓度（μg/m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915" w:type="dxa"/>
                  <w:tcBorders>
                    <w:left w:val="single" w:color="auto" w:sz="6" w:space="0"/>
                    <w:bottom w:val="single" w:color="000000" w:sz="6" w:space="0"/>
                    <w:right w:val="single" w:color="000000" w:sz="6" w:space="0"/>
                  </w:tcBorders>
                  <w:shd w:val="clear" w:color="auto" w:fill="auto"/>
                  <w:noWrap/>
                  <w:vAlign w:val="center"/>
                </w:tcPr>
                <w:p w14:paraId="46D7B41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vertAlign w:val="subscript"/>
                    </w:rPr>
                    <w:t>2</w:t>
                  </w:r>
                  <w:r>
                    <w:rPr>
                      <w:rFonts w:hint="default" w:ascii="Times New Roman" w:hAnsi="Times New Roman" w:cs="Times New Roman" w:eastAsiaTheme="minorEastAsia"/>
                      <w:color w:val="auto"/>
                      <w:sz w:val="21"/>
                      <w:szCs w:val="21"/>
                    </w:rPr>
                    <w:t>平均浓度（μg/m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915" w:type="dxa"/>
                  <w:tcBorders>
                    <w:left w:val="single" w:color="auto" w:sz="6" w:space="0"/>
                    <w:bottom w:val="single" w:color="000000" w:sz="6" w:space="0"/>
                    <w:right w:val="single" w:color="000000" w:sz="6" w:space="0"/>
                  </w:tcBorders>
                  <w:shd w:val="clear" w:color="auto" w:fill="auto"/>
                  <w:noWrap/>
                  <w:vAlign w:val="center"/>
                </w:tcPr>
                <w:p w14:paraId="7E4F7CA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O</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rPr>
                    <w:t>-8h90百分位（μg/m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944" w:type="dxa"/>
                  <w:tcBorders>
                    <w:left w:val="single" w:color="auto" w:sz="6" w:space="0"/>
                    <w:bottom w:val="single" w:color="000000" w:sz="6" w:space="0"/>
                    <w:right w:val="single" w:color="000000" w:sz="6" w:space="0"/>
                  </w:tcBorders>
                  <w:shd w:val="clear" w:color="auto" w:fill="auto"/>
                  <w:noWrap/>
                  <w:vAlign w:val="center"/>
                </w:tcPr>
                <w:p w14:paraId="26F3369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CO95百分位（mg/m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900" w:type="dxa"/>
                  <w:tcBorders>
                    <w:left w:val="single" w:color="auto" w:sz="6" w:space="0"/>
                    <w:bottom w:val="single" w:color="000000" w:sz="6" w:space="0"/>
                    <w:right w:val="single" w:color="000000" w:sz="6" w:space="0"/>
                  </w:tcBorders>
                  <w:shd w:val="clear" w:color="auto" w:fill="auto"/>
                  <w:noWrap/>
                  <w:vAlign w:val="center"/>
                </w:tcPr>
                <w:p w14:paraId="271E030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PM</w:t>
                  </w:r>
                  <w:r>
                    <w:rPr>
                      <w:rFonts w:hint="default" w:ascii="Times New Roman" w:hAnsi="Times New Roman" w:cs="Times New Roman" w:eastAsiaTheme="minorEastAsia"/>
                      <w:color w:val="auto"/>
                      <w:sz w:val="21"/>
                      <w:szCs w:val="21"/>
                      <w:vertAlign w:val="subscript"/>
                    </w:rPr>
                    <w:t>10</w:t>
                  </w:r>
                  <w:r>
                    <w:rPr>
                      <w:rFonts w:hint="default" w:ascii="Times New Roman" w:hAnsi="Times New Roman" w:cs="Times New Roman" w:eastAsiaTheme="minorEastAsia"/>
                      <w:color w:val="auto"/>
                      <w:sz w:val="21"/>
                      <w:szCs w:val="21"/>
                    </w:rPr>
                    <w:t>平均浓度（μg/m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887" w:type="dxa"/>
                  <w:tcBorders>
                    <w:left w:val="single" w:color="auto" w:sz="6" w:space="0"/>
                    <w:bottom w:val="single" w:color="000000" w:sz="6" w:space="0"/>
                    <w:right w:val="single" w:color="000000" w:sz="6" w:space="0"/>
                  </w:tcBorders>
                  <w:shd w:val="clear" w:color="auto" w:fill="auto"/>
                  <w:noWrap/>
                  <w:vAlign w:val="center"/>
                </w:tcPr>
                <w:p w14:paraId="4EAFF0F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PM</w:t>
                  </w:r>
                  <w:r>
                    <w:rPr>
                      <w:rFonts w:hint="default" w:ascii="Times New Roman" w:hAnsi="Times New Roman" w:cs="Times New Roman" w:eastAsiaTheme="minorEastAsia"/>
                      <w:color w:val="auto"/>
                      <w:sz w:val="21"/>
                      <w:szCs w:val="21"/>
                      <w:vertAlign w:val="subscript"/>
                    </w:rPr>
                    <w:t>2.5</w:t>
                  </w:r>
                  <w:r>
                    <w:rPr>
                      <w:rFonts w:hint="default" w:ascii="Times New Roman" w:hAnsi="Times New Roman" w:cs="Times New Roman" w:eastAsiaTheme="minorEastAsia"/>
                      <w:color w:val="auto"/>
                      <w:sz w:val="21"/>
                      <w:szCs w:val="21"/>
                    </w:rPr>
                    <w:t>平均浓度（μg/m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742" w:type="dxa"/>
                  <w:tcBorders>
                    <w:left w:val="single" w:color="auto" w:sz="6" w:space="0"/>
                    <w:bottom w:val="single" w:color="000000" w:sz="6" w:space="0"/>
                    <w:right w:val="single" w:color="000000" w:sz="6" w:space="0"/>
                  </w:tcBorders>
                  <w:shd w:val="clear" w:color="auto" w:fill="auto"/>
                  <w:noWrap/>
                  <w:vAlign w:val="center"/>
                </w:tcPr>
                <w:p w14:paraId="41F29DE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优良天数率</w:t>
                  </w:r>
                </w:p>
              </w:tc>
              <w:tc>
                <w:tcPr>
                  <w:tcW w:w="706" w:type="dxa"/>
                  <w:tcBorders>
                    <w:left w:val="single" w:color="auto" w:sz="6" w:space="0"/>
                    <w:bottom w:val="single" w:color="000000" w:sz="6" w:space="0"/>
                    <w:right w:val="single" w:color="000000" w:sz="6" w:space="0"/>
                  </w:tcBorders>
                  <w:shd w:val="clear" w:color="auto" w:fill="auto"/>
                  <w:noWrap/>
                  <w:vAlign w:val="center"/>
                </w:tcPr>
                <w:p w14:paraId="27507FB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空气质量综合指数</w:t>
                  </w:r>
                </w:p>
              </w:tc>
              <w:tc>
                <w:tcPr>
                  <w:tcW w:w="769" w:type="dxa"/>
                  <w:tcBorders>
                    <w:left w:val="single" w:color="auto" w:sz="6" w:space="0"/>
                    <w:bottom w:val="single" w:color="000000" w:sz="6" w:space="0"/>
                  </w:tcBorders>
                  <w:shd w:val="clear" w:color="auto" w:fill="auto"/>
                  <w:noWrap/>
                  <w:vAlign w:val="center"/>
                </w:tcPr>
                <w:p w14:paraId="63C2A7D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r>
            <w:tr w14:paraId="2DCAF46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1107" w:type="dxa"/>
                  <w:vMerge w:val="restart"/>
                  <w:tcBorders>
                    <w:top w:val="single" w:color="auto" w:sz="6" w:space="0"/>
                    <w:bottom w:val="single" w:color="000000" w:sz="6" w:space="0"/>
                    <w:right w:val="single" w:color="000000" w:sz="6" w:space="0"/>
                  </w:tcBorders>
                  <w:shd w:val="clear" w:color="auto" w:fill="auto"/>
                  <w:noWrap/>
                  <w:vAlign w:val="center"/>
                </w:tcPr>
                <w:p w14:paraId="2B7E44C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遂宁经开区</w:t>
                  </w: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00DAEA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石溪浩</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32014E5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9.5</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D6310D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22.4</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7E75B5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138.6</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198592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0.8</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39D60D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52.4</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E18239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32.6</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78331B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90.2%</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671003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3.46</w:t>
                  </w:r>
                </w:p>
              </w:tc>
              <w:tc>
                <w:tcPr>
                  <w:tcW w:w="769" w:type="dxa"/>
                  <w:vMerge w:val="restart"/>
                  <w:tcBorders>
                    <w:top w:val="single" w:color="auto" w:sz="6" w:space="0"/>
                    <w:left w:val="single" w:color="auto" w:sz="6" w:space="0"/>
                  </w:tcBorders>
                  <w:shd w:val="clear" w:color="auto" w:fill="auto"/>
                  <w:noWrap/>
                  <w:vAlign w:val="center"/>
                </w:tcPr>
                <w:p w14:paraId="4F1EB4E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背景站，未纳入考核</w:t>
                  </w:r>
                </w:p>
              </w:tc>
            </w:tr>
            <w:tr w14:paraId="11A44B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1107" w:type="dxa"/>
                  <w:vMerge w:val="continue"/>
                  <w:tcBorders>
                    <w:top w:val="single" w:color="auto" w:sz="6" w:space="0"/>
                    <w:bottom w:val="single" w:color="000000" w:sz="6" w:space="0"/>
                    <w:right w:val="single" w:color="000000" w:sz="6" w:space="0"/>
                  </w:tcBorders>
                  <w:shd w:val="clear" w:color="auto" w:fill="auto"/>
                  <w:noWrap/>
                  <w:vAlign w:val="center"/>
                </w:tcPr>
                <w:p w14:paraId="0FDA4B1D">
                  <w:pPr>
                    <w:jc w:val="center"/>
                    <w:rPr>
                      <w:rFonts w:hint="default" w:ascii="Times New Roman" w:hAnsi="Times New Roman" w:cs="Times New Roman" w:eastAsiaTheme="minorEastAsia"/>
                      <w:color w:val="auto"/>
                      <w:sz w:val="21"/>
                      <w:szCs w:val="21"/>
                    </w:rPr>
                  </w:pP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8FCF43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市监测站</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7C31A1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8.3</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A69DF5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22.5</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E57176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130.5</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010665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0.9</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49035D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47.9</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1277DA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29.5</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3219B8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94.5%</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D3A027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3.27</w:t>
                  </w:r>
                </w:p>
              </w:tc>
              <w:tc>
                <w:tcPr>
                  <w:tcW w:w="769" w:type="dxa"/>
                  <w:vMerge w:val="continue"/>
                  <w:tcBorders>
                    <w:left w:val="single" w:color="auto" w:sz="6" w:space="0"/>
                  </w:tcBorders>
                  <w:shd w:val="clear" w:color="auto" w:fill="auto"/>
                  <w:noWrap/>
                  <w:vAlign w:val="center"/>
                </w:tcPr>
                <w:p w14:paraId="185A22F6">
                  <w:pPr>
                    <w:jc w:val="center"/>
                    <w:rPr>
                      <w:rFonts w:hint="default" w:ascii="Times New Roman" w:hAnsi="Times New Roman" w:cs="Times New Roman" w:eastAsiaTheme="minorEastAsia"/>
                      <w:color w:val="auto"/>
                      <w:sz w:val="21"/>
                      <w:szCs w:val="21"/>
                    </w:rPr>
                  </w:pPr>
                </w:p>
              </w:tc>
            </w:tr>
            <w:tr w14:paraId="1CC102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1107" w:type="dxa"/>
                  <w:vMerge w:val="continue"/>
                  <w:tcBorders>
                    <w:top w:val="single" w:color="auto" w:sz="6" w:space="0"/>
                    <w:bottom w:val="single" w:color="000000" w:sz="6" w:space="0"/>
                    <w:right w:val="single" w:color="000000" w:sz="6" w:space="0"/>
                  </w:tcBorders>
                  <w:shd w:val="clear" w:color="auto" w:fill="auto"/>
                  <w:noWrap/>
                  <w:vAlign w:val="center"/>
                </w:tcPr>
                <w:p w14:paraId="409027D7">
                  <w:pPr>
                    <w:jc w:val="center"/>
                    <w:rPr>
                      <w:rFonts w:hint="default" w:ascii="Times New Roman" w:hAnsi="Times New Roman" w:cs="Times New Roman" w:eastAsiaTheme="minorEastAsia"/>
                      <w:color w:val="auto"/>
                      <w:sz w:val="21"/>
                      <w:szCs w:val="21"/>
                    </w:rPr>
                  </w:pP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34659B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美宁食品公司</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A8D8A7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10.2</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4AB334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25.4</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C9F5A4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140</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D5BBE1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D33C2A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54.4</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14648B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33.3</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3797C3D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91.4%</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DBA5D3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3.66</w:t>
                  </w:r>
                </w:p>
              </w:tc>
              <w:tc>
                <w:tcPr>
                  <w:tcW w:w="769" w:type="dxa"/>
                  <w:vMerge w:val="continue"/>
                  <w:tcBorders>
                    <w:left w:val="single" w:color="auto" w:sz="6" w:space="0"/>
                  </w:tcBorders>
                  <w:shd w:val="clear" w:color="auto" w:fill="auto"/>
                  <w:noWrap/>
                  <w:vAlign w:val="center"/>
                </w:tcPr>
                <w:p w14:paraId="251CA32C">
                  <w:pPr>
                    <w:jc w:val="center"/>
                    <w:rPr>
                      <w:rFonts w:hint="default" w:ascii="Times New Roman" w:hAnsi="Times New Roman" w:cs="Times New Roman" w:eastAsiaTheme="minorEastAsia"/>
                      <w:color w:val="auto"/>
                      <w:sz w:val="21"/>
                      <w:szCs w:val="21"/>
                    </w:rPr>
                  </w:pPr>
                </w:p>
              </w:tc>
            </w:tr>
            <w:tr w14:paraId="18DD6D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1107" w:type="dxa"/>
                  <w:tcBorders>
                    <w:top w:val="single" w:color="auto" w:sz="6" w:space="0"/>
                    <w:bottom w:val="single" w:color="000000" w:sz="6" w:space="0"/>
                    <w:right w:val="single" w:color="000000" w:sz="6" w:space="0"/>
                  </w:tcBorders>
                  <w:shd w:val="clear" w:color="auto" w:fill="auto"/>
                  <w:noWrap/>
                  <w:vAlign w:val="center"/>
                </w:tcPr>
                <w:p w14:paraId="24C9A36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市河东新区</w:t>
                  </w: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4952D3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行政中心</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23F610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9.3</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9C2CB5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21.4</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BDAB42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132</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BFA640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0.9</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9B2E11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45.3</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B39AB4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31.2</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586AA0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94.2%</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1E77F5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3.28</w:t>
                  </w:r>
                </w:p>
              </w:tc>
              <w:tc>
                <w:tcPr>
                  <w:tcW w:w="769" w:type="dxa"/>
                  <w:vMerge w:val="continue"/>
                  <w:tcBorders>
                    <w:left w:val="single" w:color="auto" w:sz="6" w:space="0"/>
                  </w:tcBorders>
                  <w:shd w:val="clear" w:color="auto" w:fill="auto"/>
                  <w:noWrap/>
                  <w:vAlign w:val="center"/>
                </w:tcPr>
                <w:p w14:paraId="54C99184">
                  <w:pPr>
                    <w:jc w:val="center"/>
                    <w:rPr>
                      <w:rFonts w:hint="default" w:ascii="Times New Roman" w:hAnsi="Times New Roman" w:cs="Times New Roman" w:eastAsiaTheme="minorEastAsia"/>
                      <w:color w:val="auto"/>
                      <w:sz w:val="21"/>
                      <w:szCs w:val="21"/>
                    </w:rPr>
                  </w:pPr>
                </w:p>
              </w:tc>
            </w:tr>
            <w:tr w14:paraId="172E88D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1107" w:type="dxa"/>
                  <w:tcBorders>
                    <w:top w:val="single" w:color="auto" w:sz="6" w:space="0"/>
                    <w:bottom w:val="single" w:color="000000" w:sz="6" w:space="0"/>
                    <w:right w:val="single" w:color="000000" w:sz="6" w:space="0"/>
                  </w:tcBorders>
                  <w:shd w:val="clear" w:color="auto" w:fill="auto"/>
                  <w:noWrap/>
                  <w:vAlign w:val="center"/>
                </w:tcPr>
                <w:p w14:paraId="5D71019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船山区</w:t>
                  </w: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3431FF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遂中实验校</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37F675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7BF061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21.5</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01A75E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114.6</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7730BD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24B2AE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50.8</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F3F6A6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33.4</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20CC5F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93.2%</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F7FB0E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3.28</w:t>
                  </w:r>
                </w:p>
              </w:tc>
              <w:tc>
                <w:tcPr>
                  <w:tcW w:w="769" w:type="dxa"/>
                  <w:vMerge w:val="continue"/>
                  <w:tcBorders>
                    <w:left w:val="single" w:color="auto" w:sz="6" w:space="0"/>
                  </w:tcBorders>
                  <w:shd w:val="clear" w:color="auto" w:fill="auto"/>
                  <w:noWrap/>
                  <w:vAlign w:val="center"/>
                </w:tcPr>
                <w:p w14:paraId="1952E51A">
                  <w:pPr>
                    <w:jc w:val="center"/>
                    <w:rPr>
                      <w:rFonts w:hint="default" w:ascii="Times New Roman" w:hAnsi="Times New Roman" w:cs="Times New Roman" w:eastAsiaTheme="minorEastAsia"/>
                      <w:color w:val="auto"/>
                      <w:sz w:val="21"/>
                      <w:szCs w:val="21"/>
                    </w:rPr>
                  </w:pPr>
                </w:p>
              </w:tc>
            </w:tr>
            <w:tr w14:paraId="38828C3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1107" w:type="dxa"/>
                  <w:tcBorders>
                    <w:top w:val="single" w:color="auto" w:sz="6" w:space="0"/>
                    <w:bottom w:val="single" w:color="000000" w:sz="6" w:space="0"/>
                    <w:right w:val="single" w:color="000000" w:sz="6" w:space="0"/>
                  </w:tcBorders>
                  <w:shd w:val="clear" w:color="auto" w:fill="auto"/>
                  <w:noWrap/>
                  <w:vAlign w:val="center"/>
                </w:tcPr>
                <w:p w14:paraId="6964C841">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安居区</w:t>
                  </w: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389A8EA4">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安居检察院</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49C192B">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5.8</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A2FA66C">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10.0</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0AD067D">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135.6</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5395577D">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1.1</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11E2604">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43.1</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6644B51">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30.8</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E211798">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94.2%</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F25F1E2">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2.96</w:t>
                  </w:r>
                </w:p>
              </w:tc>
              <w:tc>
                <w:tcPr>
                  <w:tcW w:w="769" w:type="dxa"/>
                  <w:vMerge w:val="continue"/>
                  <w:tcBorders>
                    <w:left w:val="single" w:color="auto" w:sz="6" w:space="0"/>
                  </w:tcBorders>
                  <w:shd w:val="clear" w:color="auto" w:fill="auto"/>
                  <w:noWrap/>
                  <w:vAlign w:val="center"/>
                </w:tcPr>
                <w:p w14:paraId="7088F7AE">
                  <w:pPr>
                    <w:jc w:val="center"/>
                    <w:rPr>
                      <w:rFonts w:hint="default" w:ascii="Times New Roman" w:hAnsi="Times New Roman" w:cs="Times New Roman" w:eastAsiaTheme="minorEastAsia"/>
                      <w:b/>
                      <w:bCs/>
                      <w:color w:val="auto"/>
                      <w:sz w:val="21"/>
                      <w:szCs w:val="21"/>
                    </w:rPr>
                  </w:pPr>
                </w:p>
              </w:tc>
            </w:tr>
            <w:tr w14:paraId="409E90C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1107" w:type="dxa"/>
                  <w:tcBorders>
                    <w:top w:val="single" w:color="auto" w:sz="6" w:space="0"/>
                    <w:bottom w:val="single" w:color="000000" w:sz="6" w:space="0"/>
                    <w:right w:val="single" w:color="000000" w:sz="6" w:space="0"/>
                  </w:tcBorders>
                  <w:shd w:val="clear" w:color="auto" w:fill="auto"/>
                  <w:noWrap/>
                  <w:vAlign w:val="center"/>
                </w:tcPr>
                <w:p w14:paraId="5AD1098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射洪市</w:t>
                  </w: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FC51D1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生态环境局</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394569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4.4</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2893F3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15.9</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A24273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116</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C121F5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37B2356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61.8</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F969FE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29.5</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0BFFE6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94.8%</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A60F17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3.20</w:t>
                  </w:r>
                </w:p>
              </w:tc>
              <w:tc>
                <w:tcPr>
                  <w:tcW w:w="769" w:type="dxa"/>
                  <w:vMerge w:val="continue"/>
                  <w:tcBorders>
                    <w:left w:val="single" w:color="auto" w:sz="6" w:space="0"/>
                  </w:tcBorders>
                  <w:shd w:val="clear" w:color="auto" w:fill="auto"/>
                  <w:noWrap/>
                  <w:vAlign w:val="center"/>
                </w:tcPr>
                <w:p w14:paraId="15F59F3A">
                  <w:pPr>
                    <w:jc w:val="center"/>
                    <w:rPr>
                      <w:rFonts w:hint="default" w:ascii="Times New Roman" w:hAnsi="Times New Roman" w:cs="Times New Roman" w:eastAsiaTheme="minorEastAsia"/>
                      <w:color w:val="auto"/>
                      <w:sz w:val="21"/>
                      <w:szCs w:val="21"/>
                    </w:rPr>
                  </w:pPr>
                </w:p>
              </w:tc>
            </w:tr>
            <w:tr w14:paraId="4970DF5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1107" w:type="dxa"/>
                  <w:tcBorders>
                    <w:top w:val="single" w:color="auto" w:sz="6" w:space="0"/>
                    <w:bottom w:val="single" w:color="000000" w:sz="6" w:space="0"/>
                    <w:right w:val="single" w:color="000000" w:sz="6" w:space="0"/>
                  </w:tcBorders>
                  <w:shd w:val="clear" w:color="auto" w:fill="auto"/>
                  <w:noWrap/>
                  <w:vAlign w:val="center"/>
                </w:tcPr>
                <w:p w14:paraId="63D36F02">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蓬溪县</w:t>
                  </w:r>
                </w:p>
              </w:tc>
              <w:tc>
                <w:tcPr>
                  <w:tcW w:w="949"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3EE9EA5C">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实验中学</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10C82754">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6.8</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2122936C">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19.1</w:t>
                  </w:r>
                </w:p>
              </w:tc>
              <w:tc>
                <w:tcPr>
                  <w:tcW w:w="915"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A24B31B">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123</w:t>
                  </w:r>
                </w:p>
              </w:tc>
              <w:tc>
                <w:tcPr>
                  <w:tcW w:w="944"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61C07090">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1.0</w:t>
                  </w:r>
                </w:p>
              </w:tc>
              <w:tc>
                <w:tcPr>
                  <w:tcW w:w="900"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34B107A8">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43.1</w:t>
                  </w:r>
                </w:p>
              </w:tc>
              <w:tc>
                <w:tcPr>
                  <w:tcW w:w="887"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0E460261">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28.3</w:t>
                  </w:r>
                </w:p>
              </w:tc>
              <w:tc>
                <w:tcPr>
                  <w:tcW w:w="742"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4FE627AC">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94.8%</w:t>
                  </w:r>
                </w:p>
              </w:tc>
              <w:tc>
                <w:tcPr>
                  <w:tcW w:w="706" w:type="dxa"/>
                  <w:tcBorders>
                    <w:top w:val="single" w:color="auto" w:sz="6" w:space="0"/>
                    <w:left w:val="single" w:color="auto" w:sz="6" w:space="0"/>
                    <w:bottom w:val="single" w:color="000000" w:sz="6" w:space="0"/>
                    <w:right w:val="single" w:color="000000" w:sz="6" w:space="0"/>
                  </w:tcBorders>
                  <w:shd w:val="clear" w:color="auto" w:fill="auto"/>
                  <w:noWrap/>
                  <w:vAlign w:val="center"/>
                </w:tcPr>
                <w:p w14:paraId="7BD06879">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3.03</w:t>
                  </w:r>
                </w:p>
              </w:tc>
              <w:tc>
                <w:tcPr>
                  <w:tcW w:w="769" w:type="dxa"/>
                  <w:vMerge w:val="continue"/>
                  <w:tcBorders>
                    <w:left w:val="single" w:color="auto" w:sz="6" w:space="0"/>
                  </w:tcBorders>
                  <w:shd w:val="clear" w:color="auto" w:fill="auto"/>
                  <w:noWrap/>
                  <w:vAlign w:val="center"/>
                </w:tcPr>
                <w:p w14:paraId="0E2B493C">
                  <w:pPr>
                    <w:jc w:val="center"/>
                    <w:rPr>
                      <w:rFonts w:hint="default" w:ascii="Times New Roman" w:hAnsi="Times New Roman" w:cs="Times New Roman" w:eastAsiaTheme="minorEastAsia"/>
                      <w:b w:val="0"/>
                      <w:bCs w:val="0"/>
                      <w:color w:val="auto"/>
                      <w:sz w:val="21"/>
                      <w:szCs w:val="21"/>
                    </w:rPr>
                  </w:pPr>
                </w:p>
              </w:tc>
            </w:tr>
            <w:tr w14:paraId="73E3C7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1107" w:type="dxa"/>
                  <w:tcBorders>
                    <w:top w:val="single" w:color="auto" w:sz="6" w:space="0"/>
                    <w:right w:val="single" w:color="000000" w:sz="6" w:space="0"/>
                  </w:tcBorders>
                  <w:shd w:val="clear" w:color="auto" w:fill="auto"/>
                  <w:noWrap/>
                  <w:vAlign w:val="center"/>
                </w:tcPr>
                <w:p w14:paraId="70D4669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大英县</w:t>
                  </w:r>
                </w:p>
              </w:tc>
              <w:tc>
                <w:tcPr>
                  <w:tcW w:w="949" w:type="dxa"/>
                  <w:tcBorders>
                    <w:top w:val="single" w:color="auto" w:sz="6" w:space="0"/>
                    <w:left w:val="single" w:color="auto" w:sz="6" w:space="0"/>
                    <w:right w:val="single" w:color="000000" w:sz="6" w:space="0"/>
                  </w:tcBorders>
                  <w:shd w:val="clear" w:color="auto" w:fill="auto"/>
                  <w:noWrap/>
                  <w:vAlign w:val="center"/>
                </w:tcPr>
                <w:p w14:paraId="1040DFE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大英县气象观测站</w:t>
                  </w:r>
                </w:p>
              </w:tc>
              <w:tc>
                <w:tcPr>
                  <w:tcW w:w="915" w:type="dxa"/>
                  <w:tcBorders>
                    <w:top w:val="single" w:color="auto" w:sz="6" w:space="0"/>
                    <w:left w:val="single" w:color="auto" w:sz="6" w:space="0"/>
                    <w:right w:val="single" w:color="000000" w:sz="6" w:space="0"/>
                  </w:tcBorders>
                  <w:shd w:val="clear" w:color="auto" w:fill="auto"/>
                  <w:noWrap/>
                  <w:vAlign w:val="center"/>
                </w:tcPr>
                <w:p w14:paraId="2CF2CD9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4.9</w:t>
                  </w:r>
                </w:p>
              </w:tc>
              <w:tc>
                <w:tcPr>
                  <w:tcW w:w="915" w:type="dxa"/>
                  <w:tcBorders>
                    <w:top w:val="single" w:color="auto" w:sz="6" w:space="0"/>
                    <w:left w:val="single" w:color="auto" w:sz="6" w:space="0"/>
                    <w:right w:val="single" w:color="000000" w:sz="6" w:space="0"/>
                  </w:tcBorders>
                  <w:shd w:val="clear" w:color="auto" w:fill="auto"/>
                  <w:noWrap/>
                  <w:vAlign w:val="center"/>
                </w:tcPr>
                <w:p w14:paraId="19FEA7A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12.1</w:t>
                  </w:r>
                </w:p>
              </w:tc>
              <w:tc>
                <w:tcPr>
                  <w:tcW w:w="915" w:type="dxa"/>
                  <w:tcBorders>
                    <w:top w:val="single" w:color="auto" w:sz="6" w:space="0"/>
                    <w:left w:val="single" w:color="auto" w:sz="6" w:space="0"/>
                    <w:right w:val="single" w:color="000000" w:sz="6" w:space="0"/>
                  </w:tcBorders>
                  <w:shd w:val="clear" w:color="auto" w:fill="auto"/>
                  <w:noWrap/>
                  <w:vAlign w:val="center"/>
                </w:tcPr>
                <w:p w14:paraId="45E5A27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127</w:t>
                  </w:r>
                </w:p>
              </w:tc>
              <w:tc>
                <w:tcPr>
                  <w:tcW w:w="944" w:type="dxa"/>
                  <w:tcBorders>
                    <w:top w:val="single" w:color="auto" w:sz="6" w:space="0"/>
                    <w:left w:val="single" w:color="auto" w:sz="6" w:space="0"/>
                    <w:right w:val="single" w:color="000000" w:sz="6" w:space="0"/>
                  </w:tcBorders>
                  <w:shd w:val="clear" w:color="auto" w:fill="auto"/>
                  <w:noWrap/>
                  <w:vAlign w:val="center"/>
                </w:tcPr>
                <w:p w14:paraId="726D04D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900" w:type="dxa"/>
                  <w:tcBorders>
                    <w:top w:val="single" w:color="auto" w:sz="6" w:space="0"/>
                    <w:left w:val="single" w:color="auto" w:sz="6" w:space="0"/>
                    <w:right w:val="single" w:color="000000" w:sz="6" w:space="0"/>
                  </w:tcBorders>
                  <w:shd w:val="clear" w:color="auto" w:fill="auto"/>
                  <w:noWrap/>
                  <w:vAlign w:val="center"/>
                </w:tcPr>
                <w:p w14:paraId="40CC898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44.8</w:t>
                  </w:r>
                </w:p>
              </w:tc>
              <w:tc>
                <w:tcPr>
                  <w:tcW w:w="887" w:type="dxa"/>
                  <w:tcBorders>
                    <w:top w:val="single" w:color="auto" w:sz="6" w:space="0"/>
                    <w:left w:val="single" w:color="auto" w:sz="6" w:space="0"/>
                    <w:right w:val="single" w:color="000000" w:sz="6" w:space="0"/>
                  </w:tcBorders>
                  <w:shd w:val="clear" w:color="auto" w:fill="auto"/>
                  <w:noWrap/>
                  <w:vAlign w:val="center"/>
                </w:tcPr>
                <w:p w14:paraId="683A25B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28.8</w:t>
                  </w:r>
                </w:p>
              </w:tc>
              <w:tc>
                <w:tcPr>
                  <w:tcW w:w="742" w:type="dxa"/>
                  <w:tcBorders>
                    <w:top w:val="single" w:color="auto" w:sz="6" w:space="0"/>
                    <w:left w:val="single" w:color="auto" w:sz="6" w:space="0"/>
                    <w:right w:val="single" w:color="000000" w:sz="6" w:space="0"/>
                  </w:tcBorders>
                  <w:shd w:val="clear" w:color="auto" w:fill="auto"/>
                  <w:noWrap/>
                  <w:vAlign w:val="center"/>
                </w:tcPr>
                <w:p w14:paraId="3CDF769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94.8%</w:t>
                  </w:r>
                </w:p>
              </w:tc>
              <w:tc>
                <w:tcPr>
                  <w:tcW w:w="706" w:type="dxa"/>
                  <w:tcBorders>
                    <w:top w:val="single" w:color="auto" w:sz="6" w:space="0"/>
                    <w:left w:val="single" w:color="auto" w:sz="6" w:space="0"/>
                    <w:right w:val="single" w:color="000000" w:sz="6" w:space="0"/>
                  </w:tcBorders>
                  <w:shd w:val="clear" w:color="auto" w:fill="auto"/>
                  <w:noWrap/>
                  <w:vAlign w:val="center"/>
                </w:tcPr>
                <w:p w14:paraId="6640064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2.89</w:t>
                  </w:r>
                </w:p>
              </w:tc>
              <w:tc>
                <w:tcPr>
                  <w:tcW w:w="769" w:type="dxa"/>
                  <w:vMerge w:val="continue"/>
                  <w:tcBorders>
                    <w:left w:val="single" w:color="auto" w:sz="6" w:space="0"/>
                  </w:tcBorders>
                  <w:shd w:val="clear" w:color="auto" w:fill="auto"/>
                  <w:noWrap/>
                  <w:vAlign w:val="center"/>
                </w:tcPr>
                <w:p w14:paraId="542DF8BB">
                  <w:pPr>
                    <w:jc w:val="center"/>
                    <w:rPr>
                      <w:rFonts w:hint="default" w:ascii="Times New Roman" w:hAnsi="Times New Roman" w:cs="Times New Roman" w:eastAsiaTheme="minorEastAsia"/>
                      <w:color w:val="auto"/>
                      <w:sz w:val="21"/>
                      <w:szCs w:val="21"/>
                    </w:rPr>
                  </w:pPr>
                </w:p>
              </w:tc>
            </w:tr>
          </w:tbl>
          <w:p w14:paraId="434FCD47">
            <w:pPr>
              <w:numPr>
                <w:ilvl w:val="0"/>
                <w:numId w:val="0"/>
              </w:numPr>
              <w:spacing w:line="360" w:lineRule="auto"/>
              <w:ind w:leftChars="0"/>
              <w:jc w:val="center"/>
              <w:rPr>
                <w:rFonts w:hint="default" w:ascii="Times New Roman" w:hAnsi="Times New Roman" w:cs="Times New Roman"/>
                <w:color w:val="auto"/>
                <w:sz w:val="24"/>
              </w:rPr>
            </w:pPr>
            <w:r>
              <w:rPr>
                <w:rFonts w:hint="default" w:ascii="Times New Roman" w:hAnsi="Times New Roman" w:cs="Times New Roman"/>
                <w:b/>
                <w:bCs/>
                <w:color w:val="auto"/>
                <w:szCs w:val="21"/>
                <w:lang w:eastAsia="zh-CN"/>
              </w:rPr>
              <w:t>表</w:t>
            </w:r>
            <w:r>
              <w:rPr>
                <w:rFonts w:hint="default" w:ascii="Times New Roman" w:hAnsi="Times New Roman" w:cs="Times New Roman"/>
                <w:b/>
                <w:bCs/>
                <w:color w:val="auto"/>
                <w:szCs w:val="21"/>
                <w:lang w:val="en-US" w:eastAsia="zh-CN"/>
              </w:rPr>
              <w:t xml:space="preserve">3-2  </w:t>
            </w:r>
            <w:r>
              <w:rPr>
                <w:rFonts w:hint="eastAsia" w:cs="Times New Roman"/>
                <w:b/>
                <w:bCs/>
                <w:color w:val="auto"/>
                <w:szCs w:val="21"/>
                <w:lang w:val="en-US" w:eastAsia="zh-CN"/>
              </w:rPr>
              <w:t>蓬溪县</w:t>
            </w:r>
            <w:r>
              <w:rPr>
                <w:rFonts w:hint="default" w:ascii="Times New Roman" w:hAnsi="Times New Roman" w:cs="Times New Roman"/>
                <w:b/>
                <w:bCs/>
                <w:color w:val="auto"/>
                <w:szCs w:val="21"/>
              </w:rPr>
              <w:t>大气环境质量现状评价表</w:t>
            </w:r>
          </w:p>
          <w:tbl>
            <w:tblPr>
              <w:tblStyle w:val="22"/>
              <w:tblW w:w="907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7"/>
              <w:gridCol w:w="1992"/>
              <w:gridCol w:w="1732"/>
              <w:gridCol w:w="1232"/>
              <w:gridCol w:w="1847"/>
              <w:gridCol w:w="1290"/>
            </w:tblGrid>
            <w:tr w14:paraId="0AF56D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1CB5A852">
                  <w:pPr>
                    <w:pStyle w:val="14"/>
                    <w:jc w:val="center"/>
                    <w:rPr>
                      <w:rFonts w:hint="default" w:ascii="Times New Roman" w:hAnsi="Times New Roman" w:cs="Times New Roman"/>
                      <w:b/>
                      <w:color w:val="auto"/>
                      <w:vertAlign w:val="baseline"/>
                    </w:rPr>
                  </w:pPr>
                  <w:r>
                    <w:rPr>
                      <w:rFonts w:hint="default" w:ascii="Times New Roman" w:hAnsi="Times New Roman" w:cs="Times New Roman"/>
                      <w:b/>
                      <w:color w:val="auto"/>
                      <w:vertAlign w:val="baseline"/>
                    </w:rPr>
                    <w:t>污染物</w:t>
                  </w:r>
                </w:p>
              </w:tc>
              <w:tc>
                <w:tcPr>
                  <w:tcW w:w="1992" w:type="dxa"/>
                  <w:shd w:val="clear" w:color="auto" w:fill="auto"/>
                  <w:noWrap w:val="0"/>
                  <w:vAlign w:val="center"/>
                </w:tcPr>
                <w:p w14:paraId="7EEF0484">
                  <w:pPr>
                    <w:pStyle w:val="14"/>
                    <w:jc w:val="center"/>
                    <w:rPr>
                      <w:rFonts w:hint="default" w:ascii="Times New Roman" w:hAnsi="Times New Roman" w:cs="Times New Roman"/>
                      <w:b/>
                      <w:color w:val="auto"/>
                      <w:vertAlign w:val="baseline"/>
                    </w:rPr>
                  </w:pPr>
                  <w:r>
                    <w:rPr>
                      <w:rFonts w:hint="default" w:ascii="Times New Roman" w:hAnsi="Times New Roman" w:cs="Times New Roman"/>
                      <w:b/>
                      <w:color w:val="auto"/>
                      <w:vertAlign w:val="baseline"/>
                    </w:rPr>
                    <w:t>年平均指标</w:t>
                  </w:r>
                </w:p>
              </w:tc>
              <w:tc>
                <w:tcPr>
                  <w:tcW w:w="1732" w:type="dxa"/>
                  <w:shd w:val="clear" w:color="auto" w:fill="auto"/>
                  <w:noWrap w:val="0"/>
                  <w:vAlign w:val="center"/>
                </w:tcPr>
                <w:p w14:paraId="1D68A37E">
                  <w:pPr>
                    <w:pStyle w:val="14"/>
                    <w:jc w:val="center"/>
                    <w:rPr>
                      <w:rFonts w:hint="default" w:ascii="Times New Roman" w:hAnsi="Times New Roman" w:cs="Times New Roman"/>
                      <w:b/>
                      <w:color w:val="auto"/>
                      <w:vertAlign w:val="baseline"/>
                    </w:rPr>
                  </w:pPr>
                  <w:r>
                    <w:rPr>
                      <w:rFonts w:hint="default" w:ascii="Times New Roman" w:hAnsi="Times New Roman" w:cs="Times New Roman"/>
                      <w:b/>
                      <w:color w:val="auto"/>
                      <w:vertAlign w:val="baseline"/>
                      <w:lang w:val="en-US" w:eastAsia="zh-CN"/>
                    </w:rPr>
                    <w:t>年平均</w:t>
                  </w:r>
                  <w:r>
                    <w:rPr>
                      <w:rFonts w:hint="default" w:ascii="Times New Roman" w:hAnsi="Times New Roman" w:cs="Times New Roman"/>
                      <w:b/>
                      <w:color w:val="auto"/>
                      <w:vertAlign w:val="baseline"/>
                    </w:rPr>
                    <w:t>浓度（ug/m</w:t>
                  </w:r>
                  <w:r>
                    <w:rPr>
                      <w:rFonts w:hint="default" w:ascii="Times New Roman" w:hAnsi="Times New Roman" w:cs="Times New Roman"/>
                      <w:b/>
                      <w:color w:val="auto"/>
                      <w:vertAlign w:val="superscript"/>
                    </w:rPr>
                    <w:t>3</w:t>
                  </w:r>
                  <w:r>
                    <w:rPr>
                      <w:rFonts w:hint="default" w:ascii="Times New Roman" w:hAnsi="Times New Roman" w:cs="Times New Roman"/>
                      <w:b/>
                      <w:color w:val="auto"/>
                      <w:vertAlign w:val="baseline"/>
                    </w:rPr>
                    <w:t>）</w:t>
                  </w:r>
                </w:p>
              </w:tc>
              <w:tc>
                <w:tcPr>
                  <w:tcW w:w="1232" w:type="dxa"/>
                  <w:shd w:val="clear" w:color="auto" w:fill="auto"/>
                  <w:noWrap w:val="0"/>
                  <w:vAlign w:val="center"/>
                </w:tcPr>
                <w:p w14:paraId="444E0C50">
                  <w:pPr>
                    <w:pStyle w:val="14"/>
                    <w:jc w:val="center"/>
                    <w:rPr>
                      <w:rFonts w:hint="default" w:ascii="Times New Roman" w:hAnsi="Times New Roman" w:cs="Times New Roman"/>
                      <w:b/>
                      <w:color w:val="auto"/>
                      <w:vertAlign w:val="baseline"/>
                    </w:rPr>
                  </w:pPr>
                  <w:r>
                    <w:rPr>
                      <w:rFonts w:hint="default" w:ascii="Times New Roman" w:hAnsi="Times New Roman" w:cs="Times New Roman"/>
                      <w:b/>
                      <w:color w:val="auto"/>
                      <w:vertAlign w:val="baseline"/>
                    </w:rPr>
                    <w:t>标准值（ug/m</w:t>
                  </w:r>
                  <w:r>
                    <w:rPr>
                      <w:rFonts w:hint="default" w:ascii="Times New Roman" w:hAnsi="Times New Roman" w:cs="Times New Roman"/>
                      <w:b/>
                      <w:color w:val="auto"/>
                      <w:vertAlign w:val="superscript"/>
                    </w:rPr>
                    <w:t>3</w:t>
                  </w:r>
                  <w:r>
                    <w:rPr>
                      <w:rFonts w:hint="default" w:ascii="Times New Roman" w:hAnsi="Times New Roman" w:cs="Times New Roman"/>
                      <w:b/>
                      <w:color w:val="auto"/>
                      <w:vertAlign w:val="baseline"/>
                    </w:rPr>
                    <w:t>）</w:t>
                  </w:r>
                </w:p>
              </w:tc>
              <w:tc>
                <w:tcPr>
                  <w:tcW w:w="1847" w:type="dxa"/>
                  <w:shd w:val="clear" w:color="auto" w:fill="auto"/>
                  <w:noWrap w:val="0"/>
                  <w:vAlign w:val="center"/>
                </w:tcPr>
                <w:p w14:paraId="653BDA34">
                  <w:pPr>
                    <w:pStyle w:val="14"/>
                    <w:jc w:val="center"/>
                    <w:rPr>
                      <w:rFonts w:hint="default" w:ascii="Times New Roman" w:hAnsi="Times New Roman" w:cs="Times New Roman"/>
                      <w:b/>
                      <w:color w:val="auto"/>
                      <w:vertAlign w:val="baseline"/>
                    </w:rPr>
                  </w:pPr>
                  <w:r>
                    <w:rPr>
                      <w:rFonts w:hint="default" w:ascii="Times New Roman" w:hAnsi="Times New Roman" w:cs="Times New Roman"/>
                      <w:b/>
                      <w:color w:val="auto"/>
                      <w:vertAlign w:val="baseline"/>
                    </w:rPr>
                    <w:t>浓度占标率（%）</w:t>
                  </w:r>
                </w:p>
              </w:tc>
              <w:tc>
                <w:tcPr>
                  <w:tcW w:w="1290" w:type="dxa"/>
                  <w:shd w:val="clear" w:color="auto" w:fill="auto"/>
                  <w:noWrap w:val="0"/>
                  <w:vAlign w:val="center"/>
                </w:tcPr>
                <w:p w14:paraId="30255DEC">
                  <w:pPr>
                    <w:pStyle w:val="14"/>
                    <w:jc w:val="center"/>
                    <w:rPr>
                      <w:rFonts w:hint="default" w:ascii="Times New Roman" w:hAnsi="Times New Roman" w:cs="Times New Roman"/>
                      <w:b/>
                      <w:color w:val="auto"/>
                      <w:vertAlign w:val="baseline"/>
                    </w:rPr>
                  </w:pPr>
                  <w:r>
                    <w:rPr>
                      <w:rFonts w:hint="default" w:ascii="Times New Roman" w:hAnsi="Times New Roman" w:cs="Times New Roman"/>
                      <w:b/>
                      <w:color w:val="auto"/>
                      <w:vertAlign w:val="baseline"/>
                    </w:rPr>
                    <w:t>达标情况</w:t>
                  </w:r>
                </w:p>
              </w:tc>
            </w:tr>
            <w:tr w14:paraId="5DFE3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5F1F8FC4">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SO</w:t>
                  </w:r>
                  <w:r>
                    <w:rPr>
                      <w:rFonts w:hint="default" w:ascii="Times New Roman" w:hAnsi="Times New Roman" w:cs="Times New Roman"/>
                      <w:color w:val="auto"/>
                      <w:vertAlign w:val="subscript"/>
                    </w:rPr>
                    <w:t>2</w:t>
                  </w:r>
                </w:p>
              </w:tc>
              <w:tc>
                <w:tcPr>
                  <w:tcW w:w="1992" w:type="dxa"/>
                  <w:shd w:val="clear" w:color="auto" w:fill="auto"/>
                  <w:noWrap w:val="0"/>
                  <w:vAlign w:val="center"/>
                </w:tcPr>
                <w:p w14:paraId="5905DCF5">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年平均浓度</w:t>
                  </w:r>
                </w:p>
              </w:tc>
              <w:tc>
                <w:tcPr>
                  <w:tcW w:w="1732" w:type="dxa"/>
                  <w:shd w:val="clear" w:color="auto" w:fill="auto"/>
                  <w:noWrap w:val="0"/>
                  <w:vAlign w:val="center"/>
                </w:tcPr>
                <w:p w14:paraId="18CA1784">
                  <w:pPr>
                    <w:pStyle w:val="14"/>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6.8</w:t>
                  </w:r>
                </w:p>
              </w:tc>
              <w:tc>
                <w:tcPr>
                  <w:tcW w:w="1232" w:type="dxa"/>
                  <w:shd w:val="clear" w:color="auto" w:fill="auto"/>
                  <w:noWrap w:val="0"/>
                  <w:vAlign w:val="center"/>
                </w:tcPr>
                <w:p w14:paraId="6FB50E03">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60</w:t>
                  </w:r>
                </w:p>
              </w:tc>
              <w:tc>
                <w:tcPr>
                  <w:tcW w:w="1847" w:type="dxa"/>
                  <w:shd w:val="clear" w:color="auto" w:fill="auto"/>
                  <w:noWrap w:val="0"/>
                  <w:vAlign w:val="center"/>
                </w:tcPr>
                <w:p w14:paraId="3932DE73">
                  <w:pPr>
                    <w:pStyle w:val="14"/>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cs="Times New Roman"/>
                      <w:b/>
                      <w:bCs/>
                      <w:color w:val="auto"/>
                      <w:vertAlign w:val="baseline"/>
                      <w:lang w:val="en-US" w:eastAsia="zh-CN"/>
                    </w:rPr>
                    <w:t>11.3</w:t>
                  </w:r>
                </w:p>
              </w:tc>
              <w:tc>
                <w:tcPr>
                  <w:tcW w:w="1290" w:type="dxa"/>
                  <w:shd w:val="clear" w:color="auto" w:fill="auto"/>
                  <w:noWrap w:val="0"/>
                  <w:vAlign w:val="center"/>
                </w:tcPr>
                <w:p w14:paraId="7067B6F4">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达标</w:t>
                  </w:r>
                </w:p>
              </w:tc>
            </w:tr>
            <w:tr w14:paraId="52F4C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2BBA66A5">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NO</w:t>
                  </w:r>
                  <w:r>
                    <w:rPr>
                      <w:rFonts w:hint="default" w:ascii="Times New Roman" w:hAnsi="Times New Roman" w:cs="Times New Roman"/>
                      <w:color w:val="auto"/>
                      <w:vertAlign w:val="subscript"/>
                    </w:rPr>
                    <w:t>2</w:t>
                  </w:r>
                </w:p>
              </w:tc>
              <w:tc>
                <w:tcPr>
                  <w:tcW w:w="1992" w:type="dxa"/>
                  <w:shd w:val="clear" w:color="auto" w:fill="auto"/>
                  <w:noWrap w:val="0"/>
                  <w:vAlign w:val="top"/>
                </w:tcPr>
                <w:p w14:paraId="1B7ECB68">
                  <w:pPr>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年平均浓度</w:t>
                  </w:r>
                </w:p>
              </w:tc>
              <w:tc>
                <w:tcPr>
                  <w:tcW w:w="1732" w:type="dxa"/>
                  <w:shd w:val="clear" w:color="auto" w:fill="auto"/>
                  <w:noWrap w:val="0"/>
                  <w:vAlign w:val="center"/>
                </w:tcPr>
                <w:p w14:paraId="56741906">
                  <w:pPr>
                    <w:pStyle w:val="14"/>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19.1</w:t>
                  </w:r>
                </w:p>
              </w:tc>
              <w:tc>
                <w:tcPr>
                  <w:tcW w:w="1232" w:type="dxa"/>
                  <w:shd w:val="clear" w:color="auto" w:fill="auto"/>
                  <w:noWrap w:val="0"/>
                  <w:vAlign w:val="center"/>
                </w:tcPr>
                <w:p w14:paraId="05618BA8">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40</w:t>
                  </w:r>
                </w:p>
              </w:tc>
              <w:tc>
                <w:tcPr>
                  <w:tcW w:w="1847" w:type="dxa"/>
                  <w:shd w:val="clear" w:color="auto" w:fill="auto"/>
                  <w:noWrap w:val="0"/>
                  <w:vAlign w:val="center"/>
                </w:tcPr>
                <w:p w14:paraId="3EB6A765">
                  <w:pPr>
                    <w:pStyle w:val="14"/>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cs="Times New Roman"/>
                      <w:b/>
                      <w:bCs/>
                      <w:color w:val="auto"/>
                      <w:vertAlign w:val="baseline"/>
                      <w:lang w:val="en-US" w:eastAsia="zh-CN"/>
                    </w:rPr>
                    <w:t>47.75</w:t>
                  </w:r>
                </w:p>
              </w:tc>
              <w:tc>
                <w:tcPr>
                  <w:tcW w:w="1290" w:type="dxa"/>
                  <w:shd w:val="clear" w:color="auto" w:fill="auto"/>
                  <w:noWrap w:val="0"/>
                  <w:vAlign w:val="center"/>
                </w:tcPr>
                <w:p w14:paraId="4144A6BF">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达标</w:t>
                  </w:r>
                </w:p>
              </w:tc>
            </w:tr>
            <w:tr w14:paraId="7C007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2F957D09">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PM</w:t>
                  </w:r>
                  <w:r>
                    <w:rPr>
                      <w:rFonts w:hint="default" w:ascii="Times New Roman" w:hAnsi="Times New Roman" w:cs="Times New Roman"/>
                      <w:color w:val="auto"/>
                      <w:vertAlign w:val="subscript"/>
                    </w:rPr>
                    <w:t>10</w:t>
                  </w:r>
                </w:p>
              </w:tc>
              <w:tc>
                <w:tcPr>
                  <w:tcW w:w="1992" w:type="dxa"/>
                  <w:shd w:val="clear" w:color="auto" w:fill="auto"/>
                  <w:noWrap w:val="0"/>
                  <w:vAlign w:val="top"/>
                </w:tcPr>
                <w:p w14:paraId="0186FC7E">
                  <w:pPr>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年平均浓度</w:t>
                  </w:r>
                </w:p>
              </w:tc>
              <w:tc>
                <w:tcPr>
                  <w:tcW w:w="1732" w:type="dxa"/>
                  <w:shd w:val="clear" w:color="auto" w:fill="auto"/>
                  <w:noWrap w:val="0"/>
                  <w:vAlign w:val="center"/>
                </w:tcPr>
                <w:p w14:paraId="38C3EC9C">
                  <w:pPr>
                    <w:pStyle w:val="14"/>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43.1</w:t>
                  </w:r>
                </w:p>
              </w:tc>
              <w:tc>
                <w:tcPr>
                  <w:tcW w:w="1232" w:type="dxa"/>
                  <w:shd w:val="clear" w:color="auto" w:fill="auto"/>
                  <w:noWrap w:val="0"/>
                  <w:vAlign w:val="center"/>
                </w:tcPr>
                <w:p w14:paraId="77635623">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70</w:t>
                  </w:r>
                </w:p>
              </w:tc>
              <w:tc>
                <w:tcPr>
                  <w:tcW w:w="1847" w:type="dxa"/>
                  <w:shd w:val="clear" w:color="auto" w:fill="auto"/>
                  <w:noWrap w:val="0"/>
                  <w:vAlign w:val="center"/>
                </w:tcPr>
                <w:p w14:paraId="62FC2A6B">
                  <w:pPr>
                    <w:pStyle w:val="14"/>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cs="Times New Roman"/>
                      <w:b/>
                      <w:bCs/>
                      <w:color w:val="auto"/>
                      <w:vertAlign w:val="baseline"/>
                      <w:lang w:val="en-US" w:eastAsia="zh-CN"/>
                    </w:rPr>
                    <w:t>61.57</w:t>
                  </w:r>
                </w:p>
              </w:tc>
              <w:tc>
                <w:tcPr>
                  <w:tcW w:w="1290" w:type="dxa"/>
                  <w:shd w:val="clear" w:color="auto" w:fill="auto"/>
                  <w:noWrap w:val="0"/>
                  <w:vAlign w:val="center"/>
                </w:tcPr>
                <w:p w14:paraId="5E7C9B1B">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达标</w:t>
                  </w:r>
                </w:p>
              </w:tc>
            </w:tr>
            <w:tr w14:paraId="4469B8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54E22D8B">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PM</w:t>
                  </w:r>
                  <w:r>
                    <w:rPr>
                      <w:rFonts w:hint="default" w:ascii="Times New Roman" w:hAnsi="Times New Roman" w:cs="Times New Roman"/>
                      <w:color w:val="auto"/>
                      <w:vertAlign w:val="subscript"/>
                    </w:rPr>
                    <w:t>2.5</w:t>
                  </w:r>
                </w:p>
              </w:tc>
              <w:tc>
                <w:tcPr>
                  <w:tcW w:w="1992" w:type="dxa"/>
                  <w:shd w:val="clear" w:color="auto" w:fill="auto"/>
                  <w:noWrap w:val="0"/>
                  <w:vAlign w:val="top"/>
                </w:tcPr>
                <w:p w14:paraId="1AC49FF4">
                  <w:pPr>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年平均浓度</w:t>
                  </w:r>
                </w:p>
              </w:tc>
              <w:tc>
                <w:tcPr>
                  <w:tcW w:w="1732" w:type="dxa"/>
                  <w:shd w:val="clear" w:color="auto" w:fill="auto"/>
                  <w:noWrap w:val="0"/>
                  <w:vAlign w:val="center"/>
                </w:tcPr>
                <w:p w14:paraId="4EF0F0AC">
                  <w:pPr>
                    <w:pStyle w:val="14"/>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28.3</w:t>
                  </w:r>
                </w:p>
              </w:tc>
              <w:tc>
                <w:tcPr>
                  <w:tcW w:w="1232" w:type="dxa"/>
                  <w:shd w:val="clear" w:color="auto" w:fill="auto"/>
                  <w:noWrap w:val="0"/>
                  <w:vAlign w:val="center"/>
                </w:tcPr>
                <w:p w14:paraId="10515729">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35</w:t>
                  </w:r>
                </w:p>
              </w:tc>
              <w:tc>
                <w:tcPr>
                  <w:tcW w:w="1847" w:type="dxa"/>
                  <w:shd w:val="clear" w:color="auto" w:fill="auto"/>
                  <w:noWrap w:val="0"/>
                  <w:vAlign w:val="center"/>
                </w:tcPr>
                <w:p w14:paraId="2D761EEF">
                  <w:pPr>
                    <w:pStyle w:val="14"/>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cs="Times New Roman"/>
                      <w:b/>
                      <w:bCs/>
                      <w:color w:val="auto"/>
                      <w:vertAlign w:val="baseline"/>
                      <w:lang w:val="en-US" w:eastAsia="zh-CN"/>
                    </w:rPr>
                    <w:t>80.86</w:t>
                  </w:r>
                </w:p>
              </w:tc>
              <w:tc>
                <w:tcPr>
                  <w:tcW w:w="1290" w:type="dxa"/>
                  <w:shd w:val="clear" w:color="auto" w:fill="auto"/>
                  <w:noWrap w:val="0"/>
                  <w:vAlign w:val="center"/>
                </w:tcPr>
                <w:p w14:paraId="31194A75">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达标</w:t>
                  </w:r>
                </w:p>
              </w:tc>
            </w:tr>
            <w:tr w14:paraId="1AFAF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23B79F2A">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CO</w:t>
                  </w:r>
                </w:p>
              </w:tc>
              <w:tc>
                <w:tcPr>
                  <w:tcW w:w="1992" w:type="dxa"/>
                  <w:shd w:val="clear" w:color="auto" w:fill="auto"/>
                  <w:noWrap w:val="0"/>
                  <w:vAlign w:val="top"/>
                </w:tcPr>
                <w:p w14:paraId="6D9BE479">
                  <w:pPr>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24小时平均浓度</w:t>
                  </w:r>
                </w:p>
              </w:tc>
              <w:tc>
                <w:tcPr>
                  <w:tcW w:w="1732" w:type="dxa"/>
                  <w:shd w:val="clear" w:color="auto" w:fill="auto"/>
                  <w:noWrap w:val="0"/>
                  <w:vAlign w:val="center"/>
                </w:tcPr>
                <w:p w14:paraId="5882081F">
                  <w:pPr>
                    <w:pStyle w:val="14"/>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1000</w:t>
                  </w:r>
                </w:p>
              </w:tc>
              <w:tc>
                <w:tcPr>
                  <w:tcW w:w="1232" w:type="dxa"/>
                  <w:shd w:val="clear" w:color="auto" w:fill="auto"/>
                  <w:noWrap w:val="0"/>
                  <w:vAlign w:val="center"/>
                </w:tcPr>
                <w:p w14:paraId="03C9C57B">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4000</w:t>
                  </w:r>
                </w:p>
              </w:tc>
              <w:tc>
                <w:tcPr>
                  <w:tcW w:w="1847" w:type="dxa"/>
                  <w:shd w:val="clear" w:color="auto" w:fill="auto"/>
                  <w:noWrap w:val="0"/>
                  <w:vAlign w:val="center"/>
                </w:tcPr>
                <w:p w14:paraId="0BB44295">
                  <w:pPr>
                    <w:pStyle w:val="14"/>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cs="Times New Roman"/>
                      <w:b/>
                      <w:bCs/>
                      <w:color w:val="auto"/>
                      <w:vertAlign w:val="baseline"/>
                      <w:lang w:val="en-US" w:eastAsia="zh-CN"/>
                    </w:rPr>
                    <w:t>25</w:t>
                  </w:r>
                </w:p>
              </w:tc>
              <w:tc>
                <w:tcPr>
                  <w:tcW w:w="1290" w:type="dxa"/>
                  <w:shd w:val="clear" w:color="auto" w:fill="auto"/>
                  <w:noWrap w:val="0"/>
                  <w:vAlign w:val="center"/>
                </w:tcPr>
                <w:p w14:paraId="6A126ED5">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达标</w:t>
                  </w:r>
                </w:p>
              </w:tc>
            </w:tr>
            <w:tr w14:paraId="63C727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auto"/>
                  <w:noWrap w:val="0"/>
                  <w:vAlign w:val="center"/>
                </w:tcPr>
                <w:p w14:paraId="7423E9BE">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O</w:t>
                  </w:r>
                  <w:r>
                    <w:rPr>
                      <w:rFonts w:hint="default" w:ascii="Times New Roman" w:hAnsi="Times New Roman" w:cs="Times New Roman"/>
                      <w:color w:val="auto"/>
                      <w:vertAlign w:val="subscript"/>
                    </w:rPr>
                    <w:t>3</w:t>
                  </w:r>
                </w:p>
              </w:tc>
              <w:tc>
                <w:tcPr>
                  <w:tcW w:w="1992" w:type="dxa"/>
                  <w:shd w:val="clear" w:color="auto" w:fill="auto"/>
                  <w:noWrap w:val="0"/>
                  <w:vAlign w:val="top"/>
                </w:tcPr>
                <w:p w14:paraId="6847F82F">
                  <w:pPr>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8小时平均浓度</w:t>
                  </w:r>
                </w:p>
              </w:tc>
              <w:tc>
                <w:tcPr>
                  <w:tcW w:w="1732" w:type="dxa"/>
                  <w:shd w:val="clear" w:color="auto" w:fill="auto"/>
                  <w:noWrap w:val="0"/>
                  <w:vAlign w:val="center"/>
                </w:tcPr>
                <w:p w14:paraId="074FA935">
                  <w:pPr>
                    <w:pStyle w:val="14"/>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123</w:t>
                  </w:r>
                </w:p>
              </w:tc>
              <w:tc>
                <w:tcPr>
                  <w:tcW w:w="1232" w:type="dxa"/>
                  <w:shd w:val="clear" w:color="auto" w:fill="auto"/>
                  <w:noWrap w:val="0"/>
                  <w:vAlign w:val="center"/>
                </w:tcPr>
                <w:p w14:paraId="7BDEADA2">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160</w:t>
                  </w:r>
                </w:p>
              </w:tc>
              <w:tc>
                <w:tcPr>
                  <w:tcW w:w="1847" w:type="dxa"/>
                  <w:shd w:val="clear" w:color="auto" w:fill="auto"/>
                  <w:noWrap w:val="0"/>
                  <w:vAlign w:val="center"/>
                </w:tcPr>
                <w:p w14:paraId="623DA24B">
                  <w:pPr>
                    <w:pStyle w:val="14"/>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cs="Times New Roman"/>
                      <w:b/>
                      <w:bCs/>
                      <w:color w:val="auto"/>
                      <w:vertAlign w:val="baseline"/>
                      <w:lang w:val="en-US" w:eastAsia="zh-CN"/>
                    </w:rPr>
                    <w:t>76.88</w:t>
                  </w:r>
                </w:p>
              </w:tc>
              <w:tc>
                <w:tcPr>
                  <w:tcW w:w="1290" w:type="dxa"/>
                  <w:shd w:val="clear" w:color="auto" w:fill="auto"/>
                  <w:noWrap w:val="0"/>
                  <w:vAlign w:val="center"/>
                </w:tcPr>
                <w:p w14:paraId="129AEEA9">
                  <w:pPr>
                    <w:pStyle w:val="14"/>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达标</w:t>
                  </w:r>
                </w:p>
              </w:tc>
            </w:tr>
          </w:tbl>
          <w:p w14:paraId="065BB88D">
            <w:pPr>
              <w:spacing w:line="360" w:lineRule="auto"/>
              <w:ind w:firstLine="480" w:firstLineChars="200"/>
              <w:jc w:val="both"/>
              <w:rPr>
                <w:rFonts w:hint="default" w:ascii="Times New Roman" w:hAnsi="Times New Roman" w:cs="Times New Roman"/>
                <w:b/>
                <w:bCs/>
                <w:color w:val="auto"/>
                <w:sz w:val="24"/>
                <w:szCs w:val="28"/>
              </w:rPr>
            </w:pPr>
            <w:r>
              <w:rPr>
                <w:rFonts w:hint="default" w:ascii="Times New Roman" w:hAnsi="Times New Roman" w:cs="Times New Roman"/>
                <w:color w:val="auto"/>
                <w:sz w:val="24"/>
                <w:szCs w:val="28"/>
              </w:rPr>
              <w:t>评价因子中，满足6项污染物全部达标要求，因此，</w:t>
            </w:r>
            <w:r>
              <w:rPr>
                <w:rFonts w:hint="default" w:ascii="Times New Roman" w:hAnsi="Times New Roman" w:cs="Times New Roman"/>
                <w:b/>
                <w:bCs/>
                <w:color w:val="auto"/>
                <w:sz w:val="24"/>
                <w:szCs w:val="28"/>
              </w:rPr>
              <w:t>本项目所在区域判定为达标区域。</w:t>
            </w:r>
          </w:p>
          <w:p w14:paraId="3269E48A">
            <w:pPr>
              <w:spacing w:line="360" w:lineRule="auto"/>
              <w:ind w:firstLine="482" w:firstLineChars="200"/>
              <w:jc w:val="both"/>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特征因子</w:t>
            </w:r>
            <w:r>
              <w:rPr>
                <w:rFonts w:hint="default" w:ascii="Times New Roman" w:hAnsi="Times New Roman" w:cs="Times New Roman"/>
                <w:b/>
                <w:bCs/>
                <w:color w:val="auto"/>
                <w:sz w:val="24"/>
                <w:szCs w:val="24"/>
                <w:lang w:val="en-US" w:eastAsia="zh-CN"/>
              </w:rPr>
              <w:t>现状补充监测</w:t>
            </w:r>
            <w:r>
              <w:rPr>
                <w:rFonts w:hint="default" w:ascii="Times New Roman" w:hAnsi="Times New Roman" w:eastAsia="宋体" w:cs="Times New Roman"/>
                <w:b/>
                <w:bCs/>
                <w:color w:val="auto"/>
                <w:sz w:val="24"/>
                <w:szCs w:val="24"/>
                <w:lang w:eastAsia="zh-CN"/>
              </w:rPr>
              <w:t>（TSP）</w:t>
            </w:r>
          </w:p>
          <w:p w14:paraId="08577282">
            <w:p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eastAsia="zh-CN"/>
              </w:rPr>
              <w:t>进一步</w:t>
            </w:r>
            <w:r>
              <w:rPr>
                <w:rFonts w:hint="default" w:ascii="Times New Roman" w:hAnsi="Times New Roman" w:eastAsia="宋体" w:cs="Times New Roman"/>
                <w:color w:val="auto"/>
                <w:sz w:val="24"/>
                <w:szCs w:val="24"/>
              </w:rPr>
              <w:t>了解该项目建设区域的环境质量，</w:t>
            </w:r>
            <w:r>
              <w:rPr>
                <w:rFonts w:hint="default" w:ascii="Times New Roman" w:hAnsi="Times New Roman" w:eastAsia="宋体" w:cs="Times New Roman"/>
                <w:color w:val="auto"/>
                <w:sz w:val="24"/>
                <w:szCs w:val="24"/>
                <w:lang w:eastAsia="zh-CN"/>
              </w:rPr>
              <w:t>本次评价委托</w:t>
            </w:r>
            <w:r>
              <w:rPr>
                <w:rFonts w:hint="default" w:ascii="Times New Roman" w:hAnsi="Times New Roman" w:eastAsia="宋体" w:cs="Times New Roman"/>
                <w:color w:val="auto"/>
                <w:sz w:val="24"/>
                <w:szCs w:val="24"/>
              </w:rPr>
              <w:t>四川甲乙环境检测有限公司于20</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日～</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对项目所在区域大气环境质量进行检测</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w:t>
            </w:r>
          </w:p>
          <w:p w14:paraId="32008B42">
            <w:pPr>
              <w:spacing w:line="360" w:lineRule="auto"/>
              <w:ind w:firstLine="361" w:firstLineChars="150"/>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（1）监测项目</w:t>
            </w:r>
            <w:r>
              <w:rPr>
                <w:rFonts w:hint="default" w:ascii="Times New Roman" w:hAnsi="Times New Roman" w:eastAsia="宋体" w:cs="Times New Roman"/>
                <w:b/>
                <w:color w:val="auto"/>
                <w:sz w:val="24"/>
                <w:lang w:eastAsia="zh-CN"/>
              </w:rPr>
              <w:t>、点位</w:t>
            </w:r>
          </w:p>
          <w:p w14:paraId="5B83420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vertAlign w:val="baseline"/>
                <w:lang w:val="en-US" w:eastAsia="zh-CN"/>
              </w:rPr>
              <w:t>TSP，</w:t>
            </w:r>
            <w:r>
              <w:rPr>
                <w:rFonts w:hint="default" w:ascii="Times New Roman" w:hAnsi="Times New Roman" w:eastAsia="宋体" w:cs="Times New Roman"/>
                <w:color w:val="auto"/>
                <w:sz w:val="24"/>
                <w:szCs w:val="24"/>
              </w:rPr>
              <w:t>共</w:t>
            </w:r>
            <w:r>
              <w:rPr>
                <w:rFonts w:hint="default" w:ascii="Times New Roman" w:hAnsi="Times New Roman" w:eastAsia="宋体" w:cs="Times New Roman"/>
                <w:color w:val="auto"/>
                <w:sz w:val="24"/>
                <w:szCs w:val="24"/>
                <w:lang w:val="en-US" w:eastAsia="zh-CN"/>
              </w:rPr>
              <w:t>设置2个监测点位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1#点位于项目所在地，2#点位于</w:t>
            </w:r>
            <w:r>
              <w:rPr>
                <w:rFonts w:hint="default" w:ascii="Times New Roman" w:hAnsi="Times New Roman" w:cs="Times New Roman"/>
                <w:color w:val="auto"/>
                <w:sz w:val="24"/>
                <w:szCs w:val="24"/>
                <w:lang w:val="en-US" w:eastAsia="zh-CN"/>
              </w:rPr>
              <w:t>项目下风向</w:t>
            </w:r>
            <w:r>
              <w:rPr>
                <w:rFonts w:hint="eastAsia" w:cs="Times New Roman"/>
                <w:color w:val="auto"/>
                <w:sz w:val="24"/>
                <w:szCs w:val="24"/>
                <w:lang w:val="en-US" w:eastAsia="zh-CN"/>
              </w:rPr>
              <w:t>55m</w:t>
            </w:r>
            <w:r>
              <w:rPr>
                <w:rFonts w:hint="default" w:ascii="Times New Roman" w:hAnsi="Times New Roman" w:eastAsia="宋体" w:cs="Times New Roman"/>
                <w:color w:val="auto"/>
                <w:sz w:val="24"/>
                <w:szCs w:val="24"/>
                <w:lang w:val="en-US" w:eastAsia="zh-CN"/>
              </w:rPr>
              <w:t>农户处。</w:t>
            </w:r>
          </w:p>
          <w:p w14:paraId="6BE78750">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）监测结果</w:t>
            </w:r>
          </w:p>
          <w:p w14:paraId="733087B0">
            <w:pPr>
              <w:snapToGrid w:val="0"/>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szCs w:val="24"/>
              </w:rPr>
              <w:t>本次环境质量现状监测数据见表3-</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w:t>
            </w:r>
          </w:p>
          <w:p w14:paraId="10DD354E">
            <w:pPr>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default" w:ascii="Times New Roman" w:hAnsi="Times New Roman" w:cs="Times New Roman"/>
                <w:b/>
                <w:bCs/>
                <w:color w:val="auto"/>
                <w:szCs w:val="21"/>
                <w:lang w:val="en-US" w:eastAsia="zh-CN"/>
              </w:rPr>
              <w:t>3</w:t>
            </w:r>
            <w:r>
              <w:rPr>
                <w:rFonts w:hint="default" w:ascii="Times New Roman" w:hAnsi="Times New Roman" w:eastAsia="宋体" w:cs="Times New Roman"/>
                <w:b/>
                <w:bCs/>
                <w:color w:val="auto"/>
                <w:szCs w:val="21"/>
              </w:rPr>
              <w:t xml:space="preserve">  大气环境质量现状</w:t>
            </w:r>
            <w:r>
              <w:rPr>
                <w:rFonts w:hint="default" w:ascii="Times New Roman" w:hAnsi="Times New Roman" w:eastAsia="宋体" w:cs="Times New Roman"/>
                <w:b/>
                <w:bCs/>
                <w:color w:val="auto"/>
                <w:szCs w:val="21"/>
                <w:lang w:eastAsia="zh-CN"/>
              </w:rPr>
              <w:t>补充</w:t>
            </w:r>
            <w:r>
              <w:rPr>
                <w:rFonts w:hint="default" w:ascii="Times New Roman" w:hAnsi="Times New Roman" w:eastAsia="宋体" w:cs="Times New Roman"/>
                <w:b/>
                <w:bCs/>
                <w:color w:val="auto"/>
                <w:szCs w:val="21"/>
              </w:rPr>
              <w:t>监测结果  单位：</w:t>
            </w:r>
            <w:r>
              <w:rPr>
                <w:rFonts w:hint="default" w:ascii="Times New Roman" w:hAnsi="Times New Roman" w:eastAsia="宋体" w:cs="Times New Roman"/>
                <w:b/>
                <w:bCs/>
                <w:color w:val="auto"/>
                <w:sz w:val="21"/>
                <w:szCs w:val="21"/>
              </w:rPr>
              <w:t>μ</w:t>
            </w:r>
            <w:r>
              <w:rPr>
                <w:rFonts w:hint="default" w:ascii="Times New Roman" w:hAnsi="Times New Roman" w:eastAsia="宋体" w:cs="Times New Roman"/>
                <w:b/>
                <w:bCs/>
                <w:color w:val="auto"/>
                <w:szCs w:val="21"/>
              </w:rPr>
              <w:t>g/m</w:t>
            </w:r>
            <w:r>
              <w:rPr>
                <w:rFonts w:hint="default" w:ascii="Times New Roman" w:hAnsi="Times New Roman" w:eastAsia="宋体" w:cs="Times New Roman"/>
                <w:b/>
                <w:bCs/>
                <w:color w:val="auto"/>
                <w:szCs w:val="21"/>
                <w:vertAlign w:val="superscript"/>
              </w:rPr>
              <w:t>3</w:t>
            </w:r>
          </w:p>
          <w:tbl>
            <w:tblPr>
              <w:tblStyle w:val="2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50"/>
              <w:gridCol w:w="1088"/>
              <w:gridCol w:w="1088"/>
              <w:gridCol w:w="1089"/>
              <w:gridCol w:w="1089"/>
              <w:gridCol w:w="1089"/>
              <w:gridCol w:w="1089"/>
              <w:gridCol w:w="1089"/>
            </w:tblGrid>
            <w:tr w14:paraId="4D283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08" w:hRule="atLeast"/>
                <w:jc w:val="center"/>
              </w:trPr>
              <w:tc>
                <w:tcPr>
                  <w:tcW w:w="1450" w:type="dxa"/>
                  <w:vMerge w:val="restart"/>
                  <w:noWrap w:val="0"/>
                  <w:vAlign w:val="center"/>
                </w:tcPr>
                <w:p w14:paraId="5EB3CBB1">
                  <w:pPr>
                    <w:keepLines/>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检测项目</w:t>
                  </w:r>
                </w:p>
              </w:tc>
              <w:tc>
                <w:tcPr>
                  <w:tcW w:w="7621" w:type="dxa"/>
                  <w:gridSpan w:val="7"/>
                  <w:noWrap w:val="0"/>
                  <w:vAlign w:val="center"/>
                </w:tcPr>
                <w:p w14:paraId="6A1831EE">
                  <w:pPr>
                    <w:keepLines/>
                    <w:widowControl/>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检测结果</w:t>
                  </w:r>
                </w:p>
              </w:tc>
            </w:tr>
            <w:tr w14:paraId="12571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25" w:hRule="atLeast"/>
                <w:jc w:val="center"/>
              </w:trPr>
              <w:tc>
                <w:tcPr>
                  <w:tcW w:w="1450" w:type="dxa"/>
                  <w:vMerge w:val="continue"/>
                  <w:noWrap w:val="0"/>
                  <w:vAlign w:val="center"/>
                </w:tcPr>
                <w:p w14:paraId="66B7BBFC">
                  <w:pPr>
                    <w:keepLines/>
                    <w:widowControl/>
                    <w:jc w:val="center"/>
                    <w:rPr>
                      <w:rFonts w:hint="default" w:ascii="Times New Roman" w:hAnsi="Times New Roman" w:eastAsia="宋体" w:cs="Times New Roman"/>
                      <w:color w:val="auto"/>
                      <w:sz w:val="21"/>
                      <w:szCs w:val="21"/>
                    </w:rPr>
                  </w:pPr>
                </w:p>
              </w:tc>
              <w:tc>
                <w:tcPr>
                  <w:tcW w:w="7621" w:type="dxa"/>
                  <w:gridSpan w:val="7"/>
                  <w:noWrap w:val="0"/>
                  <w:vAlign w:val="center"/>
                </w:tcPr>
                <w:p w14:paraId="00D2C52F">
                  <w:pPr>
                    <w:keepLines/>
                    <w:widowControl/>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 xml:space="preserve">1# </w:t>
                  </w:r>
                  <w:r>
                    <w:rPr>
                      <w:rFonts w:hint="default" w:ascii="Times New Roman" w:hAnsi="Times New Roman" w:eastAsia="宋体" w:cs="Times New Roman"/>
                      <w:color w:val="auto"/>
                      <w:sz w:val="21"/>
                      <w:szCs w:val="21"/>
                      <w:lang w:val="en-US" w:eastAsia="zh-CN"/>
                    </w:rPr>
                    <w:t>项目所在地</w:t>
                  </w:r>
                </w:p>
              </w:tc>
            </w:tr>
            <w:tr w14:paraId="4CC20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25" w:hRule="atLeast"/>
                <w:jc w:val="center"/>
              </w:trPr>
              <w:tc>
                <w:tcPr>
                  <w:tcW w:w="1450" w:type="dxa"/>
                  <w:vMerge w:val="continue"/>
                  <w:noWrap w:val="0"/>
                  <w:vAlign w:val="center"/>
                </w:tcPr>
                <w:p w14:paraId="3C75EDDF">
                  <w:pPr>
                    <w:keepLines/>
                    <w:widowControl/>
                    <w:jc w:val="center"/>
                    <w:rPr>
                      <w:rFonts w:hint="default" w:ascii="Times New Roman" w:hAnsi="Times New Roman" w:eastAsia="宋体" w:cs="Times New Roman"/>
                      <w:color w:val="auto"/>
                      <w:sz w:val="21"/>
                      <w:szCs w:val="21"/>
                    </w:rPr>
                  </w:pPr>
                </w:p>
              </w:tc>
              <w:tc>
                <w:tcPr>
                  <w:tcW w:w="1088" w:type="dxa"/>
                  <w:noWrap w:val="0"/>
                  <w:vAlign w:val="center"/>
                </w:tcPr>
                <w:p w14:paraId="007DE498">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2021.1.6</w:t>
                  </w:r>
                </w:p>
              </w:tc>
              <w:tc>
                <w:tcPr>
                  <w:tcW w:w="1088" w:type="dxa"/>
                  <w:noWrap w:val="0"/>
                  <w:vAlign w:val="center"/>
                </w:tcPr>
                <w:p w14:paraId="555D1418">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2021.1.7</w:t>
                  </w:r>
                </w:p>
              </w:tc>
              <w:tc>
                <w:tcPr>
                  <w:tcW w:w="1089" w:type="dxa"/>
                  <w:noWrap w:val="0"/>
                  <w:vAlign w:val="center"/>
                </w:tcPr>
                <w:p w14:paraId="70F50F6F">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2021.1.8</w:t>
                  </w:r>
                </w:p>
              </w:tc>
              <w:tc>
                <w:tcPr>
                  <w:tcW w:w="1089" w:type="dxa"/>
                  <w:noWrap w:val="0"/>
                  <w:vAlign w:val="center"/>
                </w:tcPr>
                <w:p w14:paraId="1CD9759C">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2021.1.9</w:t>
                  </w:r>
                </w:p>
              </w:tc>
              <w:tc>
                <w:tcPr>
                  <w:tcW w:w="1089" w:type="dxa"/>
                  <w:noWrap w:val="0"/>
                  <w:vAlign w:val="center"/>
                </w:tcPr>
                <w:p w14:paraId="4EDAE165">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2021.1.10</w:t>
                  </w:r>
                </w:p>
              </w:tc>
              <w:tc>
                <w:tcPr>
                  <w:tcW w:w="1089" w:type="dxa"/>
                  <w:noWrap w:val="0"/>
                  <w:vAlign w:val="center"/>
                </w:tcPr>
                <w:p w14:paraId="09AE53E6">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2021.1.11</w:t>
                  </w:r>
                </w:p>
              </w:tc>
              <w:tc>
                <w:tcPr>
                  <w:tcW w:w="1089" w:type="dxa"/>
                  <w:noWrap w:val="0"/>
                  <w:vAlign w:val="center"/>
                </w:tcPr>
                <w:p w14:paraId="55E21B7D">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color w:val="auto"/>
                      <w:spacing w:val="-11"/>
                      <w:kern w:val="2"/>
                      <w:sz w:val="21"/>
                      <w:szCs w:val="21"/>
                      <w:vertAlign w:val="baseline"/>
                      <w:lang w:val="en-US" w:eastAsia="zh-CN" w:bidi="ar-SA"/>
                    </w:rPr>
                    <w:t>2021.1.12</w:t>
                  </w:r>
                </w:p>
              </w:tc>
            </w:tr>
            <w:tr w14:paraId="5C388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52" w:hRule="atLeast"/>
                <w:jc w:val="center"/>
              </w:trPr>
              <w:tc>
                <w:tcPr>
                  <w:tcW w:w="1450" w:type="dxa"/>
                  <w:noWrap w:val="0"/>
                  <w:vAlign w:val="center"/>
                </w:tcPr>
                <w:p w14:paraId="6C642675">
                  <w:pPr>
                    <w:keepLines/>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总悬浮颗粒物</w:t>
                  </w:r>
                </w:p>
              </w:tc>
              <w:tc>
                <w:tcPr>
                  <w:tcW w:w="1088" w:type="dxa"/>
                  <w:noWrap w:val="0"/>
                  <w:vAlign w:val="center"/>
                </w:tcPr>
                <w:p w14:paraId="23AD07A4">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81</w:t>
                  </w:r>
                </w:p>
              </w:tc>
              <w:tc>
                <w:tcPr>
                  <w:tcW w:w="1088" w:type="dxa"/>
                  <w:noWrap w:val="0"/>
                  <w:vAlign w:val="center"/>
                </w:tcPr>
                <w:p w14:paraId="00BE3718">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78</w:t>
                  </w:r>
                </w:p>
              </w:tc>
              <w:tc>
                <w:tcPr>
                  <w:tcW w:w="1089" w:type="dxa"/>
                  <w:noWrap w:val="0"/>
                  <w:vAlign w:val="center"/>
                </w:tcPr>
                <w:p w14:paraId="629E1912">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73</w:t>
                  </w:r>
                </w:p>
              </w:tc>
              <w:tc>
                <w:tcPr>
                  <w:tcW w:w="1089" w:type="dxa"/>
                  <w:noWrap w:val="0"/>
                  <w:vAlign w:val="center"/>
                </w:tcPr>
                <w:p w14:paraId="2092F874">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83</w:t>
                  </w:r>
                </w:p>
              </w:tc>
              <w:tc>
                <w:tcPr>
                  <w:tcW w:w="1089" w:type="dxa"/>
                  <w:noWrap w:val="0"/>
                  <w:vAlign w:val="center"/>
                </w:tcPr>
                <w:p w14:paraId="2A720D4D">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81</w:t>
                  </w:r>
                </w:p>
              </w:tc>
              <w:tc>
                <w:tcPr>
                  <w:tcW w:w="1089" w:type="dxa"/>
                  <w:noWrap w:val="0"/>
                  <w:vAlign w:val="center"/>
                </w:tcPr>
                <w:p w14:paraId="1B8EA70E">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86</w:t>
                  </w:r>
                </w:p>
              </w:tc>
              <w:tc>
                <w:tcPr>
                  <w:tcW w:w="1089" w:type="dxa"/>
                  <w:noWrap w:val="0"/>
                  <w:vAlign w:val="center"/>
                </w:tcPr>
                <w:p w14:paraId="12C7E4C8">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77</w:t>
                  </w:r>
                </w:p>
              </w:tc>
            </w:tr>
            <w:tr w14:paraId="5414D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25" w:hRule="atLeast"/>
                <w:jc w:val="center"/>
              </w:trPr>
              <w:tc>
                <w:tcPr>
                  <w:tcW w:w="1450" w:type="dxa"/>
                  <w:noWrap w:val="0"/>
                  <w:vAlign w:val="center"/>
                </w:tcPr>
                <w:p w14:paraId="31363741">
                  <w:pPr>
                    <w:keepLines/>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检测项目</w:t>
                  </w:r>
                </w:p>
              </w:tc>
              <w:tc>
                <w:tcPr>
                  <w:tcW w:w="7621" w:type="dxa"/>
                  <w:gridSpan w:val="7"/>
                  <w:noWrap w:val="0"/>
                  <w:vAlign w:val="center"/>
                </w:tcPr>
                <w:p w14:paraId="31587FFE">
                  <w:pPr>
                    <w:keepLines/>
                    <w:widowControl/>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lang w:val="en-US" w:eastAsia="zh-CN"/>
                    </w:rPr>
                    <w:t>项目下风向</w:t>
                  </w:r>
                  <w:r>
                    <w:rPr>
                      <w:rFonts w:hint="eastAsia" w:cs="Times New Roman"/>
                      <w:color w:val="auto"/>
                      <w:sz w:val="21"/>
                      <w:szCs w:val="21"/>
                      <w:lang w:val="en-US" w:eastAsia="zh-CN"/>
                    </w:rPr>
                    <w:t>55m</w:t>
                  </w:r>
                  <w:r>
                    <w:rPr>
                      <w:rFonts w:hint="default" w:ascii="Times New Roman" w:hAnsi="Times New Roman" w:eastAsia="宋体" w:cs="Times New Roman"/>
                      <w:color w:val="auto"/>
                      <w:sz w:val="21"/>
                      <w:szCs w:val="21"/>
                      <w:lang w:val="en-US" w:eastAsia="zh-CN"/>
                    </w:rPr>
                    <w:t>农户处</w:t>
                  </w:r>
                </w:p>
              </w:tc>
            </w:tr>
            <w:tr w14:paraId="2D7A1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52" w:hRule="atLeast"/>
                <w:jc w:val="center"/>
              </w:trPr>
              <w:tc>
                <w:tcPr>
                  <w:tcW w:w="1450" w:type="dxa"/>
                  <w:noWrap w:val="0"/>
                  <w:vAlign w:val="center"/>
                </w:tcPr>
                <w:p w14:paraId="304A1D6E">
                  <w:pPr>
                    <w:keepLines/>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总悬浮颗粒物</w:t>
                  </w:r>
                </w:p>
              </w:tc>
              <w:tc>
                <w:tcPr>
                  <w:tcW w:w="1088" w:type="dxa"/>
                  <w:noWrap w:val="0"/>
                  <w:vAlign w:val="center"/>
                </w:tcPr>
                <w:p w14:paraId="0E3F6C88">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77</w:t>
                  </w:r>
                </w:p>
              </w:tc>
              <w:tc>
                <w:tcPr>
                  <w:tcW w:w="1088" w:type="dxa"/>
                  <w:noWrap w:val="0"/>
                  <w:vAlign w:val="center"/>
                </w:tcPr>
                <w:p w14:paraId="5FEA3F9F">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84</w:t>
                  </w:r>
                </w:p>
              </w:tc>
              <w:tc>
                <w:tcPr>
                  <w:tcW w:w="1089" w:type="dxa"/>
                  <w:noWrap w:val="0"/>
                  <w:vAlign w:val="center"/>
                </w:tcPr>
                <w:p w14:paraId="7378021A">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76</w:t>
                  </w:r>
                </w:p>
              </w:tc>
              <w:tc>
                <w:tcPr>
                  <w:tcW w:w="1089" w:type="dxa"/>
                  <w:noWrap w:val="0"/>
                  <w:vAlign w:val="center"/>
                </w:tcPr>
                <w:p w14:paraId="1AC4E19A">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81</w:t>
                  </w:r>
                </w:p>
              </w:tc>
              <w:tc>
                <w:tcPr>
                  <w:tcW w:w="1089" w:type="dxa"/>
                  <w:noWrap w:val="0"/>
                  <w:vAlign w:val="center"/>
                </w:tcPr>
                <w:p w14:paraId="5DC9DDF4">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82</w:t>
                  </w:r>
                </w:p>
              </w:tc>
              <w:tc>
                <w:tcPr>
                  <w:tcW w:w="1089" w:type="dxa"/>
                  <w:noWrap w:val="0"/>
                  <w:vAlign w:val="center"/>
                </w:tcPr>
                <w:p w14:paraId="1B606E52">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83</w:t>
                  </w:r>
                </w:p>
              </w:tc>
              <w:tc>
                <w:tcPr>
                  <w:tcW w:w="1089" w:type="dxa"/>
                  <w:noWrap w:val="0"/>
                  <w:vAlign w:val="center"/>
                </w:tcPr>
                <w:p w14:paraId="2702938E">
                  <w:pPr>
                    <w:jc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vertAlign w:val="baseline"/>
                      <w:lang w:val="en-US" w:eastAsia="zh-CN" w:bidi="ar-SA"/>
                    </w:rPr>
                    <w:t>76</w:t>
                  </w:r>
                </w:p>
              </w:tc>
            </w:tr>
          </w:tbl>
          <w:p w14:paraId="6E6F2A1B">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、大气环境质量现状评价</w:t>
            </w:r>
          </w:p>
          <w:p w14:paraId="778A0B11">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（1）评价因子</w:t>
            </w:r>
          </w:p>
          <w:p w14:paraId="2AEF1981">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lang w:eastAsia="zh-CN"/>
              </w:rPr>
              <w:t>。</w:t>
            </w:r>
          </w:p>
          <w:p w14:paraId="192CF5FF">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（2）评价标准</w:t>
            </w:r>
          </w:p>
          <w:p w14:paraId="4717612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TSP</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lang w:eastAsia="zh-CN"/>
              </w:rPr>
              <w:t>环境空气质量标准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GB3095-2012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二级标准</w:t>
            </w:r>
            <w:r>
              <w:rPr>
                <w:rFonts w:hint="default" w:ascii="Times New Roman" w:hAnsi="Times New Roman" w:eastAsia="宋体" w:cs="Times New Roman"/>
                <w:color w:val="auto"/>
                <w:sz w:val="24"/>
                <w:lang w:val="en-US" w:eastAsia="zh-CN"/>
              </w:rPr>
              <w:t>限值。</w:t>
            </w:r>
          </w:p>
          <w:p w14:paraId="09A3C342">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（3）评价方法</w:t>
            </w:r>
          </w:p>
          <w:p w14:paraId="25CB778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rPr>
              <w:t>单项质量指数法，公式为：</w:t>
            </w:r>
          </w:p>
          <w:p w14:paraId="6FAB2CFB">
            <w:pPr>
              <w:spacing w:line="360" w:lineRule="auto"/>
              <w:jc w:val="center"/>
              <w:rPr>
                <w:rFonts w:hint="default" w:ascii="Times New Roman" w:hAnsi="Times New Roman" w:eastAsia="宋体" w:cs="Times New Roman"/>
                <w:b/>
                <w:bCs/>
                <w:i/>
                <w:color w:val="auto"/>
                <w:sz w:val="24"/>
              </w:rPr>
            </w:pPr>
            <w:r>
              <w:rPr>
                <w:rFonts w:hint="default" w:ascii="Times New Roman" w:hAnsi="Times New Roman" w:eastAsia="宋体" w:cs="Times New Roman"/>
                <w:b/>
                <w:bCs/>
                <w:i/>
                <w:color w:val="auto"/>
                <w:sz w:val="24"/>
                <w:szCs w:val="24"/>
              </w:rPr>
              <w:t>P</w:t>
            </w:r>
            <w:r>
              <w:rPr>
                <w:rFonts w:hint="default" w:ascii="Times New Roman" w:hAnsi="Times New Roman" w:eastAsia="宋体" w:cs="Times New Roman"/>
                <w:b/>
                <w:bCs/>
                <w:i/>
                <w:color w:val="auto"/>
                <w:sz w:val="24"/>
                <w:szCs w:val="24"/>
                <w:vertAlign w:val="subscript"/>
              </w:rPr>
              <w:t>i</w:t>
            </w:r>
            <w:r>
              <w:rPr>
                <w:rFonts w:hint="default" w:ascii="Times New Roman" w:hAnsi="Times New Roman" w:eastAsia="宋体" w:cs="Times New Roman"/>
                <w:b/>
                <w:bCs/>
                <w:color w:val="auto"/>
                <w:sz w:val="24"/>
                <w:szCs w:val="24"/>
              </w:rPr>
              <w:t xml:space="preserve"> = </w:t>
            </w:r>
            <w:r>
              <w:rPr>
                <w:rFonts w:hint="default" w:ascii="Times New Roman" w:hAnsi="Times New Roman" w:eastAsia="宋体" w:cs="Times New Roman"/>
                <w:b/>
                <w:bCs/>
                <w:i/>
                <w:color w:val="auto"/>
                <w:sz w:val="24"/>
                <w:szCs w:val="24"/>
              </w:rPr>
              <w:t>C</w:t>
            </w:r>
            <w:r>
              <w:rPr>
                <w:rFonts w:hint="default" w:ascii="Times New Roman" w:hAnsi="Times New Roman" w:eastAsia="宋体" w:cs="Times New Roman"/>
                <w:b/>
                <w:bCs/>
                <w:i/>
                <w:color w:val="auto"/>
                <w:sz w:val="24"/>
                <w:szCs w:val="24"/>
                <w:vertAlign w:val="subscript"/>
              </w:rPr>
              <w:t>i</w:t>
            </w:r>
            <w:r>
              <w:rPr>
                <w:rFonts w:hint="default" w:ascii="Times New Roman" w:hAnsi="Times New Roman" w:eastAsia="宋体" w:cs="Times New Roman"/>
                <w:b/>
                <w:bCs/>
                <w:color w:val="auto"/>
                <w:sz w:val="24"/>
                <w:szCs w:val="24"/>
              </w:rPr>
              <w:t xml:space="preserve"> / </w:t>
            </w:r>
            <w:r>
              <w:rPr>
                <w:rFonts w:hint="default" w:ascii="Times New Roman" w:hAnsi="Times New Roman" w:eastAsia="宋体" w:cs="Times New Roman"/>
                <w:b/>
                <w:bCs/>
                <w:i/>
                <w:color w:val="auto"/>
                <w:sz w:val="24"/>
                <w:szCs w:val="24"/>
              </w:rPr>
              <w:t>S</w:t>
            </w:r>
            <w:r>
              <w:rPr>
                <w:rFonts w:hint="default" w:ascii="Times New Roman" w:hAnsi="Times New Roman" w:eastAsia="宋体" w:cs="Times New Roman"/>
                <w:b/>
                <w:bCs/>
                <w:i/>
                <w:color w:val="auto"/>
                <w:sz w:val="24"/>
                <w:szCs w:val="24"/>
                <w:vertAlign w:val="subscript"/>
              </w:rPr>
              <w:t>i</w:t>
            </w:r>
          </w:p>
          <w:p w14:paraId="42710578">
            <w:pPr>
              <w:pStyle w:val="12"/>
              <w:spacing w:after="0" w:line="360" w:lineRule="auto"/>
              <w:ind w:firstLine="6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式中，</w:t>
            </w:r>
            <w:r>
              <w:rPr>
                <w:rFonts w:hint="default" w:ascii="Times New Roman" w:hAnsi="Times New Roman" w:eastAsia="宋体" w:cs="Times New Roman"/>
                <w:i/>
                <w:color w:val="auto"/>
                <w:sz w:val="24"/>
              </w:rPr>
              <w:t>P</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i/>
                <w:color w:val="auto"/>
                <w:sz w:val="24"/>
              </w:rPr>
              <w:t xml:space="preserve"> </w:t>
            </w:r>
            <w:r>
              <w:rPr>
                <w:rFonts w:hint="default" w:ascii="Times New Roman" w:hAnsi="Times New Roman" w:eastAsia="宋体" w:cs="Times New Roman"/>
                <w:color w:val="auto"/>
                <w:sz w:val="24"/>
              </w:rPr>
              <w:t>——第</w:t>
            </w:r>
            <w:r>
              <w:rPr>
                <w:rFonts w:hint="default" w:ascii="Times New Roman" w:hAnsi="Times New Roman" w:eastAsia="宋体" w:cs="Times New Roman"/>
                <w:i/>
                <w:color w:val="auto"/>
                <w:sz w:val="24"/>
              </w:rPr>
              <w:t>i</w:t>
            </w:r>
            <w:r>
              <w:rPr>
                <w:rFonts w:hint="default" w:ascii="Times New Roman" w:hAnsi="Times New Roman" w:eastAsia="宋体" w:cs="Times New Roman"/>
                <w:color w:val="auto"/>
                <w:sz w:val="24"/>
              </w:rPr>
              <w:t>个污染物标准指数值；</w:t>
            </w:r>
          </w:p>
          <w:p w14:paraId="770A05AC">
            <w:pPr>
              <w:pStyle w:val="12"/>
              <w:spacing w:after="0" w:line="360" w:lineRule="auto"/>
              <w:ind w:firstLine="6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i/>
                <w:color w:val="auto"/>
                <w:sz w:val="24"/>
              </w:rPr>
              <w:t>C</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i/>
                <w:color w:val="auto"/>
                <w:sz w:val="24"/>
              </w:rPr>
              <w:t xml:space="preserve"> </w:t>
            </w:r>
            <w:r>
              <w:rPr>
                <w:rFonts w:hint="default" w:ascii="Times New Roman" w:hAnsi="Times New Roman" w:eastAsia="宋体" w:cs="Times New Roman"/>
                <w:color w:val="auto"/>
                <w:sz w:val="24"/>
              </w:rPr>
              <w:t>——第</w:t>
            </w:r>
            <w:r>
              <w:rPr>
                <w:rFonts w:hint="default" w:ascii="Times New Roman" w:hAnsi="Times New Roman" w:eastAsia="宋体" w:cs="Times New Roman"/>
                <w:i/>
                <w:color w:val="auto"/>
                <w:sz w:val="24"/>
              </w:rPr>
              <w:t>i</w:t>
            </w:r>
            <w:r>
              <w:rPr>
                <w:rFonts w:hint="default" w:ascii="Times New Roman" w:hAnsi="Times New Roman" w:eastAsia="宋体" w:cs="Times New Roman"/>
                <w:color w:val="auto"/>
                <w:sz w:val="24"/>
              </w:rPr>
              <w:t>个污染物实测浓度值，mg/m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1822B217">
            <w:pPr>
              <w:pStyle w:val="12"/>
              <w:spacing w:after="0" w:line="360" w:lineRule="auto"/>
              <w:ind w:firstLine="6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i/>
                <w:color w:val="auto"/>
                <w:sz w:val="24"/>
              </w:rPr>
              <w:t>S</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i/>
                <w:color w:val="auto"/>
                <w:sz w:val="24"/>
              </w:rPr>
              <w:t xml:space="preserve"> </w:t>
            </w:r>
            <w:r>
              <w:rPr>
                <w:rFonts w:hint="default" w:ascii="Times New Roman" w:hAnsi="Times New Roman" w:eastAsia="宋体" w:cs="Times New Roman"/>
                <w:color w:val="auto"/>
                <w:sz w:val="24"/>
              </w:rPr>
              <w:t>——第</w:t>
            </w:r>
            <w:r>
              <w:rPr>
                <w:rFonts w:hint="default" w:ascii="Times New Roman" w:hAnsi="Times New Roman" w:eastAsia="宋体" w:cs="Times New Roman"/>
                <w:i/>
                <w:color w:val="auto"/>
                <w:sz w:val="24"/>
              </w:rPr>
              <w:t>i</w:t>
            </w:r>
            <w:r>
              <w:rPr>
                <w:rFonts w:hint="default" w:ascii="Times New Roman" w:hAnsi="Times New Roman" w:eastAsia="宋体" w:cs="Times New Roman"/>
                <w:color w:val="auto"/>
                <w:sz w:val="24"/>
              </w:rPr>
              <w:t>个污染物评价标准限值，mg/m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5A47A63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w:t>
            </w:r>
            <w:r>
              <w:rPr>
                <w:rFonts w:hint="default" w:ascii="Times New Roman" w:hAnsi="Times New Roman" w:eastAsia="宋体" w:cs="Times New Roman"/>
                <w:i/>
                <w:color w:val="auto"/>
                <w:sz w:val="24"/>
              </w:rPr>
              <w:t>P</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color w:val="auto"/>
                <w:sz w:val="24"/>
              </w:rPr>
              <w:t>值大于1.0时，表明大气环境已受到该项评价因子所表征的污染物的污染。</w:t>
            </w:r>
            <w:r>
              <w:rPr>
                <w:rFonts w:hint="default" w:ascii="Times New Roman" w:hAnsi="Times New Roman" w:eastAsia="宋体" w:cs="Times New Roman"/>
                <w:i/>
                <w:color w:val="auto"/>
                <w:sz w:val="24"/>
              </w:rPr>
              <w:t>P</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color w:val="auto"/>
                <w:sz w:val="24"/>
              </w:rPr>
              <w:t>值越大，受污染程度越重；</w:t>
            </w:r>
            <w:r>
              <w:rPr>
                <w:rFonts w:hint="default" w:ascii="Times New Roman" w:hAnsi="Times New Roman" w:eastAsia="宋体" w:cs="Times New Roman"/>
                <w:i/>
                <w:color w:val="auto"/>
                <w:sz w:val="24"/>
              </w:rPr>
              <w:t>P</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color w:val="auto"/>
                <w:sz w:val="24"/>
              </w:rPr>
              <w:t>值越小，受污染程度越轻。</w:t>
            </w:r>
          </w:p>
          <w:p w14:paraId="4A921C6B">
            <w:pPr>
              <w:snapToGrid w:val="0"/>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（4）评价结果</w:t>
            </w:r>
          </w:p>
          <w:p w14:paraId="4514DFF5">
            <w:pPr>
              <w:snapToGrid w:val="0"/>
              <w:spacing w:line="360" w:lineRule="auto"/>
              <w:ind w:firstLine="360" w:firstLineChars="1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本项目所在区域大气环境质量现状评价结果见表3-</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rPr>
              <w:t>。</w:t>
            </w:r>
          </w:p>
          <w:p w14:paraId="30237FEA">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表3-</w:t>
            </w:r>
            <w:r>
              <w:rPr>
                <w:rFonts w:hint="default" w:ascii="Times New Roman" w:hAnsi="Times New Roman" w:cs="Times New Roman"/>
                <w:b/>
                <w:bCs/>
                <w:color w:val="auto"/>
                <w:szCs w:val="21"/>
                <w:lang w:val="en-US" w:eastAsia="zh-CN"/>
              </w:rPr>
              <w:t>4</w:t>
            </w:r>
            <w:r>
              <w:rPr>
                <w:rFonts w:hint="default" w:ascii="Times New Roman" w:hAnsi="Times New Roman" w:eastAsia="宋体" w:cs="Times New Roman"/>
                <w:b/>
                <w:bCs/>
                <w:color w:val="auto"/>
                <w:szCs w:val="21"/>
              </w:rPr>
              <w:t xml:space="preserve">  大气环境质量现状评价结果</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29"/>
              <w:gridCol w:w="1340"/>
              <w:gridCol w:w="1809"/>
              <w:gridCol w:w="1192"/>
              <w:gridCol w:w="1500"/>
              <w:gridCol w:w="1501"/>
            </w:tblGrid>
            <w:tr w14:paraId="2E8458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 w:hRule="atLeast"/>
                <w:tblHeader/>
                <w:jc w:val="center"/>
              </w:trPr>
              <w:tc>
                <w:tcPr>
                  <w:tcW w:w="1729" w:type="dxa"/>
                  <w:noWrap w:val="0"/>
                  <w:vAlign w:val="center"/>
                </w:tcPr>
                <w:p w14:paraId="7309CA2A">
                  <w:pPr>
                    <w:pStyle w:val="35"/>
                    <w:spacing w:line="276" w:lineRule="auto"/>
                    <w:rPr>
                      <w:rFonts w:hint="default" w:ascii="Times New Roman" w:hAnsi="Times New Roman" w:eastAsia="宋体" w:cs="Times New Roman"/>
                      <w:b w:val="0"/>
                      <w:color w:val="auto"/>
                      <w:szCs w:val="21"/>
                    </w:rPr>
                  </w:pPr>
                  <w:r>
                    <w:rPr>
                      <w:rFonts w:hint="default" w:ascii="Times New Roman" w:hAnsi="Times New Roman" w:eastAsia="宋体" w:cs="Times New Roman"/>
                      <w:b w:val="0"/>
                      <w:color w:val="auto"/>
                      <w:szCs w:val="21"/>
                    </w:rPr>
                    <w:t>评价标准</w:t>
                  </w:r>
                </w:p>
              </w:tc>
              <w:tc>
                <w:tcPr>
                  <w:tcW w:w="1340" w:type="dxa"/>
                  <w:noWrap w:val="0"/>
                  <w:vAlign w:val="center"/>
                </w:tcPr>
                <w:p w14:paraId="7F091C96">
                  <w:pPr>
                    <w:pStyle w:val="35"/>
                    <w:spacing w:line="276" w:lineRule="auto"/>
                    <w:rPr>
                      <w:rFonts w:hint="default" w:ascii="Times New Roman" w:hAnsi="Times New Roman" w:eastAsia="宋体" w:cs="Times New Roman"/>
                      <w:b w:val="0"/>
                      <w:color w:val="auto"/>
                      <w:szCs w:val="21"/>
                    </w:rPr>
                  </w:pPr>
                  <w:r>
                    <w:rPr>
                      <w:rFonts w:hint="default" w:ascii="Times New Roman" w:hAnsi="Times New Roman" w:eastAsia="宋体" w:cs="Times New Roman"/>
                      <w:b w:val="0"/>
                      <w:color w:val="auto"/>
                      <w:szCs w:val="21"/>
                    </w:rPr>
                    <w:t>评价因子</w:t>
                  </w:r>
                </w:p>
              </w:tc>
              <w:tc>
                <w:tcPr>
                  <w:tcW w:w="1809" w:type="dxa"/>
                  <w:noWrap w:val="0"/>
                  <w:vAlign w:val="center"/>
                </w:tcPr>
                <w:p w14:paraId="5052547C">
                  <w:pPr>
                    <w:pStyle w:val="35"/>
                    <w:spacing w:line="276" w:lineRule="auto"/>
                    <w:rPr>
                      <w:rFonts w:hint="default" w:ascii="Times New Roman" w:hAnsi="Times New Roman" w:eastAsia="宋体" w:cs="Times New Roman"/>
                      <w:b w:val="0"/>
                      <w:color w:val="auto"/>
                      <w:szCs w:val="21"/>
                    </w:rPr>
                  </w:pPr>
                  <w:r>
                    <w:rPr>
                      <w:rFonts w:hint="default" w:ascii="Times New Roman" w:hAnsi="Times New Roman" w:eastAsia="宋体" w:cs="Times New Roman"/>
                      <w:b w:val="0"/>
                      <w:color w:val="auto"/>
                      <w:szCs w:val="21"/>
                    </w:rPr>
                    <w:t>浓度（mg/m</w:t>
                  </w:r>
                  <w:r>
                    <w:rPr>
                      <w:rFonts w:hint="default" w:ascii="Times New Roman" w:hAnsi="Times New Roman" w:eastAsia="宋体" w:cs="Times New Roman"/>
                      <w:b w:val="0"/>
                      <w:color w:val="auto"/>
                      <w:szCs w:val="21"/>
                      <w:vertAlign w:val="superscript"/>
                    </w:rPr>
                    <w:t>3</w:t>
                  </w:r>
                  <w:r>
                    <w:rPr>
                      <w:rFonts w:hint="default" w:ascii="Times New Roman" w:hAnsi="Times New Roman" w:eastAsia="宋体" w:cs="Times New Roman"/>
                      <w:b w:val="0"/>
                      <w:color w:val="auto"/>
                      <w:szCs w:val="21"/>
                    </w:rPr>
                    <w:t>）</w:t>
                  </w:r>
                </w:p>
              </w:tc>
              <w:tc>
                <w:tcPr>
                  <w:tcW w:w="1192" w:type="dxa"/>
                  <w:noWrap w:val="0"/>
                  <w:vAlign w:val="center"/>
                </w:tcPr>
                <w:p w14:paraId="2BA52E44">
                  <w:pPr>
                    <w:pStyle w:val="35"/>
                    <w:spacing w:line="276" w:lineRule="auto"/>
                    <w:rPr>
                      <w:rFonts w:hint="default" w:ascii="Times New Roman" w:hAnsi="Times New Roman" w:eastAsia="宋体" w:cs="Times New Roman"/>
                      <w:b w:val="0"/>
                      <w:i/>
                      <w:color w:val="auto"/>
                      <w:szCs w:val="21"/>
                    </w:rPr>
                  </w:pPr>
                  <w:r>
                    <w:rPr>
                      <w:rFonts w:hint="default" w:ascii="Times New Roman" w:hAnsi="Times New Roman" w:eastAsia="宋体" w:cs="Times New Roman"/>
                      <w:b w:val="0"/>
                      <w:bCs/>
                      <w:i/>
                      <w:color w:val="auto"/>
                      <w:szCs w:val="21"/>
                    </w:rPr>
                    <w:t>P</w:t>
                  </w:r>
                  <w:r>
                    <w:rPr>
                      <w:rFonts w:hint="default" w:ascii="Times New Roman" w:hAnsi="Times New Roman" w:eastAsia="宋体" w:cs="Times New Roman"/>
                      <w:b w:val="0"/>
                      <w:bCs/>
                      <w:i/>
                      <w:color w:val="auto"/>
                      <w:szCs w:val="21"/>
                      <w:vertAlign w:val="subscript"/>
                    </w:rPr>
                    <w:t>max</w:t>
                  </w:r>
                </w:p>
              </w:tc>
              <w:tc>
                <w:tcPr>
                  <w:tcW w:w="1500" w:type="dxa"/>
                  <w:noWrap w:val="0"/>
                  <w:vAlign w:val="center"/>
                </w:tcPr>
                <w:p w14:paraId="7C9A0773">
                  <w:pPr>
                    <w:pStyle w:val="35"/>
                    <w:spacing w:line="276" w:lineRule="auto"/>
                    <w:rPr>
                      <w:rFonts w:hint="default" w:ascii="Times New Roman" w:hAnsi="Times New Roman" w:eastAsia="宋体" w:cs="Times New Roman"/>
                      <w:b w:val="0"/>
                      <w:color w:val="auto"/>
                      <w:szCs w:val="21"/>
                    </w:rPr>
                  </w:pPr>
                  <w:r>
                    <w:rPr>
                      <w:rFonts w:hint="default" w:ascii="Times New Roman" w:hAnsi="Times New Roman" w:eastAsia="宋体" w:cs="Times New Roman"/>
                      <w:b w:val="0"/>
                      <w:color w:val="auto"/>
                      <w:szCs w:val="21"/>
                    </w:rPr>
                    <w:t>超标率</w:t>
                  </w:r>
                </w:p>
              </w:tc>
              <w:tc>
                <w:tcPr>
                  <w:tcW w:w="1501" w:type="dxa"/>
                  <w:noWrap w:val="0"/>
                  <w:vAlign w:val="center"/>
                </w:tcPr>
                <w:p w14:paraId="02BBDAE1">
                  <w:pPr>
                    <w:pStyle w:val="35"/>
                    <w:spacing w:line="276" w:lineRule="auto"/>
                    <w:rPr>
                      <w:rFonts w:hint="default" w:ascii="Times New Roman" w:hAnsi="Times New Roman" w:eastAsia="宋体" w:cs="Times New Roman"/>
                      <w:b w:val="0"/>
                      <w:color w:val="auto"/>
                      <w:szCs w:val="21"/>
                    </w:rPr>
                  </w:pPr>
                  <w:r>
                    <w:rPr>
                      <w:rFonts w:hint="default" w:ascii="Times New Roman" w:hAnsi="Times New Roman" w:eastAsia="宋体" w:cs="Times New Roman"/>
                      <w:b w:val="0"/>
                      <w:color w:val="auto"/>
                      <w:szCs w:val="21"/>
                    </w:rPr>
                    <w:t>最大超标倍数</w:t>
                  </w:r>
                </w:p>
              </w:tc>
            </w:tr>
            <w:tr w14:paraId="12F98E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1729" w:type="dxa"/>
                  <w:vMerge w:val="restart"/>
                  <w:noWrap w:val="0"/>
                  <w:vAlign w:val="center"/>
                </w:tcPr>
                <w:p w14:paraId="1ED3C4DF">
                  <w:pPr>
                    <w:pStyle w:val="33"/>
                    <w:spacing w:line="276"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GB</w:t>
                  </w:r>
                  <w:r>
                    <w:rPr>
                      <w:rFonts w:hint="default" w:ascii="Times New Roman" w:hAnsi="Times New Roman" w:eastAsia="宋体" w:cs="Times New Roman"/>
                      <w:color w:val="auto"/>
                      <w:lang w:val="en-US" w:eastAsia="zh-CN"/>
                    </w:rPr>
                    <w:t>3095-2012</w:t>
                  </w:r>
                </w:p>
              </w:tc>
              <w:tc>
                <w:tcPr>
                  <w:tcW w:w="1340" w:type="dxa"/>
                  <w:vMerge w:val="restart"/>
                  <w:noWrap w:val="0"/>
                  <w:vAlign w:val="center"/>
                </w:tcPr>
                <w:p w14:paraId="21EDC24D">
                  <w:pPr>
                    <w:pStyle w:val="35"/>
                    <w:spacing w:line="276" w:lineRule="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TSP</w:t>
                  </w:r>
                </w:p>
              </w:tc>
              <w:tc>
                <w:tcPr>
                  <w:tcW w:w="1809" w:type="dxa"/>
                  <w:noWrap w:val="0"/>
                  <w:vAlign w:val="center"/>
                </w:tcPr>
                <w:p w14:paraId="34416112">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w:t>
                  </w:r>
                  <w:r>
                    <w:rPr>
                      <w:rFonts w:hint="eastAsia" w:cs="Times New Roman"/>
                      <w:color w:val="auto"/>
                      <w:szCs w:val="21"/>
                      <w:lang w:val="en-US" w:eastAsia="zh-CN"/>
                    </w:rPr>
                    <w:t>73</w:t>
                  </w:r>
                  <w:r>
                    <w:rPr>
                      <w:rFonts w:hint="default" w:ascii="Times New Roman" w:hAnsi="Times New Roman" w:eastAsia="宋体" w:cs="Times New Roman"/>
                      <w:color w:val="auto"/>
                      <w:szCs w:val="21"/>
                      <w:lang w:val="en-US" w:eastAsia="zh-CN"/>
                    </w:rPr>
                    <w:t>~0.0</w:t>
                  </w:r>
                  <w:r>
                    <w:rPr>
                      <w:rFonts w:hint="eastAsia" w:cs="Times New Roman"/>
                      <w:color w:val="auto"/>
                      <w:szCs w:val="21"/>
                      <w:lang w:val="en-US" w:eastAsia="zh-CN"/>
                    </w:rPr>
                    <w:t>86</w:t>
                  </w:r>
                </w:p>
              </w:tc>
              <w:tc>
                <w:tcPr>
                  <w:tcW w:w="1192" w:type="dxa"/>
                  <w:noWrap w:val="0"/>
                  <w:vAlign w:val="center"/>
                </w:tcPr>
                <w:p w14:paraId="354487D3">
                  <w:pPr>
                    <w:pStyle w:val="35"/>
                    <w:spacing w:line="276" w:lineRule="auto"/>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0.</w:t>
                  </w:r>
                  <w:r>
                    <w:rPr>
                      <w:rFonts w:hint="eastAsia" w:cs="Times New Roman"/>
                      <w:b w:val="0"/>
                      <w:color w:val="auto"/>
                      <w:szCs w:val="21"/>
                      <w:lang w:val="en-US" w:eastAsia="zh-CN"/>
                    </w:rPr>
                    <w:t>287</w:t>
                  </w:r>
                </w:p>
              </w:tc>
              <w:tc>
                <w:tcPr>
                  <w:tcW w:w="1500" w:type="dxa"/>
                  <w:noWrap w:val="0"/>
                  <w:vAlign w:val="center"/>
                </w:tcPr>
                <w:p w14:paraId="7A0D8C1E">
                  <w:pPr>
                    <w:pStyle w:val="35"/>
                    <w:spacing w:line="276" w:lineRule="auto"/>
                    <w:rPr>
                      <w:rFonts w:hint="default" w:ascii="Times New Roman" w:hAnsi="Times New Roman" w:eastAsia="宋体" w:cs="Times New Roman"/>
                      <w:b w:val="0"/>
                      <w:color w:val="auto"/>
                      <w:szCs w:val="21"/>
                      <w:lang w:val="en-US" w:eastAsia="zh-CN"/>
                    </w:rPr>
                  </w:pPr>
                  <w:r>
                    <w:rPr>
                      <w:rFonts w:hint="default" w:ascii="Times New Roman" w:hAnsi="Times New Roman" w:eastAsia="宋体" w:cs="Times New Roman"/>
                      <w:b w:val="0"/>
                      <w:color w:val="auto"/>
                      <w:szCs w:val="21"/>
                      <w:lang w:val="en-US" w:eastAsia="zh-CN"/>
                    </w:rPr>
                    <w:t>0</w:t>
                  </w:r>
                </w:p>
              </w:tc>
              <w:tc>
                <w:tcPr>
                  <w:tcW w:w="1501" w:type="dxa"/>
                  <w:noWrap w:val="0"/>
                  <w:vAlign w:val="center"/>
                </w:tcPr>
                <w:p w14:paraId="665D335A">
                  <w:pPr>
                    <w:pStyle w:val="35"/>
                    <w:spacing w:line="276" w:lineRule="auto"/>
                    <w:rPr>
                      <w:rFonts w:hint="default" w:ascii="Times New Roman" w:hAnsi="Times New Roman" w:eastAsia="宋体" w:cs="Times New Roman"/>
                      <w:b w:val="0"/>
                      <w:color w:val="auto"/>
                      <w:szCs w:val="21"/>
                      <w:lang w:val="en-US" w:eastAsia="zh-CN"/>
                    </w:rPr>
                  </w:pPr>
                  <w:r>
                    <w:rPr>
                      <w:rFonts w:hint="default" w:ascii="Times New Roman" w:hAnsi="Times New Roman" w:eastAsia="宋体" w:cs="Times New Roman"/>
                      <w:b w:val="0"/>
                      <w:color w:val="auto"/>
                      <w:szCs w:val="21"/>
                      <w:lang w:val="en-US" w:eastAsia="zh-CN"/>
                    </w:rPr>
                    <w:t>/</w:t>
                  </w:r>
                </w:p>
              </w:tc>
            </w:tr>
            <w:tr w14:paraId="46AD88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1729" w:type="dxa"/>
                  <w:vMerge w:val="continue"/>
                  <w:noWrap w:val="0"/>
                  <w:vAlign w:val="center"/>
                </w:tcPr>
                <w:p w14:paraId="064B5495">
                  <w:pPr>
                    <w:pStyle w:val="33"/>
                    <w:spacing w:line="276" w:lineRule="auto"/>
                    <w:jc w:val="center"/>
                    <w:rPr>
                      <w:rFonts w:hint="default" w:ascii="Times New Roman" w:hAnsi="Times New Roman" w:eastAsia="宋体" w:cs="Times New Roman"/>
                      <w:color w:val="auto"/>
                    </w:rPr>
                  </w:pPr>
                </w:p>
              </w:tc>
              <w:tc>
                <w:tcPr>
                  <w:tcW w:w="1340" w:type="dxa"/>
                  <w:vMerge w:val="continue"/>
                  <w:noWrap w:val="0"/>
                  <w:vAlign w:val="center"/>
                </w:tcPr>
                <w:p w14:paraId="0C426A7F">
                  <w:pPr>
                    <w:pStyle w:val="35"/>
                    <w:spacing w:line="276" w:lineRule="auto"/>
                    <w:rPr>
                      <w:rFonts w:hint="default" w:ascii="Times New Roman" w:hAnsi="Times New Roman" w:eastAsia="宋体" w:cs="Times New Roman"/>
                      <w:b w:val="0"/>
                      <w:bCs/>
                      <w:color w:val="auto"/>
                      <w:sz w:val="21"/>
                      <w:szCs w:val="21"/>
                      <w:vertAlign w:val="baseline"/>
                      <w:lang w:val="en-US" w:eastAsia="zh-CN"/>
                    </w:rPr>
                  </w:pPr>
                </w:p>
              </w:tc>
              <w:tc>
                <w:tcPr>
                  <w:tcW w:w="1809" w:type="dxa"/>
                  <w:noWrap w:val="0"/>
                  <w:vAlign w:val="center"/>
                </w:tcPr>
                <w:p w14:paraId="68497EFF">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2#：0.0</w:t>
                  </w:r>
                  <w:r>
                    <w:rPr>
                      <w:rFonts w:hint="eastAsia" w:cs="Times New Roman"/>
                      <w:color w:val="auto"/>
                      <w:szCs w:val="21"/>
                      <w:lang w:val="en-US" w:eastAsia="zh-CN"/>
                    </w:rPr>
                    <w:t>76</w:t>
                  </w:r>
                  <w:r>
                    <w:rPr>
                      <w:rFonts w:hint="default" w:ascii="Times New Roman" w:hAnsi="Times New Roman" w:eastAsia="宋体" w:cs="Times New Roman"/>
                      <w:color w:val="auto"/>
                      <w:szCs w:val="21"/>
                      <w:lang w:val="en-US" w:eastAsia="zh-CN"/>
                    </w:rPr>
                    <w:t>~0.0</w:t>
                  </w:r>
                  <w:r>
                    <w:rPr>
                      <w:rFonts w:hint="eastAsia" w:cs="Times New Roman"/>
                      <w:color w:val="auto"/>
                      <w:szCs w:val="21"/>
                      <w:lang w:val="en-US" w:eastAsia="zh-CN"/>
                    </w:rPr>
                    <w:t>84</w:t>
                  </w:r>
                </w:p>
              </w:tc>
              <w:tc>
                <w:tcPr>
                  <w:tcW w:w="1192" w:type="dxa"/>
                  <w:noWrap w:val="0"/>
                  <w:vAlign w:val="center"/>
                </w:tcPr>
                <w:p w14:paraId="5FA96279">
                  <w:pPr>
                    <w:pStyle w:val="35"/>
                    <w:spacing w:line="276" w:lineRule="auto"/>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0.2</w:t>
                  </w:r>
                  <w:r>
                    <w:rPr>
                      <w:rFonts w:hint="eastAsia" w:cs="Times New Roman"/>
                      <w:b w:val="0"/>
                      <w:color w:val="auto"/>
                      <w:szCs w:val="21"/>
                      <w:lang w:val="en-US" w:eastAsia="zh-CN"/>
                    </w:rPr>
                    <w:t>8</w:t>
                  </w:r>
                </w:p>
              </w:tc>
              <w:tc>
                <w:tcPr>
                  <w:tcW w:w="1500" w:type="dxa"/>
                  <w:noWrap w:val="0"/>
                  <w:vAlign w:val="center"/>
                </w:tcPr>
                <w:p w14:paraId="1CAE7099">
                  <w:pPr>
                    <w:pStyle w:val="35"/>
                    <w:spacing w:line="276" w:lineRule="auto"/>
                    <w:rPr>
                      <w:rFonts w:hint="default" w:ascii="Times New Roman" w:hAnsi="Times New Roman" w:eastAsia="宋体" w:cs="Times New Roman"/>
                      <w:b w:val="0"/>
                      <w:color w:val="auto"/>
                      <w:szCs w:val="21"/>
                      <w:lang w:val="en-US" w:eastAsia="zh-CN"/>
                    </w:rPr>
                  </w:pPr>
                  <w:r>
                    <w:rPr>
                      <w:rFonts w:hint="default" w:ascii="Times New Roman" w:hAnsi="Times New Roman" w:eastAsia="宋体" w:cs="Times New Roman"/>
                      <w:b w:val="0"/>
                      <w:color w:val="auto"/>
                      <w:szCs w:val="21"/>
                      <w:lang w:val="en-US" w:eastAsia="zh-CN"/>
                    </w:rPr>
                    <w:t>0</w:t>
                  </w:r>
                </w:p>
              </w:tc>
              <w:tc>
                <w:tcPr>
                  <w:tcW w:w="1501" w:type="dxa"/>
                  <w:noWrap w:val="0"/>
                  <w:vAlign w:val="center"/>
                </w:tcPr>
                <w:p w14:paraId="249FF83C">
                  <w:pPr>
                    <w:pStyle w:val="35"/>
                    <w:spacing w:line="276" w:lineRule="auto"/>
                    <w:rPr>
                      <w:rFonts w:hint="default" w:ascii="Times New Roman" w:hAnsi="Times New Roman" w:eastAsia="宋体" w:cs="Times New Roman"/>
                      <w:b w:val="0"/>
                      <w:color w:val="auto"/>
                      <w:szCs w:val="21"/>
                      <w:lang w:val="en-US" w:eastAsia="zh-CN"/>
                    </w:rPr>
                  </w:pPr>
                  <w:r>
                    <w:rPr>
                      <w:rFonts w:hint="default" w:ascii="Times New Roman" w:hAnsi="Times New Roman" w:eastAsia="宋体" w:cs="Times New Roman"/>
                      <w:b w:val="0"/>
                      <w:color w:val="auto"/>
                      <w:szCs w:val="21"/>
                      <w:lang w:val="en-US" w:eastAsia="zh-CN"/>
                    </w:rPr>
                    <w:t>/</w:t>
                  </w:r>
                </w:p>
              </w:tc>
            </w:tr>
          </w:tbl>
          <w:p w14:paraId="4C34DEFB">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由上表可知，项目所在区域环境空气中</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标准指数均小于1.0，超标率为0，可以达到</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环境空气质量标准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GB3095-2012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二级标准</w:t>
            </w:r>
            <w:r>
              <w:rPr>
                <w:rFonts w:hint="default" w:ascii="Times New Roman" w:hAnsi="Times New Roman" w:eastAsia="宋体" w:cs="Times New Roman"/>
                <w:color w:val="auto"/>
                <w:sz w:val="24"/>
                <w:lang w:val="en-US" w:eastAsia="zh-CN"/>
              </w:rPr>
              <w:t>限值</w:t>
            </w:r>
            <w:r>
              <w:rPr>
                <w:rFonts w:hint="default" w:ascii="Times New Roman" w:hAnsi="Times New Roman" w:eastAsia="宋体" w:cs="Times New Roman"/>
                <w:b w:val="0"/>
                <w:bCs w:val="0"/>
                <w:color w:val="auto"/>
                <w:sz w:val="24"/>
                <w:lang w:eastAsia="zh-CN"/>
              </w:rPr>
              <w:t>。</w:t>
            </w:r>
          </w:p>
          <w:p w14:paraId="09A9F4AF">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综上</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项目所在地环境空气质量良好。</w:t>
            </w:r>
          </w:p>
          <w:p w14:paraId="21CAEA85">
            <w:pPr>
              <w:numPr>
                <w:ilvl w:val="0"/>
                <w:numId w:val="0"/>
              </w:numPr>
              <w:spacing w:line="360" w:lineRule="auto"/>
              <w:rPr>
                <w:rFonts w:hint="default" w:ascii="Times New Roman" w:hAnsi="Times New Roman" w:eastAsia="宋体" w:cs="Times New Roman"/>
                <w:b/>
                <w:bCs/>
                <w:color w:val="auto"/>
                <w:sz w:val="28"/>
                <w:szCs w:val="28"/>
              </w:rPr>
            </w:pPr>
            <w:r>
              <w:rPr>
                <w:rFonts w:hint="default" w:ascii="Times New Roman" w:hAnsi="Times New Roman" w:cs="Times New Roman"/>
                <w:b/>
                <w:bCs/>
                <w:color w:val="auto"/>
                <w:sz w:val="28"/>
                <w:szCs w:val="28"/>
                <w:lang w:eastAsia="zh-CN"/>
              </w:rPr>
              <w:t>二、</w:t>
            </w:r>
            <w:r>
              <w:rPr>
                <w:rFonts w:hint="default" w:ascii="Times New Roman" w:hAnsi="Times New Roman" w:eastAsia="宋体" w:cs="Times New Roman"/>
                <w:b/>
                <w:bCs/>
                <w:color w:val="auto"/>
                <w:sz w:val="28"/>
                <w:szCs w:val="28"/>
              </w:rPr>
              <w:t>地表水环境质量现状评价</w:t>
            </w:r>
          </w:p>
          <w:p w14:paraId="213C7A53">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为掌握项目所在区域地表水环境质量现状情况，本项目</w:t>
            </w:r>
            <w:r>
              <w:rPr>
                <w:rFonts w:hint="eastAsia" w:ascii="Times New Roman" w:hAnsi="Times New Roman"/>
                <w:color w:val="auto"/>
                <w:kern w:val="0"/>
                <w:sz w:val="24"/>
                <w:szCs w:val="24"/>
                <w:lang w:val="en-US" w:eastAsia="zh-CN"/>
              </w:rPr>
              <w:t>引用《遂宁市城镇污水处理设施全市统一打包建设运营PPP项目》（蓬溪县污水处理厂（站）提标改造项目）中</w:t>
            </w:r>
            <w:r>
              <w:rPr>
                <w:rFonts w:hint="default" w:ascii="Times New Roman" w:hAnsi="Times New Roman"/>
                <w:color w:val="auto"/>
                <w:kern w:val="0"/>
                <w:sz w:val="24"/>
                <w:szCs w:val="24"/>
              </w:rPr>
              <w:t>委托四川中环环境检测技术有限公司于2019年</w:t>
            </w:r>
            <w:r>
              <w:rPr>
                <w:rFonts w:ascii="Times New Roman" w:hAnsi="Times New Roman"/>
                <w:color w:val="auto"/>
                <w:kern w:val="0"/>
                <w:sz w:val="24"/>
                <w:szCs w:val="24"/>
              </w:rPr>
              <w:t>10</w:t>
            </w:r>
            <w:r>
              <w:rPr>
                <w:rFonts w:hint="default" w:ascii="Times New Roman" w:hAnsi="Times New Roman"/>
                <w:color w:val="auto"/>
                <w:kern w:val="0"/>
                <w:sz w:val="24"/>
                <w:szCs w:val="24"/>
              </w:rPr>
              <w:t>月</w:t>
            </w:r>
            <w:r>
              <w:rPr>
                <w:rFonts w:ascii="Times New Roman" w:hAnsi="Times New Roman"/>
                <w:color w:val="auto"/>
                <w:kern w:val="0"/>
                <w:sz w:val="24"/>
                <w:szCs w:val="24"/>
              </w:rPr>
              <w:t>23</w:t>
            </w:r>
            <w:r>
              <w:rPr>
                <w:rFonts w:hint="default" w:ascii="Times New Roman" w:hAnsi="Times New Roman"/>
                <w:color w:val="auto"/>
                <w:kern w:val="0"/>
                <w:sz w:val="24"/>
                <w:szCs w:val="24"/>
              </w:rPr>
              <w:t>日-</w:t>
            </w:r>
            <w:r>
              <w:rPr>
                <w:rFonts w:ascii="Times New Roman" w:hAnsi="Times New Roman"/>
                <w:color w:val="auto"/>
                <w:kern w:val="0"/>
                <w:sz w:val="24"/>
                <w:szCs w:val="24"/>
              </w:rPr>
              <w:t>10</w:t>
            </w:r>
            <w:r>
              <w:rPr>
                <w:rFonts w:hint="default" w:ascii="Times New Roman" w:hAnsi="Times New Roman"/>
                <w:color w:val="auto"/>
                <w:kern w:val="0"/>
                <w:sz w:val="24"/>
                <w:szCs w:val="24"/>
              </w:rPr>
              <w:t>月</w:t>
            </w:r>
            <w:r>
              <w:rPr>
                <w:rFonts w:ascii="Times New Roman" w:hAnsi="Times New Roman"/>
                <w:color w:val="auto"/>
                <w:kern w:val="0"/>
                <w:sz w:val="24"/>
                <w:szCs w:val="24"/>
              </w:rPr>
              <w:t>25</w:t>
            </w:r>
            <w:r>
              <w:rPr>
                <w:rFonts w:hint="default" w:ascii="Times New Roman" w:hAnsi="Times New Roman"/>
                <w:color w:val="auto"/>
                <w:kern w:val="0"/>
                <w:sz w:val="24"/>
                <w:szCs w:val="24"/>
              </w:rPr>
              <w:t>日对</w:t>
            </w:r>
            <w:r>
              <w:rPr>
                <w:rFonts w:hint="eastAsia" w:ascii="Times New Roman" w:hAnsi="Times New Roman"/>
                <w:color w:val="auto"/>
                <w:kern w:val="0"/>
                <w:sz w:val="24"/>
                <w:szCs w:val="24"/>
                <w:lang w:val="en-US" w:eastAsia="zh-CN"/>
              </w:rPr>
              <w:t>该</w:t>
            </w:r>
            <w:r>
              <w:rPr>
                <w:rFonts w:hint="default" w:ascii="Times New Roman" w:hAnsi="Times New Roman"/>
                <w:color w:val="auto"/>
                <w:kern w:val="0"/>
                <w:sz w:val="24"/>
                <w:szCs w:val="24"/>
              </w:rPr>
              <w:t>项目所含</w:t>
            </w:r>
            <w:r>
              <w:rPr>
                <w:rFonts w:hint="eastAsia" w:ascii="Times New Roman" w:hAnsi="Times New Roman"/>
                <w:color w:val="auto"/>
                <w:kern w:val="0"/>
                <w:sz w:val="24"/>
                <w:szCs w:val="24"/>
                <w:lang w:val="en-US" w:eastAsia="zh-CN"/>
              </w:rPr>
              <w:t>蓬南镇</w:t>
            </w:r>
            <w:r>
              <w:rPr>
                <w:rFonts w:hint="default" w:ascii="Times New Roman" w:hAnsi="Times New Roman"/>
                <w:color w:val="auto"/>
                <w:kern w:val="0"/>
                <w:sz w:val="24"/>
                <w:szCs w:val="24"/>
              </w:rPr>
              <w:t>污水处理厂所处地表水均监测断面水环境质量现状</w:t>
            </w:r>
            <w:r>
              <w:rPr>
                <w:rFonts w:hint="eastAsia" w:ascii="Times New Roman" w:hAnsi="Times New Roman"/>
                <w:color w:val="auto"/>
                <w:kern w:val="0"/>
                <w:sz w:val="24"/>
                <w:szCs w:val="24"/>
                <w:lang w:val="en-US" w:eastAsia="zh-CN"/>
              </w:rPr>
              <w:t>监测数据，该次监测至今项目区域地表水环境无较大变化，本项目生活污水经蓬南镇污水处理厂深度处理后排入华兴河，且监测时间较近，故评价认为引用的监测数据有效</w:t>
            </w:r>
            <w:r>
              <w:rPr>
                <w:rFonts w:hint="default" w:ascii="Times New Roman" w:hAnsi="Times New Roman"/>
                <w:color w:val="auto"/>
                <w:kern w:val="0"/>
                <w:sz w:val="24"/>
                <w:szCs w:val="24"/>
              </w:rPr>
              <w:t>。</w:t>
            </w:r>
          </w:p>
          <w:p w14:paraId="5A22CB6F">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1）</w:t>
            </w:r>
            <w:r>
              <w:rPr>
                <w:rFonts w:hint="eastAsia" w:ascii="Times New Roman" w:hAnsi="Times New Roman"/>
                <w:color w:val="auto"/>
                <w:kern w:val="0"/>
                <w:sz w:val="24"/>
                <w:szCs w:val="24"/>
                <w:lang w:val="en-US" w:eastAsia="zh-CN"/>
              </w:rPr>
              <w:t>引用监测报告</w:t>
            </w:r>
            <w:r>
              <w:rPr>
                <w:rFonts w:hint="default" w:ascii="Times New Roman" w:hAnsi="Times New Roman"/>
                <w:color w:val="auto"/>
                <w:kern w:val="0"/>
                <w:sz w:val="24"/>
                <w:szCs w:val="24"/>
              </w:rPr>
              <w:t>监测因子：pH、悬浮物、化学需氧量、五日生化需氧量、氨氮、总磷、总氮、粪大肠菌群，共计</w:t>
            </w:r>
            <w:r>
              <w:rPr>
                <w:rFonts w:ascii="Times New Roman" w:hAnsi="Times New Roman"/>
                <w:color w:val="auto"/>
                <w:kern w:val="0"/>
                <w:sz w:val="24"/>
                <w:szCs w:val="24"/>
              </w:rPr>
              <w:t>8</w:t>
            </w:r>
            <w:r>
              <w:rPr>
                <w:rFonts w:hint="default" w:ascii="Times New Roman" w:hAnsi="Times New Roman"/>
                <w:color w:val="auto"/>
                <w:kern w:val="0"/>
                <w:sz w:val="24"/>
                <w:szCs w:val="24"/>
              </w:rPr>
              <w:t>项。</w:t>
            </w:r>
          </w:p>
          <w:p w14:paraId="786C7011">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2）</w:t>
            </w:r>
            <w:r>
              <w:rPr>
                <w:rFonts w:hint="eastAsia" w:ascii="Times New Roman" w:hAnsi="Times New Roman"/>
                <w:color w:val="auto"/>
                <w:kern w:val="0"/>
                <w:sz w:val="24"/>
                <w:szCs w:val="24"/>
                <w:lang w:val="en-US" w:eastAsia="zh-CN"/>
              </w:rPr>
              <w:t>引用监测报告</w:t>
            </w:r>
            <w:r>
              <w:rPr>
                <w:rFonts w:hint="default" w:ascii="Times New Roman" w:hAnsi="Times New Roman"/>
                <w:color w:val="auto"/>
                <w:kern w:val="0"/>
                <w:sz w:val="24"/>
                <w:szCs w:val="24"/>
              </w:rPr>
              <w:t>数据的监测时间和频次：监测时间为2019年</w:t>
            </w:r>
            <w:r>
              <w:rPr>
                <w:rFonts w:ascii="Times New Roman" w:hAnsi="Times New Roman"/>
                <w:color w:val="auto"/>
                <w:kern w:val="0"/>
                <w:sz w:val="24"/>
                <w:szCs w:val="24"/>
              </w:rPr>
              <w:t>10</w:t>
            </w:r>
            <w:r>
              <w:rPr>
                <w:rFonts w:hint="default" w:ascii="Times New Roman" w:hAnsi="Times New Roman"/>
                <w:color w:val="auto"/>
                <w:kern w:val="0"/>
                <w:sz w:val="24"/>
                <w:szCs w:val="24"/>
              </w:rPr>
              <w:t>月</w:t>
            </w:r>
            <w:r>
              <w:rPr>
                <w:rFonts w:ascii="Times New Roman" w:hAnsi="Times New Roman"/>
                <w:color w:val="auto"/>
                <w:kern w:val="0"/>
                <w:sz w:val="24"/>
                <w:szCs w:val="24"/>
              </w:rPr>
              <w:t>23</w:t>
            </w:r>
            <w:r>
              <w:rPr>
                <w:rFonts w:hint="default" w:ascii="Times New Roman" w:hAnsi="Times New Roman"/>
                <w:color w:val="auto"/>
                <w:kern w:val="0"/>
                <w:sz w:val="24"/>
                <w:szCs w:val="24"/>
              </w:rPr>
              <w:t>日-</w:t>
            </w:r>
            <w:r>
              <w:rPr>
                <w:rFonts w:ascii="Times New Roman" w:hAnsi="Times New Roman"/>
                <w:color w:val="auto"/>
                <w:kern w:val="0"/>
                <w:sz w:val="24"/>
                <w:szCs w:val="24"/>
              </w:rPr>
              <w:t>10</w:t>
            </w:r>
            <w:r>
              <w:rPr>
                <w:rFonts w:hint="default" w:ascii="Times New Roman" w:hAnsi="Times New Roman"/>
                <w:color w:val="auto"/>
                <w:kern w:val="0"/>
                <w:sz w:val="24"/>
                <w:szCs w:val="24"/>
              </w:rPr>
              <w:t>月</w:t>
            </w:r>
            <w:r>
              <w:rPr>
                <w:rFonts w:ascii="Times New Roman" w:hAnsi="Times New Roman"/>
                <w:color w:val="auto"/>
                <w:kern w:val="0"/>
                <w:sz w:val="24"/>
                <w:szCs w:val="24"/>
              </w:rPr>
              <w:t>25</w:t>
            </w:r>
            <w:r>
              <w:rPr>
                <w:rFonts w:hint="default" w:ascii="Times New Roman" w:hAnsi="Times New Roman"/>
                <w:color w:val="auto"/>
                <w:kern w:val="0"/>
                <w:sz w:val="24"/>
                <w:szCs w:val="24"/>
              </w:rPr>
              <w:t>日，连续</w:t>
            </w:r>
            <w:r>
              <w:rPr>
                <w:rFonts w:hint="default" w:ascii="Times New Roman" w:hAnsi="Times New Roman"/>
                <w:bCs/>
                <w:color w:val="auto"/>
                <w:sz w:val="24"/>
                <w:szCs w:val="24"/>
              </w:rPr>
              <w:t>监测3天，每天一次</w:t>
            </w:r>
            <w:r>
              <w:rPr>
                <w:rFonts w:hint="default" w:ascii="Times New Roman" w:hAnsi="Times New Roman"/>
                <w:color w:val="auto"/>
                <w:kern w:val="0"/>
                <w:sz w:val="24"/>
                <w:szCs w:val="24"/>
              </w:rPr>
              <w:t>。项目地表水环境质量断面位置情况见表3-</w:t>
            </w:r>
            <w:r>
              <w:rPr>
                <w:rFonts w:hint="eastAsia" w:ascii="Times New Roman" w:hAnsi="Times New Roman"/>
                <w:color w:val="auto"/>
                <w:kern w:val="0"/>
                <w:sz w:val="24"/>
                <w:szCs w:val="24"/>
                <w:lang w:val="en-US" w:eastAsia="zh-CN"/>
              </w:rPr>
              <w:t>5</w:t>
            </w:r>
            <w:r>
              <w:rPr>
                <w:rFonts w:hint="default" w:ascii="Times New Roman" w:hAnsi="Times New Roman"/>
                <w:color w:val="auto"/>
                <w:kern w:val="0"/>
                <w:sz w:val="24"/>
                <w:szCs w:val="24"/>
              </w:rPr>
              <w:t>。</w:t>
            </w:r>
          </w:p>
          <w:p w14:paraId="5673587C">
            <w:pPr>
              <w:adjustRightInd w:val="0"/>
              <w:snapToGrid w:val="0"/>
              <w:spacing w:line="360" w:lineRule="auto"/>
              <w:ind w:firstLine="422" w:firstLineChars="200"/>
              <w:jc w:val="center"/>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
                <w:bCs w:val="0"/>
                <w:color w:val="auto"/>
                <w:kern w:val="0"/>
                <w:sz w:val="21"/>
                <w:szCs w:val="21"/>
              </w:rPr>
              <w:t>表3-</w:t>
            </w:r>
            <w:r>
              <w:rPr>
                <w:rFonts w:hint="eastAsia" w:ascii="Times New Roman" w:hAnsi="Times New Roman" w:cs="Times New Roman" w:eastAsiaTheme="minorEastAsia"/>
                <w:b/>
                <w:bCs w:val="0"/>
                <w:color w:val="auto"/>
                <w:kern w:val="0"/>
                <w:sz w:val="21"/>
                <w:szCs w:val="21"/>
                <w:lang w:val="en-US" w:eastAsia="zh-CN"/>
              </w:rPr>
              <w:t>5</w:t>
            </w:r>
            <w:r>
              <w:rPr>
                <w:rFonts w:hint="default" w:ascii="Times New Roman" w:hAnsi="Times New Roman" w:cs="Times New Roman" w:eastAsiaTheme="minorEastAsia"/>
                <w:b/>
                <w:bCs w:val="0"/>
                <w:color w:val="auto"/>
                <w:kern w:val="0"/>
                <w:sz w:val="21"/>
                <w:szCs w:val="21"/>
              </w:rPr>
              <w:t xml:space="preserve"> 地表水水监测断面位置</w:t>
            </w:r>
          </w:p>
          <w:tbl>
            <w:tblPr>
              <w:tblStyle w:val="2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815"/>
              <w:gridCol w:w="1200"/>
              <w:gridCol w:w="795"/>
              <w:gridCol w:w="4373"/>
            </w:tblGrid>
            <w:tr w14:paraId="6D83CC84">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noWrap w:val="0"/>
                  <w:vAlign w:val="center"/>
                </w:tcPr>
                <w:p w14:paraId="3620CB66">
                  <w:pPr>
                    <w:pStyle w:val="83"/>
                    <w:adjustRightInd w:val="0"/>
                    <w:snapToGrid w:val="0"/>
                    <w:spacing w:line="240" w:lineRule="auto"/>
                    <w:ind w:firstLine="0" w:firstLineChars="0"/>
                    <w:jc w:val="center"/>
                    <w:rPr>
                      <w:rFonts w:hAnsi="Times New Roman"/>
                      <w:b/>
                      <w:color w:val="auto"/>
                      <w:kern w:val="0"/>
                      <w:sz w:val="21"/>
                      <w:szCs w:val="21"/>
                      <w:lang w:val="en-US" w:eastAsia="zh-CN"/>
                    </w:rPr>
                  </w:pPr>
                  <w:r>
                    <w:rPr>
                      <w:rFonts w:hAnsi="Times New Roman"/>
                      <w:b/>
                      <w:color w:val="auto"/>
                      <w:kern w:val="0"/>
                      <w:sz w:val="21"/>
                      <w:szCs w:val="21"/>
                      <w:lang w:val="en-US" w:eastAsia="zh-CN"/>
                    </w:rPr>
                    <w:t>乡镇名称</w:t>
                  </w:r>
                </w:p>
              </w:tc>
              <w:tc>
                <w:tcPr>
                  <w:tcW w:w="1815" w:type="dxa"/>
                  <w:noWrap w:val="0"/>
                  <w:vAlign w:val="center"/>
                </w:tcPr>
                <w:p w14:paraId="4BAE6819">
                  <w:pPr>
                    <w:pStyle w:val="83"/>
                    <w:adjustRightInd w:val="0"/>
                    <w:snapToGrid w:val="0"/>
                    <w:spacing w:line="240" w:lineRule="auto"/>
                    <w:ind w:firstLine="0" w:firstLineChars="0"/>
                    <w:jc w:val="center"/>
                    <w:rPr>
                      <w:rFonts w:hAnsi="Times New Roman"/>
                      <w:b/>
                      <w:color w:val="auto"/>
                      <w:kern w:val="0"/>
                      <w:sz w:val="21"/>
                      <w:szCs w:val="21"/>
                      <w:lang w:val="en-US" w:eastAsia="zh-CN"/>
                    </w:rPr>
                  </w:pPr>
                  <w:r>
                    <w:rPr>
                      <w:rFonts w:hAnsi="Times New Roman"/>
                      <w:b/>
                      <w:color w:val="auto"/>
                      <w:kern w:val="0"/>
                      <w:sz w:val="21"/>
                      <w:szCs w:val="21"/>
                      <w:lang w:val="en-US" w:eastAsia="zh-CN"/>
                    </w:rPr>
                    <w:t>污水厂（站）名称</w:t>
                  </w:r>
                </w:p>
              </w:tc>
              <w:tc>
                <w:tcPr>
                  <w:tcW w:w="1200" w:type="dxa"/>
                  <w:noWrap w:val="0"/>
                  <w:vAlign w:val="center"/>
                </w:tcPr>
                <w:p w14:paraId="24CDD35E">
                  <w:pPr>
                    <w:pStyle w:val="83"/>
                    <w:adjustRightInd w:val="0"/>
                    <w:snapToGrid w:val="0"/>
                    <w:spacing w:line="240" w:lineRule="auto"/>
                    <w:ind w:firstLine="0" w:firstLineChars="0"/>
                    <w:jc w:val="center"/>
                    <w:rPr>
                      <w:rFonts w:hAnsi="Times New Roman"/>
                      <w:b/>
                      <w:color w:val="auto"/>
                      <w:kern w:val="0"/>
                      <w:sz w:val="21"/>
                      <w:szCs w:val="21"/>
                      <w:lang w:val="en-US" w:eastAsia="zh-CN"/>
                    </w:rPr>
                  </w:pPr>
                  <w:r>
                    <w:rPr>
                      <w:rFonts w:hAnsi="Times New Roman"/>
                      <w:b/>
                      <w:color w:val="auto"/>
                      <w:kern w:val="0"/>
                      <w:sz w:val="21"/>
                      <w:szCs w:val="21"/>
                      <w:lang w:val="en-US" w:eastAsia="zh-CN"/>
                    </w:rPr>
                    <w:t>河流名称</w:t>
                  </w:r>
                </w:p>
              </w:tc>
              <w:tc>
                <w:tcPr>
                  <w:tcW w:w="795" w:type="dxa"/>
                  <w:noWrap w:val="0"/>
                  <w:vAlign w:val="center"/>
                </w:tcPr>
                <w:p w14:paraId="12433C0D">
                  <w:pPr>
                    <w:adjustRightInd w:val="0"/>
                    <w:snapToGrid w:val="0"/>
                    <w:jc w:val="center"/>
                    <w:rPr>
                      <w:rFonts w:hint="default" w:ascii="Times New Roman" w:hAnsi="Times New Roman"/>
                      <w:b/>
                      <w:color w:val="auto"/>
                      <w:sz w:val="21"/>
                      <w:szCs w:val="21"/>
                    </w:rPr>
                  </w:pPr>
                  <w:r>
                    <w:rPr>
                      <w:rFonts w:hint="default" w:ascii="Times New Roman" w:hAnsi="Times New Roman"/>
                      <w:b/>
                      <w:color w:val="auto"/>
                      <w:sz w:val="21"/>
                      <w:szCs w:val="21"/>
                    </w:rPr>
                    <w:t>编号</w:t>
                  </w:r>
                </w:p>
              </w:tc>
              <w:tc>
                <w:tcPr>
                  <w:tcW w:w="4373" w:type="dxa"/>
                  <w:tcBorders>
                    <w:right w:val="nil"/>
                  </w:tcBorders>
                  <w:noWrap w:val="0"/>
                  <w:vAlign w:val="center"/>
                </w:tcPr>
                <w:p w14:paraId="594659C9">
                  <w:pPr>
                    <w:adjustRightInd w:val="0"/>
                    <w:snapToGrid w:val="0"/>
                    <w:jc w:val="center"/>
                    <w:rPr>
                      <w:rFonts w:hint="default" w:ascii="Times New Roman" w:hAnsi="Times New Roman"/>
                      <w:b/>
                      <w:color w:val="auto"/>
                      <w:sz w:val="21"/>
                      <w:szCs w:val="21"/>
                    </w:rPr>
                  </w:pPr>
                  <w:r>
                    <w:rPr>
                      <w:rFonts w:hint="default" w:ascii="Times New Roman" w:hAnsi="Times New Roman"/>
                      <w:b/>
                      <w:color w:val="auto"/>
                      <w:sz w:val="21"/>
                      <w:szCs w:val="21"/>
                    </w:rPr>
                    <w:t>监测断面位置</w:t>
                  </w:r>
                </w:p>
              </w:tc>
            </w:tr>
            <w:tr w14:paraId="4275EA59">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070" w:type="dxa"/>
                  <w:vMerge w:val="restart"/>
                  <w:noWrap w:val="0"/>
                  <w:vAlign w:val="center"/>
                </w:tcPr>
                <w:p w14:paraId="5F2AF30A">
                  <w:pPr>
                    <w:pStyle w:val="83"/>
                    <w:spacing w:line="240" w:lineRule="auto"/>
                    <w:ind w:firstLine="0" w:firstLineChars="0"/>
                    <w:jc w:val="center"/>
                    <w:rPr>
                      <w:rFonts w:hAnsi="Times New Roman"/>
                      <w:color w:val="auto"/>
                      <w:kern w:val="0"/>
                      <w:sz w:val="21"/>
                      <w:szCs w:val="21"/>
                      <w:lang w:val="en-US" w:eastAsia="zh-CN"/>
                    </w:rPr>
                  </w:pPr>
                  <w:r>
                    <w:rPr>
                      <w:rFonts w:hAnsi="Times New Roman"/>
                      <w:bCs/>
                      <w:color w:val="auto"/>
                      <w:kern w:val="0"/>
                      <w:sz w:val="21"/>
                      <w:szCs w:val="21"/>
                      <w:lang w:val="en-US" w:eastAsia="zh-CN"/>
                    </w:rPr>
                    <w:t>蓬南镇</w:t>
                  </w:r>
                </w:p>
              </w:tc>
              <w:tc>
                <w:tcPr>
                  <w:tcW w:w="1815" w:type="dxa"/>
                  <w:vMerge w:val="restart"/>
                  <w:noWrap w:val="0"/>
                  <w:vAlign w:val="center"/>
                </w:tcPr>
                <w:p w14:paraId="01C94ACB">
                  <w:pPr>
                    <w:pStyle w:val="83"/>
                    <w:spacing w:line="240" w:lineRule="auto"/>
                    <w:ind w:firstLine="0" w:firstLineChars="0"/>
                    <w:jc w:val="center"/>
                    <w:rPr>
                      <w:rFonts w:hAnsi="Times New Roman"/>
                      <w:color w:val="auto"/>
                      <w:kern w:val="0"/>
                      <w:sz w:val="21"/>
                      <w:szCs w:val="21"/>
                      <w:lang w:val="en-US" w:eastAsia="zh-CN"/>
                    </w:rPr>
                  </w:pPr>
                  <w:r>
                    <w:rPr>
                      <w:rFonts w:hAnsi="Times New Roman"/>
                      <w:bCs/>
                      <w:color w:val="auto"/>
                      <w:kern w:val="0"/>
                      <w:sz w:val="21"/>
                      <w:szCs w:val="21"/>
                      <w:lang w:val="en-US" w:eastAsia="zh-CN"/>
                    </w:rPr>
                    <w:t>蓬南镇污水处理厂</w:t>
                  </w:r>
                </w:p>
              </w:tc>
              <w:tc>
                <w:tcPr>
                  <w:tcW w:w="1200" w:type="dxa"/>
                  <w:vMerge w:val="restart"/>
                  <w:noWrap w:val="0"/>
                  <w:vAlign w:val="center"/>
                </w:tcPr>
                <w:p w14:paraId="31F861CA">
                  <w:pPr>
                    <w:pStyle w:val="83"/>
                    <w:spacing w:line="240" w:lineRule="auto"/>
                    <w:ind w:firstLine="0" w:firstLineChars="0"/>
                    <w:jc w:val="center"/>
                    <w:rPr>
                      <w:rFonts w:hAnsi="Times New Roman"/>
                      <w:color w:val="auto"/>
                      <w:kern w:val="0"/>
                      <w:sz w:val="21"/>
                      <w:szCs w:val="21"/>
                      <w:lang w:val="en-US" w:eastAsia="zh-CN"/>
                    </w:rPr>
                  </w:pPr>
                  <w:r>
                    <w:rPr>
                      <w:rFonts w:hint="eastAsia" w:hAnsi="Times New Roman"/>
                      <w:color w:val="auto"/>
                      <w:sz w:val="21"/>
                      <w:szCs w:val="21"/>
                      <w:lang w:val="en-US" w:eastAsia="zh-CN"/>
                    </w:rPr>
                    <w:t>华兴河</w:t>
                  </w:r>
                </w:p>
              </w:tc>
              <w:tc>
                <w:tcPr>
                  <w:tcW w:w="795" w:type="dxa"/>
                  <w:noWrap w:val="0"/>
                  <w:vAlign w:val="center"/>
                </w:tcPr>
                <w:p w14:paraId="2ACB72CE">
                  <w:pPr>
                    <w:jc w:val="center"/>
                    <w:rPr>
                      <w:rFonts w:hint="default" w:ascii="Times New Roman" w:hAnsi="Times New Roman"/>
                      <w:color w:val="auto"/>
                      <w:sz w:val="21"/>
                      <w:szCs w:val="21"/>
                    </w:rPr>
                  </w:pPr>
                  <w:r>
                    <w:rPr>
                      <w:rFonts w:hint="default" w:ascii="Times New Roman" w:hAnsi="Times New Roman"/>
                      <w:color w:val="auto"/>
                      <w:sz w:val="21"/>
                      <w:szCs w:val="21"/>
                    </w:rPr>
                    <w:t>Ⅰ</w:t>
                  </w:r>
                </w:p>
              </w:tc>
              <w:tc>
                <w:tcPr>
                  <w:tcW w:w="4373" w:type="dxa"/>
                  <w:tcBorders>
                    <w:right w:val="nil"/>
                  </w:tcBorders>
                  <w:noWrap w:val="0"/>
                  <w:vAlign w:val="center"/>
                </w:tcPr>
                <w:p w14:paraId="03D7642F">
                  <w:pPr>
                    <w:jc w:val="center"/>
                    <w:rPr>
                      <w:rFonts w:hint="default" w:ascii="Times New Roman" w:hAnsi="Times New Roman"/>
                      <w:color w:val="auto"/>
                      <w:sz w:val="21"/>
                      <w:szCs w:val="21"/>
                    </w:rPr>
                  </w:pPr>
                  <w:r>
                    <w:rPr>
                      <w:rFonts w:ascii="Times New Roman" w:hAnsi="Times New Roman"/>
                      <w:bCs/>
                      <w:color w:val="auto"/>
                      <w:sz w:val="21"/>
                      <w:szCs w:val="21"/>
                    </w:rPr>
                    <w:t>蓬南镇</w:t>
                  </w:r>
                  <w:r>
                    <w:rPr>
                      <w:rFonts w:ascii="Times New Roman" w:hAnsi="Times New Roman"/>
                      <w:color w:val="auto"/>
                      <w:sz w:val="21"/>
                      <w:szCs w:val="21"/>
                    </w:rPr>
                    <w:t>污水处理厂尾水排口</w:t>
                  </w:r>
                  <w:r>
                    <w:rPr>
                      <w:rFonts w:hint="default" w:ascii="Times New Roman" w:hAnsi="Times New Roman"/>
                      <w:color w:val="auto"/>
                      <w:sz w:val="21"/>
                      <w:szCs w:val="21"/>
                    </w:rPr>
                    <w:t>上游500m</w:t>
                  </w:r>
                </w:p>
              </w:tc>
            </w:tr>
            <w:tr w14:paraId="1177B66F">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070" w:type="dxa"/>
                  <w:vMerge w:val="continue"/>
                  <w:noWrap w:val="0"/>
                  <w:vAlign w:val="center"/>
                </w:tcPr>
                <w:p w14:paraId="7483AEC4">
                  <w:pPr>
                    <w:pStyle w:val="83"/>
                    <w:spacing w:line="240" w:lineRule="auto"/>
                    <w:ind w:firstLine="0" w:firstLineChars="0"/>
                    <w:jc w:val="center"/>
                    <w:rPr>
                      <w:rFonts w:hAnsi="Times New Roman"/>
                      <w:color w:val="auto"/>
                      <w:kern w:val="0"/>
                      <w:sz w:val="21"/>
                      <w:szCs w:val="21"/>
                      <w:lang w:val="en-US" w:eastAsia="zh-CN"/>
                    </w:rPr>
                  </w:pPr>
                </w:p>
              </w:tc>
              <w:tc>
                <w:tcPr>
                  <w:tcW w:w="1815" w:type="dxa"/>
                  <w:vMerge w:val="continue"/>
                  <w:noWrap w:val="0"/>
                  <w:vAlign w:val="center"/>
                </w:tcPr>
                <w:p w14:paraId="1DEAE3B6">
                  <w:pPr>
                    <w:pStyle w:val="83"/>
                    <w:spacing w:line="240" w:lineRule="auto"/>
                    <w:ind w:firstLine="0" w:firstLineChars="0"/>
                    <w:jc w:val="center"/>
                    <w:rPr>
                      <w:rFonts w:hAnsi="Times New Roman"/>
                      <w:color w:val="auto"/>
                      <w:kern w:val="0"/>
                      <w:sz w:val="21"/>
                      <w:szCs w:val="21"/>
                      <w:lang w:val="en-US" w:eastAsia="zh-CN"/>
                    </w:rPr>
                  </w:pPr>
                </w:p>
              </w:tc>
              <w:tc>
                <w:tcPr>
                  <w:tcW w:w="1200" w:type="dxa"/>
                  <w:vMerge w:val="continue"/>
                  <w:noWrap w:val="0"/>
                  <w:vAlign w:val="center"/>
                </w:tcPr>
                <w:p w14:paraId="5A756398">
                  <w:pPr>
                    <w:pStyle w:val="83"/>
                    <w:spacing w:line="240" w:lineRule="auto"/>
                    <w:ind w:firstLine="0" w:firstLineChars="0"/>
                    <w:jc w:val="center"/>
                    <w:rPr>
                      <w:rFonts w:hAnsi="Times New Roman"/>
                      <w:color w:val="auto"/>
                      <w:kern w:val="0"/>
                      <w:sz w:val="21"/>
                      <w:szCs w:val="21"/>
                      <w:lang w:val="en-US" w:eastAsia="zh-CN"/>
                    </w:rPr>
                  </w:pPr>
                </w:p>
              </w:tc>
              <w:tc>
                <w:tcPr>
                  <w:tcW w:w="795" w:type="dxa"/>
                  <w:noWrap w:val="0"/>
                  <w:vAlign w:val="center"/>
                </w:tcPr>
                <w:p w14:paraId="7CCDFD73">
                  <w:pPr>
                    <w:jc w:val="center"/>
                    <w:rPr>
                      <w:rFonts w:hint="default" w:ascii="Times New Roman" w:hAnsi="Times New Roman"/>
                      <w:color w:val="auto"/>
                      <w:sz w:val="21"/>
                      <w:szCs w:val="21"/>
                    </w:rPr>
                  </w:pPr>
                  <w:r>
                    <w:rPr>
                      <w:rFonts w:hint="default" w:ascii="Times New Roman" w:hAnsi="Times New Roman"/>
                      <w:color w:val="auto"/>
                      <w:sz w:val="21"/>
                      <w:szCs w:val="21"/>
                    </w:rPr>
                    <w:t>Ⅱ</w:t>
                  </w:r>
                </w:p>
              </w:tc>
              <w:tc>
                <w:tcPr>
                  <w:tcW w:w="4373" w:type="dxa"/>
                  <w:tcBorders>
                    <w:right w:val="nil"/>
                  </w:tcBorders>
                  <w:noWrap w:val="0"/>
                  <w:vAlign w:val="center"/>
                </w:tcPr>
                <w:p w14:paraId="0ED9240C">
                  <w:pPr>
                    <w:jc w:val="center"/>
                    <w:rPr>
                      <w:rFonts w:hint="default" w:ascii="Times New Roman" w:hAnsi="Times New Roman"/>
                      <w:color w:val="auto"/>
                      <w:sz w:val="21"/>
                      <w:szCs w:val="21"/>
                    </w:rPr>
                  </w:pPr>
                  <w:r>
                    <w:rPr>
                      <w:rFonts w:ascii="Times New Roman" w:hAnsi="Times New Roman"/>
                      <w:bCs/>
                      <w:color w:val="auto"/>
                      <w:sz w:val="21"/>
                      <w:szCs w:val="21"/>
                    </w:rPr>
                    <w:t>蓬南镇</w:t>
                  </w:r>
                  <w:r>
                    <w:rPr>
                      <w:rFonts w:ascii="Times New Roman" w:hAnsi="Times New Roman"/>
                      <w:color w:val="auto"/>
                      <w:sz w:val="21"/>
                      <w:szCs w:val="21"/>
                    </w:rPr>
                    <w:t>污水处理厂尾水排口</w:t>
                  </w:r>
                  <w:r>
                    <w:rPr>
                      <w:rFonts w:hint="default" w:ascii="Times New Roman" w:hAnsi="Times New Roman"/>
                      <w:color w:val="auto"/>
                      <w:sz w:val="21"/>
                      <w:szCs w:val="21"/>
                    </w:rPr>
                    <w:t>下游1</w:t>
                  </w:r>
                  <w:r>
                    <w:rPr>
                      <w:rFonts w:ascii="Times New Roman" w:hAnsi="Times New Roman"/>
                      <w:color w:val="auto"/>
                      <w:sz w:val="21"/>
                      <w:szCs w:val="21"/>
                    </w:rPr>
                    <w:t>00</w:t>
                  </w:r>
                  <w:r>
                    <w:rPr>
                      <w:rFonts w:hint="default" w:ascii="Times New Roman" w:hAnsi="Times New Roman"/>
                      <w:color w:val="auto"/>
                      <w:sz w:val="21"/>
                      <w:szCs w:val="21"/>
                    </w:rPr>
                    <w:t>0m</w:t>
                  </w:r>
                </w:p>
              </w:tc>
            </w:tr>
          </w:tbl>
          <w:p w14:paraId="38F777B8">
            <w:pPr>
              <w:adjustRightInd w:val="0"/>
              <w:snapToGrid w:val="0"/>
              <w:spacing w:line="360" w:lineRule="auto"/>
              <w:ind w:firstLine="480" w:firstLineChars="200"/>
              <w:rPr>
                <w:rFonts w:hint="default" w:ascii="Times New Roman" w:hAnsi="Times New Roman"/>
                <w:color w:val="auto"/>
                <w:sz w:val="24"/>
                <w:szCs w:val="24"/>
              </w:rPr>
            </w:pPr>
            <w:r>
              <w:rPr>
                <w:rFonts w:ascii="Times New Roman" w:hAnsi="Times New Roman"/>
                <w:color w:val="auto"/>
                <w:sz w:val="24"/>
                <w:szCs w:val="24"/>
              </w:rPr>
              <w:t>3</w:t>
            </w:r>
            <w:r>
              <w:rPr>
                <w:rFonts w:hint="default" w:ascii="Times New Roman" w:hAnsi="Times New Roman"/>
                <w:color w:val="auto"/>
                <w:sz w:val="24"/>
                <w:szCs w:val="24"/>
              </w:rPr>
              <w:t>）评价标准</w:t>
            </w:r>
          </w:p>
          <w:p w14:paraId="53AE1ACA">
            <w:pPr>
              <w:adjustRightInd w:val="0"/>
              <w:snapToGrid w:val="0"/>
              <w:spacing w:line="360" w:lineRule="auto"/>
              <w:ind w:firstLine="480" w:firstLineChars="200"/>
              <w:rPr>
                <w:rFonts w:hint="default" w:ascii="Times New Roman" w:hAnsi="Times New Roman"/>
                <w:color w:val="auto"/>
                <w:sz w:val="24"/>
                <w:szCs w:val="24"/>
              </w:rPr>
            </w:pPr>
            <w:r>
              <w:rPr>
                <w:rFonts w:hint="default" w:ascii="Times New Roman" w:hAnsi="Times New Roman"/>
                <w:color w:val="auto"/>
                <w:sz w:val="24"/>
                <w:szCs w:val="24"/>
              </w:rPr>
              <w:t>评价标准按《地表水环境质量标准》（GB3838-2002）中规定的Ⅲ类水域标准执行。</w:t>
            </w:r>
          </w:p>
          <w:p w14:paraId="4A53BE74">
            <w:pPr>
              <w:adjustRightInd w:val="0"/>
              <w:snapToGrid w:val="0"/>
              <w:spacing w:line="360" w:lineRule="auto"/>
              <w:ind w:firstLine="480" w:firstLineChars="200"/>
              <w:rPr>
                <w:rFonts w:hint="default" w:ascii="Times New Roman" w:hAnsi="Times New Roman"/>
                <w:color w:val="auto"/>
                <w:sz w:val="24"/>
                <w:szCs w:val="24"/>
              </w:rPr>
            </w:pPr>
            <w:r>
              <w:rPr>
                <w:rFonts w:ascii="Times New Roman" w:hAnsi="Times New Roman"/>
                <w:color w:val="auto"/>
                <w:sz w:val="24"/>
                <w:szCs w:val="24"/>
              </w:rPr>
              <w:t>4</w:t>
            </w:r>
            <w:r>
              <w:rPr>
                <w:rFonts w:hint="default" w:ascii="Times New Roman" w:hAnsi="Times New Roman"/>
                <w:color w:val="auto"/>
                <w:sz w:val="24"/>
                <w:szCs w:val="24"/>
              </w:rPr>
              <w:t>）监测及分析方法：</w:t>
            </w:r>
          </w:p>
          <w:p w14:paraId="67E23A77">
            <w:pPr>
              <w:adjustRightInd w:val="0"/>
              <w:snapToGrid w:val="0"/>
              <w:spacing w:line="360" w:lineRule="auto"/>
              <w:ind w:firstLine="480" w:firstLineChars="200"/>
              <w:rPr>
                <w:rFonts w:hint="default" w:ascii="Times New Roman" w:hAnsi="Times New Roman"/>
                <w:color w:val="auto"/>
                <w:sz w:val="24"/>
                <w:szCs w:val="24"/>
              </w:rPr>
            </w:pPr>
            <w:r>
              <w:rPr>
                <w:rFonts w:hint="default" w:ascii="Times New Roman" w:hAnsi="Times New Roman"/>
                <w:color w:val="auto"/>
                <w:sz w:val="24"/>
                <w:szCs w:val="24"/>
              </w:rPr>
              <w:t>按国家环保总局颁发的《环境监测技术规范》和《环境监测分析方法》的有关规定和要求执行，监测方法及方法来源见下表。</w:t>
            </w:r>
          </w:p>
          <w:p w14:paraId="4E14B59C">
            <w:pPr>
              <w:adjustRightInd w:val="0"/>
              <w:snapToGrid w:val="0"/>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表3-</w:t>
            </w:r>
            <w:r>
              <w:rPr>
                <w:rFonts w:hint="eastAsia" w:ascii="Times New Roman" w:hAnsi="Times New Roman" w:cs="Times New Roman" w:eastAsiaTheme="minorEastAsia"/>
                <w:b/>
                <w:bCs/>
                <w:color w:val="auto"/>
                <w:sz w:val="21"/>
                <w:szCs w:val="21"/>
                <w:lang w:val="en-US" w:eastAsia="zh-CN"/>
              </w:rPr>
              <w:t>6</w:t>
            </w:r>
            <w:r>
              <w:rPr>
                <w:rFonts w:hint="default" w:ascii="Times New Roman" w:hAnsi="Times New Roman" w:cs="Times New Roman" w:eastAsiaTheme="minorEastAsia"/>
                <w:b/>
                <w:bCs/>
                <w:color w:val="auto"/>
                <w:sz w:val="21"/>
                <w:szCs w:val="21"/>
              </w:rPr>
              <w:t xml:space="preserve"> 地表水监测方法及方法来源</w:t>
            </w:r>
          </w:p>
          <w:tbl>
            <w:tblPr>
              <w:tblStyle w:val="2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505"/>
              <w:gridCol w:w="1485"/>
              <w:gridCol w:w="2914"/>
              <w:gridCol w:w="1144"/>
            </w:tblGrid>
            <w:tr w14:paraId="5CA8C291">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Borders>
                    <w:top w:val="single" w:color="000000" w:sz="4" w:space="0"/>
                  </w:tcBorders>
                  <w:noWrap w:val="0"/>
                  <w:vAlign w:val="center"/>
                </w:tcPr>
                <w:p w14:paraId="245924F0">
                  <w:pPr>
                    <w:pStyle w:val="18"/>
                    <w:snapToGri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项目</w:t>
                  </w:r>
                </w:p>
              </w:tc>
              <w:tc>
                <w:tcPr>
                  <w:tcW w:w="2505" w:type="dxa"/>
                  <w:tcBorders>
                    <w:top w:val="single" w:color="000000" w:sz="4" w:space="0"/>
                  </w:tcBorders>
                  <w:noWrap w:val="0"/>
                  <w:vAlign w:val="center"/>
                </w:tcPr>
                <w:p w14:paraId="622D7E12">
                  <w:pPr>
                    <w:pStyle w:val="18"/>
                    <w:snapToGri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检测方法</w:t>
                  </w:r>
                </w:p>
              </w:tc>
              <w:tc>
                <w:tcPr>
                  <w:tcW w:w="1485" w:type="dxa"/>
                  <w:tcBorders>
                    <w:top w:val="single" w:color="000000" w:sz="4" w:space="0"/>
                  </w:tcBorders>
                  <w:noWrap w:val="0"/>
                  <w:vAlign w:val="center"/>
                </w:tcPr>
                <w:p w14:paraId="3F345A37">
                  <w:pPr>
                    <w:pStyle w:val="18"/>
                    <w:snapToGri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方法来源</w:t>
                  </w:r>
                </w:p>
              </w:tc>
              <w:tc>
                <w:tcPr>
                  <w:tcW w:w="2914" w:type="dxa"/>
                  <w:tcBorders>
                    <w:top w:val="single" w:color="000000" w:sz="4" w:space="0"/>
                  </w:tcBorders>
                  <w:noWrap w:val="0"/>
                  <w:vAlign w:val="center"/>
                </w:tcPr>
                <w:p w14:paraId="21417952">
                  <w:pPr>
                    <w:pStyle w:val="18"/>
                    <w:snapToGri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使用仪器</w:t>
                  </w:r>
                </w:p>
              </w:tc>
              <w:tc>
                <w:tcPr>
                  <w:tcW w:w="1144" w:type="dxa"/>
                  <w:tcBorders>
                    <w:top w:val="single" w:color="000000" w:sz="4" w:space="0"/>
                    <w:right w:val="nil"/>
                  </w:tcBorders>
                  <w:noWrap w:val="0"/>
                  <w:vAlign w:val="center"/>
                </w:tcPr>
                <w:p w14:paraId="1E067856">
                  <w:pPr>
                    <w:pStyle w:val="18"/>
                    <w:snapToGri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检出限</w:t>
                  </w:r>
                </w:p>
              </w:tc>
            </w:tr>
            <w:tr w14:paraId="75D461F0">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74FCABF9">
                  <w:pPr>
                    <w:pStyle w:val="18"/>
                    <w:adjustRightIn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pH</w:t>
                  </w:r>
                </w:p>
              </w:tc>
              <w:tc>
                <w:tcPr>
                  <w:tcW w:w="2505" w:type="dxa"/>
                  <w:noWrap w:val="0"/>
                  <w:vAlign w:val="center"/>
                </w:tcPr>
                <w:p w14:paraId="78068F42">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水质pH的测定 玻璃电极法</w:t>
                  </w:r>
                </w:p>
              </w:tc>
              <w:tc>
                <w:tcPr>
                  <w:tcW w:w="1485" w:type="dxa"/>
                  <w:noWrap w:val="0"/>
                  <w:vAlign w:val="center"/>
                </w:tcPr>
                <w:p w14:paraId="4D6C9FDC">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GB6920-86</w:t>
                  </w:r>
                </w:p>
              </w:tc>
              <w:tc>
                <w:tcPr>
                  <w:tcW w:w="2914" w:type="dxa"/>
                  <w:noWrap w:val="0"/>
                  <w:vAlign w:val="center"/>
                </w:tcPr>
                <w:p w14:paraId="5B1477E9">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DZB718便携式多参数水质分析仪QJ-XJ-2/ QJ-XJ-68/QJ-XJ-69</w:t>
                  </w:r>
                </w:p>
              </w:tc>
              <w:tc>
                <w:tcPr>
                  <w:tcW w:w="1144" w:type="dxa"/>
                  <w:tcBorders>
                    <w:right w:val="nil"/>
                  </w:tcBorders>
                  <w:noWrap w:val="0"/>
                  <w:vAlign w:val="center"/>
                </w:tcPr>
                <w:p w14:paraId="68AD516A">
                  <w:pPr>
                    <w:jc w:val="center"/>
                    <w:rPr>
                      <w:rFonts w:hint="default" w:ascii="Times New Roman" w:hAnsi="Times New Roman"/>
                      <w:color w:val="auto"/>
                      <w:sz w:val="21"/>
                      <w:szCs w:val="21"/>
                    </w:rPr>
                  </w:pPr>
                  <w:r>
                    <w:rPr>
                      <w:rFonts w:hint="default" w:ascii="Times New Roman" w:hAnsi="Times New Roman"/>
                      <w:color w:val="auto"/>
                      <w:kern w:val="0"/>
                      <w:sz w:val="21"/>
                      <w:szCs w:val="21"/>
                    </w:rPr>
                    <w:t>/</w:t>
                  </w:r>
                </w:p>
              </w:tc>
            </w:tr>
            <w:tr w14:paraId="71B10AE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4B9B7FB6">
                  <w:pPr>
                    <w:pStyle w:val="18"/>
                    <w:adjustRightIn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悬浮物</w:t>
                  </w:r>
                </w:p>
              </w:tc>
              <w:tc>
                <w:tcPr>
                  <w:tcW w:w="2505" w:type="dxa"/>
                  <w:noWrap w:val="0"/>
                  <w:vAlign w:val="center"/>
                </w:tcPr>
                <w:p w14:paraId="11AF692D">
                  <w:pPr>
                    <w:adjustRightInd w:val="0"/>
                    <w:jc w:val="center"/>
                    <w:rPr>
                      <w:rFonts w:hint="default" w:ascii="Times New Roman" w:hAnsi="Times New Roman"/>
                      <w:color w:val="auto"/>
                      <w:sz w:val="21"/>
                      <w:szCs w:val="21"/>
                    </w:rPr>
                  </w:pPr>
                  <w:r>
                    <w:rPr>
                      <w:rFonts w:hint="default" w:ascii="Times New Roman" w:hAnsi="Times New Roman"/>
                      <w:color w:val="auto"/>
                      <w:sz w:val="21"/>
                      <w:szCs w:val="21"/>
                    </w:rPr>
                    <w:t>水质 悬浮物的测定 重量法</w:t>
                  </w:r>
                </w:p>
              </w:tc>
              <w:tc>
                <w:tcPr>
                  <w:tcW w:w="1485" w:type="dxa"/>
                  <w:noWrap w:val="0"/>
                  <w:vAlign w:val="center"/>
                </w:tcPr>
                <w:p w14:paraId="58F1558F">
                  <w:pPr>
                    <w:adjustRightInd w:val="0"/>
                    <w:jc w:val="center"/>
                    <w:rPr>
                      <w:rFonts w:hint="default" w:ascii="Times New Roman" w:hAnsi="Times New Roman"/>
                      <w:color w:val="auto"/>
                      <w:sz w:val="21"/>
                      <w:szCs w:val="21"/>
                    </w:rPr>
                  </w:pPr>
                  <w:r>
                    <w:rPr>
                      <w:rFonts w:hint="default" w:ascii="Times New Roman" w:hAnsi="Times New Roman"/>
                      <w:color w:val="auto"/>
                      <w:sz w:val="21"/>
                      <w:szCs w:val="21"/>
                    </w:rPr>
                    <w:t>GB11901-1989</w:t>
                  </w:r>
                </w:p>
              </w:tc>
              <w:tc>
                <w:tcPr>
                  <w:tcW w:w="2914" w:type="dxa"/>
                  <w:noWrap w:val="0"/>
                  <w:vAlign w:val="center"/>
                </w:tcPr>
                <w:p w14:paraId="203DD32B">
                  <w:pPr>
                    <w:spacing w:line="276" w:lineRule="auto"/>
                    <w:contextualSpacing/>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电子天平</w:t>
                  </w:r>
                </w:p>
                <w:p w14:paraId="0B6A3348">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QJ-SF-12</w:t>
                  </w:r>
                </w:p>
              </w:tc>
              <w:tc>
                <w:tcPr>
                  <w:tcW w:w="1144" w:type="dxa"/>
                  <w:tcBorders>
                    <w:right w:val="nil"/>
                  </w:tcBorders>
                  <w:noWrap w:val="0"/>
                  <w:vAlign w:val="center"/>
                </w:tcPr>
                <w:p w14:paraId="4308D975">
                  <w:pPr>
                    <w:jc w:val="center"/>
                    <w:rPr>
                      <w:rFonts w:hint="default" w:ascii="Times New Roman" w:hAnsi="Times New Roman"/>
                      <w:color w:val="auto"/>
                      <w:sz w:val="21"/>
                      <w:szCs w:val="21"/>
                    </w:rPr>
                  </w:pPr>
                  <w:r>
                    <w:rPr>
                      <w:rFonts w:hint="default" w:ascii="Times New Roman" w:hAnsi="Times New Roman"/>
                      <w:color w:val="auto"/>
                      <w:kern w:val="0"/>
                      <w:sz w:val="21"/>
                      <w:szCs w:val="21"/>
                    </w:rPr>
                    <w:t>4</w:t>
                  </w:r>
                  <w:r>
                    <w:rPr>
                      <w:rFonts w:hint="default" w:ascii="Times New Roman" w:hAnsi="Times New Roman"/>
                      <w:color w:val="auto"/>
                      <w:sz w:val="21"/>
                      <w:szCs w:val="21"/>
                    </w:rPr>
                    <w:t>mg/L</w:t>
                  </w:r>
                </w:p>
              </w:tc>
            </w:tr>
            <w:tr w14:paraId="7F3BDEB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49505ECA">
                  <w:pPr>
                    <w:pStyle w:val="18"/>
                    <w:adjustRightInd w:val="0"/>
                    <w:spacing w:before="0" w:beforeAutospacing="0" w:after="0" w:afterAutospacing="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化学需氧量</w:t>
                  </w:r>
                </w:p>
              </w:tc>
              <w:tc>
                <w:tcPr>
                  <w:tcW w:w="2505" w:type="dxa"/>
                  <w:noWrap w:val="0"/>
                  <w:vAlign w:val="center"/>
                </w:tcPr>
                <w:p w14:paraId="193D8A07">
                  <w:pPr>
                    <w:spacing w:line="276" w:lineRule="auto"/>
                    <w:contextualSpacing/>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 xml:space="preserve">水质 化学需氧量的测定 </w:t>
                  </w:r>
                </w:p>
                <w:p w14:paraId="2AF44B9A">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重铬酸盐法</w:t>
                  </w:r>
                </w:p>
              </w:tc>
              <w:tc>
                <w:tcPr>
                  <w:tcW w:w="1485" w:type="dxa"/>
                  <w:noWrap w:val="0"/>
                  <w:vAlign w:val="center"/>
                </w:tcPr>
                <w:p w14:paraId="13EF5657">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HJ 828-2017</w:t>
                  </w:r>
                </w:p>
              </w:tc>
              <w:tc>
                <w:tcPr>
                  <w:tcW w:w="2914" w:type="dxa"/>
                  <w:noWrap w:val="0"/>
                  <w:vAlign w:val="center"/>
                </w:tcPr>
                <w:p w14:paraId="5CFCC009">
                  <w:pPr>
                    <w:spacing w:line="276" w:lineRule="auto"/>
                    <w:contextualSpacing/>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50ml滴定管</w:t>
                  </w:r>
                </w:p>
                <w:p w14:paraId="21E8DA19">
                  <w:pPr>
                    <w:adjustRightInd w:val="0"/>
                    <w:jc w:val="center"/>
                    <w:rPr>
                      <w:rFonts w:hint="default" w:ascii="Times New Roman" w:hAnsi="Times New Roman"/>
                      <w:color w:val="auto"/>
                      <w:sz w:val="21"/>
                      <w:szCs w:val="21"/>
                    </w:rPr>
                  </w:pPr>
                  <w:r>
                    <w:rPr>
                      <w:rFonts w:hint="default" w:ascii="Times New Roman" w:hAnsi="Times New Roman"/>
                      <w:color w:val="auto"/>
                      <w:kern w:val="0"/>
                      <w:sz w:val="21"/>
                      <w:szCs w:val="21"/>
                    </w:rPr>
                    <w:t>COD恒温加热回流器</w:t>
                  </w:r>
                </w:p>
              </w:tc>
              <w:tc>
                <w:tcPr>
                  <w:tcW w:w="1144" w:type="dxa"/>
                  <w:tcBorders>
                    <w:right w:val="nil"/>
                  </w:tcBorders>
                  <w:noWrap w:val="0"/>
                  <w:vAlign w:val="center"/>
                </w:tcPr>
                <w:p w14:paraId="7BAD37A7">
                  <w:pPr>
                    <w:jc w:val="center"/>
                    <w:rPr>
                      <w:rFonts w:hint="default" w:ascii="Times New Roman" w:hAnsi="Times New Roman"/>
                      <w:color w:val="auto"/>
                      <w:sz w:val="21"/>
                      <w:szCs w:val="21"/>
                    </w:rPr>
                  </w:pPr>
                  <w:r>
                    <w:rPr>
                      <w:rFonts w:hint="default" w:ascii="Times New Roman" w:hAnsi="Times New Roman"/>
                      <w:color w:val="auto"/>
                      <w:kern w:val="0"/>
                      <w:sz w:val="21"/>
                      <w:szCs w:val="21"/>
                    </w:rPr>
                    <w:t>4</w:t>
                  </w:r>
                  <w:r>
                    <w:rPr>
                      <w:rFonts w:hint="default" w:ascii="Times New Roman" w:hAnsi="Times New Roman"/>
                      <w:color w:val="auto"/>
                      <w:sz w:val="21"/>
                      <w:szCs w:val="21"/>
                    </w:rPr>
                    <w:t>mg/L</w:t>
                  </w:r>
                </w:p>
              </w:tc>
            </w:tr>
            <w:tr w14:paraId="6DEAE8B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382A0562">
                  <w:pPr>
                    <w:jc w:val="center"/>
                    <w:rPr>
                      <w:rFonts w:hint="default" w:ascii="Times New Roman" w:hAnsi="Times New Roman"/>
                      <w:color w:val="auto"/>
                      <w:sz w:val="21"/>
                      <w:szCs w:val="21"/>
                    </w:rPr>
                  </w:pPr>
                  <w:r>
                    <w:rPr>
                      <w:rFonts w:hint="default" w:ascii="Times New Roman" w:hAnsi="Times New Roman"/>
                      <w:color w:val="auto"/>
                      <w:kern w:val="0"/>
                      <w:sz w:val="21"/>
                      <w:szCs w:val="21"/>
                    </w:rPr>
                    <w:t>五日生化需氧量</w:t>
                  </w:r>
                </w:p>
              </w:tc>
              <w:tc>
                <w:tcPr>
                  <w:tcW w:w="2505" w:type="dxa"/>
                  <w:noWrap w:val="0"/>
                  <w:vAlign w:val="center"/>
                </w:tcPr>
                <w:p w14:paraId="04526167">
                  <w:pPr>
                    <w:jc w:val="center"/>
                    <w:rPr>
                      <w:rFonts w:hint="default" w:ascii="Times New Roman" w:hAnsi="Times New Roman"/>
                      <w:color w:val="auto"/>
                      <w:sz w:val="21"/>
                      <w:szCs w:val="21"/>
                    </w:rPr>
                  </w:pPr>
                  <w:r>
                    <w:rPr>
                      <w:rFonts w:hint="default" w:ascii="Times New Roman" w:hAnsi="Times New Roman"/>
                      <w:color w:val="auto"/>
                      <w:kern w:val="0"/>
                      <w:sz w:val="21"/>
                      <w:szCs w:val="21"/>
                    </w:rPr>
                    <w:t>水质 五日生化需氧量的测定 稀释与接种法</w:t>
                  </w:r>
                </w:p>
              </w:tc>
              <w:tc>
                <w:tcPr>
                  <w:tcW w:w="1485" w:type="dxa"/>
                  <w:noWrap w:val="0"/>
                  <w:vAlign w:val="center"/>
                </w:tcPr>
                <w:p w14:paraId="716C5F01">
                  <w:pPr>
                    <w:jc w:val="center"/>
                    <w:rPr>
                      <w:rFonts w:hint="default" w:ascii="Times New Roman" w:hAnsi="Times New Roman"/>
                      <w:color w:val="auto"/>
                      <w:sz w:val="21"/>
                      <w:szCs w:val="21"/>
                    </w:rPr>
                  </w:pPr>
                  <w:r>
                    <w:rPr>
                      <w:rFonts w:hint="default" w:ascii="Times New Roman" w:hAnsi="Times New Roman"/>
                      <w:color w:val="auto"/>
                      <w:kern w:val="0"/>
                      <w:sz w:val="21"/>
                      <w:szCs w:val="21"/>
                    </w:rPr>
                    <w:t>HJ 505-2009</w:t>
                  </w:r>
                </w:p>
              </w:tc>
              <w:tc>
                <w:tcPr>
                  <w:tcW w:w="2914" w:type="dxa"/>
                  <w:noWrap w:val="0"/>
                  <w:vAlign w:val="center"/>
                </w:tcPr>
                <w:p w14:paraId="02A2BFEA">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 xml:space="preserve">JPSJ-605F生化培养箱 </w:t>
                  </w:r>
                </w:p>
                <w:p w14:paraId="2A437D8B">
                  <w:pPr>
                    <w:jc w:val="center"/>
                    <w:rPr>
                      <w:rFonts w:hint="default" w:ascii="Times New Roman" w:hAnsi="Times New Roman"/>
                      <w:color w:val="auto"/>
                      <w:sz w:val="21"/>
                      <w:szCs w:val="21"/>
                    </w:rPr>
                  </w:pPr>
                  <w:r>
                    <w:rPr>
                      <w:rFonts w:hint="default" w:ascii="Times New Roman" w:hAnsi="Times New Roman"/>
                      <w:color w:val="auto"/>
                      <w:kern w:val="0"/>
                      <w:sz w:val="21"/>
                      <w:szCs w:val="21"/>
                    </w:rPr>
                    <w:t>QJ-XJ-48</w:t>
                  </w:r>
                </w:p>
              </w:tc>
              <w:tc>
                <w:tcPr>
                  <w:tcW w:w="1144" w:type="dxa"/>
                  <w:tcBorders>
                    <w:right w:val="nil"/>
                  </w:tcBorders>
                  <w:noWrap w:val="0"/>
                  <w:vAlign w:val="center"/>
                </w:tcPr>
                <w:p w14:paraId="239B9EFF">
                  <w:pPr>
                    <w:jc w:val="center"/>
                    <w:rPr>
                      <w:rFonts w:hint="default" w:ascii="Times New Roman" w:hAnsi="Times New Roman"/>
                      <w:color w:val="auto"/>
                      <w:sz w:val="21"/>
                      <w:szCs w:val="21"/>
                    </w:rPr>
                  </w:pPr>
                  <w:r>
                    <w:rPr>
                      <w:rFonts w:hint="default" w:ascii="Times New Roman" w:hAnsi="Times New Roman"/>
                      <w:color w:val="auto"/>
                      <w:kern w:val="0"/>
                      <w:sz w:val="21"/>
                      <w:szCs w:val="21"/>
                    </w:rPr>
                    <w:t>0.5</w:t>
                  </w:r>
                  <w:r>
                    <w:rPr>
                      <w:rFonts w:hint="default" w:ascii="Times New Roman" w:hAnsi="Times New Roman"/>
                      <w:color w:val="auto"/>
                      <w:sz w:val="21"/>
                      <w:szCs w:val="21"/>
                    </w:rPr>
                    <w:t>mg/L</w:t>
                  </w:r>
                </w:p>
              </w:tc>
            </w:tr>
            <w:tr w14:paraId="207FA75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0A580A6A">
                  <w:pPr>
                    <w:jc w:val="center"/>
                    <w:rPr>
                      <w:rFonts w:hint="default" w:ascii="Times New Roman" w:hAnsi="Times New Roman"/>
                      <w:color w:val="auto"/>
                      <w:sz w:val="21"/>
                      <w:szCs w:val="21"/>
                    </w:rPr>
                  </w:pPr>
                  <w:r>
                    <w:rPr>
                      <w:rFonts w:hint="default" w:ascii="Times New Roman" w:hAnsi="Times New Roman"/>
                      <w:color w:val="auto"/>
                      <w:kern w:val="0"/>
                      <w:sz w:val="21"/>
                      <w:szCs w:val="21"/>
                    </w:rPr>
                    <w:t>氨氮</w:t>
                  </w:r>
                </w:p>
              </w:tc>
              <w:tc>
                <w:tcPr>
                  <w:tcW w:w="2505" w:type="dxa"/>
                  <w:noWrap w:val="0"/>
                  <w:vAlign w:val="center"/>
                </w:tcPr>
                <w:p w14:paraId="2846F01B">
                  <w:pPr>
                    <w:jc w:val="center"/>
                    <w:rPr>
                      <w:rFonts w:hint="default" w:ascii="Times New Roman" w:hAnsi="Times New Roman"/>
                      <w:color w:val="auto"/>
                      <w:sz w:val="21"/>
                      <w:szCs w:val="21"/>
                    </w:rPr>
                  </w:pPr>
                  <w:r>
                    <w:rPr>
                      <w:rFonts w:hint="default" w:ascii="Times New Roman" w:hAnsi="Times New Roman"/>
                      <w:color w:val="auto"/>
                      <w:sz w:val="21"/>
                      <w:szCs w:val="21"/>
                    </w:rPr>
                    <w:t>水质氨氮的测定 纳氏试剂分光光度法</w:t>
                  </w:r>
                </w:p>
              </w:tc>
              <w:tc>
                <w:tcPr>
                  <w:tcW w:w="1485" w:type="dxa"/>
                  <w:noWrap w:val="0"/>
                  <w:vAlign w:val="center"/>
                </w:tcPr>
                <w:p w14:paraId="63D80FD6">
                  <w:pPr>
                    <w:jc w:val="center"/>
                    <w:rPr>
                      <w:rFonts w:hint="default" w:ascii="Times New Roman" w:hAnsi="Times New Roman"/>
                      <w:color w:val="auto"/>
                      <w:sz w:val="21"/>
                      <w:szCs w:val="21"/>
                    </w:rPr>
                  </w:pPr>
                  <w:r>
                    <w:rPr>
                      <w:rFonts w:hint="default" w:ascii="Times New Roman" w:hAnsi="Times New Roman"/>
                      <w:color w:val="auto"/>
                      <w:kern w:val="0"/>
                      <w:sz w:val="21"/>
                      <w:szCs w:val="21"/>
                    </w:rPr>
                    <w:t>HJ 535-2009</w:t>
                  </w:r>
                </w:p>
              </w:tc>
              <w:tc>
                <w:tcPr>
                  <w:tcW w:w="2914" w:type="dxa"/>
                  <w:noWrap w:val="0"/>
                  <w:vAlign w:val="center"/>
                </w:tcPr>
                <w:p w14:paraId="6D595A05">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T6新世纪</w:t>
                  </w:r>
                </w:p>
                <w:p w14:paraId="14CE455C">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紫外可见分光光度计</w:t>
                  </w:r>
                </w:p>
                <w:p w14:paraId="3AF42E64">
                  <w:pPr>
                    <w:jc w:val="center"/>
                    <w:rPr>
                      <w:rFonts w:hint="default" w:ascii="Times New Roman" w:hAnsi="Times New Roman"/>
                      <w:color w:val="auto"/>
                      <w:sz w:val="21"/>
                      <w:szCs w:val="21"/>
                    </w:rPr>
                  </w:pPr>
                  <w:r>
                    <w:rPr>
                      <w:rFonts w:hint="default" w:ascii="Times New Roman" w:hAnsi="Times New Roman"/>
                      <w:color w:val="auto"/>
                      <w:kern w:val="0"/>
                      <w:sz w:val="21"/>
                      <w:szCs w:val="21"/>
                    </w:rPr>
                    <w:t>QJ-SF-10</w:t>
                  </w:r>
                </w:p>
              </w:tc>
              <w:tc>
                <w:tcPr>
                  <w:tcW w:w="1144" w:type="dxa"/>
                  <w:tcBorders>
                    <w:right w:val="nil"/>
                  </w:tcBorders>
                  <w:noWrap w:val="0"/>
                  <w:vAlign w:val="center"/>
                </w:tcPr>
                <w:p w14:paraId="3A61CA02">
                  <w:pPr>
                    <w:jc w:val="center"/>
                    <w:rPr>
                      <w:rFonts w:hint="default" w:ascii="Times New Roman" w:hAnsi="Times New Roman"/>
                      <w:color w:val="auto"/>
                      <w:sz w:val="21"/>
                      <w:szCs w:val="21"/>
                    </w:rPr>
                  </w:pPr>
                  <w:r>
                    <w:rPr>
                      <w:rFonts w:hint="default" w:ascii="Times New Roman" w:hAnsi="Times New Roman"/>
                      <w:color w:val="auto"/>
                      <w:kern w:val="0"/>
                      <w:sz w:val="21"/>
                      <w:szCs w:val="21"/>
                    </w:rPr>
                    <w:t>0.025</w:t>
                  </w:r>
                  <w:r>
                    <w:rPr>
                      <w:rFonts w:hint="default" w:ascii="Times New Roman" w:hAnsi="Times New Roman"/>
                      <w:color w:val="auto"/>
                      <w:sz w:val="21"/>
                      <w:szCs w:val="21"/>
                    </w:rPr>
                    <w:t>mg/L</w:t>
                  </w:r>
                </w:p>
              </w:tc>
            </w:tr>
            <w:tr w14:paraId="284EC5A9">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2362F2A1">
                  <w:pPr>
                    <w:jc w:val="center"/>
                    <w:rPr>
                      <w:rFonts w:hint="default" w:ascii="Times New Roman" w:hAnsi="Times New Roman"/>
                      <w:color w:val="auto"/>
                      <w:sz w:val="21"/>
                      <w:szCs w:val="21"/>
                    </w:rPr>
                  </w:pPr>
                  <w:r>
                    <w:rPr>
                      <w:rFonts w:hint="default" w:ascii="Times New Roman" w:hAnsi="Times New Roman"/>
                      <w:color w:val="auto"/>
                      <w:kern w:val="0"/>
                      <w:sz w:val="21"/>
                      <w:szCs w:val="21"/>
                    </w:rPr>
                    <w:t>总磷</w:t>
                  </w:r>
                </w:p>
              </w:tc>
              <w:tc>
                <w:tcPr>
                  <w:tcW w:w="2505" w:type="dxa"/>
                  <w:noWrap w:val="0"/>
                  <w:vAlign w:val="center"/>
                </w:tcPr>
                <w:p w14:paraId="1D4D771A">
                  <w:pPr>
                    <w:jc w:val="center"/>
                    <w:rPr>
                      <w:rFonts w:hint="default" w:ascii="Times New Roman" w:hAnsi="Times New Roman"/>
                      <w:color w:val="auto"/>
                      <w:sz w:val="21"/>
                      <w:szCs w:val="21"/>
                    </w:rPr>
                  </w:pPr>
                  <w:r>
                    <w:rPr>
                      <w:rFonts w:hint="default" w:ascii="Times New Roman" w:hAnsi="Times New Roman"/>
                      <w:color w:val="auto"/>
                      <w:kern w:val="0"/>
                      <w:sz w:val="21"/>
                      <w:szCs w:val="21"/>
                    </w:rPr>
                    <w:t>水质总磷的测定 钼酸铵分光光度法</w:t>
                  </w:r>
                </w:p>
              </w:tc>
              <w:tc>
                <w:tcPr>
                  <w:tcW w:w="1485" w:type="dxa"/>
                  <w:noWrap w:val="0"/>
                  <w:vAlign w:val="center"/>
                </w:tcPr>
                <w:p w14:paraId="4539BB2A">
                  <w:pPr>
                    <w:jc w:val="center"/>
                    <w:rPr>
                      <w:rFonts w:hint="default" w:ascii="Times New Roman" w:hAnsi="Times New Roman"/>
                      <w:color w:val="auto"/>
                      <w:sz w:val="21"/>
                      <w:szCs w:val="21"/>
                    </w:rPr>
                  </w:pPr>
                  <w:r>
                    <w:rPr>
                      <w:rFonts w:hint="default" w:ascii="Times New Roman" w:hAnsi="Times New Roman"/>
                      <w:color w:val="auto"/>
                      <w:kern w:val="0"/>
                      <w:sz w:val="21"/>
                      <w:szCs w:val="21"/>
                    </w:rPr>
                    <w:t>GB 11893-89</w:t>
                  </w:r>
                </w:p>
              </w:tc>
              <w:tc>
                <w:tcPr>
                  <w:tcW w:w="2914" w:type="dxa"/>
                  <w:noWrap w:val="0"/>
                  <w:vAlign w:val="center"/>
                </w:tcPr>
                <w:p w14:paraId="2635EEDF">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T6新世纪</w:t>
                  </w:r>
                </w:p>
                <w:p w14:paraId="2FA56247">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 xml:space="preserve"> 紫外可见分光光度计</w:t>
                  </w:r>
                </w:p>
                <w:p w14:paraId="312B0A12">
                  <w:pPr>
                    <w:jc w:val="center"/>
                    <w:rPr>
                      <w:rFonts w:hint="default" w:ascii="Times New Roman" w:hAnsi="Times New Roman"/>
                      <w:color w:val="auto"/>
                      <w:sz w:val="21"/>
                      <w:szCs w:val="21"/>
                    </w:rPr>
                  </w:pPr>
                  <w:r>
                    <w:rPr>
                      <w:rFonts w:hint="default" w:ascii="Times New Roman" w:hAnsi="Times New Roman"/>
                      <w:color w:val="auto"/>
                      <w:kern w:val="0"/>
                      <w:sz w:val="21"/>
                      <w:szCs w:val="21"/>
                    </w:rPr>
                    <w:t>QJ-SF-10</w:t>
                  </w:r>
                </w:p>
              </w:tc>
              <w:tc>
                <w:tcPr>
                  <w:tcW w:w="1144" w:type="dxa"/>
                  <w:tcBorders>
                    <w:right w:val="nil"/>
                  </w:tcBorders>
                  <w:noWrap w:val="0"/>
                  <w:vAlign w:val="center"/>
                </w:tcPr>
                <w:p w14:paraId="202A0A54">
                  <w:pPr>
                    <w:jc w:val="center"/>
                    <w:rPr>
                      <w:rFonts w:hint="default" w:ascii="Times New Roman" w:hAnsi="Times New Roman"/>
                      <w:color w:val="auto"/>
                      <w:sz w:val="21"/>
                      <w:szCs w:val="21"/>
                    </w:rPr>
                  </w:pPr>
                  <w:r>
                    <w:rPr>
                      <w:rFonts w:hint="default" w:ascii="Times New Roman" w:hAnsi="Times New Roman"/>
                      <w:color w:val="auto"/>
                      <w:kern w:val="0"/>
                      <w:sz w:val="21"/>
                      <w:szCs w:val="21"/>
                    </w:rPr>
                    <w:t>0.01</w:t>
                  </w:r>
                  <w:r>
                    <w:rPr>
                      <w:rFonts w:hint="default" w:ascii="Times New Roman" w:hAnsi="Times New Roman"/>
                      <w:color w:val="auto"/>
                      <w:sz w:val="21"/>
                      <w:szCs w:val="21"/>
                    </w:rPr>
                    <w:t>mg/L</w:t>
                  </w:r>
                </w:p>
              </w:tc>
            </w:tr>
            <w:tr w14:paraId="317AA763">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09666FBF">
                  <w:pPr>
                    <w:spacing w:line="360" w:lineRule="auto"/>
                    <w:jc w:val="center"/>
                    <w:rPr>
                      <w:rFonts w:hint="default" w:ascii="Times New Roman" w:hAnsi="Times New Roman"/>
                      <w:color w:val="auto"/>
                      <w:sz w:val="21"/>
                      <w:szCs w:val="21"/>
                    </w:rPr>
                  </w:pPr>
                  <w:r>
                    <w:rPr>
                      <w:rFonts w:hint="default" w:ascii="Times New Roman" w:hAnsi="Times New Roman"/>
                      <w:color w:val="auto"/>
                      <w:kern w:val="0"/>
                      <w:sz w:val="21"/>
                      <w:szCs w:val="21"/>
                    </w:rPr>
                    <w:t>总氮</w:t>
                  </w:r>
                </w:p>
              </w:tc>
              <w:tc>
                <w:tcPr>
                  <w:tcW w:w="2505" w:type="dxa"/>
                  <w:noWrap w:val="0"/>
                  <w:vAlign w:val="center"/>
                </w:tcPr>
                <w:p w14:paraId="1EFAC13A">
                  <w:pPr>
                    <w:jc w:val="center"/>
                    <w:rPr>
                      <w:rFonts w:hint="default" w:ascii="Times New Roman" w:hAnsi="Times New Roman"/>
                      <w:color w:val="auto"/>
                      <w:sz w:val="21"/>
                      <w:szCs w:val="21"/>
                    </w:rPr>
                  </w:pPr>
                  <w:r>
                    <w:rPr>
                      <w:rFonts w:hint="default" w:ascii="Times New Roman" w:hAnsi="Times New Roman"/>
                      <w:color w:val="auto"/>
                      <w:kern w:val="0"/>
                      <w:sz w:val="21"/>
                      <w:szCs w:val="21"/>
                    </w:rPr>
                    <w:t>水质总氮的测定 碱性过硫酸钾消解紫外分光光度法</w:t>
                  </w:r>
                </w:p>
              </w:tc>
              <w:tc>
                <w:tcPr>
                  <w:tcW w:w="1485" w:type="dxa"/>
                  <w:noWrap w:val="0"/>
                  <w:vAlign w:val="center"/>
                </w:tcPr>
                <w:p w14:paraId="0437E1C4">
                  <w:pPr>
                    <w:jc w:val="center"/>
                    <w:rPr>
                      <w:rFonts w:hint="default" w:ascii="Times New Roman" w:hAnsi="Times New Roman"/>
                      <w:color w:val="auto"/>
                      <w:sz w:val="21"/>
                      <w:szCs w:val="21"/>
                    </w:rPr>
                  </w:pPr>
                  <w:r>
                    <w:rPr>
                      <w:rFonts w:hint="default" w:ascii="Times New Roman" w:hAnsi="Times New Roman"/>
                      <w:color w:val="auto"/>
                      <w:kern w:val="0"/>
                      <w:sz w:val="21"/>
                      <w:szCs w:val="21"/>
                    </w:rPr>
                    <w:t>HJ636-2012</w:t>
                  </w:r>
                </w:p>
              </w:tc>
              <w:tc>
                <w:tcPr>
                  <w:tcW w:w="2914" w:type="dxa"/>
                  <w:noWrap w:val="0"/>
                  <w:vAlign w:val="center"/>
                </w:tcPr>
                <w:p w14:paraId="7301797E">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T6新世纪</w:t>
                  </w:r>
                </w:p>
                <w:p w14:paraId="0922B7A6">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紫外可见分光光度计</w:t>
                  </w:r>
                </w:p>
                <w:p w14:paraId="4C264CF9">
                  <w:pPr>
                    <w:jc w:val="center"/>
                    <w:rPr>
                      <w:rFonts w:hint="default" w:ascii="Times New Roman" w:hAnsi="Times New Roman"/>
                      <w:color w:val="auto"/>
                      <w:sz w:val="21"/>
                      <w:szCs w:val="21"/>
                    </w:rPr>
                  </w:pPr>
                  <w:r>
                    <w:rPr>
                      <w:rFonts w:hint="default" w:ascii="Times New Roman" w:hAnsi="Times New Roman"/>
                      <w:color w:val="auto"/>
                      <w:kern w:val="0"/>
                      <w:sz w:val="21"/>
                      <w:szCs w:val="21"/>
                    </w:rPr>
                    <w:t>QJ-SF-10</w:t>
                  </w:r>
                </w:p>
              </w:tc>
              <w:tc>
                <w:tcPr>
                  <w:tcW w:w="1144" w:type="dxa"/>
                  <w:tcBorders>
                    <w:right w:val="nil"/>
                  </w:tcBorders>
                  <w:noWrap w:val="0"/>
                  <w:vAlign w:val="center"/>
                </w:tcPr>
                <w:p w14:paraId="44FC4542">
                  <w:pPr>
                    <w:spacing w:line="360" w:lineRule="auto"/>
                    <w:jc w:val="center"/>
                    <w:rPr>
                      <w:rFonts w:hint="default" w:ascii="Times New Roman" w:hAnsi="Times New Roman"/>
                      <w:color w:val="auto"/>
                      <w:sz w:val="21"/>
                      <w:szCs w:val="21"/>
                    </w:rPr>
                  </w:pPr>
                  <w:r>
                    <w:rPr>
                      <w:rFonts w:hint="default" w:ascii="Times New Roman" w:hAnsi="Times New Roman"/>
                      <w:color w:val="auto"/>
                      <w:kern w:val="0"/>
                      <w:sz w:val="21"/>
                      <w:szCs w:val="21"/>
                    </w:rPr>
                    <w:t>0.05</w:t>
                  </w:r>
                  <w:r>
                    <w:rPr>
                      <w:rFonts w:hint="default" w:ascii="Times New Roman" w:hAnsi="Times New Roman"/>
                      <w:color w:val="auto"/>
                      <w:sz w:val="21"/>
                      <w:szCs w:val="21"/>
                    </w:rPr>
                    <w:t>mg/L</w:t>
                  </w:r>
                </w:p>
              </w:tc>
            </w:tr>
            <w:tr w14:paraId="010898A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2657C995">
                  <w:pPr>
                    <w:jc w:val="center"/>
                    <w:rPr>
                      <w:rFonts w:hint="default" w:ascii="Times New Roman" w:hAnsi="Times New Roman"/>
                      <w:color w:val="auto"/>
                      <w:sz w:val="21"/>
                      <w:szCs w:val="21"/>
                    </w:rPr>
                  </w:pPr>
                  <w:r>
                    <w:rPr>
                      <w:rFonts w:hint="default" w:ascii="Times New Roman" w:hAnsi="Times New Roman"/>
                      <w:color w:val="auto"/>
                      <w:sz w:val="21"/>
                      <w:szCs w:val="21"/>
                    </w:rPr>
                    <w:t>粪大肠菌群</w:t>
                  </w:r>
                </w:p>
              </w:tc>
              <w:tc>
                <w:tcPr>
                  <w:tcW w:w="2505" w:type="dxa"/>
                  <w:noWrap w:val="0"/>
                  <w:vAlign w:val="center"/>
                </w:tcPr>
                <w:p w14:paraId="152DEED0">
                  <w:pPr>
                    <w:adjustRightInd w:val="0"/>
                    <w:jc w:val="center"/>
                    <w:rPr>
                      <w:rFonts w:hint="default" w:ascii="Times New Roman" w:hAnsi="Times New Roman"/>
                      <w:color w:val="auto"/>
                      <w:sz w:val="21"/>
                      <w:szCs w:val="21"/>
                    </w:rPr>
                  </w:pPr>
                  <w:r>
                    <w:rPr>
                      <w:rFonts w:hint="default" w:ascii="Times New Roman" w:hAnsi="Times New Roman"/>
                      <w:color w:val="auto"/>
                      <w:sz w:val="21"/>
                      <w:szCs w:val="21"/>
                    </w:rPr>
                    <w:t xml:space="preserve">水质粪大肠菌群的测定 </w:t>
                  </w:r>
                </w:p>
                <w:p w14:paraId="584189B9">
                  <w:pPr>
                    <w:jc w:val="center"/>
                    <w:rPr>
                      <w:rFonts w:hint="default" w:ascii="Times New Roman" w:hAnsi="Times New Roman"/>
                      <w:color w:val="auto"/>
                      <w:sz w:val="21"/>
                      <w:szCs w:val="21"/>
                    </w:rPr>
                  </w:pPr>
                  <w:r>
                    <w:rPr>
                      <w:rFonts w:hint="default" w:ascii="Times New Roman" w:hAnsi="Times New Roman"/>
                      <w:color w:val="auto"/>
                      <w:sz w:val="21"/>
                      <w:szCs w:val="21"/>
                    </w:rPr>
                    <w:t>多管发酵法</w:t>
                  </w:r>
                </w:p>
              </w:tc>
              <w:tc>
                <w:tcPr>
                  <w:tcW w:w="1485" w:type="dxa"/>
                  <w:noWrap w:val="0"/>
                  <w:vAlign w:val="center"/>
                </w:tcPr>
                <w:p w14:paraId="706B6EEF">
                  <w:pPr>
                    <w:jc w:val="center"/>
                    <w:rPr>
                      <w:rFonts w:hint="default" w:ascii="Times New Roman" w:hAnsi="Times New Roman"/>
                      <w:color w:val="auto"/>
                      <w:sz w:val="21"/>
                      <w:szCs w:val="21"/>
                    </w:rPr>
                  </w:pPr>
                  <w:r>
                    <w:rPr>
                      <w:rFonts w:hint="default" w:ascii="Times New Roman" w:hAnsi="Times New Roman"/>
                      <w:color w:val="auto"/>
                      <w:sz w:val="21"/>
                      <w:szCs w:val="21"/>
                    </w:rPr>
                    <w:t>HJ347.2-2018</w:t>
                  </w:r>
                </w:p>
              </w:tc>
              <w:tc>
                <w:tcPr>
                  <w:tcW w:w="2914" w:type="dxa"/>
                  <w:noWrap w:val="0"/>
                  <w:vAlign w:val="center"/>
                </w:tcPr>
                <w:p w14:paraId="1934BCC7">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生化培养箱</w:t>
                  </w:r>
                </w:p>
                <w:p w14:paraId="14EA9A7C">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SHP-080/QJ-SF-46</w:t>
                  </w:r>
                </w:p>
                <w:p w14:paraId="72813218">
                  <w:pPr>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HWS-150/QJ-SF-23</w:t>
                  </w:r>
                </w:p>
                <w:p w14:paraId="3C824C18">
                  <w:pPr>
                    <w:jc w:val="center"/>
                    <w:rPr>
                      <w:rFonts w:hint="default" w:ascii="Times New Roman" w:hAnsi="Times New Roman"/>
                      <w:color w:val="auto"/>
                      <w:sz w:val="21"/>
                      <w:szCs w:val="21"/>
                    </w:rPr>
                  </w:pPr>
                  <w:r>
                    <w:rPr>
                      <w:rFonts w:hint="default" w:ascii="Times New Roman" w:hAnsi="Times New Roman"/>
                      <w:color w:val="auto"/>
                      <w:kern w:val="0"/>
                      <w:sz w:val="21"/>
                      <w:szCs w:val="21"/>
                    </w:rPr>
                    <w:t>LRH-250F/102432</w:t>
                  </w:r>
                </w:p>
              </w:tc>
              <w:tc>
                <w:tcPr>
                  <w:tcW w:w="1144" w:type="dxa"/>
                  <w:tcBorders>
                    <w:right w:val="nil"/>
                  </w:tcBorders>
                  <w:noWrap w:val="0"/>
                  <w:vAlign w:val="center"/>
                </w:tcPr>
                <w:p w14:paraId="559CA483">
                  <w:pPr>
                    <w:spacing w:line="360" w:lineRule="auto"/>
                    <w:jc w:val="center"/>
                    <w:rPr>
                      <w:rFonts w:hint="default" w:ascii="Times New Roman" w:hAnsi="Times New Roman"/>
                      <w:color w:val="auto"/>
                      <w:sz w:val="21"/>
                      <w:szCs w:val="21"/>
                    </w:rPr>
                  </w:pPr>
                  <w:r>
                    <w:rPr>
                      <w:rFonts w:hint="default" w:ascii="Times New Roman" w:hAnsi="Times New Roman"/>
                      <w:color w:val="auto"/>
                      <w:kern w:val="0"/>
                      <w:sz w:val="21"/>
                      <w:szCs w:val="21"/>
                    </w:rPr>
                    <w:t>20</w:t>
                  </w:r>
                  <w:r>
                    <w:rPr>
                      <w:rFonts w:hint="default" w:ascii="Times New Roman" w:hAnsi="Times New Roman"/>
                      <w:color w:val="auto"/>
                      <w:sz w:val="21"/>
                      <w:szCs w:val="21"/>
                    </w:rPr>
                    <w:t>MPN/L</w:t>
                  </w:r>
                </w:p>
              </w:tc>
            </w:tr>
          </w:tbl>
          <w:p w14:paraId="16088480">
            <w:pPr>
              <w:adjustRightInd w:val="0"/>
              <w:snapToGrid w:val="0"/>
              <w:spacing w:line="360" w:lineRule="auto"/>
              <w:ind w:firstLine="480" w:firstLineChars="200"/>
              <w:rPr>
                <w:rFonts w:hint="default" w:ascii="Times New Roman" w:hAnsi="Times New Roman"/>
                <w:color w:val="auto"/>
                <w:sz w:val="24"/>
                <w:szCs w:val="24"/>
              </w:rPr>
            </w:pPr>
            <w:r>
              <w:rPr>
                <w:rFonts w:ascii="Times New Roman" w:hAnsi="Times New Roman"/>
                <w:color w:val="auto"/>
                <w:sz w:val="24"/>
                <w:szCs w:val="24"/>
              </w:rPr>
              <w:t>5</w:t>
            </w:r>
            <w:r>
              <w:rPr>
                <w:rFonts w:hint="default" w:ascii="Times New Roman" w:hAnsi="Times New Roman"/>
                <w:color w:val="auto"/>
                <w:sz w:val="24"/>
                <w:szCs w:val="24"/>
              </w:rPr>
              <w:t>）监测结果</w:t>
            </w:r>
          </w:p>
          <w:p w14:paraId="72BC9050">
            <w:pPr>
              <w:adjustRightInd w:val="0"/>
              <w:snapToGrid w:val="0"/>
              <w:spacing w:line="360" w:lineRule="auto"/>
              <w:ind w:firstLine="480" w:firstLineChars="200"/>
              <w:rPr>
                <w:rFonts w:hint="default" w:ascii="Times New Roman" w:hAnsi="Times New Roman"/>
                <w:color w:val="auto"/>
                <w:sz w:val="24"/>
                <w:szCs w:val="24"/>
              </w:rPr>
            </w:pPr>
            <w:r>
              <w:rPr>
                <w:rFonts w:hint="default" w:ascii="Times New Roman" w:hAnsi="Times New Roman"/>
                <w:color w:val="auto"/>
                <w:sz w:val="24"/>
                <w:szCs w:val="24"/>
              </w:rPr>
              <w:t>监测结果汇总表见表3-</w:t>
            </w:r>
            <w:r>
              <w:rPr>
                <w:rFonts w:hint="eastAsia" w:ascii="Times New Roman" w:hAnsi="Times New Roman"/>
                <w:color w:val="auto"/>
                <w:sz w:val="24"/>
                <w:szCs w:val="24"/>
                <w:lang w:val="en-US" w:eastAsia="zh-CN"/>
              </w:rPr>
              <w:t>7</w:t>
            </w:r>
            <w:r>
              <w:rPr>
                <w:rFonts w:hint="default" w:ascii="Times New Roman" w:hAnsi="Times New Roman"/>
                <w:color w:val="auto"/>
                <w:sz w:val="24"/>
                <w:szCs w:val="24"/>
              </w:rPr>
              <w:t>，评价结果见表3-</w:t>
            </w:r>
            <w:r>
              <w:rPr>
                <w:rFonts w:hint="eastAsia" w:ascii="Times New Roman" w:hAnsi="Times New Roman"/>
                <w:color w:val="auto"/>
                <w:sz w:val="24"/>
                <w:szCs w:val="24"/>
                <w:lang w:val="en-US" w:eastAsia="zh-CN"/>
              </w:rPr>
              <w:t>8</w:t>
            </w:r>
            <w:r>
              <w:rPr>
                <w:rFonts w:hint="default" w:ascii="Times New Roman" w:hAnsi="Times New Roman"/>
                <w:color w:val="auto"/>
                <w:sz w:val="24"/>
                <w:szCs w:val="24"/>
              </w:rPr>
              <w:t>。</w:t>
            </w:r>
          </w:p>
          <w:p w14:paraId="10A2D195">
            <w:pPr>
              <w:adjustRightInd w:val="0"/>
              <w:snapToGrid w:val="0"/>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表3-</w:t>
            </w:r>
            <w:r>
              <w:rPr>
                <w:rFonts w:hint="eastAsia" w:ascii="Times New Roman" w:hAnsi="Times New Roman" w:cs="Times New Roman" w:eastAsiaTheme="minorEastAsia"/>
                <w:b/>
                <w:bCs/>
                <w:color w:val="auto"/>
                <w:sz w:val="21"/>
                <w:szCs w:val="21"/>
                <w:lang w:val="en-US" w:eastAsia="zh-CN"/>
              </w:rPr>
              <w:t>7</w:t>
            </w:r>
            <w:r>
              <w:rPr>
                <w:rFonts w:hint="default" w:ascii="Times New Roman" w:hAnsi="Times New Roman" w:cs="Times New Roman" w:eastAsiaTheme="minorEastAsia"/>
                <w:b/>
                <w:bCs/>
                <w:color w:val="auto"/>
                <w:sz w:val="21"/>
                <w:szCs w:val="21"/>
              </w:rPr>
              <w:t xml:space="preserve"> 地表水环境监测结果表</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300"/>
              <w:gridCol w:w="940"/>
              <w:gridCol w:w="640"/>
              <w:gridCol w:w="884"/>
              <w:gridCol w:w="850"/>
              <w:gridCol w:w="1058"/>
              <w:gridCol w:w="741"/>
              <w:gridCol w:w="645"/>
              <w:gridCol w:w="665"/>
              <w:gridCol w:w="1043"/>
            </w:tblGrid>
            <w:tr w14:paraId="2897B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27" w:type="dxa"/>
                  <w:gridSpan w:val="3"/>
                  <w:tcBorders>
                    <w:tl2br w:val="single" w:color="auto" w:sz="4" w:space="0"/>
                  </w:tcBorders>
                  <w:noWrap w:val="0"/>
                  <w:vAlign w:val="center"/>
                </w:tcPr>
                <w:p w14:paraId="7DA3081F">
                  <w:pPr>
                    <w:spacing w:line="288" w:lineRule="auto"/>
                    <w:jc w:val="right"/>
                    <w:rPr>
                      <w:rFonts w:hint="default" w:ascii="Times New Roman" w:hAnsi="Times New Roman"/>
                      <w:color w:val="auto"/>
                      <w:sz w:val="21"/>
                      <w:szCs w:val="21"/>
                    </w:rPr>
                  </w:pPr>
                  <w:r>
                    <w:rPr>
                      <w:rFonts w:hint="default" w:ascii="Times New Roman" w:hAnsi="Times New Roman"/>
                      <w:color w:val="auto"/>
                      <w:sz w:val="21"/>
                      <w:szCs w:val="21"/>
                    </w:rPr>
                    <w:t>检测项目</w:t>
                  </w:r>
                </w:p>
                <w:p w14:paraId="4AB39A32">
                  <w:pPr>
                    <w:spacing w:line="288" w:lineRule="auto"/>
                    <w:jc w:val="left"/>
                    <w:rPr>
                      <w:rFonts w:hint="default" w:ascii="Times New Roman" w:hAnsi="Times New Roman"/>
                      <w:color w:val="auto"/>
                      <w:sz w:val="21"/>
                      <w:szCs w:val="21"/>
                    </w:rPr>
                  </w:pPr>
                  <w:r>
                    <w:rPr>
                      <w:rFonts w:hint="default" w:ascii="Times New Roman" w:hAnsi="Times New Roman"/>
                      <w:color w:val="auto"/>
                      <w:sz w:val="21"/>
                      <w:szCs w:val="21"/>
                    </w:rPr>
                    <w:t>检测点位.检测时间</w:t>
                  </w:r>
                </w:p>
              </w:tc>
              <w:tc>
                <w:tcPr>
                  <w:tcW w:w="640" w:type="dxa"/>
                  <w:noWrap w:val="0"/>
                  <w:vAlign w:val="center"/>
                </w:tcPr>
                <w:p w14:paraId="0F8A6960">
                  <w:pPr>
                    <w:jc w:val="center"/>
                    <w:rPr>
                      <w:rFonts w:hint="default" w:ascii="Times New Roman" w:hAnsi="Times New Roman"/>
                      <w:color w:val="auto"/>
                      <w:sz w:val="21"/>
                      <w:szCs w:val="21"/>
                    </w:rPr>
                  </w:pPr>
                  <w:r>
                    <w:rPr>
                      <w:rFonts w:hint="default" w:ascii="Times New Roman" w:hAnsi="Times New Roman"/>
                      <w:color w:val="auto"/>
                      <w:sz w:val="21"/>
                      <w:szCs w:val="21"/>
                    </w:rPr>
                    <w:t>pH</w:t>
                  </w:r>
                </w:p>
              </w:tc>
              <w:tc>
                <w:tcPr>
                  <w:tcW w:w="884" w:type="dxa"/>
                  <w:noWrap w:val="0"/>
                  <w:vAlign w:val="center"/>
                </w:tcPr>
                <w:p w14:paraId="75F0721C">
                  <w:pPr>
                    <w:jc w:val="center"/>
                    <w:rPr>
                      <w:rFonts w:hint="default" w:ascii="Times New Roman" w:hAnsi="Times New Roman"/>
                      <w:color w:val="auto"/>
                      <w:sz w:val="21"/>
                      <w:szCs w:val="21"/>
                    </w:rPr>
                  </w:pPr>
                  <w:r>
                    <w:rPr>
                      <w:rFonts w:hint="default" w:ascii="Times New Roman" w:hAnsi="Times New Roman"/>
                      <w:color w:val="auto"/>
                      <w:sz w:val="21"/>
                      <w:szCs w:val="21"/>
                    </w:rPr>
                    <w:t>悬浮物</w:t>
                  </w:r>
                </w:p>
              </w:tc>
              <w:tc>
                <w:tcPr>
                  <w:tcW w:w="850" w:type="dxa"/>
                  <w:noWrap w:val="0"/>
                  <w:vAlign w:val="center"/>
                </w:tcPr>
                <w:p w14:paraId="043FB5E6">
                  <w:pPr>
                    <w:jc w:val="center"/>
                    <w:rPr>
                      <w:rFonts w:hint="default" w:ascii="Times New Roman" w:hAnsi="Times New Roman"/>
                      <w:color w:val="auto"/>
                      <w:sz w:val="21"/>
                      <w:szCs w:val="21"/>
                    </w:rPr>
                  </w:pPr>
                  <w:r>
                    <w:rPr>
                      <w:rFonts w:hint="default" w:ascii="Times New Roman" w:hAnsi="Times New Roman"/>
                      <w:color w:val="auto"/>
                      <w:sz w:val="21"/>
                      <w:szCs w:val="21"/>
                    </w:rPr>
                    <w:t>化学需氧量</w:t>
                  </w:r>
                </w:p>
              </w:tc>
              <w:tc>
                <w:tcPr>
                  <w:tcW w:w="1058" w:type="dxa"/>
                  <w:noWrap w:val="0"/>
                  <w:vAlign w:val="center"/>
                </w:tcPr>
                <w:p w14:paraId="13A1F571">
                  <w:pPr>
                    <w:jc w:val="center"/>
                    <w:rPr>
                      <w:rFonts w:hint="default" w:ascii="Times New Roman" w:hAnsi="Times New Roman"/>
                      <w:color w:val="auto"/>
                      <w:sz w:val="21"/>
                      <w:szCs w:val="21"/>
                    </w:rPr>
                  </w:pPr>
                  <w:r>
                    <w:rPr>
                      <w:rFonts w:hint="default" w:ascii="Times New Roman" w:hAnsi="Times New Roman"/>
                      <w:color w:val="auto"/>
                      <w:sz w:val="21"/>
                      <w:szCs w:val="21"/>
                    </w:rPr>
                    <w:t>五日生化需氧量</w:t>
                  </w:r>
                </w:p>
              </w:tc>
              <w:tc>
                <w:tcPr>
                  <w:tcW w:w="741" w:type="dxa"/>
                  <w:noWrap w:val="0"/>
                  <w:vAlign w:val="center"/>
                </w:tcPr>
                <w:p w14:paraId="2E1BF423">
                  <w:pPr>
                    <w:jc w:val="center"/>
                    <w:rPr>
                      <w:rFonts w:hint="default" w:ascii="Times New Roman" w:hAnsi="Times New Roman"/>
                      <w:color w:val="auto"/>
                      <w:sz w:val="21"/>
                      <w:szCs w:val="21"/>
                    </w:rPr>
                  </w:pPr>
                  <w:r>
                    <w:rPr>
                      <w:rFonts w:hint="default" w:ascii="Times New Roman" w:hAnsi="Times New Roman"/>
                      <w:color w:val="auto"/>
                      <w:sz w:val="21"/>
                      <w:szCs w:val="21"/>
                    </w:rPr>
                    <w:t>氨氮</w:t>
                  </w:r>
                </w:p>
              </w:tc>
              <w:tc>
                <w:tcPr>
                  <w:tcW w:w="645" w:type="dxa"/>
                  <w:noWrap w:val="0"/>
                  <w:vAlign w:val="center"/>
                </w:tcPr>
                <w:p w14:paraId="141DFE50">
                  <w:pPr>
                    <w:jc w:val="center"/>
                    <w:rPr>
                      <w:rFonts w:hint="default" w:ascii="Times New Roman" w:hAnsi="Times New Roman"/>
                      <w:color w:val="auto"/>
                      <w:sz w:val="21"/>
                      <w:szCs w:val="21"/>
                    </w:rPr>
                  </w:pPr>
                  <w:r>
                    <w:rPr>
                      <w:rFonts w:hint="default" w:ascii="Times New Roman" w:hAnsi="Times New Roman"/>
                      <w:color w:val="auto"/>
                      <w:sz w:val="21"/>
                      <w:szCs w:val="21"/>
                    </w:rPr>
                    <w:t>总磷</w:t>
                  </w:r>
                </w:p>
              </w:tc>
              <w:tc>
                <w:tcPr>
                  <w:tcW w:w="665" w:type="dxa"/>
                  <w:noWrap w:val="0"/>
                  <w:vAlign w:val="center"/>
                </w:tcPr>
                <w:p w14:paraId="38C75A16">
                  <w:pPr>
                    <w:jc w:val="center"/>
                    <w:rPr>
                      <w:rFonts w:hint="default" w:ascii="Times New Roman" w:hAnsi="Times New Roman"/>
                      <w:color w:val="auto"/>
                      <w:sz w:val="21"/>
                      <w:szCs w:val="21"/>
                    </w:rPr>
                  </w:pPr>
                  <w:r>
                    <w:rPr>
                      <w:rFonts w:hint="default" w:ascii="Times New Roman" w:hAnsi="Times New Roman"/>
                      <w:color w:val="auto"/>
                      <w:sz w:val="21"/>
                      <w:szCs w:val="21"/>
                    </w:rPr>
                    <w:t>总氮</w:t>
                  </w:r>
                </w:p>
              </w:tc>
              <w:tc>
                <w:tcPr>
                  <w:tcW w:w="1043" w:type="dxa"/>
                  <w:noWrap w:val="0"/>
                  <w:vAlign w:val="center"/>
                </w:tcPr>
                <w:p w14:paraId="1C178379">
                  <w:pPr>
                    <w:ind w:left="-105" w:leftChars="-50" w:right="-105" w:rightChars="-50"/>
                    <w:jc w:val="center"/>
                    <w:rPr>
                      <w:rFonts w:hint="default" w:ascii="Times New Roman" w:hAnsi="Times New Roman"/>
                      <w:color w:val="auto"/>
                      <w:sz w:val="21"/>
                      <w:szCs w:val="21"/>
                    </w:rPr>
                  </w:pPr>
                  <w:r>
                    <w:rPr>
                      <w:rFonts w:hint="default" w:ascii="Times New Roman" w:hAnsi="Times New Roman"/>
                      <w:color w:val="auto"/>
                      <w:sz w:val="21"/>
                      <w:szCs w:val="21"/>
                    </w:rPr>
                    <w:t>粪大肠菌群</w:t>
                  </w:r>
                </w:p>
                <w:p w14:paraId="57081501">
                  <w:pPr>
                    <w:ind w:left="-105" w:leftChars="-50" w:right="-105" w:rightChars="-50"/>
                    <w:jc w:val="center"/>
                    <w:rPr>
                      <w:rFonts w:hint="default" w:ascii="Times New Roman" w:hAnsi="Times New Roman"/>
                      <w:color w:val="auto"/>
                      <w:sz w:val="21"/>
                      <w:szCs w:val="21"/>
                    </w:rPr>
                  </w:pPr>
                  <w:r>
                    <w:rPr>
                      <w:rFonts w:hint="default" w:ascii="Times New Roman" w:hAnsi="Times New Roman"/>
                      <w:color w:val="auto"/>
                      <w:sz w:val="21"/>
                      <w:szCs w:val="21"/>
                    </w:rPr>
                    <w:t>(MPN/L)</w:t>
                  </w:r>
                </w:p>
              </w:tc>
            </w:tr>
            <w:tr w14:paraId="1AFF4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restart"/>
                  <w:noWrap w:val="0"/>
                  <w:vAlign w:val="center"/>
                </w:tcPr>
                <w:p w14:paraId="4D2877C8">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蓬南镇污水处理厂</w:t>
                  </w:r>
                </w:p>
              </w:tc>
              <w:tc>
                <w:tcPr>
                  <w:tcW w:w="1300" w:type="dxa"/>
                  <w:vMerge w:val="restart"/>
                  <w:noWrap w:val="0"/>
                  <w:vAlign w:val="center"/>
                </w:tcPr>
                <w:p w14:paraId="10453B6F">
                  <w:pPr>
                    <w:jc w:val="center"/>
                    <w:rPr>
                      <w:rFonts w:hint="default" w:ascii="Times New Roman" w:hAnsi="Times New Roman"/>
                      <w:color w:val="auto"/>
                      <w:sz w:val="21"/>
                      <w:szCs w:val="21"/>
                    </w:rPr>
                  </w:pPr>
                  <w:r>
                    <w:rPr>
                      <w:rFonts w:hint="default" w:ascii="Times New Roman" w:hAnsi="Times New Roman"/>
                      <w:color w:val="auto"/>
                      <w:sz w:val="21"/>
                      <w:szCs w:val="21"/>
                    </w:rPr>
                    <w:t>污水厂尾水排口上游500m</w:t>
                  </w:r>
                </w:p>
                <w:p w14:paraId="37F67FE9">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华兴河</w:t>
                  </w:r>
                  <w:r>
                    <w:rPr>
                      <w:rFonts w:ascii="Times New Roman" w:hAnsi="Times New Roman"/>
                      <w:color w:val="auto"/>
                      <w:kern w:val="0"/>
                      <w:sz w:val="21"/>
                      <w:szCs w:val="21"/>
                      <w:lang w:val="en-US" w:eastAsia="zh-CN"/>
                    </w:rPr>
                    <w:t>）</w:t>
                  </w:r>
                </w:p>
              </w:tc>
              <w:tc>
                <w:tcPr>
                  <w:tcW w:w="940" w:type="dxa"/>
                  <w:noWrap w:val="0"/>
                  <w:vAlign w:val="center"/>
                </w:tcPr>
                <w:p w14:paraId="4D7B1CE7">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10月23日</w:t>
                  </w:r>
                </w:p>
              </w:tc>
              <w:tc>
                <w:tcPr>
                  <w:tcW w:w="640" w:type="dxa"/>
                  <w:noWrap w:val="0"/>
                  <w:vAlign w:val="center"/>
                </w:tcPr>
                <w:p w14:paraId="1DF083D0">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7.51</w:t>
                  </w:r>
                </w:p>
              </w:tc>
              <w:tc>
                <w:tcPr>
                  <w:tcW w:w="884" w:type="dxa"/>
                  <w:noWrap w:val="0"/>
                  <w:vAlign w:val="center"/>
                </w:tcPr>
                <w:p w14:paraId="26EB5DDD">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56</w:t>
                  </w:r>
                </w:p>
              </w:tc>
              <w:tc>
                <w:tcPr>
                  <w:tcW w:w="850" w:type="dxa"/>
                  <w:noWrap w:val="0"/>
                  <w:vAlign w:val="center"/>
                </w:tcPr>
                <w:p w14:paraId="67AFF5C1">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24</w:t>
                  </w:r>
                </w:p>
              </w:tc>
              <w:tc>
                <w:tcPr>
                  <w:tcW w:w="1058" w:type="dxa"/>
                  <w:noWrap w:val="0"/>
                  <w:vAlign w:val="center"/>
                </w:tcPr>
                <w:p w14:paraId="6044584B">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1.1</w:t>
                  </w:r>
                </w:p>
              </w:tc>
              <w:tc>
                <w:tcPr>
                  <w:tcW w:w="741" w:type="dxa"/>
                  <w:noWrap w:val="0"/>
                  <w:vAlign w:val="center"/>
                </w:tcPr>
                <w:p w14:paraId="6DF24E7A">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0.510</w:t>
                  </w:r>
                </w:p>
              </w:tc>
              <w:tc>
                <w:tcPr>
                  <w:tcW w:w="645" w:type="dxa"/>
                  <w:noWrap w:val="0"/>
                  <w:vAlign w:val="center"/>
                </w:tcPr>
                <w:p w14:paraId="7FE0B8F5">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0.11</w:t>
                  </w:r>
                </w:p>
              </w:tc>
              <w:tc>
                <w:tcPr>
                  <w:tcW w:w="665" w:type="dxa"/>
                  <w:noWrap w:val="0"/>
                  <w:vAlign w:val="center"/>
                </w:tcPr>
                <w:p w14:paraId="60690EEE">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0.85</w:t>
                  </w:r>
                </w:p>
              </w:tc>
              <w:tc>
                <w:tcPr>
                  <w:tcW w:w="1043" w:type="dxa"/>
                  <w:noWrap w:val="0"/>
                  <w:vAlign w:val="center"/>
                </w:tcPr>
                <w:p w14:paraId="447E9561">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1.1×10</w:t>
                  </w:r>
                  <w:r>
                    <w:rPr>
                      <w:rFonts w:hint="default" w:ascii="Times New Roman" w:hAnsi="Times New Roman"/>
                      <w:color w:val="auto"/>
                      <w:sz w:val="21"/>
                      <w:szCs w:val="21"/>
                      <w:vertAlign w:val="superscript"/>
                    </w:rPr>
                    <w:t>3</w:t>
                  </w:r>
                </w:p>
              </w:tc>
            </w:tr>
            <w:tr w14:paraId="7B7CE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7E48BE41">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6AF0D0C1">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5A671677">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10月24日</w:t>
                  </w:r>
                </w:p>
              </w:tc>
              <w:tc>
                <w:tcPr>
                  <w:tcW w:w="640" w:type="dxa"/>
                  <w:noWrap w:val="0"/>
                  <w:vAlign w:val="center"/>
                </w:tcPr>
                <w:p w14:paraId="0E7D9B78">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7.48</w:t>
                  </w:r>
                </w:p>
              </w:tc>
              <w:tc>
                <w:tcPr>
                  <w:tcW w:w="884" w:type="dxa"/>
                  <w:noWrap w:val="0"/>
                  <w:vAlign w:val="center"/>
                </w:tcPr>
                <w:p w14:paraId="4E696619">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58</w:t>
                  </w:r>
                </w:p>
              </w:tc>
              <w:tc>
                <w:tcPr>
                  <w:tcW w:w="850" w:type="dxa"/>
                  <w:noWrap w:val="0"/>
                  <w:vAlign w:val="center"/>
                </w:tcPr>
                <w:p w14:paraId="01C4E4A3">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23</w:t>
                  </w:r>
                </w:p>
              </w:tc>
              <w:tc>
                <w:tcPr>
                  <w:tcW w:w="1058" w:type="dxa"/>
                  <w:noWrap w:val="0"/>
                  <w:vAlign w:val="center"/>
                </w:tcPr>
                <w:p w14:paraId="15019DAA">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1.0</w:t>
                  </w:r>
                </w:p>
              </w:tc>
              <w:tc>
                <w:tcPr>
                  <w:tcW w:w="741" w:type="dxa"/>
                  <w:noWrap w:val="0"/>
                  <w:vAlign w:val="center"/>
                </w:tcPr>
                <w:p w14:paraId="3841EE60">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0.532</w:t>
                  </w:r>
                </w:p>
              </w:tc>
              <w:tc>
                <w:tcPr>
                  <w:tcW w:w="645" w:type="dxa"/>
                  <w:noWrap w:val="0"/>
                  <w:vAlign w:val="center"/>
                </w:tcPr>
                <w:p w14:paraId="6A319B01">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0.12</w:t>
                  </w:r>
                </w:p>
              </w:tc>
              <w:tc>
                <w:tcPr>
                  <w:tcW w:w="665" w:type="dxa"/>
                  <w:noWrap w:val="0"/>
                  <w:vAlign w:val="center"/>
                </w:tcPr>
                <w:p w14:paraId="685A042D">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0.90</w:t>
                  </w:r>
                </w:p>
              </w:tc>
              <w:tc>
                <w:tcPr>
                  <w:tcW w:w="1043" w:type="dxa"/>
                  <w:noWrap w:val="0"/>
                  <w:vAlign w:val="center"/>
                </w:tcPr>
                <w:p w14:paraId="77338CF4">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1.1×10</w:t>
                  </w:r>
                  <w:r>
                    <w:rPr>
                      <w:rFonts w:hint="default" w:ascii="Times New Roman" w:hAnsi="Times New Roman"/>
                      <w:color w:val="auto"/>
                      <w:sz w:val="21"/>
                      <w:szCs w:val="21"/>
                      <w:vertAlign w:val="superscript"/>
                    </w:rPr>
                    <w:t>3</w:t>
                  </w:r>
                </w:p>
              </w:tc>
            </w:tr>
            <w:tr w14:paraId="3C197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3D260787">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39A27617">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6BE84424">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10月25日</w:t>
                  </w:r>
                </w:p>
              </w:tc>
              <w:tc>
                <w:tcPr>
                  <w:tcW w:w="640" w:type="dxa"/>
                  <w:noWrap w:val="0"/>
                  <w:vAlign w:val="center"/>
                </w:tcPr>
                <w:p w14:paraId="100D388C">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7.45</w:t>
                  </w:r>
                </w:p>
              </w:tc>
              <w:tc>
                <w:tcPr>
                  <w:tcW w:w="884" w:type="dxa"/>
                  <w:noWrap w:val="0"/>
                  <w:vAlign w:val="center"/>
                </w:tcPr>
                <w:p w14:paraId="3196083A">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50</w:t>
                  </w:r>
                </w:p>
              </w:tc>
              <w:tc>
                <w:tcPr>
                  <w:tcW w:w="850" w:type="dxa"/>
                  <w:noWrap w:val="0"/>
                  <w:vAlign w:val="center"/>
                </w:tcPr>
                <w:p w14:paraId="0AFFDCFD">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26</w:t>
                  </w:r>
                </w:p>
              </w:tc>
              <w:tc>
                <w:tcPr>
                  <w:tcW w:w="1058" w:type="dxa"/>
                  <w:noWrap w:val="0"/>
                  <w:vAlign w:val="center"/>
                </w:tcPr>
                <w:p w14:paraId="4504CABD">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1.1</w:t>
                  </w:r>
                </w:p>
              </w:tc>
              <w:tc>
                <w:tcPr>
                  <w:tcW w:w="741" w:type="dxa"/>
                  <w:noWrap w:val="0"/>
                  <w:vAlign w:val="center"/>
                </w:tcPr>
                <w:p w14:paraId="603E6080">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0.478</w:t>
                  </w:r>
                </w:p>
              </w:tc>
              <w:tc>
                <w:tcPr>
                  <w:tcW w:w="645" w:type="dxa"/>
                  <w:noWrap w:val="0"/>
                  <w:vAlign w:val="center"/>
                </w:tcPr>
                <w:p w14:paraId="557CDC30">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0.12</w:t>
                  </w:r>
                </w:p>
              </w:tc>
              <w:tc>
                <w:tcPr>
                  <w:tcW w:w="665" w:type="dxa"/>
                  <w:noWrap w:val="0"/>
                  <w:vAlign w:val="center"/>
                </w:tcPr>
                <w:p w14:paraId="46AB02F2">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0.79</w:t>
                  </w:r>
                </w:p>
              </w:tc>
              <w:tc>
                <w:tcPr>
                  <w:tcW w:w="1043" w:type="dxa"/>
                  <w:noWrap w:val="0"/>
                  <w:vAlign w:val="center"/>
                </w:tcPr>
                <w:p w14:paraId="30B04DCA">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7.0×10</w:t>
                  </w:r>
                  <w:r>
                    <w:rPr>
                      <w:rFonts w:hint="default" w:ascii="Times New Roman" w:hAnsi="Times New Roman"/>
                      <w:color w:val="auto"/>
                      <w:sz w:val="21"/>
                      <w:szCs w:val="21"/>
                      <w:vertAlign w:val="superscript"/>
                    </w:rPr>
                    <w:t>2</w:t>
                  </w:r>
                </w:p>
              </w:tc>
            </w:tr>
            <w:tr w14:paraId="0B460E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0C9D758D">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restart"/>
                  <w:noWrap w:val="0"/>
                  <w:vAlign w:val="center"/>
                </w:tcPr>
                <w:p w14:paraId="46C277BE">
                  <w:pPr>
                    <w:jc w:val="center"/>
                    <w:rPr>
                      <w:rFonts w:hint="default" w:ascii="Times New Roman" w:hAnsi="Times New Roman"/>
                      <w:color w:val="auto"/>
                      <w:sz w:val="21"/>
                      <w:szCs w:val="21"/>
                    </w:rPr>
                  </w:pPr>
                  <w:r>
                    <w:rPr>
                      <w:rFonts w:hint="default" w:ascii="Times New Roman" w:hAnsi="Times New Roman"/>
                      <w:color w:val="auto"/>
                      <w:sz w:val="21"/>
                      <w:szCs w:val="21"/>
                    </w:rPr>
                    <w:t>污水厂尾水排口下游1000m</w:t>
                  </w:r>
                </w:p>
                <w:p w14:paraId="4FD6DD7F">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华兴河</w:t>
                  </w:r>
                  <w:r>
                    <w:rPr>
                      <w:rFonts w:ascii="Times New Roman" w:hAnsi="Times New Roman"/>
                      <w:color w:val="auto"/>
                      <w:kern w:val="0"/>
                      <w:sz w:val="21"/>
                      <w:szCs w:val="21"/>
                      <w:lang w:val="en-US" w:eastAsia="zh-CN"/>
                    </w:rPr>
                    <w:t>）</w:t>
                  </w:r>
                </w:p>
              </w:tc>
              <w:tc>
                <w:tcPr>
                  <w:tcW w:w="940" w:type="dxa"/>
                  <w:noWrap w:val="0"/>
                  <w:vAlign w:val="center"/>
                </w:tcPr>
                <w:p w14:paraId="03FEB316">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10月23日</w:t>
                  </w:r>
                </w:p>
              </w:tc>
              <w:tc>
                <w:tcPr>
                  <w:tcW w:w="640" w:type="dxa"/>
                  <w:noWrap w:val="0"/>
                  <w:vAlign w:val="center"/>
                </w:tcPr>
                <w:p w14:paraId="5AB96178">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7.52</w:t>
                  </w:r>
                </w:p>
              </w:tc>
              <w:tc>
                <w:tcPr>
                  <w:tcW w:w="884" w:type="dxa"/>
                  <w:noWrap w:val="0"/>
                  <w:vAlign w:val="center"/>
                </w:tcPr>
                <w:p w14:paraId="372D88D6">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54</w:t>
                  </w:r>
                </w:p>
              </w:tc>
              <w:tc>
                <w:tcPr>
                  <w:tcW w:w="850" w:type="dxa"/>
                  <w:noWrap w:val="0"/>
                  <w:vAlign w:val="center"/>
                </w:tcPr>
                <w:p w14:paraId="41798D1B">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20</w:t>
                  </w:r>
                </w:p>
              </w:tc>
              <w:tc>
                <w:tcPr>
                  <w:tcW w:w="1058" w:type="dxa"/>
                  <w:noWrap w:val="0"/>
                  <w:vAlign w:val="center"/>
                </w:tcPr>
                <w:p w14:paraId="5E6BB18F">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0.8</w:t>
                  </w:r>
                </w:p>
              </w:tc>
              <w:tc>
                <w:tcPr>
                  <w:tcW w:w="741" w:type="dxa"/>
                  <w:noWrap w:val="0"/>
                  <w:vAlign w:val="center"/>
                </w:tcPr>
                <w:p w14:paraId="414E5B4A">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0.581</w:t>
                  </w:r>
                </w:p>
              </w:tc>
              <w:tc>
                <w:tcPr>
                  <w:tcW w:w="645" w:type="dxa"/>
                  <w:noWrap w:val="0"/>
                  <w:vAlign w:val="center"/>
                </w:tcPr>
                <w:p w14:paraId="44E71C60">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0.10</w:t>
                  </w:r>
                </w:p>
              </w:tc>
              <w:tc>
                <w:tcPr>
                  <w:tcW w:w="665" w:type="dxa"/>
                  <w:noWrap w:val="0"/>
                  <w:vAlign w:val="center"/>
                </w:tcPr>
                <w:p w14:paraId="15FAC79B">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0.92</w:t>
                  </w:r>
                </w:p>
              </w:tc>
              <w:tc>
                <w:tcPr>
                  <w:tcW w:w="1043" w:type="dxa"/>
                  <w:noWrap w:val="0"/>
                  <w:vAlign w:val="center"/>
                </w:tcPr>
                <w:p w14:paraId="464DA425">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1.4×10</w:t>
                  </w:r>
                  <w:r>
                    <w:rPr>
                      <w:rFonts w:hint="default" w:ascii="Times New Roman" w:hAnsi="Times New Roman"/>
                      <w:color w:val="auto"/>
                      <w:sz w:val="21"/>
                      <w:szCs w:val="21"/>
                      <w:vertAlign w:val="superscript"/>
                    </w:rPr>
                    <w:t>3</w:t>
                  </w:r>
                </w:p>
              </w:tc>
            </w:tr>
            <w:tr w14:paraId="092FFE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06CB54DC">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4719A2B3">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5AD7FD95">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10月24日</w:t>
                  </w:r>
                </w:p>
              </w:tc>
              <w:tc>
                <w:tcPr>
                  <w:tcW w:w="640" w:type="dxa"/>
                  <w:noWrap w:val="0"/>
                  <w:vAlign w:val="center"/>
                </w:tcPr>
                <w:p w14:paraId="199A66DA">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7.45</w:t>
                  </w:r>
                </w:p>
              </w:tc>
              <w:tc>
                <w:tcPr>
                  <w:tcW w:w="884" w:type="dxa"/>
                  <w:noWrap w:val="0"/>
                  <w:vAlign w:val="center"/>
                </w:tcPr>
                <w:p w14:paraId="1E42309B">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61</w:t>
                  </w:r>
                </w:p>
              </w:tc>
              <w:tc>
                <w:tcPr>
                  <w:tcW w:w="850" w:type="dxa"/>
                  <w:noWrap w:val="0"/>
                  <w:vAlign w:val="center"/>
                </w:tcPr>
                <w:p w14:paraId="2C56E1E4">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21</w:t>
                  </w:r>
                </w:p>
              </w:tc>
              <w:tc>
                <w:tcPr>
                  <w:tcW w:w="1058" w:type="dxa"/>
                  <w:noWrap w:val="0"/>
                  <w:vAlign w:val="center"/>
                </w:tcPr>
                <w:p w14:paraId="4FEE0377">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0.8</w:t>
                  </w:r>
                </w:p>
              </w:tc>
              <w:tc>
                <w:tcPr>
                  <w:tcW w:w="741" w:type="dxa"/>
                  <w:noWrap w:val="0"/>
                  <w:vAlign w:val="center"/>
                </w:tcPr>
                <w:p w14:paraId="1F440758">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0.554</w:t>
                  </w:r>
                </w:p>
              </w:tc>
              <w:tc>
                <w:tcPr>
                  <w:tcW w:w="645" w:type="dxa"/>
                  <w:noWrap w:val="0"/>
                  <w:vAlign w:val="center"/>
                </w:tcPr>
                <w:p w14:paraId="5AC1A702">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0.10</w:t>
                  </w:r>
                </w:p>
              </w:tc>
              <w:tc>
                <w:tcPr>
                  <w:tcW w:w="665" w:type="dxa"/>
                  <w:noWrap w:val="0"/>
                  <w:vAlign w:val="center"/>
                </w:tcPr>
                <w:p w14:paraId="204DF917">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0.94</w:t>
                  </w:r>
                </w:p>
              </w:tc>
              <w:tc>
                <w:tcPr>
                  <w:tcW w:w="1043" w:type="dxa"/>
                  <w:noWrap w:val="0"/>
                  <w:vAlign w:val="center"/>
                </w:tcPr>
                <w:p w14:paraId="7D426932">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9.4×10</w:t>
                  </w:r>
                  <w:r>
                    <w:rPr>
                      <w:rFonts w:hint="default" w:ascii="Times New Roman" w:hAnsi="Times New Roman"/>
                      <w:color w:val="auto"/>
                      <w:sz w:val="21"/>
                      <w:szCs w:val="21"/>
                      <w:vertAlign w:val="superscript"/>
                    </w:rPr>
                    <w:t>2</w:t>
                  </w:r>
                </w:p>
              </w:tc>
            </w:tr>
            <w:tr w14:paraId="3E6436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7E3BE820">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35AB0111">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33CFC02B">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10月25日</w:t>
                  </w:r>
                </w:p>
              </w:tc>
              <w:tc>
                <w:tcPr>
                  <w:tcW w:w="640" w:type="dxa"/>
                  <w:noWrap w:val="0"/>
                  <w:vAlign w:val="center"/>
                </w:tcPr>
                <w:p w14:paraId="5308B054">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7.51</w:t>
                  </w:r>
                </w:p>
              </w:tc>
              <w:tc>
                <w:tcPr>
                  <w:tcW w:w="884" w:type="dxa"/>
                  <w:noWrap w:val="0"/>
                  <w:vAlign w:val="center"/>
                </w:tcPr>
                <w:p w14:paraId="03A9F224">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48</w:t>
                  </w:r>
                </w:p>
              </w:tc>
              <w:tc>
                <w:tcPr>
                  <w:tcW w:w="850" w:type="dxa"/>
                  <w:noWrap w:val="0"/>
                  <w:vAlign w:val="center"/>
                </w:tcPr>
                <w:p w14:paraId="3B869F79">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20</w:t>
                  </w:r>
                </w:p>
              </w:tc>
              <w:tc>
                <w:tcPr>
                  <w:tcW w:w="1058" w:type="dxa"/>
                  <w:noWrap w:val="0"/>
                  <w:vAlign w:val="center"/>
                </w:tcPr>
                <w:p w14:paraId="4EF70A42">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0.8</w:t>
                  </w:r>
                </w:p>
              </w:tc>
              <w:tc>
                <w:tcPr>
                  <w:tcW w:w="741" w:type="dxa"/>
                  <w:noWrap w:val="0"/>
                  <w:vAlign w:val="center"/>
                </w:tcPr>
                <w:p w14:paraId="19D86D4C">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0.564</w:t>
                  </w:r>
                </w:p>
              </w:tc>
              <w:tc>
                <w:tcPr>
                  <w:tcW w:w="645" w:type="dxa"/>
                  <w:noWrap w:val="0"/>
                  <w:vAlign w:val="center"/>
                </w:tcPr>
                <w:p w14:paraId="6DAB19D3">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0.10</w:t>
                  </w:r>
                </w:p>
              </w:tc>
              <w:tc>
                <w:tcPr>
                  <w:tcW w:w="665" w:type="dxa"/>
                  <w:noWrap w:val="0"/>
                  <w:vAlign w:val="center"/>
                </w:tcPr>
                <w:p w14:paraId="770B4982">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0.90</w:t>
                  </w:r>
                </w:p>
              </w:tc>
              <w:tc>
                <w:tcPr>
                  <w:tcW w:w="1043" w:type="dxa"/>
                  <w:noWrap w:val="0"/>
                  <w:vAlign w:val="center"/>
                </w:tcPr>
                <w:p w14:paraId="6B3CA7E7">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4.6×10</w:t>
                  </w:r>
                  <w:r>
                    <w:rPr>
                      <w:rFonts w:hint="default" w:ascii="Times New Roman" w:hAnsi="Times New Roman"/>
                      <w:color w:val="auto"/>
                      <w:sz w:val="21"/>
                      <w:szCs w:val="21"/>
                      <w:vertAlign w:val="superscript"/>
                    </w:rPr>
                    <w:t>2</w:t>
                  </w:r>
                </w:p>
              </w:tc>
            </w:tr>
            <w:tr w14:paraId="2249C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253" w:type="dxa"/>
                  <w:gridSpan w:val="11"/>
                  <w:noWrap w:val="0"/>
                  <w:vAlign w:val="center"/>
                </w:tcPr>
                <w:p w14:paraId="5EBB380E">
                  <w:pPr>
                    <w:spacing w:line="291" w:lineRule="auto"/>
                    <w:jc w:val="center"/>
                    <w:rPr>
                      <w:rFonts w:hint="default" w:ascii="Times New Roman" w:hAnsi="Times New Roman"/>
                      <w:color w:val="auto"/>
                      <w:sz w:val="21"/>
                      <w:szCs w:val="21"/>
                    </w:rPr>
                  </w:pPr>
                  <w:r>
                    <w:rPr>
                      <w:rFonts w:hint="default" w:ascii="Times New Roman" w:hAnsi="Times New Roman"/>
                      <w:color w:val="auto"/>
                      <w:sz w:val="21"/>
                    </w:rPr>
                    <w:t>备注：当测定结果低于检出限时，报所使用方法的检出限值，并加标志位L。</w:t>
                  </w:r>
                </w:p>
              </w:tc>
            </w:tr>
          </w:tbl>
          <w:p w14:paraId="1E4CA7C9">
            <w:pPr>
              <w:adjustRightInd w:val="0"/>
              <w:snapToGrid w:val="0"/>
              <w:spacing w:line="360" w:lineRule="auto"/>
              <w:ind w:firstLine="480" w:firstLineChars="200"/>
              <w:rPr>
                <w:rFonts w:hint="default" w:ascii="Times New Roman" w:hAnsi="Times New Roman"/>
                <w:bCs/>
                <w:color w:val="auto"/>
                <w:sz w:val="24"/>
                <w:szCs w:val="24"/>
              </w:rPr>
            </w:pPr>
            <w:r>
              <w:rPr>
                <w:rFonts w:ascii="Times New Roman" w:hAnsi="Times New Roman"/>
                <w:bCs/>
                <w:color w:val="auto"/>
                <w:sz w:val="24"/>
                <w:szCs w:val="24"/>
              </w:rPr>
              <w:t>6</w:t>
            </w:r>
            <w:r>
              <w:rPr>
                <w:rFonts w:hint="default" w:ascii="Times New Roman" w:hAnsi="Times New Roman"/>
                <w:bCs/>
                <w:color w:val="auto"/>
                <w:sz w:val="24"/>
                <w:szCs w:val="24"/>
              </w:rPr>
              <w:t>）评价方法</w:t>
            </w:r>
          </w:p>
          <w:p w14:paraId="7088208B">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为直观反映水质现状，科学评价水体中污染物是否超标，采用《环境影响评价技术导则 地表水环境》（HJ/T2.3-93）中推荐的单项质量指数法进行评价。</w:t>
            </w:r>
          </w:p>
          <w:p w14:paraId="63D8AFB1">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单项质量指数法数学模式如下：</w:t>
            </w:r>
          </w:p>
          <w:p w14:paraId="03B06E49">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对于一般污染物：</w:t>
            </w:r>
          </w:p>
          <w:p w14:paraId="60A4758E">
            <w:pPr>
              <w:adjustRightInd w:val="0"/>
              <w:snapToGrid w:val="0"/>
              <w:spacing w:line="360" w:lineRule="auto"/>
              <w:ind w:firstLine="480" w:firstLineChars="200"/>
              <w:jc w:val="center"/>
              <w:rPr>
                <w:rFonts w:hint="default" w:ascii="Times New Roman" w:hAnsi="Times New Roman"/>
                <w:color w:val="auto"/>
                <w:sz w:val="24"/>
                <w:szCs w:val="24"/>
              </w:rPr>
            </w:pPr>
            <w:r>
              <w:rPr>
                <w:rFonts w:hint="default" w:ascii="Times New Roman" w:hAnsi="Times New Roman"/>
                <w:color w:val="auto"/>
                <w:sz w:val="24"/>
                <w:szCs w:val="24"/>
              </w:rPr>
              <w:object>
                <v:shape id="_x0000_i1025" o:spt="75" type="#_x0000_t75" style="height:18.75pt;width:54.75pt;" o:ole="t" filled="f" o:preferrelative="t" stroked="f" coordsize="21600,21600">
                  <v:path/>
                  <v:fill on="f" focussize="0,0"/>
                  <v:stroke on="f"/>
                  <v:imagedata r:id="rId7" o:title=""/>
                  <o:lock v:ext="edit" aspectratio="t"/>
                  <w10:wrap type="none"/>
                  <w10:anchorlock/>
                </v:shape>
                <o:OLEObject Type="Embed" ProgID="Equation.3" ShapeID="_x0000_i1025" DrawAspect="Content" ObjectID="_1468075725" r:id="rId6">
                  <o:LockedField>false</o:LockedField>
                </o:OLEObject>
              </w:object>
            </w:r>
          </w:p>
          <w:p w14:paraId="4E52E95B">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式中：Pi——单项质量指数；</w:t>
            </w:r>
          </w:p>
          <w:p w14:paraId="1C68460E">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 xml:space="preserve">      Ci——评价因子i的实测浓度值（mg/L）；</w:t>
            </w:r>
          </w:p>
          <w:p w14:paraId="2977F78D">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 xml:space="preserve">      Si——评价因子i的评价标准限值（mg/L）。</w:t>
            </w:r>
          </w:p>
          <w:p w14:paraId="4500E2CF">
            <w:pPr>
              <w:adjustRightInd w:val="0"/>
              <w:snapToGrid w:val="0"/>
              <w:spacing w:line="360" w:lineRule="auto"/>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对具有上下限标准的项目pH，单项指数模式为：</w:t>
            </w:r>
          </w:p>
          <w:p w14:paraId="5CDBC993">
            <w:pPr>
              <w:tabs>
                <w:tab w:val="left" w:pos="7380"/>
              </w:tabs>
              <w:adjustRightInd w:val="0"/>
              <w:snapToGrid w:val="0"/>
              <w:spacing w:line="360" w:lineRule="auto"/>
              <w:jc w:val="center"/>
              <w:rPr>
                <w:rFonts w:hint="default" w:ascii="Times New Roman" w:hAnsi="Times New Roman"/>
                <w:color w:val="auto"/>
                <w:sz w:val="24"/>
                <w:szCs w:val="24"/>
              </w:rPr>
            </w:pPr>
            <w:r>
              <w:rPr>
                <w:rFonts w:hint="default" w:ascii="Times New Roman" w:hAnsi="Times New Roman"/>
                <w:color w:val="auto"/>
                <w:position w:val="-30"/>
                <w:sz w:val="24"/>
                <w:szCs w:val="24"/>
              </w:rPr>
              <w:object>
                <v:shape id="_x0000_i1026" o:spt="75" type="#_x0000_t75" style="height:36pt;width:96pt;" o:ole="t" filled="f" o:preferrelative="t" stroked="f" coordsize="21600,21600">
                  <v:path/>
                  <v:fill on="f" focussize="0,0"/>
                  <v:stroke on="f"/>
                  <v:imagedata r:id="rId9" o:title=""/>
                  <o:lock v:ext="edit" aspectratio="t"/>
                  <w10:wrap type="none"/>
                  <w10:anchorlock/>
                </v:shape>
                <o:OLEObject Type="Embed" ProgID="Equation.3" ShapeID="_x0000_i1026" DrawAspect="Content" ObjectID="_1468075726" r:id="rId8">
                  <o:LockedField>false</o:LockedField>
                </o:OLEObject>
              </w:object>
            </w:r>
            <w:r>
              <w:rPr>
                <w:rFonts w:hint="default" w:ascii="Times New Roman" w:hAnsi="Times New Roman"/>
                <w:color w:val="auto"/>
                <w:sz w:val="24"/>
                <w:szCs w:val="24"/>
              </w:rPr>
              <w:t xml:space="preserve">           pH</w:t>
            </w:r>
            <w:r>
              <w:rPr>
                <w:rFonts w:hint="default" w:ascii="Times New Roman" w:hAnsi="Times New Roman"/>
                <w:color w:val="auto"/>
                <w:sz w:val="24"/>
                <w:szCs w:val="24"/>
                <w:vertAlign w:val="subscript"/>
              </w:rPr>
              <w:t>j</w:t>
            </w:r>
            <w:r>
              <w:rPr>
                <w:rFonts w:hint="default" w:ascii="Times New Roman" w:hAnsi="Times New Roman"/>
                <w:color w:val="auto"/>
                <w:sz w:val="24"/>
                <w:szCs w:val="24"/>
              </w:rPr>
              <w:t>≤7.0</w:t>
            </w:r>
          </w:p>
          <w:p w14:paraId="7D5888D3">
            <w:pPr>
              <w:tabs>
                <w:tab w:val="left" w:pos="7380"/>
              </w:tabs>
              <w:adjustRightInd w:val="0"/>
              <w:snapToGrid w:val="0"/>
              <w:spacing w:line="360" w:lineRule="auto"/>
              <w:jc w:val="center"/>
              <w:rPr>
                <w:rFonts w:hint="default" w:ascii="Times New Roman" w:hAnsi="Times New Roman"/>
                <w:color w:val="auto"/>
                <w:sz w:val="24"/>
                <w:szCs w:val="24"/>
              </w:rPr>
            </w:pPr>
            <w:r>
              <w:rPr>
                <w:rFonts w:hint="default" w:ascii="Times New Roman" w:hAnsi="Times New Roman"/>
                <w:color w:val="auto"/>
                <w:position w:val="-30"/>
                <w:sz w:val="24"/>
                <w:szCs w:val="24"/>
              </w:rPr>
              <w:object>
                <v:shape id="_x0000_i1027" o:spt="75" type="#_x0000_t75" style="height:36pt;width:96pt;" o:ole="t" filled="f" o:preferrelative="t" stroked="f" coordsize="21600,21600">
                  <v:path/>
                  <v:fill on="f" focussize="0,0"/>
                  <v:stroke on="f"/>
                  <v:imagedata r:id="rId11" o:title=""/>
                  <o:lock v:ext="edit" aspectratio="t"/>
                  <w10:wrap type="none"/>
                  <w10:anchorlock/>
                </v:shape>
                <o:OLEObject Type="Embed" ProgID="Equation.3" ShapeID="_x0000_i1027" DrawAspect="Content" ObjectID="_1468075727" r:id="rId10">
                  <o:LockedField>false</o:LockedField>
                </o:OLEObject>
              </w:object>
            </w:r>
            <w:r>
              <w:rPr>
                <w:rFonts w:hint="default" w:ascii="Times New Roman" w:hAnsi="Times New Roman"/>
                <w:color w:val="auto"/>
                <w:sz w:val="24"/>
                <w:szCs w:val="24"/>
              </w:rPr>
              <w:t xml:space="preserve">           pH</w:t>
            </w:r>
            <w:r>
              <w:rPr>
                <w:rFonts w:hint="default" w:ascii="Times New Roman" w:hAnsi="Times New Roman"/>
                <w:color w:val="auto"/>
                <w:sz w:val="24"/>
                <w:szCs w:val="24"/>
                <w:vertAlign w:val="subscript"/>
              </w:rPr>
              <w:t>j</w:t>
            </w:r>
            <w:r>
              <w:rPr>
                <w:rFonts w:hint="default" w:ascii="Times New Roman" w:hAnsi="Times New Roman"/>
                <w:color w:val="auto"/>
                <w:sz w:val="24"/>
                <w:szCs w:val="24"/>
              </w:rPr>
              <w:t>＞7.0</w:t>
            </w:r>
          </w:p>
          <w:p w14:paraId="6C027A31">
            <w:pPr>
              <w:adjustRightInd w:val="0"/>
              <w:snapToGrid w:val="0"/>
              <w:spacing w:line="360" w:lineRule="auto"/>
              <w:ind w:firstLine="480" w:firstLineChars="200"/>
              <w:rPr>
                <w:rFonts w:hint="default" w:ascii="Times New Roman" w:hAnsi="Times New Roman"/>
                <w:color w:val="auto"/>
                <w:sz w:val="24"/>
                <w:szCs w:val="24"/>
              </w:rPr>
            </w:pPr>
            <w:r>
              <w:rPr>
                <w:rFonts w:hint="default" w:ascii="Times New Roman" w:hAnsi="Times New Roman"/>
                <w:color w:val="auto"/>
                <w:sz w:val="24"/>
                <w:szCs w:val="24"/>
              </w:rPr>
              <w:t>式中：</w:t>
            </w:r>
            <w:r>
              <w:rPr>
                <w:rFonts w:hint="default" w:ascii="Times New Roman" w:hAnsi="Times New Roman"/>
                <w:i/>
                <w:iCs/>
                <w:color w:val="auto"/>
                <w:sz w:val="24"/>
                <w:szCs w:val="24"/>
              </w:rPr>
              <w:t>pH</w:t>
            </w:r>
            <w:r>
              <w:rPr>
                <w:rFonts w:hint="default" w:ascii="Times New Roman" w:hAnsi="Times New Roman"/>
                <w:i/>
                <w:iCs/>
                <w:color w:val="auto"/>
                <w:sz w:val="24"/>
                <w:szCs w:val="24"/>
                <w:vertAlign w:val="subscript"/>
              </w:rPr>
              <w:t>j</w:t>
            </w:r>
            <w:r>
              <w:rPr>
                <w:rFonts w:hint="default" w:ascii="Times New Roman" w:hAnsi="Times New Roman"/>
                <w:color w:val="auto"/>
                <w:sz w:val="24"/>
                <w:szCs w:val="24"/>
              </w:rPr>
              <w:t>——监测点j的pH值；</w:t>
            </w:r>
          </w:p>
          <w:p w14:paraId="2ADE8512">
            <w:pPr>
              <w:adjustRightInd w:val="0"/>
              <w:snapToGrid w:val="0"/>
              <w:spacing w:line="360" w:lineRule="auto"/>
              <w:ind w:firstLine="1200" w:firstLineChars="500"/>
              <w:rPr>
                <w:rFonts w:hint="default" w:ascii="Times New Roman" w:hAnsi="Times New Roman"/>
                <w:color w:val="auto"/>
                <w:sz w:val="24"/>
                <w:szCs w:val="24"/>
              </w:rPr>
            </w:pPr>
            <w:r>
              <w:rPr>
                <w:rFonts w:hint="default" w:ascii="Times New Roman" w:hAnsi="Times New Roman"/>
                <w:i/>
                <w:iCs/>
                <w:color w:val="auto"/>
                <w:sz w:val="24"/>
                <w:szCs w:val="24"/>
              </w:rPr>
              <w:t>pH</w:t>
            </w:r>
            <w:r>
              <w:rPr>
                <w:rFonts w:hint="default" w:ascii="Times New Roman" w:hAnsi="Times New Roman"/>
                <w:i/>
                <w:iCs/>
                <w:color w:val="auto"/>
                <w:sz w:val="24"/>
                <w:szCs w:val="24"/>
                <w:vertAlign w:val="subscript"/>
              </w:rPr>
              <w:t>sd</w:t>
            </w:r>
            <w:r>
              <w:rPr>
                <w:rFonts w:hint="default" w:ascii="Times New Roman" w:hAnsi="Times New Roman"/>
                <w:color w:val="auto"/>
                <w:sz w:val="24"/>
                <w:szCs w:val="24"/>
              </w:rPr>
              <w:t>——地表水水质标准中规定的pH下限值；</w:t>
            </w:r>
          </w:p>
          <w:p w14:paraId="7EDE8486">
            <w:pPr>
              <w:adjustRightInd w:val="0"/>
              <w:snapToGrid w:val="0"/>
              <w:spacing w:line="360" w:lineRule="auto"/>
              <w:ind w:firstLine="1200" w:firstLineChars="500"/>
              <w:rPr>
                <w:rFonts w:hint="default" w:ascii="Times New Roman" w:hAnsi="Times New Roman"/>
                <w:color w:val="auto"/>
                <w:sz w:val="24"/>
                <w:szCs w:val="24"/>
              </w:rPr>
            </w:pPr>
            <w:r>
              <w:rPr>
                <w:rFonts w:hint="default" w:ascii="Times New Roman" w:hAnsi="Times New Roman"/>
                <w:i/>
                <w:iCs/>
                <w:color w:val="auto"/>
                <w:sz w:val="24"/>
                <w:szCs w:val="24"/>
              </w:rPr>
              <w:t>pH</w:t>
            </w:r>
            <w:r>
              <w:rPr>
                <w:rFonts w:hint="default" w:ascii="Times New Roman" w:hAnsi="Times New Roman"/>
                <w:i/>
                <w:iCs/>
                <w:color w:val="auto"/>
                <w:sz w:val="24"/>
                <w:szCs w:val="24"/>
                <w:vertAlign w:val="subscript"/>
              </w:rPr>
              <w:t>su</w:t>
            </w:r>
            <w:r>
              <w:rPr>
                <w:rFonts w:hint="default" w:ascii="Times New Roman" w:hAnsi="Times New Roman"/>
                <w:color w:val="auto"/>
                <w:sz w:val="24"/>
                <w:szCs w:val="24"/>
              </w:rPr>
              <w:t>——地表水水质标准中规定的pH上限值。</w:t>
            </w:r>
          </w:p>
          <w:p w14:paraId="34714CBC">
            <w:pPr>
              <w:adjustRightInd w:val="0"/>
              <w:snapToGrid w:val="0"/>
              <w:spacing w:line="360" w:lineRule="auto"/>
              <w:ind w:firstLine="480" w:firstLineChars="200"/>
              <w:rPr>
                <w:rFonts w:hint="default" w:ascii="Times New Roman" w:hAnsi="Times New Roman"/>
                <w:color w:val="auto"/>
                <w:sz w:val="24"/>
                <w:szCs w:val="24"/>
              </w:rPr>
            </w:pPr>
            <w:r>
              <w:rPr>
                <w:rFonts w:hint="default" w:ascii="Times New Roman" w:hAnsi="Times New Roman"/>
                <w:color w:val="auto"/>
                <w:sz w:val="24"/>
                <w:szCs w:val="24"/>
              </w:rPr>
              <w:t>本项目地表水环境质量现状监测的评价结果见表3-</w:t>
            </w:r>
            <w:r>
              <w:rPr>
                <w:rFonts w:hint="eastAsia" w:ascii="Times New Roman" w:hAnsi="Times New Roman"/>
                <w:color w:val="auto"/>
                <w:sz w:val="24"/>
                <w:szCs w:val="24"/>
                <w:lang w:val="en-US" w:eastAsia="zh-CN"/>
              </w:rPr>
              <w:t>8</w:t>
            </w:r>
            <w:r>
              <w:rPr>
                <w:rFonts w:hint="default" w:ascii="Times New Roman" w:hAnsi="Times New Roman"/>
                <w:color w:val="auto"/>
                <w:sz w:val="24"/>
                <w:szCs w:val="24"/>
              </w:rPr>
              <w:t>。</w:t>
            </w:r>
          </w:p>
          <w:p w14:paraId="3C8CC9E9">
            <w:pPr>
              <w:adjustRightInd w:val="0"/>
              <w:snapToGrid w:val="0"/>
              <w:spacing w:line="360" w:lineRule="auto"/>
              <w:ind w:firstLine="422" w:firstLineChars="20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表3-</w:t>
            </w:r>
            <w:r>
              <w:rPr>
                <w:rFonts w:hint="eastAsia" w:ascii="Times New Roman" w:hAnsi="Times New Roman" w:cs="Times New Roman" w:eastAsiaTheme="minorEastAsia"/>
                <w:b/>
                <w:bCs/>
                <w:color w:val="auto"/>
                <w:sz w:val="21"/>
                <w:szCs w:val="21"/>
                <w:lang w:val="en-US" w:eastAsia="zh-CN"/>
              </w:rPr>
              <w:t>8</w:t>
            </w:r>
            <w:r>
              <w:rPr>
                <w:rFonts w:hint="default" w:ascii="Times New Roman" w:hAnsi="Times New Roman" w:cs="Times New Roman" w:eastAsiaTheme="minorEastAsia"/>
                <w:b/>
                <w:bCs/>
                <w:color w:val="auto"/>
                <w:sz w:val="21"/>
                <w:szCs w:val="21"/>
              </w:rPr>
              <w:t xml:space="preserve">  地表水环境现状评价表（Pi值）</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300"/>
              <w:gridCol w:w="940"/>
              <w:gridCol w:w="729"/>
              <w:gridCol w:w="795"/>
              <w:gridCol w:w="850"/>
              <w:gridCol w:w="1058"/>
              <w:gridCol w:w="729"/>
              <w:gridCol w:w="729"/>
              <w:gridCol w:w="729"/>
              <w:gridCol w:w="907"/>
            </w:tblGrid>
            <w:tr w14:paraId="1A2D12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27" w:type="dxa"/>
                  <w:gridSpan w:val="3"/>
                  <w:tcBorders>
                    <w:tl2br w:val="single" w:color="auto" w:sz="4" w:space="0"/>
                  </w:tcBorders>
                  <w:noWrap w:val="0"/>
                  <w:vAlign w:val="center"/>
                </w:tcPr>
                <w:p w14:paraId="38AF13A7">
                  <w:pPr>
                    <w:spacing w:line="288" w:lineRule="auto"/>
                    <w:jc w:val="right"/>
                    <w:rPr>
                      <w:rFonts w:hint="default" w:ascii="Times New Roman" w:hAnsi="Times New Roman"/>
                      <w:color w:val="auto"/>
                      <w:sz w:val="21"/>
                      <w:szCs w:val="21"/>
                    </w:rPr>
                  </w:pPr>
                  <w:r>
                    <w:rPr>
                      <w:rFonts w:hint="default" w:ascii="Times New Roman" w:hAnsi="Times New Roman"/>
                      <w:color w:val="auto"/>
                      <w:sz w:val="21"/>
                      <w:szCs w:val="21"/>
                    </w:rPr>
                    <w:t>检测项目</w:t>
                  </w:r>
                </w:p>
                <w:p w14:paraId="0436639F">
                  <w:pPr>
                    <w:spacing w:line="288" w:lineRule="auto"/>
                    <w:jc w:val="left"/>
                    <w:rPr>
                      <w:rFonts w:hint="default" w:ascii="Times New Roman" w:hAnsi="Times New Roman"/>
                      <w:color w:val="auto"/>
                      <w:sz w:val="21"/>
                      <w:szCs w:val="21"/>
                    </w:rPr>
                  </w:pPr>
                  <w:r>
                    <w:rPr>
                      <w:rFonts w:hint="default" w:ascii="Times New Roman" w:hAnsi="Times New Roman"/>
                      <w:color w:val="auto"/>
                      <w:sz w:val="21"/>
                      <w:szCs w:val="21"/>
                    </w:rPr>
                    <w:t>检测点位.检测时间</w:t>
                  </w:r>
                </w:p>
              </w:tc>
              <w:tc>
                <w:tcPr>
                  <w:tcW w:w="729" w:type="dxa"/>
                  <w:noWrap w:val="0"/>
                  <w:vAlign w:val="center"/>
                </w:tcPr>
                <w:p w14:paraId="18EB7DFE">
                  <w:pPr>
                    <w:jc w:val="center"/>
                    <w:rPr>
                      <w:rFonts w:hint="default" w:ascii="Times New Roman" w:hAnsi="Times New Roman"/>
                      <w:color w:val="auto"/>
                      <w:sz w:val="21"/>
                      <w:szCs w:val="21"/>
                    </w:rPr>
                  </w:pPr>
                  <w:r>
                    <w:rPr>
                      <w:rFonts w:hint="default" w:ascii="Times New Roman" w:hAnsi="Times New Roman"/>
                      <w:color w:val="auto"/>
                      <w:sz w:val="21"/>
                      <w:szCs w:val="21"/>
                    </w:rPr>
                    <w:t>pH</w:t>
                  </w:r>
                </w:p>
              </w:tc>
              <w:tc>
                <w:tcPr>
                  <w:tcW w:w="795" w:type="dxa"/>
                  <w:noWrap w:val="0"/>
                  <w:vAlign w:val="center"/>
                </w:tcPr>
                <w:p w14:paraId="310EB222">
                  <w:pPr>
                    <w:jc w:val="center"/>
                    <w:rPr>
                      <w:rFonts w:hint="default" w:ascii="Times New Roman" w:hAnsi="Times New Roman"/>
                      <w:color w:val="auto"/>
                      <w:sz w:val="21"/>
                      <w:szCs w:val="21"/>
                    </w:rPr>
                  </w:pPr>
                  <w:r>
                    <w:rPr>
                      <w:rFonts w:hint="default" w:ascii="Times New Roman" w:hAnsi="Times New Roman"/>
                      <w:color w:val="auto"/>
                      <w:sz w:val="21"/>
                      <w:szCs w:val="21"/>
                    </w:rPr>
                    <w:t>悬浮物</w:t>
                  </w:r>
                </w:p>
              </w:tc>
              <w:tc>
                <w:tcPr>
                  <w:tcW w:w="850" w:type="dxa"/>
                  <w:noWrap w:val="0"/>
                  <w:vAlign w:val="center"/>
                </w:tcPr>
                <w:p w14:paraId="3B109455">
                  <w:pPr>
                    <w:jc w:val="center"/>
                    <w:rPr>
                      <w:rFonts w:hint="default" w:ascii="Times New Roman" w:hAnsi="Times New Roman"/>
                      <w:color w:val="auto"/>
                      <w:sz w:val="21"/>
                      <w:szCs w:val="21"/>
                    </w:rPr>
                  </w:pPr>
                  <w:r>
                    <w:rPr>
                      <w:rFonts w:hint="default" w:ascii="Times New Roman" w:hAnsi="Times New Roman"/>
                      <w:color w:val="auto"/>
                      <w:sz w:val="21"/>
                      <w:szCs w:val="21"/>
                    </w:rPr>
                    <w:t>化学需氧量</w:t>
                  </w:r>
                </w:p>
              </w:tc>
              <w:tc>
                <w:tcPr>
                  <w:tcW w:w="1058" w:type="dxa"/>
                  <w:noWrap w:val="0"/>
                  <w:vAlign w:val="center"/>
                </w:tcPr>
                <w:p w14:paraId="3D30AEDE">
                  <w:pPr>
                    <w:jc w:val="center"/>
                    <w:rPr>
                      <w:rFonts w:hint="default" w:ascii="Times New Roman" w:hAnsi="Times New Roman"/>
                      <w:color w:val="auto"/>
                      <w:sz w:val="21"/>
                      <w:szCs w:val="21"/>
                    </w:rPr>
                  </w:pPr>
                  <w:r>
                    <w:rPr>
                      <w:rFonts w:hint="default" w:ascii="Times New Roman" w:hAnsi="Times New Roman"/>
                      <w:color w:val="auto"/>
                      <w:sz w:val="21"/>
                      <w:szCs w:val="21"/>
                    </w:rPr>
                    <w:t>五日生化需氧量</w:t>
                  </w:r>
                </w:p>
              </w:tc>
              <w:tc>
                <w:tcPr>
                  <w:tcW w:w="729" w:type="dxa"/>
                  <w:noWrap w:val="0"/>
                  <w:vAlign w:val="center"/>
                </w:tcPr>
                <w:p w14:paraId="4FE38F1C">
                  <w:pPr>
                    <w:jc w:val="center"/>
                    <w:rPr>
                      <w:rFonts w:hint="default" w:ascii="Times New Roman" w:hAnsi="Times New Roman"/>
                      <w:color w:val="auto"/>
                      <w:sz w:val="21"/>
                      <w:szCs w:val="21"/>
                    </w:rPr>
                  </w:pPr>
                  <w:r>
                    <w:rPr>
                      <w:rFonts w:hint="default" w:ascii="Times New Roman" w:hAnsi="Times New Roman"/>
                      <w:color w:val="auto"/>
                      <w:sz w:val="21"/>
                      <w:szCs w:val="21"/>
                    </w:rPr>
                    <w:t>氨氮</w:t>
                  </w:r>
                </w:p>
              </w:tc>
              <w:tc>
                <w:tcPr>
                  <w:tcW w:w="729" w:type="dxa"/>
                  <w:noWrap w:val="0"/>
                  <w:vAlign w:val="center"/>
                </w:tcPr>
                <w:p w14:paraId="54A9DEC6">
                  <w:pPr>
                    <w:jc w:val="center"/>
                    <w:rPr>
                      <w:rFonts w:hint="default" w:ascii="Times New Roman" w:hAnsi="Times New Roman"/>
                      <w:color w:val="auto"/>
                      <w:sz w:val="21"/>
                      <w:szCs w:val="21"/>
                    </w:rPr>
                  </w:pPr>
                  <w:r>
                    <w:rPr>
                      <w:rFonts w:hint="default" w:ascii="Times New Roman" w:hAnsi="Times New Roman"/>
                      <w:color w:val="auto"/>
                      <w:sz w:val="21"/>
                      <w:szCs w:val="21"/>
                    </w:rPr>
                    <w:t>总磷</w:t>
                  </w:r>
                </w:p>
              </w:tc>
              <w:tc>
                <w:tcPr>
                  <w:tcW w:w="729" w:type="dxa"/>
                  <w:noWrap w:val="0"/>
                  <w:vAlign w:val="center"/>
                </w:tcPr>
                <w:p w14:paraId="69958C25">
                  <w:pPr>
                    <w:jc w:val="center"/>
                    <w:rPr>
                      <w:rFonts w:hint="default" w:ascii="Times New Roman" w:hAnsi="Times New Roman"/>
                      <w:color w:val="auto"/>
                      <w:sz w:val="21"/>
                      <w:szCs w:val="21"/>
                    </w:rPr>
                  </w:pPr>
                  <w:r>
                    <w:rPr>
                      <w:rFonts w:hint="default" w:ascii="Times New Roman" w:hAnsi="Times New Roman"/>
                      <w:color w:val="auto"/>
                      <w:sz w:val="21"/>
                      <w:szCs w:val="21"/>
                    </w:rPr>
                    <w:t>总氮</w:t>
                  </w:r>
                </w:p>
              </w:tc>
              <w:tc>
                <w:tcPr>
                  <w:tcW w:w="907" w:type="dxa"/>
                  <w:noWrap w:val="0"/>
                  <w:vAlign w:val="center"/>
                </w:tcPr>
                <w:p w14:paraId="33F8A6E5">
                  <w:pPr>
                    <w:ind w:left="-105" w:leftChars="-50" w:right="-105" w:rightChars="-50"/>
                    <w:jc w:val="center"/>
                    <w:rPr>
                      <w:rFonts w:hint="default" w:ascii="Times New Roman" w:hAnsi="Times New Roman"/>
                      <w:color w:val="auto"/>
                      <w:sz w:val="21"/>
                      <w:szCs w:val="21"/>
                    </w:rPr>
                  </w:pPr>
                  <w:r>
                    <w:rPr>
                      <w:rFonts w:hint="default" w:ascii="Times New Roman" w:hAnsi="Times New Roman"/>
                      <w:color w:val="auto"/>
                      <w:sz w:val="21"/>
                      <w:szCs w:val="21"/>
                    </w:rPr>
                    <w:t>粪大肠菌群</w:t>
                  </w:r>
                </w:p>
              </w:tc>
            </w:tr>
            <w:tr w14:paraId="3E1FF2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restart"/>
                  <w:noWrap w:val="0"/>
                  <w:vAlign w:val="center"/>
                </w:tcPr>
                <w:p w14:paraId="36AA5800">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蓬南镇污水处理厂</w:t>
                  </w:r>
                </w:p>
              </w:tc>
              <w:tc>
                <w:tcPr>
                  <w:tcW w:w="1300" w:type="dxa"/>
                  <w:vMerge w:val="restart"/>
                  <w:noWrap w:val="0"/>
                  <w:vAlign w:val="center"/>
                </w:tcPr>
                <w:p w14:paraId="21E03B03">
                  <w:pPr>
                    <w:jc w:val="center"/>
                    <w:rPr>
                      <w:rFonts w:hint="default" w:ascii="Times New Roman" w:hAnsi="Times New Roman"/>
                      <w:color w:val="auto"/>
                      <w:sz w:val="21"/>
                      <w:szCs w:val="21"/>
                    </w:rPr>
                  </w:pPr>
                  <w:r>
                    <w:rPr>
                      <w:rFonts w:hint="default" w:ascii="Times New Roman" w:hAnsi="Times New Roman"/>
                      <w:color w:val="auto"/>
                      <w:sz w:val="21"/>
                      <w:szCs w:val="21"/>
                    </w:rPr>
                    <w:t>污水厂尾水排口上游500m</w:t>
                  </w:r>
                </w:p>
                <w:p w14:paraId="03242083">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华兴河</w:t>
                  </w:r>
                  <w:r>
                    <w:rPr>
                      <w:rFonts w:ascii="Times New Roman" w:hAnsi="Times New Roman"/>
                      <w:color w:val="auto"/>
                      <w:kern w:val="0"/>
                      <w:sz w:val="21"/>
                      <w:szCs w:val="21"/>
                      <w:lang w:val="en-US" w:eastAsia="zh-CN"/>
                    </w:rPr>
                    <w:t>）</w:t>
                  </w:r>
                </w:p>
              </w:tc>
              <w:tc>
                <w:tcPr>
                  <w:tcW w:w="940" w:type="dxa"/>
                  <w:noWrap w:val="0"/>
                  <w:vAlign w:val="center"/>
                </w:tcPr>
                <w:p w14:paraId="57FA359D">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10月23日</w:t>
                  </w:r>
                </w:p>
              </w:tc>
              <w:tc>
                <w:tcPr>
                  <w:tcW w:w="729" w:type="dxa"/>
                  <w:noWrap w:val="0"/>
                  <w:vAlign w:val="center"/>
                </w:tcPr>
                <w:p w14:paraId="1323C03B">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0.255</w:t>
                  </w:r>
                </w:p>
              </w:tc>
              <w:tc>
                <w:tcPr>
                  <w:tcW w:w="795" w:type="dxa"/>
                  <w:noWrap w:val="0"/>
                  <w:vAlign w:val="center"/>
                </w:tcPr>
                <w:p w14:paraId="00D9372F">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167F2E8A">
                  <w:pPr>
                    <w:widowControl/>
                    <w:jc w:val="center"/>
                    <w:textAlignment w:val="center"/>
                    <w:rPr>
                      <w:rFonts w:hint="default" w:ascii="Times New Roman" w:hAnsi="Times New Roman"/>
                      <w:b/>
                      <w:bCs/>
                      <w:color w:val="auto"/>
                      <w:sz w:val="21"/>
                      <w:szCs w:val="21"/>
                      <w:u w:val="single"/>
                    </w:rPr>
                  </w:pPr>
                  <w:r>
                    <w:rPr>
                      <w:rFonts w:hint="default" w:ascii="Times New Roman" w:hAnsi="Times New Roman"/>
                      <w:b/>
                      <w:bCs/>
                      <w:color w:val="auto"/>
                      <w:kern w:val="0"/>
                      <w:sz w:val="21"/>
                      <w:szCs w:val="21"/>
                      <w:u w:val="single"/>
                      <w:lang w:bidi="ar"/>
                    </w:rPr>
                    <w:t>1.200</w:t>
                  </w:r>
                </w:p>
              </w:tc>
              <w:tc>
                <w:tcPr>
                  <w:tcW w:w="1058" w:type="dxa"/>
                  <w:noWrap w:val="0"/>
                  <w:vAlign w:val="center"/>
                </w:tcPr>
                <w:p w14:paraId="780297AC">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0.275</w:t>
                  </w:r>
                </w:p>
              </w:tc>
              <w:tc>
                <w:tcPr>
                  <w:tcW w:w="729" w:type="dxa"/>
                  <w:noWrap w:val="0"/>
                  <w:vAlign w:val="center"/>
                </w:tcPr>
                <w:p w14:paraId="6B5CEBC0">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0.510</w:t>
                  </w:r>
                </w:p>
              </w:tc>
              <w:tc>
                <w:tcPr>
                  <w:tcW w:w="729" w:type="dxa"/>
                  <w:noWrap w:val="0"/>
                  <w:vAlign w:val="center"/>
                </w:tcPr>
                <w:p w14:paraId="5708B605">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0.550</w:t>
                  </w:r>
                </w:p>
              </w:tc>
              <w:tc>
                <w:tcPr>
                  <w:tcW w:w="729" w:type="dxa"/>
                  <w:noWrap w:val="0"/>
                  <w:vAlign w:val="center"/>
                </w:tcPr>
                <w:p w14:paraId="16E47244">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0.850</w:t>
                  </w:r>
                </w:p>
              </w:tc>
              <w:tc>
                <w:tcPr>
                  <w:tcW w:w="907" w:type="dxa"/>
                  <w:noWrap w:val="0"/>
                  <w:vAlign w:val="center"/>
                </w:tcPr>
                <w:p w14:paraId="7954D22C">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0.11</w:t>
                  </w:r>
                </w:p>
              </w:tc>
            </w:tr>
            <w:tr w14:paraId="7DC36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5127AB53">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6D5F4BAF">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7E0ECE7C">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10月24日</w:t>
                  </w:r>
                </w:p>
              </w:tc>
              <w:tc>
                <w:tcPr>
                  <w:tcW w:w="729" w:type="dxa"/>
                  <w:noWrap w:val="0"/>
                  <w:vAlign w:val="center"/>
                </w:tcPr>
                <w:p w14:paraId="55DB4786">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0.240</w:t>
                  </w:r>
                </w:p>
              </w:tc>
              <w:tc>
                <w:tcPr>
                  <w:tcW w:w="795" w:type="dxa"/>
                  <w:noWrap w:val="0"/>
                  <w:vAlign w:val="center"/>
                </w:tcPr>
                <w:p w14:paraId="1FEE6A34">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6B9302B7">
                  <w:pPr>
                    <w:widowControl/>
                    <w:jc w:val="center"/>
                    <w:textAlignment w:val="center"/>
                    <w:rPr>
                      <w:rFonts w:hint="default" w:ascii="Times New Roman" w:hAnsi="Times New Roman"/>
                      <w:b/>
                      <w:bCs/>
                      <w:color w:val="auto"/>
                      <w:sz w:val="21"/>
                      <w:szCs w:val="21"/>
                      <w:u w:val="single"/>
                    </w:rPr>
                  </w:pPr>
                  <w:r>
                    <w:rPr>
                      <w:rFonts w:hint="default" w:ascii="Times New Roman" w:hAnsi="Times New Roman"/>
                      <w:b/>
                      <w:bCs/>
                      <w:color w:val="auto"/>
                      <w:kern w:val="0"/>
                      <w:sz w:val="21"/>
                      <w:szCs w:val="21"/>
                      <w:u w:val="single"/>
                      <w:lang w:bidi="ar"/>
                    </w:rPr>
                    <w:t>1.150</w:t>
                  </w:r>
                </w:p>
              </w:tc>
              <w:tc>
                <w:tcPr>
                  <w:tcW w:w="1058" w:type="dxa"/>
                  <w:noWrap w:val="0"/>
                  <w:vAlign w:val="center"/>
                </w:tcPr>
                <w:p w14:paraId="0EF804D7">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0.250</w:t>
                  </w:r>
                </w:p>
              </w:tc>
              <w:tc>
                <w:tcPr>
                  <w:tcW w:w="729" w:type="dxa"/>
                  <w:noWrap w:val="0"/>
                  <w:vAlign w:val="center"/>
                </w:tcPr>
                <w:p w14:paraId="101716F1">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0.532</w:t>
                  </w:r>
                </w:p>
              </w:tc>
              <w:tc>
                <w:tcPr>
                  <w:tcW w:w="729" w:type="dxa"/>
                  <w:noWrap w:val="0"/>
                  <w:vAlign w:val="center"/>
                </w:tcPr>
                <w:p w14:paraId="4F8C9789">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0.600</w:t>
                  </w:r>
                </w:p>
              </w:tc>
              <w:tc>
                <w:tcPr>
                  <w:tcW w:w="729" w:type="dxa"/>
                  <w:noWrap w:val="0"/>
                  <w:vAlign w:val="center"/>
                </w:tcPr>
                <w:p w14:paraId="261A6DBB">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0.900</w:t>
                  </w:r>
                </w:p>
              </w:tc>
              <w:tc>
                <w:tcPr>
                  <w:tcW w:w="907" w:type="dxa"/>
                  <w:noWrap w:val="0"/>
                  <w:vAlign w:val="center"/>
                </w:tcPr>
                <w:p w14:paraId="237156EE">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0.11</w:t>
                  </w:r>
                </w:p>
              </w:tc>
            </w:tr>
            <w:tr w14:paraId="63897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524AE6DF">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41B22916">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44D83D3C">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10月25日</w:t>
                  </w:r>
                </w:p>
              </w:tc>
              <w:tc>
                <w:tcPr>
                  <w:tcW w:w="729" w:type="dxa"/>
                  <w:noWrap w:val="0"/>
                  <w:vAlign w:val="center"/>
                </w:tcPr>
                <w:p w14:paraId="3AA7607D">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0.225</w:t>
                  </w:r>
                </w:p>
              </w:tc>
              <w:tc>
                <w:tcPr>
                  <w:tcW w:w="795" w:type="dxa"/>
                  <w:noWrap w:val="0"/>
                  <w:vAlign w:val="center"/>
                </w:tcPr>
                <w:p w14:paraId="550D39AB">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7F659C13">
                  <w:pPr>
                    <w:widowControl/>
                    <w:jc w:val="center"/>
                    <w:textAlignment w:val="center"/>
                    <w:rPr>
                      <w:rFonts w:hint="default" w:ascii="Times New Roman" w:hAnsi="Times New Roman"/>
                      <w:b/>
                      <w:bCs/>
                      <w:color w:val="auto"/>
                      <w:sz w:val="21"/>
                      <w:szCs w:val="21"/>
                      <w:u w:val="single"/>
                    </w:rPr>
                  </w:pPr>
                  <w:r>
                    <w:rPr>
                      <w:rFonts w:hint="default" w:ascii="Times New Roman" w:hAnsi="Times New Roman"/>
                      <w:b/>
                      <w:bCs/>
                      <w:color w:val="auto"/>
                      <w:kern w:val="0"/>
                      <w:sz w:val="21"/>
                      <w:szCs w:val="21"/>
                      <w:u w:val="single"/>
                      <w:lang w:bidi="ar"/>
                    </w:rPr>
                    <w:t>1.300</w:t>
                  </w:r>
                </w:p>
              </w:tc>
              <w:tc>
                <w:tcPr>
                  <w:tcW w:w="1058" w:type="dxa"/>
                  <w:noWrap w:val="0"/>
                  <w:vAlign w:val="center"/>
                </w:tcPr>
                <w:p w14:paraId="5936E0F4">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0.275</w:t>
                  </w:r>
                </w:p>
              </w:tc>
              <w:tc>
                <w:tcPr>
                  <w:tcW w:w="729" w:type="dxa"/>
                  <w:noWrap w:val="0"/>
                  <w:vAlign w:val="center"/>
                </w:tcPr>
                <w:p w14:paraId="37E7D626">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0.478</w:t>
                  </w:r>
                </w:p>
              </w:tc>
              <w:tc>
                <w:tcPr>
                  <w:tcW w:w="729" w:type="dxa"/>
                  <w:noWrap w:val="0"/>
                  <w:vAlign w:val="center"/>
                </w:tcPr>
                <w:p w14:paraId="577695B0">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0.600</w:t>
                  </w:r>
                </w:p>
              </w:tc>
              <w:tc>
                <w:tcPr>
                  <w:tcW w:w="729" w:type="dxa"/>
                  <w:noWrap w:val="0"/>
                  <w:vAlign w:val="center"/>
                </w:tcPr>
                <w:p w14:paraId="252F50D7">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0.790</w:t>
                  </w:r>
                </w:p>
              </w:tc>
              <w:tc>
                <w:tcPr>
                  <w:tcW w:w="907" w:type="dxa"/>
                  <w:noWrap w:val="0"/>
                  <w:vAlign w:val="center"/>
                </w:tcPr>
                <w:p w14:paraId="6895B5FE">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0.07</w:t>
                  </w:r>
                </w:p>
              </w:tc>
            </w:tr>
            <w:tr w14:paraId="1158BD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6C230779">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restart"/>
                  <w:noWrap w:val="0"/>
                  <w:vAlign w:val="center"/>
                </w:tcPr>
                <w:p w14:paraId="4ED8015E">
                  <w:pPr>
                    <w:jc w:val="center"/>
                    <w:rPr>
                      <w:rFonts w:hint="default" w:ascii="Times New Roman" w:hAnsi="Times New Roman"/>
                      <w:color w:val="auto"/>
                      <w:sz w:val="21"/>
                      <w:szCs w:val="21"/>
                    </w:rPr>
                  </w:pPr>
                  <w:r>
                    <w:rPr>
                      <w:rFonts w:hint="default" w:ascii="Times New Roman" w:hAnsi="Times New Roman"/>
                      <w:color w:val="auto"/>
                      <w:sz w:val="21"/>
                      <w:szCs w:val="21"/>
                    </w:rPr>
                    <w:t>污水厂尾水排口下游1000m</w:t>
                  </w:r>
                </w:p>
                <w:p w14:paraId="06FCE99C">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华兴河</w:t>
                  </w:r>
                  <w:r>
                    <w:rPr>
                      <w:rFonts w:ascii="Times New Roman" w:hAnsi="Times New Roman"/>
                      <w:color w:val="auto"/>
                      <w:kern w:val="0"/>
                      <w:sz w:val="21"/>
                      <w:szCs w:val="21"/>
                      <w:lang w:val="en-US" w:eastAsia="zh-CN"/>
                    </w:rPr>
                    <w:t>）</w:t>
                  </w:r>
                </w:p>
              </w:tc>
              <w:tc>
                <w:tcPr>
                  <w:tcW w:w="940" w:type="dxa"/>
                  <w:noWrap w:val="0"/>
                  <w:vAlign w:val="center"/>
                </w:tcPr>
                <w:p w14:paraId="49B6A26A">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10月23日</w:t>
                  </w:r>
                </w:p>
              </w:tc>
              <w:tc>
                <w:tcPr>
                  <w:tcW w:w="729" w:type="dxa"/>
                  <w:noWrap w:val="0"/>
                  <w:vAlign w:val="center"/>
                </w:tcPr>
                <w:p w14:paraId="43779A0D">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0.260</w:t>
                  </w:r>
                </w:p>
              </w:tc>
              <w:tc>
                <w:tcPr>
                  <w:tcW w:w="795" w:type="dxa"/>
                  <w:noWrap w:val="0"/>
                  <w:vAlign w:val="center"/>
                </w:tcPr>
                <w:p w14:paraId="70D0C6FE">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43FD745E">
                  <w:pPr>
                    <w:widowControl/>
                    <w:jc w:val="center"/>
                    <w:textAlignment w:val="center"/>
                    <w:rPr>
                      <w:rFonts w:hint="default" w:ascii="Times New Roman" w:hAnsi="Times New Roman"/>
                      <w:b/>
                      <w:bCs/>
                      <w:color w:val="auto"/>
                      <w:sz w:val="21"/>
                      <w:szCs w:val="21"/>
                      <w:u w:val="single"/>
                    </w:rPr>
                  </w:pPr>
                  <w:r>
                    <w:rPr>
                      <w:rFonts w:hint="default" w:ascii="Times New Roman" w:hAnsi="Times New Roman"/>
                      <w:b/>
                      <w:bCs/>
                      <w:color w:val="auto"/>
                      <w:kern w:val="0"/>
                      <w:sz w:val="21"/>
                      <w:szCs w:val="21"/>
                      <w:u w:val="single"/>
                      <w:lang w:bidi="ar"/>
                    </w:rPr>
                    <w:t>1.000</w:t>
                  </w:r>
                </w:p>
              </w:tc>
              <w:tc>
                <w:tcPr>
                  <w:tcW w:w="1058" w:type="dxa"/>
                  <w:noWrap w:val="0"/>
                  <w:vAlign w:val="center"/>
                </w:tcPr>
                <w:p w14:paraId="14625C94">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0.200</w:t>
                  </w:r>
                </w:p>
              </w:tc>
              <w:tc>
                <w:tcPr>
                  <w:tcW w:w="729" w:type="dxa"/>
                  <w:noWrap w:val="0"/>
                  <w:vAlign w:val="center"/>
                </w:tcPr>
                <w:p w14:paraId="317BF2BE">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0.581</w:t>
                  </w:r>
                </w:p>
              </w:tc>
              <w:tc>
                <w:tcPr>
                  <w:tcW w:w="729" w:type="dxa"/>
                  <w:noWrap w:val="0"/>
                  <w:vAlign w:val="center"/>
                </w:tcPr>
                <w:p w14:paraId="52816BCA">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0.500</w:t>
                  </w:r>
                </w:p>
              </w:tc>
              <w:tc>
                <w:tcPr>
                  <w:tcW w:w="729" w:type="dxa"/>
                  <w:noWrap w:val="0"/>
                  <w:vAlign w:val="center"/>
                </w:tcPr>
                <w:p w14:paraId="045B0797">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0.920</w:t>
                  </w:r>
                </w:p>
              </w:tc>
              <w:tc>
                <w:tcPr>
                  <w:tcW w:w="907" w:type="dxa"/>
                  <w:noWrap w:val="0"/>
                  <w:vAlign w:val="center"/>
                </w:tcPr>
                <w:p w14:paraId="4BAA9912">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0.14</w:t>
                  </w:r>
                </w:p>
              </w:tc>
            </w:tr>
            <w:tr w14:paraId="3CBEF9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87" w:type="dxa"/>
                  <w:vMerge w:val="continue"/>
                  <w:noWrap w:val="0"/>
                  <w:vAlign w:val="center"/>
                </w:tcPr>
                <w:p w14:paraId="7B0B1967">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3C85C8BA">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7F777A1A">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10月24日</w:t>
                  </w:r>
                </w:p>
              </w:tc>
              <w:tc>
                <w:tcPr>
                  <w:tcW w:w="729" w:type="dxa"/>
                  <w:noWrap w:val="0"/>
                  <w:vAlign w:val="center"/>
                </w:tcPr>
                <w:p w14:paraId="148E38E1">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0.225</w:t>
                  </w:r>
                </w:p>
              </w:tc>
              <w:tc>
                <w:tcPr>
                  <w:tcW w:w="795" w:type="dxa"/>
                  <w:noWrap w:val="0"/>
                  <w:vAlign w:val="center"/>
                </w:tcPr>
                <w:p w14:paraId="322EE8B7">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1E414581">
                  <w:pPr>
                    <w:widowControl/>
                    <w:jc w:val="center"/>
                    <w:textAlignment w:val="center"/>
                    <w:rPr>
                      <w:rFonts w:hint="default" w:ascii="Times New Roman" w:hAnsi="Times New Roman"/>
                      <w:b/>
                      <w:bCs/>
                      <w:color w:val="auto"/>
                      <w:sz w:val="21"/>
                      <w:szCs w:val="21"/>
                      <w:u w:val="single"/>
                    </w:rPr>
                  </w:pPr>
                  <w:r>
                    <w:rPr>
                      <w:rFonts w:hint="default" w:ascii="Times New Roman" w:hAnsi="Times New Roman"/>
                      <w:b/>
                      <w:bCs/>
                      <w:color w:val="auto"/>
                      <w:kern w:val="0"/>
                      <w:sz w:val="21"/>
                      <w:szCs w:val="21"/>
                      <w:u w:val="single"/>
                      <w:lang w:bidi="ar"/>
                    </w:rPr>
                    <w:t>1.050</w:t>
                  </w:r>
                </w:p>
              </w:tc>
              <w:tc>
                <w:tcPr>
                  <w:tcW w:w="1058" w:type="dxa"/>
                  <w:noWrap w:val="0"/>
                  <w:vAlign w:val="center"/>
                </w:tcPr>
                <w:p w14:paraId="6B5299AE">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0.200</w:t>
                  </w:r>
                </w:p>
              </w:tc>
              <w:tc>
                <w:tcPr>
                  <w:tcW w:w="729" w:type="dxa"/>
                  <w:noWrap w:val="0"/>
                  <w:vAlign w:val="center"/>
                </w:tcPr>
                <w:p w14:paraId="69A0F6CB">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0.554</w:t>
                  </w:r>
                </w:p>
              </w:tc>
              <w:tc>
                <w:tcPr>
                  <w:tcW w:w="729" w:type="dxa"/>
                  <w:noWrap w:val="0"/>
                  <w:vAlign w:val="center"/>
                </w:tcPr>
                <w:p w14:paraId="5350EE19">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0.500</w:t>
                  </w:r>
                </w:p>
              </w:tc>
              <w:tc>
                <w:tcPr>
                  <w:tcW w:w="729" w:type="dxa"/>
                  <w:noWrap w:val="0"/>
                  <w:vAlign w:val="center"/>
                </w:tcPr>
                <w:p w14:paraId="2C01DDBE">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0.940</w:t>
                  </w:r>
                </w:p>
              </w:tc>
              <w:tc>
                <w:tcPr>
                  <w:tcW w:w="907" w:type="dxa"/>
                  <w:noWrap w:val="0"/>
                  <w:vAlign w:val="center"/>
                </w:tcPr>
                <w:p w14:paraId="4925F558">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0.094</w:t>
                  </w:r>
                </w:p>
              </w:tc>
            </w:tr>
            <w:tr w14:paraId="2A902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vMerge w:val="continue"/>
                  <w:noWrap w:val="0"/>
                  <w:vAlign w:val="center"/>
                </w:tcPr>
                <w:p w14:paraId="572A8838">
                  <w:pPr>
                    <w:pStyle w:val="18"/>
                    <w:adjustRightInd w:val="0"/>
                    <w:spacing w:before="0" w:beforeAutospacing="0" w:after="0" w:afterAutospacing="0"/>
                    <w:ind w:left="-105" w:leftChars="-50" w:right="-105" w:rightChars="-50"/>
                    <w:jc w:val="center"/>
                    <w:rPr>
                      <w:rFonts w:ascii="Times New Roman" w:hAnsi="Times New Roman"/>
                      <w:color w:val="auto"/>
                      <w:kern w:val="0"/>
                      <w:sz w:val="21"/>
                      <w:szCs w:val="21"/>
                      <w:lang w:val="en-US" w:eastAsia="zh-CN"/>
                    </w:rPr>
                  </w:pPr>
                </w:p>
              </w:tc>
              <w:tc>
                <w:tcPr>
                  <w:tcW w:w="1300" w:type="dxa"/>
                  <w:vMerge w:val="continue"/>
                  <w:noWrap w:val="0"/>
                  <w:vAlign w:val="center"/>
                </w:tcPr>
                <w:p w14:paraId="5E363B66">
                  <w:pPr>
                    <w:pStyle w:val="18"/>
                    <w:adjustRightInd w:val="0"/>
                    <w:spacing w:before="0" w:beforeAutospacing="0" w:after="0" w:afterAutospacing="0"/>
                    <w:jc w:val="center"/>
                    <w:rPr>
                      <w:rFonts w:ascii="Times New Roman" w:hAnsi="Times New Roman"/>
                      <w:color w:val="auto"/>
                      <w:kern w:val="0"/>
                      <w:sz w:val="21"/>
                      <w:szCs w:val="21"/>
                      <w:lang w:val="en-US" w:eastAsia="zh-CN"/>
                    </w:rPr>
                  </w:pPr>
                </w:p>
              </w:tc>
              <w:tc>
                <w:tcPr>
                  <w:tcW w:w="940" w:type="dxa"/>
                  <w:noWrap w:val="0"/>
                  <w:vAlign w:val="center"/>
                </w:tcPr>
                <w:p w14:paraId="39922685">
                  <w:pPr>
                    <w:pStyle w:val="18"/>
                    <w:adjustRightInd w:val="0"/>
                    <w:spacing w:before="0" w:beforeAutospacing="0" w:after="0" w:afterAutospacing="0" w:line="291" w:lineRule="auto"/>
                    <w:ind w:left="-105" w:leftChars="-50" w:right="-105" w:rightChars="-50"/>
                    <w:jc w:val="center"/>
                    <w:rPr>
                      <w:rFonts w:ascii="Times New Roman" w:hAnsi="Times New Roman"/>
                      <w:color w:val="auto"/>
                      <w:kern w:val="0"/>
                      <w:sz w:val="21"/>
                      <w:szCs w:val="21"/>
                      <w:lang w:val="en-US" w:eastAsia="zh-CN"/>
                    </w:rPr>
                  </w:pPr>
                  <w:r>
                    <w:rPr>
                      <w:rFonts w:ascii="Times New Roman" w:hAnsi="Times New Roman"/>
                      <w:color w:val="auto"/>
                      <w:kern w:val="0"/>
                      <w:sz w:val="21"/>
                      <w:szCs w:val="21"/>
                      <w:lang w:val="en-US" w:eastAsia="zh-CN"/>
                    </w:rPr>
                    <w:t>10月25日</w:t>
                  </w:r>
                </w:p>
              </w:tc>
              <w:tc>
                <w:tcPr>
                  <w:tcW w:w="729" w:type="dxa"/>
                  <w:noWrap w:val="0"/>
                  <w:vAlign w:val="center"/>
                </w:tcPr>
                <w:p w14:paraId="678C7534">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0.255</w:t>
                  </w:r>
                </w:p>
              </w:tc>
              <w:tc>
                <w:tcPr>
                  <w:tcW w:w="795" w:type="dxa"/>
                  <w:noWrap w:val="0"/>
                  <w:vAlign w:val="center"/>
                </w:tcPr>
                <w:p w14:paraId="357CBBAB">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5207D2AA">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1.000</w:t>
                  </w:r>
                </w:p>
              </w:tc>
              <w:tc>
                <w:tcPr>
                  <w:tcW w:w="1058" w:type="dxa"/>
                  <w:noWrap w:val="0"/>
                  <w:vAlign w:val="center"/>
                </w:tcPr>
                <w:p w14:paraId="26363550">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0.200</w:t>
                  </w:r>
                </w:p>
              </w:tc>
              <w:tc>
                <w:tcPr>
                  <w:tcW w:w="729" w:type="dxa"/>
                  <w:noWrap w:val="0"/>
                  <w:vAlign w:val="center"/>
                </w:tcPr>
                <w:p w14:paraId="58B0981C">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0.564</w:t>
                  </w:r>
                </w:p>
              </w:tc>
              <w:tc>
                <w:tcPr>
                  <w:tcW w:w="729" w:type="dxa"/>
                  <w:noWrap w:val="0"/>
                  <w:vAlign w:val="center"/>
                </w:tcPr>
                <w:p w14:paraId="3EFD1A6B">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0.500</w:t>
                  </w:r>
                </w:p>
              </w:tc>
              <w:tc>
                <w:tcPr>
                  <w:tcW w:w="729" w:type="dxa"/>
                  <w:noWrap w:val="0"/>
                  <w:vAlign w:val="center"/>
                </w:tcPr>
                <w:p w14:paraId="0C8F6C58">
                  <w:pPr>
                    <w:widowControl/>
                    <w:jc w:val="center"/>
                    <w:textAlignment w:val="center"/>
                    <w:rPr>
                      <w:rFonts w:hint="default" w:ascii="Times New Roman" w:hAnsi="Times New Roman"/>
                      <w:color w:val="auto"/>
                      <w:sz w:val="21"/>
                      <w:szCs w:val="21"/>
                    </w:rPr>
                  </w:pPr>
                  <w:r>
                    <w:rPr>
                      <w:rFonts w:hint="default" w:ascii="Times New Roman" w:hAnsi="Times New Roman"/>
                      <w:color w:val="auto"/>
                      <w:kern w:val="0"/>
                      <w:sz w:val="21"/>
                      <w:szCs w:val="21"/>
                      <w:lang w:bidi="ar"/>
                    </w:rPr>
                    <w:t>0.900</w:t>
                  </w:r>
                </w:p>
              </w:tc>
              <w:tc>
                <w:tcPr>
                  <w:tcW w:w="907" w:type="dxa"/>
                  <w:noWrap w:val="0"/>
                  <w:vAlign w:val="center"/>
                </w:tcPr>
                <w:p w14:paraId="0625B90C">
                  <w:pPr>
                    <w:spacing w:line="291" w:lineRule="auto"/>
                    <w:jc w:val="center"/>
                    <w:rPr>
                      <w:rFonts w:hint="default" w:ascii="Times New Roman" w:hAnsi="Times New Roman"/>
                      <w:color w:val="auto"/>
                      <w:sz w:val="21"/>
                      <w:szCs w:val="21"/>
                    </w:rPr>
                  </w:pPr>
                  <w:r>
                    <w:rPr>
                      <w:rFonts w:hint="default" w:ascii="Times New Roman" w:hAnsi="Times New Roman"/>
                      <w:color w:val="auto"/>
                      <w:sz w:val="21"/>
                      <w:szCs w:val="21"/>
                    </w:rPr>
                    <w:t>0.046</w:t>
                  </w:r>
                </w:p>
              </w:tc>
            </w:tr>
            <w:tr w14:paraId="048FB9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27" w:type="dxa"/>
                  <w:gridSpan w:val="3"/>
                  <w:noWrap w:val="0"/>
                  <w:vAlign w:val="center"/>
                </w:tcPr>
                <w:p w14:paraId="7C803A52">
                  <w:pPr>
                    <w:widowControl/>
                    <w:adjustRightInd w:val="0"/>
                    <w:ind w:left="-105" w:leftChars="-50" w:right="-105" w:rightChars="-50"/>
                    <w:jc w:val="center"/>
                    <w:rPr>
                      <w:rFonts w:hint="default" w:ascii="Times New Roman" w:hAnsi="Times New Roman"/>
                      <w:color w:val="auto"/>
                      <w:sz w:val="21"/>
                      <w:szCs w:val="21"/>
                    </w:rPr>
                  </w:pPr>
                  <w:r>
                    <w:rPr>
                      <w:rFonts w:hint="default" w:ascii="Times New Roman" w:hAnsi="Times New Roman"/>
                      <w:color w:val="auto"/>
                      <w:kern w:val="0"/>
                      <w:sz w:val="21"/>
                      <w:szCs w:val="21"/>
                    </w:rPr>
                    <w:t>标准值</w:t>
                  </w:r>
                </w:p>
              </w:tc>
              <w:tc>
                <w:tcPr>
                  <w:tcW w:w="729" w:type="dxa"/>
                  <w:noWrap w:val="0"/>
                  <w:vAlign w:val="center"/>
                </w:tcPr>
                <w:p w14:paraId="3D9AAFD0">
                  <w:pPr>
                    <w:jc w:val="center"/>
                    <w:rPr>
                      <w:rFonts w:hint="default" w:ascii="Times New Roman" w:hAnsi="Times New Roman"/>
                      <w:color w:val="auto"/>
                      <w:sz w:val="21"/>
                      <w:szCs w:val="21"/>
                    </w:rPr>
                  </w:pPr>
                  <w:r>
                    <w:rPr>
                      <w:rFonts w:hint="default" w:ascii="Times New Roman" w:hAnsi="Times New Roman"/>
                      <w:color w:val="auto"/>
                      <w:sz w:val="21"/>
                      <w:szCs w:val="21"/>
                    </w:rPr>
                    <w:t>6~9</w:t>
                  </w:r>
                </w:p>
              </w:tc>
              <w:tc>
                <w:tcPr>
                  <w:tcW w:w="795" w:type="dxa"/>
                  <w:noWrap w:val="0"/>
                  <w:vAlign w:val="center"/>
                </w:tcPr>
                <w:p w14:paraId="287C3C51">
                  <w:pPr>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850" w:type="dxa"/>
                  <w:noWrap w:val="0"/>
                  <w:vAlign w:val="center"/>
                </w:tcPr>
                <w:p w14:paraId="3316B42F">
                  <w:pPr>
                    <w:jc w:val="center"/>
                    <w:rPr>
                      <w:rFonts w:hint="default" w:ascii="Times New Roman" w:hAnsi="Times New Roman"/>
                      <w:color w:val="auto"/>
                      <w:sz w:val="21"/>
                      <w:szCs w:val="21"/>
                    </w:rPr>
                  </w:pPr>
                  <w:r>
                    <w:rPr>
                      <w:rFonts w:hint="default" w:ascii="Times New Roman" w:hAnsi="Times New Roman"/>
                      <w:color w:val="auto"/>
                      <w:sz w:val="21"/>
                      <w:szCs w:val="21"/>
                    </w:rPr>
                    <w:t>≤20</w:t>
                  </w:r>
                </w:p>
              </w:tc>
              <w:tc>
                <w:tcPr>
                  <w:tcW w:w="1058" w:type="dxa"/>
                  <w:noWrap w:val="0"/>
                  <w:vAlign w:val="center"/>
                </w:tcPr>
                <w:p w14:paraId="4B6BC360">
                  <w:pPr>
                    <w:jc w:val="center"/>
                    <w:rPr>
                      <w:rFonts w:hint="default" w:ascii="Times New Roman" w:hAnsi="Times New Roman"/>
                      <w:color w:val="auto"/>
                      <w:sz w:val="21"/>
                      <w:szCs w:val="21"/>
                    </w:rPr>
                  </w:pPr>
                  <w:r>
                    <w:rPr>
                      <w:rFonts w:hint="default" w:ascii="Times New Roman" w:hAnsi="Times New Roman"/>
                      <w:color w:val="auto"/>
                      <w:sz w:val="21"/>
                      <w:szCs w:val="21"/>
                    </w:rPr>
                    <w:t>≤4.0</w:t>
                  </w:r>
                </w:p>
              </w:tc>
              <w:tc>
                <w:tcPr>
                  <w:tcW w:w="729" w:type="dxa"/>
                  <w:noWrap w:val="0"/>
                  <w:vAlign w:val="center"/>
                </w:tcPr>
                <w:p w14:paraId="5D4F1A01">
                  <w:pPr>
                    <w:jc w:val="center"/>
                    <w:rPr>
                      <w:rFonts w:hint="default" w:ascii="Times New Roman" w:hAnsi="Times New Roman"/>
                      <w:color w:val="auto"/>
                      <w:sz w:val="21"/>
                      <w:szCs w:val="21"/>
                    </w:rPr>
                  </w:pPr>
                  <w:r>
                    <w:rPr>
                      <w:rFonts w:hint="default" w:ascii="Times New Roman" w:hAnsi="Times New Roman"/>
                      <w:color w:val="auto"/>
                      <w:sz w:val="21"/>
                      <w:szCs w:val="21"/>
                    </w:rPr>
                    <w:t>≤1.0</w:t>
                  </w:r>
                </w:p>
              </w:tc>
              <w:tc>
                <w:tcPr>
                  <w:tcW w:w="729" w:type="dxa"/>
                  <w:noWrap w:val="0"/>
                  <w:vAlign w:val="center"/>
                </w:tcPr>
                <w:p w14:paraId="082C5359">
                  <w:pPr>
                    <w:jc w:val="center"/>
                    <w:rPr>
                      <w:rFonts w:hint="default" w:ascii="Times New Roman" w:hAnsi="Times New Roman"/>
                      <w:color w:val="auto"/>
                      <w:sz w:val="21"/>
                      <w:szCs w:val="21"/>
                    </w:rPr>
                  </w:pPr>
                  <w:r>
                    <w:rPr>
                      <w:rFonts w:hint="default" w:ascii="Times New Roman" w:hAnsi="Times New Roman"/>
                      <w:color w:val="auto"/>
                      <w:sz w:val="21"/>
                      <w:szCs w:val="21"/>
                    </w:rPr>
                    <w:t>≤0.2</w:t>
                  </w:r>
                </w:p>
              </w:tc>
              <w:tc>
                <w:tcPr>
                  <w:tcW w:w="729" w:type="dxa"/>
                  <w:noWrap w:val="0"/>
                  <w:vAlign w:val="center"/>
                </w:tcPr>
                <w:p w14:paraId="002162B7">
                  <w:pPr>
                    <w:jc w:val="center"/>
                    <w:rPr>
                      <w:rFonts w:hint="default" w:ascii="Times New Roman" w:hAnsi="Times New Roman"/>
                      <w:color w:val="auto"/>
                      <w:sz w:val="21"/>
                      <w:szCs w:val="21"/>
                    </w:rPr>
                  </w:pPr>
                  <w:r>
                    <w:rPr>
                      <w:rFonts w:hint="default" w:ascii="Times New Roman" w:hAnsi="Times New Roman"/>
                      <w:color w:val="auto"/>
                      <w:sz w:val="21"/>
                      <w:szCs w:val="21"/>
                    </w:rPr>
                    <w:t>≤1.0</w:t>
                  </w:r>
                </w:p>
              </w:tc>
              <w:tc>
                <w:tcPr>
                  <w:tcW w:w="907" w:type="dxa"/>
                  <w:noWrap w:val="0"/>
                  <w:vAlign w:val="center"/>
                </w:tcPr>
                <w:p w14:paraId="447B2B49">
                  <w:pPr>
                    <w:jc w:val="center"/>
                    <w:rPr>
                      <w:rFonts w:hint="default" w:ascii="Times New Roman" w:hAnsi="Times New Roman"/>
                      <w:color w:val="auto"/>
                      <w:sz w:val="21"/>
                      <w:szCs w:val="21"/>
                    </w:rPr>
                  </w:pPr>
                  <w:r>
                    <w:rPr>
                      <w:rFonts w:hint="default" w:ascii="Times New Roman" w:hAnsi="Times New Roman"/>
                      <w:color w:val="auto"/>
                      <w:sz w:val="21"/>
                      <w:szCs w:val="21"/>
                    </w:rPr>
                    <w:t>≤10000</w:t>
                  </w:r>
                </w:p>
              </w:tc>
            </w:tr>
          </w:tbl>
          <w:p w14:paraId="0884091D">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olor w:val="auto"/>
                <w:sz w:val="24"/>
                <w:szCs w:val="24"/>
              </w:rPr>
              <w:t>从评价结果可知，本项目</w:t>
            </w:r>
            <w:r>
              <w:rPr>
                <w:rFonts w:ascii="Times New Roman" w:hAnsi="Times New Roman"/>
                <w:color w:val="auto"/>
                <w:sz w:val="24"/>
                <w:szCs w:val="24"/>
              </w:rPr>
              <w:t>蓬南镇污水处理厂</w:t>
            </w:r>
            <w:r>
              <w:rPr>
                <w:rFonts w:hint="eastAsia" w:ascii="Times New Roman" w:hAnsi="Times New Roman"/>
                <w:color w:val="auto"/>
                <w:sz w:val="24"/>
                <w:szCs w:val="24"/>
                <w:lang w:eastAsia="zh-CN"/>
              </w:rPr>
              <w:t>华兴河</w:t>
            </w:r>
            <w:r>
              <w:rPr>
                <w:rFonts w:hint="default" w:ascii="Times New Roman" w:hAnsi="Times New Roman"/>
                <w:color w:val="auto"/>
                <w:sz w:val="24"/>
                <w:szCs w:val="24"/>
              </w:rPr>
              <w:t>监测断面化学需氧量超出《地表水环境质量标准》（GB3838-2002）Ⅲ类水域标准。故项目所在区域评价河段水质污染因子不能满足《地表水环境质量标准》（GB3838-2002）Ⅲ类水域标准要求。超标原因分析：</w:t>
            </w:r>
            <w:r>
              <w:rPr>
                <w:rFonts w:hint="eastAsia" w:ascii="Times New Roman" w:hAnsi="Times New Roman"/>
                <w:color w:val="auto"/>
                <w:sz w:val="24"/>
                <w:szCs w:val="24"/>
                <w:lang w:val="en-US" w:eastAsia="zh-CN"/>
              </w:rPr>
              <w:t>由于蓬南场镇截污管网已建设完成，但配套污水收集管网部分还未竣工，故</w:t>
            </w:r>
            <w:r>
              <w:rPr>
                <w:rFonts w:hint="default" w:ascii="Times New Roman" w:hAnsi="Times New Roman"/>
                <w:color w:val="auto"/>
                <w:sz w:val="24"/>
                <w:szCs w:val="24"/>
              </w:rPr>
              <w:t>评价河段有大量农村散户生活污水未经处理直接排入河道，在</w:t>
            </w:r>
            <w:r>
              <w:rPr>
                <w:rFonts w:hint="eastAsia" w:ascii="Times New Roman" w:hAnsi="Times New Roman"/>
                <w:color w:val="auto"/>
                <w:sz w:val="24"/>
                <w:szCs w:val="24"/>
                <w:lang w:val="en-US" w:eastAsia="zh-CN"/>
              </w:rPr>
              <w:t>蓬南镇</w:t>
            </w:r>
            <w:r>
              <w:rPr>
                <w:rFonts w:hint="default" w:ascii="Times New Roman" w:hAnsi="Times New Roman"/>
                <w:color w:val="auto"/>
                <w:sz w:val="24"/>
                <w:szCs w:val="24"/>
              </w:rPr>
              <w:t>污水处理厂提标改造完成后及后续周边管网建设完善后，河道水质将会得到很大改善。</w:t>
            </w:r>
          </w:p>
          <w:p w14:paraId="12720D38">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三、声环境质量现状评价</w:t>
            </w:r>
          </w:p>
          <w:p w14:paraId="0C2892A8">
            <w:pPr>
              <w:spacing w:line="360" w:lineRule="auto"/>
              <w:ind w:firstLine="480" w:firstLineChars="200"/>
              <w:rPr>
                <w:rFonts w:hint="default" w:ascii="Times New Roman" w:hAnsi="Times New Roman" w:eastAsia="宋体" w:cs="Times New Roman"/>
                <w:b w:val="0"/>
                <w:bCs w:val="0"/>
                <w:color w:val="auto"/>
                <w:sz w:val="24"/>
                <w:lang w:val="zh-CN"/>
              </w:rPr>
            </w:pPr>
            <w:r>
              <w:rPr>
                <w:rFonts w:hint="default" w:ascii="Times New Roman" w:hAnsi="Times New Roman" w:eastAsia="宋体" w:cs="Times New Roman"/>
                <w:b w:val="0"/>
                <w:bCs w:val="0"/>
                <w:color w:val="auto"/>
                <w:sz w:val="24"/>
                <w:lang w:val="zh-CN"/>
              </w:rPr>
              <w:t>为了解本项目区域声环境质量现状，</w:t>
            </w:r>
            <w:r>
              <w:rPr>
                <w:rFonts w:hint="default" w:ascii="Times New Roman" w:hAnsi="Times New Roman" w:cs="Times New Roman"/>
                <w:b w:val="0"/>
                <w:bCs w:val="0"/>
                <w:color w:val="auto"/>
                <w:sz w:val="24"/>
                <w:szCs w:val="24"/>
                <w:lang w:eastAsia="zh-CN"/>
              </w:rPr>
              <w:t>四川甲乙环境检测有限公司</w:t>
            </w:r>
            <w:r>
              <w:rPr>
                <w:rFonts w:hint="default" w:ascii="Times New Roman" w:hAnsi="Times New Roman" w:eastAsia="宋体" w:cs="Times New Roman"/>
                <w:b w:val="0"/>
                <w:bCs w:val="0"/>
                <w:color w:val="auto"/>
                <w:sz w:val="24"/>
                <w:szCs w:val="24"/>
              </w:rPr>
              <w:t>于20</w:t>
            </w:r>
            <w:r>
              <w:rPr>
                <w:rFonts w:hint="default" w:ascii="Times New Roman" w:hAnsi="Times New Roman" w:cs="Times New Roman"/>
                <w:b w:val="0"/>
                <w:bCs w:val="0"/>
                <w:color w:val="auto"/>
                <w:sz w:val="24"/>
                <w:szCs w:val="24"/>
                <w:lang w:val="en-US" w:eastAsia="zh-CN"/>
              </w:rPr>
              <w:t>2</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年</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月</w:t>
            </w:r>
            <w:r>
              <w:rPr>
                <w:rFonts w:hint="eastAsia" w:cs="Times New Roman"/>
                <w:b w:val="0"/>
                <w:bCs w:val="0"/>
                <w:color w:val="auto"/>
                <w:sz w:val="24"/>
                <w:szCs w:val="24"/>
                <w:lang w:val="en-US" w:eastAsia="zh-CN"/>
              </w:rPr>
              <w:t>11</w:t>
            </w:r>
            <w:r>
              <w:rPr>
                <w:rFonts w:hint="default" w:ascii="Times New Roman" w:hAnsi="Times New Roman" w:eastAsia="宋体" w:cs="Times New Roman"/>
                <w:b w:val="0"/>
                <w:bCs w:val="0"/>
                <w:color w:val="auto"/>
                <w:sz w:val="24"/>
                <w:szCs w:val="24"/>
              </w:rPr>
              <w:t>日～20</w:t>
            </w:r>
            <w:r>
              <w:rPr>
                <w:rFonts w:hint="default" w:ascii="Times New Roman" w:hAnsi="Times New Roman" w:cs="Times New Roman"/>
                <w:b w:val="0"/>
                <w:bCs w:val="0"/>
                <w:color w:val="auto"/>
                <w:sz w:val="24"/>
                <w:szCs w:val="24"/>
                <w:lang w:val="en-US" w:eastAsia="zh-CN"/>
              </w:rPr>
              <w:t>20</w:t>
            </w:r>
            <w:r>
              <w:rPr>
                <w:rFonts w:hint="default" w:ascii="Times New Roman" w:hAnsi="Times New Roman" w:eastAsia="宋体" w:cs="Times New Roman"/>
                <w:b w:val="0"/>
                <w:bCs w:val="0"/>
                <w:color w:val="auto"/>
                <w:sz w:val="24"/>
                <w:szCs w:val="24"/>
              </w:rPr>
              <w:t>年</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月</w:t>
            </w:r>
            <w:r>
              <w:rPr>
                <w:rFonts w:hint="eastAsia" w:cs="Times New Roman"/>
                <w:b w:val="0"/>
                <w:bCs w:val="0"/>
                <w:color w:val="auto"/>
                <w:sz w:val="24"/>
                <w:szCs w:val="24"/>
                <w:lang w:val="en-US" w:eastAsia="zh-CN"/>
              </w:rPr>
              <w:t>12</w:t>
            </w:r>
            <w:r>
              <w:rPr>
                <w:rFonts w:hint="default" w:ascii="Times New Roman" w:hAnsi="Times New Roman" w:eastAsia="宋体" w:cs="Times New Roman"/>
                <w:b w:val="0"/>
                <w:bCs w:val="0"/>
                <w:color w:val="auto"/>
                <w:sz w:val="24"/>
                <w:szCs w:val="24"/>
              </w:rPr>
              <w:t>日对项目所在地</w:t>
            </w:r>
            <w:r>
              <w:rPr>
                <w:rFonts w:hint="default" w:ascii="Times New Roman" w:hAnsi="Times New Roman" w:eastAsia="宋体" w:cs="Times New Roman"/>
                <w:b w:val="0"/>
                <w:bCs w:val="0"/>
                <w:color w:val="auto"/>
                <w:sz w:val="24"/>
                <w:lang w:val="zh-CN"/>
              </w:rPr>
              <w:t>厂界噪声进行了监测</w:t>
            </w:r>
            <w:r>
              <w:rPr>
                <w:rFonts w:hint="default" w:ascii="Times New Roman" w:hAnsi="Times New Roman" w:cs="Times New Roman"/>
                <w:b w:val="0"/>
                <w:bCs w:val="0"/>
                <w:color w:val="auto"/>
                <w:sz w:val="24"/>
                <w:lang w:val="zh-CN"/>
              </w:rPr>
              <w:t>，监测期间项目</w:t>
            </w:r>
            <w:r>
              <w:rPr>
                <w:rFonts w:hint="default" w:ascii="Times New Roman" w:hAnsi="Times New Roman" w:cs="Times New Roman"/>
                <w:b w:val="0"/>
                <w:bCs w:val="0"/>
                <w:color w:val="auto"/>
                <w:sz w:val="24"/>
                <w:lang w:val="en-US" w:eastAsia="zh-CN"/>
              </w:rPr>
              <w:t>处于停业状态</w:t>
            </w:r>
            <w:r>
              <w:rPr>
                <w:rFonts w:hint="default" w:ascii="Times New Roman" w:hAnsi="Times New Roman" w:cs="Times New Roman"/>
                <w:b w:val="0"/>
                <w:bCs w:val="0"/>
                <w:color w:val="auto"/>
                <w:sz w:val="24"/>
                <w:lang w:val="zh-CN"/>
              </w:rPr>
              <w:t>，本次监测属于</w:t>
            </w:r>
            <w:r>
              <w:rPr>
                <w:rFonts w:hint="default" w:ascii="Times New Roman" w:hAnsi="Times New Roman" w:cs="Times New Roman"/>
                <w:b w:val="0"/>
                <w:bCs w:val="0"/>
                <w:color w:val="auto"/>
                <w:sz w:val="24"/>
                <w:lang w:val="en-US" w:eastAsia="zh-CN"/>
              </w:rPr>
              <w:t>本底值监测</w:t>
            </w:r>
            <w:r>
              <w:rPr>
                <w:rFonts w:hint="default" w:ascii="Times New Roman" w:hAnsi="Times New Roman" w:eastAsia="宋体" w:cs="Times New Roman"/>
                <w:b w:val="0"/>
                <w:bCs w:val="0"/>
                <w:color w:val="auto"/>
                <w:sz w:val="24"/>
                <w:lang w:val="zh-CN"/>
              </w:rPr>
              <w:t>。</w:t>
            </w:r>
          </w:p>
          <w:p w14:paraId="2F032151">
            <w:pPr>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1、声环境质量现状监测</w:t>
            </w:r>
          </w:p>
          <w:p w14:paraId="27ED8FFE">
            <w:pPr>
              <w:snapToGrid w:val="0"/>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（1）监测点位</w:t>
            </w:r>
          </w:p>
          <w:p w14:paraId="3BD376E8">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本次评价在项目厂界</w:t>
            </w:r>
            <w:r>
              <w:rPr>
                <w:rFonts w:hint="default" w:ascii="Times New Roman" w:hAnsi="Times New Roman" w:cs="Times New Roman"/>
                <w:color w:val="auto"/>
                <w:sz w:val="24"/>
                <w:lang w:val="en-US" w:eastAsia="zh-CN"/>
              </w:rPr>
              <w:t>和周边环境敏感点</w:t>
            </w:r>
            <w:r>
              <w:rPr>
                <w:rFonts w:hint="default" w:ascii="Times New Roman" w:hAnsi="Times New Roman" w:eastAsia="宋体" w:cs="Times New Roman"/>
                <w:color w:val="auto"/>
                <w:sz w:val="24"/>
              </w:rPr>
              <w:t>共设噪声监测点</w:t>
            </w:r>
            <w:r>
              <w:rPr>
                <w:rFonts w:hint="eastAsia" w:cs="Times New Roman"/>
                <w:color w:val="auto"/>
                <w:sz w:val="24"/>
                <w:lang w:val="en-US" w:eastAsia="zh-CN"/>
              </w:rPr>
              <w:t>9</w:t>
            </w:r>
            <w:r>
              <w:rPr>
                <w:rFonts w:hint="default" w:ascii="Times New Roman" w:hAnsi="Times New Roman" w:eastAsia="宋体" w:cs="Times New Roman"/>
                <w:color w:val="auto"/>
                <w:sz w:val="24"/>
              </w:rPr>
              <w:t>个，监测点位置详见表3-</w:t>
            </w:r>
            <w:r>
              <w:rPr>
                <w:rFonts w:hint="default" w:ascii="Times New Roman" w:hAnsi="Times New Roman" w:cs="Times New Roman"/>
                <w:color w:val="auto"/>
                <w:sz w:val="24"/>
                <w:lang w:val="en-US" w:eastAsia="zh-CN"/>
              </w:rPr>
              <w:t>6</w:t>
            </w:r>
            <w:r>
              <w:rPr>
                <w:rFonts w:hint="default" w:ascii="Times New Roman" w:hAnsi="Times New Roman" w:eastAsia="宋体" w:cs="Times New Roman"/>
                <w:color w:val="auto"/>
                <w:sz w:val="24"/>
              </w:rPr>
              <w:t>。</w:t>
            </w:r>
          </w:p>
          <w:p w14:paraId="07418D23">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表3-</w:t>
            </w:r>
            <w:r>
              <w:rPr>
                <w:rFonts w:hint="default" w:ascii="Times New Roman" w:hAnsi="Times New Roman" w:cs="Times New Roman"/>
                <w:b/>
                <w:bCs/>
                <w:color w:val="auto"/>
                <w:szCs w:val="21"/>
                <w:lang w:val="en-US" w:eastAsia="zh-CN"/>
              </w:rPr>
              <w:t>6</w:t>
            </w:r>
            <w:r>
              <w:rPr>
                <w:rFonts w:hint="default" w:ascii="Times New Roman" w:hAnsi="Times New Roman" w:eastAsia="宋体" w:cs="Times New Roman"/>
                <w:b/>
                <w:bCs/>
                <w:color w:val="auto"/>
                <w:szCs w:val="21"/>
              </w:rPr>
              <w:t xml:space="preserve">  噪声监测点位分布表</w:t>
            </w:r>
          </w:p>
          <w:tbl>
            <w:tblPr>
              <w:tblStyle w:val="22"/>
              <w:tblW w:w="8504" w:type="dxa"/>
              <w:jc w:val="center"/>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97"/>
              <w:gridCol w:w="882"/>
              <w:gridCol w:w="3732"/>
              <w:gridCol w:w="1993"/>
            </w:tblGrid>
            <w:tr w14:paraId="05A15EBD">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1897" w:type="dxa"/>
                  <w:tcBorders>
                    <w:top w:val="single" w:color="auto" w:sz="12" w:space="0"/>
                    <w:bottom w:val="single" w:color="auto" w:sz="12" w:space="0"/>
                    <w:right w:val="single" w:color="auto" w:sz="4" w:space="0"/>
                  </w:tcBorders>
                  <w:noWrap w:val="0"/>
                  <w:vAlign w:val="center"/>
                </w:tcPr>
                <w:p w14:paraId="098233CC">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类型</w:t>
                  </w:r>
                </w:p>
              </w:tc>
              <w:tc>
                <w:tcPr>
                  <w:tcW w:w="882" w:type="dxa"/>
                  <w:tcBorders>
                    <w:top w:val="single" w:color="auto" w:sz="12" w:space="0"/>
                    <w:left w:val="single" w:color="auto" w:sz="4" w:space="0"/>
                    <w:bottom w:val="single" w:color="auto" w:sz="12" w:space="0"/>
                    <w:right w:val="single" w:color="auto" w:sz="4" w:space="0"/>
                  </w:tcBorders>
                  <w:noWrap w:val="0"/>
                  <w:vAlign w:val="center"/>
                </w:tcPr>
                <w:p w14:paraId="5B436B1B">
                  <w:pPr>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编号</w:t>
                  </w:r>
                </w:p>
              </w:tc>
              <w:tc>
                <w:tcPr>
                  <w:tcW w:w="3732" w:type="dxa"/>
                  <w:tcBorders>
                    <w:top w:val="single" w:color="auto" w:sz="12" w:space="0"/>
                    <w:left w:val="single" w:color="auto" w:sz="4" w:space="0"/>
                    <w:bottom w:val="single" w:color="auto" w:sz="12" w:space="0"/>
                    <w:right w:val="single" w:color="auto" w:sz="4" w:space="0"/>
                  </w:tcBorders>
                  <w:noWrap w:val="0"/>
                  <w:vAlign w:val="center"/>
                </w:tcPr>
                <w:p w14:paraId="345D734C">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检测点位</w:t>
                  </w:r>
                </w:p>
              </w:tc>
              <w:tc>
                <w:tcPr>
                  <w:tcW w:w="1993" w:type="dxa"/>
                  <w:tcBorders>
                    <w:top w:val="single" w:color="auto" w:sz="12" w:space="0"/>
                    <w:left w:val="single" w:color="auto" w:sz="4" w:space="0"/>
                    <w:bottom w:val="single" w:color="auto" w:sz="12" w:space="0"/>
                  </w:tcBorders>
                  <w:noWrap w:val="0"/>
                  <w:vAlign w:val="center"/>
                </w:tcPr>
                <w:p w14:paraId="3171136D">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检测频次</w:t>
                  </w:r>
                </w:p>
              </w:tc>
            </w:tr>
            <w:tr w14:paraId="31147BED">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897" w:type="dxa"/>
                  <w:vMerge w:val="restart"/>
                  <w:tcBorders>
                    <w:top w:val="single" w:color="auto" w:sz="12" w:space="0"/>
                    <w:right w:val="single" w:color="auto" w:sz="4" w:space="0"/>
                  </w:tcBorders>
                  <w:noWrap w:val="0"/>
                  <w:vAlign w:val="center"/>
                </w:tcPr>
                <w:p w14:paraId="6D36EEF9">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声环境噪声</w:t>
                  </w:r>
                </w:p>
              </w:tc>
              <w:tc>
                <w:tcPr>
                  <w:tcW w:w="882" w:type="dxa"/>
                  <w:tcBorders>
                    <w:top w:val="single" w:color="auto" w:sz="12" w:space="0"/>
                    <w:left w:val="single" w:color="auto" w:sz="4" w:space="0"/>
                    <w:bottom w:val="single" w:color="auto" w:sz="4" w:space="0"/>
                    <w:right w:val="single" w:color="auto" w:sz="4" w:space="0"/>
                  </w:tcBorders>
                  <w:noWrap w:val="0"/>
                  <w:vAlign w:val="center"/>
                </w:tcPr>
                <w:p w14:paraId="75FA9C10">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c>
                <w:tcPr>
                  <w:tcW w:w="3732" w:type="dxa"/>
                  <w:tcBorders>
                    <w:top w:val="single" w:color="auto" w:sz="12" w:space="0"/>
                    <w:left w:val="single" w:color="auto" w:sz="4" w:space="0"/>
                    <w:bottom w:val="single" w:color="auto" w:sz="4" w:space="0"/>
                    <w:right w:val="single" w:color="auto" w:sz="4" w:space="0"/>
                  </w:tcBorders>
                  <w:noWrap w:val="0"/>
                  <w:vAlign w:val="center"/>
                </w:tcPr>
                <w:p w14:paraId="1AC63F6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项目东侧厂界外1m处</w:t>
                  </w:r>
                </w:p>
              </w:tc>
              <w:tc>
                <w:tcPr>
                  <w:tcW w:w="1993" w:type="dxa"/>
                  <w:vMerge w:val="restart"/>
                  <w:tcBorders>
                    <w:top w:val="single" w:color="auto" w:sz="12" w:space="0"/>
                    <w:left w:val="single" w:color="auto" w:sz="4" w:space="0"/>
                  </w:tcBorders>
                  <w:noWrap w:val="0"/>
                  <w:vAlign w:val="center"/>
                </w:tcPr>
                <w:p w14:paraId="41B558D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连续检测2天</w:t>
                  </w:r>
                </w:p>
                <w:p w14:paraId="791FF7E9">
                  <w:pPr>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昼夜各1次</w:t>
                  </w:r>
                </w:p>
              </w:tc>
            </w:tr>
            <w:tr w14:paraId="0979263A">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7" w:hRule="atLeast"/>
                <w:jc w:val="center"/>
              </w:trPr>
              <w:tc>
                <w:tcPr>
                  <w:tcW w:w="1897" w:type="dxa"/>
                  <w:vMerge w:val="continue"/>
                  <w:tcBorders>
                    <w:right w:val="single" w:color="auto" w:sz="4" w:space="0"/>
                  </w:tcBorders>
                  <w:noWrap w:val="0"/>
                  <w:vAlign w:val="center"/>
                </w:tcPr>
                <w:p w14:paraId="3483157E">
                  <w:pPr>
                    <w:jc w:val="center"/>
                    <w:rPr>
                      <w:rFonts w:hint="default" w:ascii="Times New Roman" w:hAnsi="Times New Roman" w:eastAsia="宋体" w:cs="Times New Roman"/>
                      <w:b/>
                      <w:color w:val="auto"/>
                      <w:szCs w:val="21"/>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5E4ED0F0">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4B4A6355">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项目北侧厂界外1m处</w:t>
                  </w:r>
                </w:p>
              </w:tc>
              <w:tc>
                <w:tcPr>
                  <w:tcW w:w="1993" w:type="dxa"/>
                  <w:vMerge w:val="continue"/>
                  <w:tcBorders>
                    <w:left w:val="single" w:color="auto" w:sz="4" w:space="0"/>
                  </w:tcBorders>
                  <w:noWrap w:val="0"/>
                  <w:vAlign w:val="center"/>
                </w:tcPr>
                <w:p w14:paraId="588DAE44">
                  <w:pPr>
                    <w:jc w:val="center"/>
                    <w:rPr>
                      <w:rFonts w:hint="default" w:ascii="Times New Roman" w:hAnsi="Times New Roman" w:eastAsia="宋体" w:cs="Times New Roman"/>
                      <w:b/>
                      <w:color w:val="auto"/>
                      <w:szCs w:val="21"/>
                    </w:rPr>
                  </w:pPr>
                </w:p>
              </w:tc>
            </w:tr>
            <w:tr w14:paraId="26FCB356">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97" w:type="dxa"/>
                  <w:vMerge w:val="continue"/>
                  <w:tcBorders>
                    <w:right w:val="single" w:color="auto" w:sz="4" w:space="0"/>
                  </w:tcBorders>
                  <w:noWrap w:val="0"/>
                  <w:vAlign w:val="center"/>
                </w:tcPr>
                <w:p w14:paraId="2D43FA98">
                  <w:pPr>
                    <w:jc w:val="center"/>
                    <w:rPr>
                      <w:rFonts w:hint="default" w:ascii="Times New Roman" w:hAnsi="Times New Roman" w:eastAsia="宋体" w:cs="Times New Roman"/>
                      <w:color w:val="auto"/>
                      <w:szCs w:val="21"/>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32E98732">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3#</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0D52642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项目西侧厂界外1m处</w:t>
                  </w:r>
                </w:p>
              </w:tc>
              <w:tc>
                <w:tcPr>
                  <w:tcW w:w="1993" w:type="dxa"/>
                  <w:vMerge w:val="continue"/>
                  <w:tcBorders>
                    <w:left w:val="single" w:color="auto" w:sz="4" w:space="0"/>
                  </w:tcBorders>
                  <w:noWrap w:val="0"/>
                  <w:vAlign w:val="center"/>
                </w:tcPr>
                <w:p w14:paraId="793F4F3C">
                  <w:pPr>
                    <w:jc w:val="center"/>
                    <w:rPr>
                      <w:rFonts w:hint="default" w:ascii="Times New Roman" w:hAnsi="Times New Roman" w:eastAsia="宋体" w:cs="Times New Roman"/>
                      <w:color w:val="auto"/>
                      <w:szCs w:val="21"/>
                    </w:rPr>
                  </w:pPr>
                </w:p>
              </w:tc>
            </w:tr>
            <w:tr w14:paraId="0E70A711">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1897" w:type="dxa"/>
                  <w:vMerge w:val="continue"/>
                  <w:tcBorders>
                    <w:right w:val="single" w:color="auto" w:sz="4" w:space="0"/>
                  </w:tcBorders>
                  <w:noWrap w:val="0"/>
                  <w:vAlign w:val="center"/>
                </w:tcPr>
                <w:p w14:paraId="600D5A19">
                  <w:pPr>
                    <w:jc w:val="center"/>
                    <w:rPr>
                      <w:rFonts w:hint="default" w:ascii="Times New Roman" w:hAnsi="Times New Roman" w:eastAsia="宋体" w:cs="Times New Roman"/>
                      <w:color w:val="auto"/>
                      <w:lang w:eastAsia="zh-CN"/>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36749EDC">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4#</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170DF8B9">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厂界南侧16m农户处</w:t>
                  </w:r>
                </w:p>
              </w:tc>
              <w:tc>
                <w:tcPr>
                  <w:tcW w:w="1993" w:type="dxa"/>
                  <w:vMerge w:val="continue"/>
                  <w:tcBorders>
                    <w:left w:val="single" w:color="auto" w:sz="4" w:space="0"/>
                  </w:tcBorders>
                  <w:noWrap w:val="0"/>
                  <w:vAlign w:val="center"/>
                </w:tcPr>
                <w:p w14:paraId="4E30C19F">
                  <w:pPr>
                    <w:jc w:val="center"/>
                    <w:rPr>
                      <w:rFonts w:hint="default" w:ascii="Times New Roman" w:hAnsi="Times New Roman" w:eastAsia="宋体" w:cs="Times New Roman"/>
                      <w:color w:val="auto"/>
                      <w:szCs w:val="21"/>
                    </w:rPr>
                  </w:pPr>
                </w:p>
              </w:tc>
            </w:tr>
            <w:tr w14:paraId="548CF882">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1897" w:type="dxa"/>
                  <w:vMerge w:val="continue"/>
                  <w:tcBorders>
                    <w:right w:val="single" w:color="auto" w:sz="4" w:space="0"/>
                  </w:tcBorders>
                  <w:noWrap w:val="0"/>
                  <w:vAlign w:val="center"/>
                </w:tcPr>
                <w:p w14:paraId="21088961">
                  <w:pPr>
                    <w:jc w:val="center"/>
                    <w:rPr>
                      <w:rFonts w:hint="default" w:ascii="Times New Roman" w:hAnsi="Times New Roman" w:eastAsia="宋体" w:cs="Times New Roman"/>
                      <w:color w:val="auto"/>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13A0467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0AB1EBB6">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厂界西北侧150m农户处</w:t>
                  </w:r>
                </w:p>
              </w:tc>
              <w:tc>
                <w:tcPr>
                  <w:tcW w:w="1993" w:type="dxa"/>
                  <w:vMerge w:val="continue"/>
                  <w:tcBorders>
                    <w:left w:val="single" w:color="auto" w:sz="4" w:space="0"/>
                  </w:tcBorders>
                  <w:noWrap w:val="0"/>
                  <w:vAlign w:val="center"/>
                </w:tcPr>
                <w:p w14:paraId="55810CCC">
                  <w:pPr>
                    <w:jc w:val="center"/>
                    <w:rPr>
                      <w:rFonts w:hint="default" w:ascii="Times New Roman" w:hAnsi="Times New Roman" w:eastAsia="宋体" w:cs="Times New Roman"/>
                      <w:color w:val="auto"/>
                      <w:szCs w:val="21"/>
                    </w:rPr>
                  </w:pPr>
                </w:p>
              </w:tc>
            </w:tr>
            <w:tr w14:paraId="0C621699">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1897" w:type="dxa"/>
                  <w:vMerge w:val="continue"/>
                  <w:tcBorders>
                    <w:right w:val="single" w:color="auto" w:sz="4" w:space="0"/>
                  </w:tcBorders>
                  <w:noWrap w:val="0"/>
                  <w:vAlign w:val="center"/>
                </w:tcPr>
                <w:p w14:paraId="6A093721">
                  <w:pPr>
                    <w:jc w:val="center"/>
                    <w:rPr>
                      <w:rFonts w:hint="default" w:ascii="Times New Roman" w:hAnsi="Times New Roman" w:eastAsia="宋体" w:cs="Times New Roman"/>
                      <w:color w:val="auto"/>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6C8C2E48">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26CCE6C2">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厂界北侧100m农户处</w:t>
                  </w:r>
                </w:p>
              </w:tc>
              <w:tc>
                <w:tcPr>
                  <w:tcW w:w="1993" w:type="dxa"/>
                  <w:vMerge w:val="continue"/>
                  <w:tcBorders>
                    <w:left w:val="single" w:color="auto" w:sz="4" w:space="0"/>
                  </w:tcBorders>
                  <w:noWrap w:val="0"/>
                  <w:vAlign w:val="center"/>
                </w:tcPr>
                <w:p w14:paraId="25E8582D">
                  <w:pPr>
                    <w:jc w:val="center"/>
                    <w:rPr>
                      <w:rFonts w:hint="default" w:ascii="Times New Roman" w:hAnsi="Times New Roman" w:eastAsia="宋体" w:cs="Times New Roman"/>
                      <w:color w:val="auto"/>
                      <w:szCs w:val="21"/>
                    </w:rPr>
                  </w:pPr>
                </w:p>
              </w:tc>
            </w:tr>
            <w:tr w14:paraId="037C1EFD">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1897" w:type="dxa"/>
                  <w:vMerge w:val="continue"/>
                  <w:tcBorders>
                    <w:right w:val="single" w:color="auto" w:sz="4" w:space="0"/>
                  </w:tcBorders>
                  <w:noWrap w:val="0"/>
                  <w:vAlign w:val="center"/>
                </w:tcPr>
                <w:p w14:paraId="36AED53A">
                  <w:pPr>
                    <w:jc w:val="center"/>
                    <w:rPr>
                      <w:rFonts w:hint="default" w:ascii="Times New Roman" w:hAnsi="Times New Roman" w:eastAsia="宋体" w:cs="Times New Roman"/>
                      <w:color w:val="auto"/>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116AAAD9">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5A867B5F">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厂界西南侧20m农户处</w:t>
                  </w:r>
                </w:p>
              </w:tc>
              <w:tc>
                <w:tcPr>
                  <w:tcW w:w="1993" w:type="dxa"/>
                  <w:vMerge w:val="continue"/>
                  <w:tcBorders>
                    <w:left w:val="single" w:color="auto" w:sz="4" w:space="0"/>
                  </w:tcBorders>
                  <w:noWrap w:val="0"/>
                  <w:vAlign w:val="center"/>
                </w:tcPr>
                <w:p w14:paraId="0F7ED19B">
                  <w:pPr>
                    <w:jc w:val="center"/>
                    <w:rPr>
                      <w:rFonts w:hint="default" w:ascii="Times New Roman" w:hAnsi="Times New Roman" w:eastAsia="宋体" w:cs="Times New Roman"/>
                      <w:color w:val="auto"/>
                      <w:szCs w:val="21"/>
                    </w:rPr>
                  </w:pPr>
                </w:p>
              </w:tc>
            </w:tr>
            <w:tr w14:paraId="4E5BD020">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1897" w:type="dxa"/>
                  <w:vMerge w:val="continue"/>
                  <w:tcBorders>
                    <w:right w:val="single" w:color="auto" w:sz="4" w:space="0"/>
                  </w:tcBorders>
                  <w:noWrap w:val="0"/>
                  <w:vAlign w:val="center"/>
                </w:tcPr>
                <w:p w14:paraId="6AC4084D">
                  <w:pPr>
                    <w:jc w:val="center"/>
                    <w:rPr>
                      <w:rFonts w:hint="default" w:ascii="Times New Roman" w:hAnsi="Times New Roman" w:eastAsia="宋体" w:cs="Times New Roman"/>
                      <w:color w:val="auto"/>
                    </w:rPr>
                  </w:pPr>
                </w:p>
              </w:tc>
              <w:tc>
                <w:tcPr>
                  <w:tcW w:w="882" w:type="dxa"/>
                  <w:tcBorders>
                    <w:top w:val="single" w:color="auto" w:sz="4" w:space="0"/>
                    <w:left w:val="single" w:color="auto" w:sz="4" w:space="0"/>
                    <w:bottom w:val="single" w:color="auto" w:sz="4" w:space="0"/>
                    <w:right w:val="single" w:color="auto" w:sz="4" w:space="0"/>
                  </w:tcBorders>
                  <w:noWrap w:val="0"/>
                  <w:vAlign w:val="center"/>
                </w:tcPr>
                <w:p w14:paraId="2F768B3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3732" w:type="dxa"/>
                  <w:tcBorders>
                    <w:top w:val="single" w:color="auto" w:sz="4" w:space="0"/>
                    <w:left w:val="single" w:color="auto" w:sz="4" w:space="0"/>
                    <w:bottom w:val="single" w:color="auto" w:sz="4" w:space="0"/>
                    <w:right w:val="single" w:color="auto" w:sz="4" w:space="0"/>
                  </w:tcBorders>
                  <w:noWrap w:val="0"/>
                  <w:vAlign w:val="center"/>
                </w:tcPr>
                <w:p w14:paraId="769D396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厂界东南侧160m农户处</w:t>
                  </w:r>
                </w:p>
              </w:tc>
              <w:tc>
                <w:tcPr>
                  <w:tcW w:w="1993" w:type="dxa"/>
                  <w:vMerge w:val="continue"/>
                  <w:tcBorders>
                    <w:left w:val="single" w:color="auto" w:sz="4" w:space="0"/>
                  </w:tcBorders>
                  <w:noWrap w:val="0"/>
                  <w:vAlign w:val="center"/>
                </w:tcPr>
                <w:p w14:paraId="57195E26">
                  <w:pPr>
                    <w:jc w:val="center"/>
                    <w:rPr>
                      <w:rFonts w:hint="default" w:ascii="Times New Roman" w:hAnsi="Times New Roman" w:eastAsia="宋体" w:cs="Times New Roman"/>
                      <w:color w:val="auto"/>
                      <w:szCs w:val="21"/>
                    </w:rPr>
                  </w:pPr>
                </w:p>
              </w:tc>
            </w:tr>
            <w:tr w14:paraId="039E92E2">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1897" w:type="dxa"/>
                  <w:vMerge w:val="continue"/>
                  <w:tcBorders>
                    <w:right w:val="single" w:color="auto" w:sz="4" w:space="0"/>
                  </w:tcBorders>
                  <w:noWrap w:val="0"/>
                  <w:vAlign w:val="center"/>
                </w:tcPr>
                <w:p w14:paraId="1B6C0474">
                  <w:pPr>
                    <w:jc w:val="center"/>
                    <w:rPr>
                      <w:rFonts w:hint="default" w:ascii="Times New Roman" w:hAnsi="Times New Roman" w:eastAsia="宋体" w:cs="Times New Roman"/>
                      <w:color w:val="auto"/>
                    </w:rPr>
                  </w:pPr>
                </w:p>
              </w:tc>
              <w:tc>
                <w:tcPr>
                  <w:tcW w:w="882" w:type="dxa"/>
                  <w:tcBorders>
                    <w:top w:val="single" w:color="auto" w:sz="4" w:space="0"/>
                    <w:left w:val="single" w:color="auto" w:sz="4" w:space="0"/>
                    <w:bottom w:val="single" w:color="auto" w:sz="12" w:space="0"/>
                    <w:right w:val="single" w:color="auto" w:sz="4" w:space="0"/>
                  </w:tcBorders>
                  <w:noWrap w:val="0"/>
                  <w:vAlign w:val="center"/>
                </w:tcPr>
                <w:p w14:paraId="041736B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p>
              </w:tc>
              <w:tc>
                <w:tcPr>
                  <w:tcW w:w="3732" w:type="dxa"/>
                  <w:tcBorders>
                    <w:top w:val="single" w:color="auto" w:sz="4" w:space="0"/>
                    <w:left w:val="single" w:color="auto" w:sz="4" w:space="0"/>
                    <w:bottom w:val="single" w:color="auto" w:sz="12" w:space="0"/>
                    <w:right w:val="single" w:color="auto" w:sz="4" w:space="0"/>
                  </w:tcBorders>
                  <w:noWrap w:val="0"/>
                  <w:vAlign w:val="center"/>
                </w:tcPr>
                <w:p w14:paraId="3BEBAF9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厂界东南侧145m农户处</w:t>
                  </w:r>
                </w:p>
              </w:tc>
              <w:tc>
                <w:tcPr>
                  <w:tcW w:w="1993" w:type="dxa"/>
                  <w:vMerge w:val="continue"/>
                  <w:tcBorders>
                    <w:left w:val="single" w:color="auto" w:sz="4" w:space="0"/>
                  </w:tcBorders>
                  <w:noWrap w:val="0"/>
                  <w:vAlign w:val="center"/>
                </w:tcPr>
                <w:p w14:paraId="255F76C4">
                  <w:pPr>
                    <w:jc w:val="center"/>
                    <w:rPr>
                      <w:rFonts w:hint="default" w:ascii="Times New Roman" w:hAnsi="Times New Roman" w:eastAsia="宋体" w:cs="Times New Roman"/>
                      <w:color w:val="auto"/>
                      <w:szCs w:val="21"/>
                    </w:rPr>
                  </w:pPr>
                </w:p>
              </w:tc>
            </w:tr>
          </w:tbl>
          <w:p w14:paraId="6515C8F5">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（2）监测项目</w:t>
            </w:r>
          </w:p>
          <w:p w14:paraId="623E16D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环境噪声</w:t>
            </w:r>
          </w:p>
          <w:p w14:paraId="08574C75">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（3）监测周期</w:t>
            </w:r>
          </w:p>
          <w:p w14:paraId="2D69D39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1</w:t>
            </w:r>
            <w:r>
              <w:rPr>
                <w:rFonts w:hint="default" w:ascii="Times New Roman" w:hAnsi="Times New Roman" w:eastAsia="宋体" w:cs="Times New Roman"/>
                <w:color w:val="auto"/>
                <w:sz w:val="24"/>
              </w:rPr>
              <w:t>年</w:t>
            </w:r>
            <w:r>
              <w:rPr>
                <w:rFonts w:hint="eastAsia" w:cs="Times New Roman"/>
                <w:color w:val="auto"/>
                <w:sz w:val="24"/>
                <w:lang w:val="en-US" w:eastAsia="zh-CN"/>
              </w:rPr>
              <w:t>1</w:t>
            </w:r>
            <w:r>
              <w:rPr>
                <w:rFonts w:hint="default" w:ascii="Times New Roman" w:hAnsi="Times New Roman" w:eastAsia="宋体" w:cs="Times New Roman"/>
                <w:color w:val="auto"/>
                <w:sz w:val="24"/>
              </w:rPr>
              <w:t>月</w:t>
            </w:r>
            <w:r>
              <w:rPr>
                <w:rFonts w:hint="eastAsia" w:cs="Times New Roman"/>
                <w:color w:val="auto"/>
                <w:sz w:val="24"/>
                <w:lang w:val="en-US" w:eastAsia="zh-CN"/>
              </w:rPr>
              <w:t>11</w:t>
            </w:r>
            <w:r>
              <w:rPr>
                <w:rFonts w:hint="default" w:ascii="Times New Roman" w:hAnsi="Times New Roman" w:eastAsia="宋体" w:cs="Times New Roman"/>
                <w:color w:val="auto"/>
                <w:sz w:val="24"/>
              </w:rPr>
              <w:t>日</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12</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rPr>
              <w:t>，共</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天。</w:t>
            </w:r>
          </w:p>
          <w:p w14:paraId="6B9BDB12">
            <w:pPr>
              <w:snapToGrid w:val="0"/>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（4）监测结果</w:t>
            </w:r>
          </w:p>
          <w:p w14:paraId="5B67103F">
            <w:pPr>
              <w:snapToGrid w:val="0"/>
              <w:spacing w:line="360" w:lineRule="auto"/>
              <w:ind w:firstLine="480" w:firstLineChars="200"/>
              <w:rPr>
                <w:rFonts w:hint="default" w:ascii="Times New Roman" w:hAnsi="Times New Roman" w:eastAsia="宋体" w:cs="Times New Roman"/>
                <w:b/>
                <w:color w:val="auto"/>
                <w:sz w:val="24"/>
                <w:szCs w:val="24"/>
                <w:highlight w:val="yellow"/>
              </w:rPr>
            </w:pPr>
            <w:r>
              <w:rPr>
                <w:rFonts w:hint="default" w:ascii="Times New Roman" w:hAnsi="Times New Roman" w:eastAsia="宋体" w:cs="Times New Roman"/>
                <w:color w:val="auto"/>
                <w:sz w:val="24"/>
                <w:szCs w:val="24"/>
              </w:rPr>
              <w:t>本次声环境质量现状监测结果见表3-</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w:t>
            </w:r>
          </w:p>
          <w:p w14:paraId="0BA4989A">
            <w:pPr>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default" w:ascii="Times New Roman" w:hAnsi="Times New Roman" w:cs="Times New Roman"/>
                <w:b/>
                <w:bCs/>
                <w:color w:val="auto"/>
                <w:szCs w:val="21"/>
                <w:lang w:val="en-US" w:eastAsia="zh-CN"/>
              </w:rPr>
              <w:t>7</w:t>
            </w:r>
            <w:r>
              <w:rPr>
                <w:rFonts w:hint="default" w:ascii="Times New Roman" w:hAnsi="Times New Roman" w:eastAsia="宋体" w:cs="Times New Roman"/>
                <w:b/>
                <w:bCs/>
                <w:color w:val="auto"/>
                <w:szCs w:val="21"/>
              </w:rPr>
              <w:t xml:space="preserve">  声环境质量现状监测结果</w:t>
            </w:r>
          </w:p>
          <w:p w14:paraId="60E3B72B">
            <w:pPr>
              <w:pStyle w:val="12"/>
              <w:jc w:val="center"/>
              <w:rPr>
                <w:rFonts w:hint="default" w:ascii="Times New Roman" w:hAnsi="Times New Roman" w:cs="Times New Roman"/>
                <w:b/>
                <w:bCs/>
                <w:color w:val="auto"/>
              </w:rPr>
            </w:pPr>
            <w:r>
              <w:rPr>
                <w:rFonts w:hint="default" w:ascii="Times New Roman" w:hAnsi="Times New Roman" w:cs="Times New Roman"/>
                <w:color w:val="auto"/>
                <w:lang w:val="en-US" w:eastAsia="zh-CN"/>
              </w:rPr>
              <w:t xml:space="preserve">                                                                     </w:t>
            </w:r>
            <w:r>
              <w:rPr>
                <w:rFonts w:hint="default" w:ascii="Times New Roman" w:hAnsi="Times New Roman" w:cs="Times New Roman"/>
                <w:b/>
                <w:bCs/>
                <w:color w:val="auto"/>
              </w:rPr>
              <w:t>单位：dB(A)</w:t>
            </w:r>
          </w:p>
          <w:tbl>
            <w:tblPr>
              <w:tblStyle w:val="22"/>
              <w:tblW w:w="9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3195"/>
              <w:gridCol w:w="1446"/>
              <w:gridCol w:w="1277"/>
              <w:gridCol w:w="1378"/>
              <w:gridCol w:w="1081"/>
            </w:tblGrid>
            <w:tr w14:paraId="5735D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1111" w:type="dxa"/>
                  <w:vMerge w:val="restart"/>
                  <w:tcBorders>
                    <w:top w:val="single" w:color="auto" w:sz="12" w:space="0"/>
                    <w:left w:val="nil"/>
                    <w:right w:val="single" w:color="000000" w:sz="4" w:space="0"/>
                  </w:tcBorders>
                  <w:noWrap w:val="0"/>
                  <w:vAlign w:val="center"/>
                </w:tcPr>
                <w:p w14:paraId="5A832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编号</w:t>
                  </w:r>
                </w:p>
              </w:tc>
              <w:tc>
                <w:tcPr>
                  <w:tcW w:w="3195" w:type="dxa"/>
                  <w:vMerge w:val="restart"/>
                  <w:tcBorders>
                    <w:top w:val="single" w:color="auto" w:sz="12" w:space="0"/>
                    <w:left w:val="nil"/>
                    <w:right w:val="single" w:color="000000" w:sz="4" w:space="0"/>
                  </w:tcBorders>
                  <w:noWrap w:val="0"/>
                  <w:vAlign w:val="center"/>
                </w:tcPr>
                <w:p w14:paraId="4C8560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检测点位</w:t>
                  </w:r>
                </w:p>
              </w:tc>
              <w:tc>
                <w:tcPr>
                  <w:tcW w:w="5182" w:type="dxa"/>
                  <w:gridSpan w:val="4"/>
                  <w:tcBorders>
                    <w:bottom w:val="single" w:color="auto" w:sz="4" w:space="0"/>
                  </w:tcBorders>
                  <w:noWrap w:val="0"/>
                  <w:vAlign w:val="center"/>
                </w:tcPr>
                <w:p w14:paraId="5AB17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检测结果</w:t>
                  </w:r>
                </w:p>
              </w:tc>
            </w:tr>
            <w:tr w14:paraId="52176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11" w:type="dxa"/>
                  <w:vMerge w:val="continue"/>
                  <w:tcBorders>
                    <w:top w:val="single" w:color="auto" w:sz="12" w:space="0"/>
                    <w:left w:val="nil"/>
                    <w:right w:val="single" w:color="000000" w:sz="4" w:space="0"/>
                  </w:tcBorders>
                  <w:noWrap w:val="0"/>
                  <w:vAlign w:val="center"/>
                </w:tcPr>
                <w:p w14:paraId="491527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195" w:type="dxa"/>
                  <w:vMerge w:val="continue"/>
                  <w:tcBorders>
                    <w:top w:val="single" w:color="auto" w:sz="12" w:space="0"/>
                    <w:left w:val="nil"/>
                    <w:right w:val="single" w:color="000000" w:sz="4" w:space="0"/>
                  </w:tcBorders>
                  <w:noWrap w:val="0"/>
                  <w:vAlign w:val="center"/>
                </w:tcPr>
                <w:p w14:paraId="7CC0A8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723" w:type="dxa"/>
                  <w:gridSpan w:val="2"/>
                  <w:tcBorders>
                    <w:top w:val="single" w:color="auto" w:sz="4" w:space="0"/>
                    <w:bottom w:val="single" w:color="auto" w:sz="4" w:space="0"/>
                    <w:right w:val="single" w:color="auto" w:sz="4" w:space="0"/>
                  </w:tcBorders>
                  <w:noWrap w:val="0"/>
                  <w:vAlign w:val="center"/>
                </w:tcPr>
                <w:p w14:paraId="604EC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2021.1.11</w:t>
                  </w:r>
                </w:p>
              </w:tc>
              <w:tc>
                <w:tcPr>
                  <w:tcW w:w="2459" w:type="dxa"/>
                  <w:gridSpan w:val="2"/>
                  <w:tcBorders>
                    <w:top w:val="single" w:color="auto" w:sz="4" w:space="0"/>
                    <w:left w:val="single" w:color="auto" w:sz="4" w:space="0"/>
                    <w:bottom w:val="single" w:color="auto" w:sz="4" w:space="0"/>
                  </w:tcBorders>
                  <w:noWrap w:val="0"/>
                  <w:vAlign w:val="center"/>
                </w:tcPr>
                <w:p w14:paraId="2038BB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2021.1.12</w:t>
                  </w:r>
                </w:p>
              </w:tc>
            </w:tr>
            <w:tr w14:paraId="68802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111" w:type="dxa"/>
                  <w:vMerge w:val="continue"/>
                  <w:tcBorders>
                    <w:top w:val="single" w:color="auto" w:sz="12" w:space="0"/>
                    <w:left w:val="nil"/>
                    <w:bottom w:val="single" w:color="auto" w:sz="12" w:space="0"/>
                    <w:right w:val="single" w:color="000000" w:sz="4" w:space="0"/>
                  </w:tcBorders>
                  <w:noWrap w:val="0"/>
                  <w:vAlign w:val="center"/>
                </w:tcPr>
                <w:p w14:paraId="73550521">
                  <w:pPr>
                    <w:adjustRightInd w:val="0"/>
                    <w:snapToGrid w:val="0"/>
                    <w:spacing w:line="300" w:lineRule="exact"/>
                    <w:jc w:val="center"/>
                    <w:rPr>
                      <w:rFonts w:ascii="宋体" w:hAnsi="宋体" w:eastAsia="宋体" w:cs="宋体"/>
                      <w:bCs/>
                      <w:color w:val="auto"/>
                    </w:rPr>
                  </w:pPr>
                </w:p>
              </w:tc>
              <w:tc>
                <w:tcPr>
                  <w:tcW w:w="3195" w:type="dxa"/>
                  <w:vMerge w:val="continue"/>
                  <w:tcBorders>
                    <w:top w:val="single" w:color="auto" w:sz="12" w:space="0"/>
                    <w:left w:val="nil"/>
                    <w:bottom w:val="single" w:color="auto" w:sz="12" w:space="0"/>
                    <w:right w:val="single" w:color="000000" w:sz="4" w:space="0"/>
                  </w:tcBorders>
                  <w:noWrap w:val="0"/>
                  <w:vAlign w:val="center"/>
                </w:tcPr>
                <w:p w14:paraId="53198AF4">
                  <w:pPr>
                    <w:adjustRightInd w:val="0"/>
                    <w:snapToGrid w:val="0"/>
                    <w:spacing w:line="300" w:lineRule="exact"/>
                    <w:jc w:val="center"/>
                    <w:rPr>
                      <w:rFonts w:ascii="宋体" w:hAnsi="宋体" w:eastAsia="宋体" w:cs="宋体"/>
                      <w:bCs/>
                      <w:color w:val="auto"/>
                    </w:rPr>
                  </w:pPr>
                </w:p>
              </w:tc>
              <w:tc>
                <w:tcPr>
                  <w:tcW w:w="1446" w:type="dxa"/>
                  <w:tcBorders>
                    <w:top w:val="single" w:color="auto" w:sz="4" w:space="0"/>
                    <w:bottom w:val="single" w:color="auto" w:sz="12" w:space="0"/>
                  </w:tcBorders>
                  <w:noWrap w:val="0"/>
                  <w:vAlign w:val="center"/>
                </w:tcPr>
                <w:p w14:paraId="3343B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1277" w:type="dxa"/>
                  <w:tcBorders>
                    <w:top w:val="single" w:color="auto" w:sz="4" w:space="0"/>
                    <w:bottom w:val="single" w:color="auto" w:sz="12" w:space="0"/>
                  </w:tcBorders>
                  <w:noWrap w:val="0"/>
                  <w:vAlign w:val="center"/>
                </w:tcPr>
                <w:p w14:paraId="4BDA26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p>
              </w:tc>
              <w:tc>
                <w:tcPr>
                  <w:tcW w:w="1378" w:type="dxa"/>
                  <w:tcBorders>
                    <w:top w:val="single" w:color="auto" w:sz="4" w:space="0"/>
                    <w:bottom w:val="single" w:color="auto" w:sz="12" w:space="0"/>
                  </w:tcBorders>
                  <w:noWrap w:val="0"/>
                  <w:vAlign w:val="center"/>
                </w:tcPr>
                <w:p w14:paraId="6145B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1081" w:type="dxa"/>
                  <w:tcBorders>
                    <w:top w:val="single" w:color="auto" w:sz="4" w:space="0"/>
                    <w:bottom w:val="single" w:color="auto" w:sz="12" w:space="0"/>
                  </w:tcBorders>
                  <w:noWrap w:val="0"/>
                  <w:vAlign w:val="center"/>
                </w:tcPr>
                <w:p w14:paraId="22924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p>
              </w:tc>
            </w:tr>
            <w:tr w14:paraId="30245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111" w:type="dxa"/>
                  <w:tcBorders>
                    <w:top w:val="single" w:color="auto" w:sz="12" w:space="0"/>
                    <w:left w:val="nil"/>
                    <w:bottom w:val="single" w:color="auto" w:sz="4" w:space="0"/>
                    <w:right w:val="single" w:color="auto" w:sz="4" w:space="0"/>
                  </w:tcBorders>
                  <w:noWrap w:val="0"/>
                  <w:vAlign w:val="center"/>
                </w:tcPr>
                <w:p w14:paraId="54401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195" w:type="dxa"/>
                  <w:tcBorders>
                    <w:top w:val="single" w:color="auto" w:sz="12" w:space="0"/>
                    <w:left w:val="single" w:color="auto" w:sz="4" w:space="0"/>
                    <w:bottom w:val="single" w:color="auto" w:sz="4" w:space="0"/>
                    <w:right w:val="single" w:color="auto" w:sz="4" w:space="0"/>
                  </w:tcBorders>
                  <w:noWrap w:val="0"/>
                  <w:vAlign w:val="center"/>
                </w:tcPr>
                <w:p w14:paraId="01484A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项目东侧厂界外1m处</w:t>
                  </w:r>
                </w:p>
              </w:tc>
              <w:tc>
                <w:tcPr>
                  <w:tcW w:w="1446" w:type="dxa"/>
                  <w:tcBorders>
                    <w:left w:val="single" w:color="auto" w:sz="4" w:space="0"/>
                  </w:tcBorders>
                  <w:noWrap w:val="0"/>
                  <w:vAlign w:val="center"/>
                </w:tcPr>
                <w:p w14:paraId="2FF72F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48.1</w:t>
                  </w:r>
                </w:p>
              </w:tc>
              <w:tc>
                <w:tcPr>
                  <w:tcW w:w="1277" w:type="dxa"/>
                  <w:noWrap w:val="0"/>
                  <w:vAlign w:val="center"/>
                </w:tcPr>
                <w:p w14:paraId="5EAC4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37.3</w:t>
                  </w:r>
                </w:p>
              </w:tc>
              <w:tc>
                <w:tcPr>
                  <w:tcW w:w="1378" w:type="dxa"/>
                  <w:noWrap w:val="0"/>
                  <w:vAlign w:val="center"/>
                </w:tcPr>
                <w:p w14:paraId="76903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49.5</w:t>
                  </w:r>
                </w:p>
              </w:tc>
              <w:tc>
                <w:tcPr>
                  <w:tcW w:w="1081" w:type="dxa"/>
                  <w:noWrap w:val="0"/>
                  <w:vAlign w:val="center"/>
                </w:tcPr>
                <w:p w14:paraId="282D9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38.1</w:t>
                  </w:r>
                </w:p>
              </w:tc>
            </w:tr>
            <w:tr w14:paraId="4E7CF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tcBorders>
                    <w:top w:val="single" w:color="auto" w:sz="4" w:space="0"/>
                    <w:left w:val="nil"/>
                    <w:bottom w:val="single" w:color="auto" w:sz="4" w:space="0"/>
                    <w:right w:val="single" w:color="auto" w:sz="4" w:space="0"/>
                  </w:tcBorders>
                  <w:noWrap w:val="0"/>
                  <w:vAlign w:val="center"/>
                </w:tcPr>
                <w:p w14:paraId="664C2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739E4C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项目北侧厂界外1m处</w:t>
                  </w:r>
                </w:p>
              </w:tc>
              <w:tc>
                <w:tcPr>
                  <w:tcW w:w="1446" w:type="dxa"/>
                  <w:tcBorders>
                    <w:left w:val="single" w:color="auto" w:sz="4" w:space="0"/>
                  </w:tcBorders>
                  <w:noWrap w:val="0"/>
                  <w:vAlign w:val="center"/>
                </w:tcPr>
                <w:p w14:paraId="7D4F70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47.8</w:t>
                  </w:r>
                </w:p>
              </w:tc>
              <w:tc>
                <w:tcPr>
                  <w:tcW w:w="1277" w:type="dxa"/>
                  <w:noWrap w:val="0"/>
                  <w:vAlign w:val="center"/>
                </w:tcPr>
                <w:p w14:paraId="0B1FED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37.0</w:t>
                  </w:r>
                </w:p>
              </w:tc>
              <w:tc>
                <w:tcPr>
                  <w:tcW w:w="1378" w:type="dxa"/>
                  <w:noWrap w:val="0"/>
                  <w:vAlign w:val="center"/>
                </w:tcPr>
                <w:p w14:paraId="249FF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50.3</w:t>
                  </w:r>
                </w:p>
              </w:tc>
              <w:tc>
                <w:tcPr>
                  <w:tcW w:w="1081" w:type="dxa"/>
                  <w:noWrap w:val="0"/>
                  <w:vAlign w:val="center"/>
                </w:tcPr>
                <w:p w14:paraId="3138A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39.8</w:t>
                  </w:r>
                </w:p>
              </w:tc>
            </w:tr>
            <w:tr w14:paraId="59CAC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4" w:space="0"/>
                    <w:right w:val="single" w:color="auto" w:sz="4" w:space="0"/>
                  </w:tcBorders>
                  <w:noWrap w:val="0"/>
                  <w:vAlign w:val="center"/>
                </w:tcPr>
                <w:p w14:paraId="6303BD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53ECB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项目西侧厂界外1m处</w:t>
                  </w:r>
                </w:p>
              </w:tc>
              <w:tc>
                <w:tcPr>
                  <w:tcW w:w="1446" w:type="dxa"/>
                  <w:tcBorders>
                    <w:left w:val="single" w:color="auto" w:sz="4" w:space="0"/>
                  </w:tcBorders>
                  <w:noWrap w:val="0"/>
                  <w:vAlign w:val="center"/>
                </w:tcPr>
                <w:p w14:paraId="0630F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50.4</w:t>
                  </w:r>
                </w:p>
              </w:tc>
              <w:tc>
                <w:tcPr>
                  <w:tcW w:w="1277" w:type="dxa"/>
                  <w:noWrap w:val="0"/>
                  <w:vAlign w:val="center"/>
                </w:tcPr>
                <w:p w14:paraId="61EB1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39.7</w:t>
                  </w:r>
                </w:p>
              </w:tc>
              <w:tc>
                <w:tcPr>
                  <w:tcW w:w="1378" w:type="dxa"/>
                  <w:noWrap w:val="0"/>
                  <w:vAlign w:val="center"/>
                </w:tcPr>
                <w:p w14:paraId="3451E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52.6</w:t>
                  </w:r>
                </w:p>
              </w:tc>
              <w:tc>
                <w:tcPr>
                  <w:tcW w:w="1081" w:type="dxa"/>
                  <w:noWrap w:val="0"/>
                  <w:vAlign w:val="center"/>
                </w:tcPr>
                <w:p w14:paraId="74A3B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38.7</w:t>
                  </w:r>
                </w:p>
              </w:tc>
            </w:tr>
            <w:tr w14:paraId="0561B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4" w:space="0"/>
                    <w:right w:val="single" w:color="auto" w:sz="4" w:space="0"/>
                  </w:tcBorders>
                  <w:noWrap w:val="0"/>
                  <w:vAlign w:val="center"/>
                </w:tcPr>
                <w:p w14:paraId="6FB75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6198A6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厂界南侧16m农户处</w:t>
                  </w:r>
                </w:p>
              </w:tc>
              <w:tc>
                <w:tcPr>
                  <w:tcW w:w="1446" w:type="dxa"/>
                  <w:tcBorders>
                    <w:left w:val="single" w:color="auto" w:sz="4" w:space="0"/>
                  </w:tcBorders>
                  <w:noWrap w:val="0"/>
                  <w:vAlign w:val="center"/>
                </w:tcPr>
                <w:p w14:paraId="047922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47.1</w:t>
                  </w:r>
                </w:p>
              </w:tc>
              <w:tc>
                <w:tcPr>
                  <w:tcW w:w="1277" w:type="dxa"/>
                  <w:noWrap w:val="0"/>
                  <w:vAlign w:val="center"/>
                </w:tcPr>
                <w:p w14:paraId="4C9BE4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37.8</w:t>
                  </w:r>
                </w:p>
              </w:tc>
              <w:tc>
                <w:tcPr>
                  <w:tcW w:w="1378" w:type="dxa"/>
                  <w:noWrap w:val="0"/>
                  <w:vAlign w:val="center"/>
                </w:tcPr>
                <w:p w14:paraId="32C17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47.2</w:t>
                  </w:r>
                </w:p>
              </w:tc>
              <w:tc>
                <w:tcPr>
                  <w:tcW w:w="1081" w:type="dxa"/>
                  <w:noWrap w:val="0"/>
                  <w:vAlign w:val="center"/>
                </w:tcPr>
                <w:p w14:paraId="5554BD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36.2</w:t>
                  </w:r>
                </w:p>
              </w:tc>
            </w:tr>
            <w:tr w14:paraId="4E795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4" w:space="0"/>
                    <w:right w:val="single" w:color="auto" w:sz="4" w:space="0"/>
                  </w:tcBorders>
                  <w:noWrap w:val="0"/>
                  <w:vAlign w:val="center"/>
                </w:tcPr>
                <w:p w14:paraId="620C94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7CDE6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厂界西北侧150m农户处</w:t>
                  </w:r>
                </w:p>
              </w:tc>
              <w:tc>
                <w:tcPr>
                  <w:tcW w:w="1446" w:type="dxa"/>
                  <w:tcBorders>
                    <w:left w:val="single" w:color="auto" w:sz="4" w:space="0"/>
                  </w:tcBorders>
                  <w:noWrap w:val="0"/>
                  <w:vAlign w:val="center"/>
                </w:tcPr>
                <w:p w14:paraId="1F48A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48.8</w:t>
                  </w:r>
                </w:p>
              </w:tc>
              <w:tc>
                <w:tcPr>
                  <w:tcW w:w="1277" w:type="dxa"/>
                  <w:noWrap w:val="0"/>
                  <w:vAlign w:val="center"/>
                </w:tcPr>
                <w:p w14:paraId="31BE4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39.2</w:t>
                  </w:r>
                </w:p>
              </w:tc>
              <w:tc>
                <w:tcPr>
                  <w:tcW w:w="1378" w:type="dxa"/>
                  <w:noWrap w:val="0"/>
                  <w:vAlign w:val="center"/>
                </w:tcPr>
                <w:p w14:paraId="733E8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47.7</w:t>
                  </w:r>
                </w:p>
              </w:tc>
              <w:tc>
                <w:tcPr>
                  <w:tcW w:w="1081" w:type="dxa"/>
                  <w:noWrap w:val="0"/>
                  <w:vAlign w:val="center"/>
                </w:tcPr>
                <w:p w14:paraId="55D6B9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w:t>
                  </w:r>
                </w:p>
              </w:tc>
            </w:tr>
            <w:tr w14:paraId="739FE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4" w:space="0"/>
                    <w:right w:val="single" w:color="auto" w:sz="4" w:space="0"/>
                  </w:tcBorders>
                  <w:noWrap w:val="0"/>
                  <w:vAlign w:val="center"/>
                </w:tcPr>
                <w:p w14:paraId="36820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7FFDB1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厂界北侧100m农户处</w:t>
                  </w:r>
                </w:p>
              </w:tc>
              <w:tc>
                <w:tcPr>
                  <w:tcW w:w="1446" w:type="dxa"/>
                  <w:tcBorders>
                    <w:left w:val="single" w:color="auto" w:sz="4" w:space="0"/>
                  </w:tcBorders>
                  <w:noWrap w:val="0"/>
                  <w:vAlign w:val="center"/>
                </w:tcPr>
                <w:p w14:paraId="43F7F8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45.1</w:t>
                  </w:r>
                </w:p>
              </w:tc>
              <w:tc>
                <w:tcPr>
                  <w:tcW w:w="1277" w:type="dxa"/>
                  <w:noWrap w:val="0"/>
                  <w:vAlign w:val="center"/>
                </w:tcPr>
                <w:p w14:paraId="2FDB5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36.5</w:t>
                  </w:r>
                </w:p>
              </w:tc>
              <w:tc>
                <w:tcPr>
                  <w:tcW w:w="1378" w:type="dxa"/>
                  <w:noWrap w:val="0"/>
                  <w:vAlign w:val="center"/>
                </w:tcPr>
                <w:p w14:paraId="1AAB3B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46.4</w:t>
                  </w:r>
                </w:p>
              </w:tc>
              <w:tc>
                <w:tcPr>
                  <w:tcW w:w="1081" w:type="dxa"/>
                  <w:noWrap w:val="0"/>
                  <w:vAlign w:val="center"/>
                </w:tcPr>
                <w:p w14:paraId="5B3C5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37.8</w:t>
                  </w:r>
                </w:p>
              </w:tc>
            </w:tr>
            <w:tr w14:paraId="0F245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4" w:space="0"/>
                    <w:right w:val="single" w:color="auto" w:sz="4" w:space="0"/>
                  </w:tcBorders>
                  <w:noWrap w:val="0"/>
                  <w:vAlign w:val="center"/>
                </w:tcPr>
                <w:p w14:paraId="5EC8C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0960C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厂界西南侧20m农户处</w:t>
                  </w:r>
                </w:p>
              </w:tc>
              <w:tc>
                <w:tcPr>
                  <w:tcW w:w="1446" w:type="dxa"/>
                  <w:tcBorders>
                    <w:left w:val="single" w:color="auto" w:sz="4" w:space="0"/>
                  </w:tcBorders>
                  <w:noWrap w:val="0"/>
                  <w:vAlign w:val="center"/>
                </w:tcPr>
                <w:p w14:paraId="4912E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52.6</w:t>
                  </w:r>
                </w:p>
              </w:tc>
              <w:tc>
                <w:tcPr>
                  <w:tcW w:w="1277" w:type="dxa"/>
                  <w:noWrap w:val="0"/>
                  <w:vAlign w:val="center"/>
                </w:tcPr>
                <w:p w14:paraId="470E6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41.3</w:t>
                  </w:r>
                </w:p>
              </w:tc>
              <w:tc>
                <w:tcPr>
                  <w:tcW w:w="1378" w:type="dxa"/>
                  <w:noWrap w:val="0"/>
                  <w:vAlign w:val="center"/>
                </w:tcPr>
                <w:p w14:paraId="200E3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54.6</w:t>
                  </w:r>
                </w:p>
              </w:tc>
              <w:tc>
                <w:tcPr>
                  <w:tcW w:w="1081" w:type="dxa"/>
                  <w:noWrap w:val="0"/>
                  <w:vAlign w:val="center"/>
                </w:tcPr>
                <w:p w14:paraId="12376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42.4</w:t>
                  </w:r>
                </w:p>
              </w:tc>
            </w:tr>
            <w:tr w14:paraId="4BACC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4" w:space="0"/>
                    <w:right w:val="single" w:color="auto" w:sz="4" w:space="0"/>
                  </w:tcBorders>
                  <w:noWrap w:val="0"/>
                  <w:vAlign w:val="center"/>
                </w:tcPr>
                <w:p w14:paraId="636EA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0D69DA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厂界东南侧160m农户处</w:t>
                  </w:r>
                </w:p>
              </w:tc>
              <w:tc>
                <w:tcPr>
                  <w:tcW w:w="1446" w:type="dxa"/>
                  <w:tcBorders>
                    <w:left w:val="single" w:color="auto" w:sz="4" w:space="0"/>
                  </w:tcBorders>
                  <w:noWrap w:val="0"/>
                  <w:vAlign w:val="center"/>
                </w:tcPr>
                <w:p w14:paraId="5637D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55.6</w:t>
                  </w:r>
                </w:p>
              </w:tc>
              <w:tc>
                <w:tcPr>
                  <w:tcW w:w="1277" w:type="dxa"/>
                  <w:noWrap w:val="0"/>
                  <w:vAlign w:val="center"/>
                </w:tcPr>
                <w:p w14:paraId="6FC686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44.5</w:t>
                  </w:r>
                </w:p>
              </w:tc>
              <w:tc>
                <w:tcPr>
                  <w:tcW w:w="1378" w:type="dxa"/>
                  <w:noWrap w:val="0"/>
                  <w:vAlign w:val="center"/>
                </w:tcPr>
                <w:p w14:paraId="42C6BA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57.7</w:t>
                  </w:r>
                </w:p>
              </w:tc>
              <w:tc>
                <w:tcPr>
                  <w:tcW w:w="1081" w:type="dxa"/>
                  <w:noWrap w:val="0"/>
                  <w:vAlign w:val="center"/>
                </w:tcPr>
                <w:p w14:paraId="69AAE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r>
            <w:tr w14:paraId="6367E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11" w:type="dxa"/>
                  <w:tcBorders>
                    <w:top w:val="single" w:color="auto" w:sz="4" w:space="0"/>
                    <w:left w:val="nil"/>
                    <w:bottom w:val="single" w:color="auto" w:sz="12" w:space="0"/>
                    <w:right w:val="single" w:color="auto" w:sz="4" w:space="0"/>
                  </w:tcBorders>
                  <w:noWrap w:val="0"/>
                  <w:vAlign w:val="center"/>
                </w:tcPr>
                <w:p w14:paraId="06322F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3195" w:type="dxa"/>
                  <w:tcBorders>
                    <w:top w:val="single" w:color="auto" w:sz="4" w:space="0"/>
                    <w:left w:val="single" w:color="auto" w:sz="4" w:space="0"/>
                    <w:bottom w:val="single" w:color="auto" w:sz="12" w:space="0"/>
                    <w:right w:val="single" w:color="auto" w:sz="4" w:space="0"/>
                  </w:tcBorders>
                  <w:noWrap w:val="0"/>
                  <w:vAlign w:val="center"/>
                </w:tcPr>
                <w:p w14:paraId="1B223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厂界东南侧145m农户处</w:t>
                  </w:r>
                </w:p>
              </w:tc>
              <w:tc>
                <w:tcPr>
                  <w:tcW w:w="1446" w:type="dxa"/>
                  <w:tcBorders>
                    <w:left w:val="single" w:color="auto" w:sz="4" w:space="0"/>
                  </w:tcBorders>
                  <w:noWrap w:val="0"/>
                  <w:vAlign w:val="center"/>
                </w:tcPr>
                <w:p w14:paraId="10E6B2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49.3</w:t>
                  </w:r>
                </w:p>
              </w:tc>
              <w:tc>
                <w:tcPr>
                  <w:tcW w:w="1277" w:type="dxa"/>
                  <w:noWrap w:val="0"/>
                  <w:vAlign w:val="center"/>
                </w:tcPr>
                <w:p w14:paraId="0E44A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38.8</w:t>
                  </w:r>
                </w:p>
              </w:tc>
              <w:tc>
                <w:tcPr>
                  <w:tcW w:w="1378" w:type="dxa"/>
                  <w:noWrap w:val="0"/>
                  <w:vAlign w:val="center"/>
                </w:tcPr>
                <w:p w14:paraId="4C96D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47.0</w:t>
                  </w:r>
                </w:p>
              </w:tc>
              <w:tc>
                <w:tcPr>
                  <w:tcW w:w="1081" w:type="dxa"/>
                  <w:noWrap w:val="0"/>
                  <w:vAlign w:val="center"/>
                </w:tcPr>
                <w:p w14:paraId="4CACEE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39.4</w:t>
                  </w:r>
                </w:p>
              </w:tc>
            </w:tr>
          </w:tbl>
          <w:p w14:paraId="2124E6B1">
            <w:pPr>
              <w:rPr>
                <w:rFonts w:hint="default"/>
              </w:rPr>
            </w:pPr>
          </w:p>
          <w:p w14:paraId="76FA4304">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2、声环境质量现状评价</w:t>
            </w:r>
          </w:p>
          <w:p w14:paraId="51D3B263">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（1）评价因子</w:t>
            </w:r>
          </w:p>
          <w:p w14:paraId="35FCF52B">
            <w:pPr>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等效连续A声级。</w:t>
            </w:r>
          </w:p>
          <w:p w14:paraId="17F465D1">
            <w:pPr>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zh-CN"/>
              </w:rPr>
              <w:t>（2）</w:t>
            </w:r>
            <w:r>
              <w:rPr>
                <w:rFonts w:hint="default" w:ascii="Times New Roman" w:hAnsi="Times New Roman" w:eastAsia="宋体" w:cs="Times New Roman"/>
                <w:b/>
                <w:color w:val="auto"/>
                <w:sz w:val="24"/>
              </w:rPr>
              <w:t>评价标准</w:t>
            </w:r>
          </w:p>
          <w:p w14:paraId="64BD769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zh-CN"/>
              </w:rPr>
              <w:t>执行</w:t>
            </w:r>
            <w:r>
              <w:rPr>
                <w:rFonts w:hint="default" w:ascii="Times New Roman" w:hAnsi="Times New Roman" w:eastAsia="宋体" w:cs="Times New Roman"/>
                <w:color w:val="auto"/>
                <w:kern w:val="24"/>
                <w:sz w:val="24"/>
                <w:szCs w:val="24"/>
                <w:lang w:val="en-US" w:eastAsia="zh-CN" w:bidi="ar"/>
              </w:rPr>
              <w:t>《声环境质量标准》（GB 3096-2008）</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zh-CN"/>
              </w:rPr>
              <w:t>类标准</w:t>
            </w:r>
            <w:r>
              <w:rPr>
                <w:rFonts w:hint="default" w:ascii="Times New Roman" w:hAnsi="Times New Roman" w:eastAsia="宋体" w:cs="Times New Roman"/>
                <w:color w:val="auto"/>
                <w:sz w:val="24"/>
              </w:rPr>
              <w:t>。</w:t>
            </w:r>
          </w:p>
          <w:p w14:paraId="40D6B33C">
            <w:pPr>
              <w:snapToGrid w:val="0"/>
              <w:spacing w:line="360" w:lineRule="auto"/>
              <w:ind w:firstLine="361" w:firstLineChars="15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（3）评价结果</w:t>
            </w:r>
          </w:p>
          <w:p w14:paraId="706D649E">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声环境质量现状评价结果见表3-</w:t>
            </w: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rPr>
              <w:t>。</w:t>
            </w:r>
          </w:p>
          <w:p w14:paraId="4E0B4576">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表3-</w:t>
            </w:r>
            <w:r>
              <w:rPr>
                <w:rFonts w:hint="default" w:ascii="Times New Roman" w:hAnsi="Times New Roman" w:cs="Times New Roman"/>
                <w:b/>
                <w:bCs/>
                <w:color w:val="auto"/>
                <w:szCs w:val="21"/>
                <w:lang w:val="en-US" w:eastAsia="zh-CN"/>
              </w:rPr>
              <w:t>8</w:t>
            </w:r>
            <w:r>
              <w:rPr>
                <w:rFonts w:hint="default" w:ascii="Times New Roman" w:hAnsi="Times New Roman" w:eastAsia="宋体" w:cs="Times New Roman"/>
                <w:b/>
                <w:bCs/>
                <w:color w:val="auto"/>
                <w:szCs w:val="21"/>
              </w:rPr>
              <w:t xml:space="preserve">  声环境质量现状评价结果</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594"/>
              <w:gridCol w:w="802"/>
              <w:gridCol w:w="804"/>
              <w:gridCol w:w="802"/>
              <w:gridCol w:w="811"/>
              <w:gridCol w:w="997"/>
              <w:gridCol w:w="997"/>
            </w:tblGrid>
            <w:tr w14:paraId="370B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97" w:type="dxa"/>
                  <w:vMerge w:val="restart"/>
                  <w:vAlign w:val="center"/>
                </w:tcPr>
                <w:p w14:paraId="060CC450">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w:t>
                  </w:r>
                </w:p>
              </w:tc>
              <w:tc>
                <w:tcPr>
                  <w:tcW w:w="2594" w:type="dxa"/>
                  <w:vMerge w:val="restart"/>
                  <w:vAlign w:val="center"/>
                </w:tcPr>
                <w:p w14:paraId="4433ABE6">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监测点位置</w:t>
                  </w:r>
                </w:p>
              </w:tc>
              <w:tc>
                <w:tcPr>
                  <w:tcW w:w="3219" w:type="dxa"/>
                  <w:gridSpan w:val="4"/>
                  <w:vAlign w:val="center"/>
                </w:tcPr>
                <w:p w14:paraId="03BC446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评价结果[dB（A）]</w:t>
                  </w:r>
                </w:p>
              </w:tc>
              <w:tc>
                <w:tcPr>
                  <w:tcW w:w="1994" w:type="dxa"/>
                  <w:gridSpan w:val="2"/>
                  <w:vAlign w:val="center"/>
                </w:tcPr>
                <w:p w14:paraId="2756EEF0">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评价标准[dB（A）]</w:t>
                  </w:r>
                </w:p>
              </w:tc>
            </w:tr>
            <w:tr w14:paraId="6CC6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97" w:type="dxa"/>
                  <w:vMerge w:val="continue"/>
                  <w:vAlign w:val="center"/>
                </w:tcPr>
                <w:p w14:paraId="2D84905D">
                  <w:pPr>
                    <w:spacing w:line="276" w:lineRule="auto"/>
                    <w:jc w:val="center"/>
                    <w:rPr>
                      <w:rFonts w:hint="default" w:ascii="Times New Roman" w:hAnsi="Times New Roman" w:eastAsia="宋体" w:cs="Times New Roman"/>
                      <w:color w:val="auto"/>
                      <w:szCs w:val="21"/>
                    </w:rPr>
                  </w:pPr>
                </w:p>
              </w:tc>
              <w:tc>
                <w:tcPr>
                  <w:tcW w:w="2594" w:type="dxa"/>
                  <w:vMerge w:val="continue"/>
                  <w:vAlign w:val="center"/>
                </w:tcPr>
                <w:p w14:paraId="7CE9661D">
                  <w:pPr>
                    <w:spacing w:line="276" w:lineRule="auto"/>
                    <w:jc w:val="center"/>
                    <w:rPr>
                      <w:rFonts w:hint="default" w:ascii="Times New Roman" w:hAnsi="Times New Roman" w:eastAsia="宋体" w:cs="Times New Roman"/>
                      <w:color w:val="auto"/>
                      <w:szCs w:val="21"/>
                    </w:rPr>
                  </w:pPr>
                </w:p>
              </w:tc>
              <w:tc>
                <w:tcPr>
                  <w:tcW w:w="802" w:type="dxa"/>
                  <w:vAlign w:val="center"/>
                </w:tcPr>
                <w:p w14:paraId="1BD3B06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804" w:type="dxa"/>
                  <w:vAlign w:val="center"/>
                </w:tcPr>
                <w:p w14:paraId="466049E2">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结果</w:t>
                  </w:r>
                </w:p>
              </w:tc>
              <w:tc>
                <w:tcPr>
                  <w:tcW w:w="802" w:type="dxa"/>
                  <w:vAlign w:val="center"/>
                </w:tcPr>
                <w:p w14:paraId="26177104">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c>
                <w:tcPr>
                  <w:tcW w:w="811" w:type="dxa"/>
                  <w:vAlign w:val="center"/>
                </w:tcPr>
                <w:p w14:paraId="20BE373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结果</w:t>
                  </w:r>
                </w:p>
              </w:tc>
              <w:tc>
                <w:tcPr>
                  <w:tcW w:w="997" w:type="dxa"/>
                  <w:vAlign w:val="center"/>
                </w:tcPr>
                <w:p w14:paraId="107011D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997" w:type="dxa"/>
                  <w:vAlign w:val="center"/>
                </w:tcPr>
                <w:p w14:paraId="6046D226">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14:paraId="3613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97" w:type="dxa"/>
                  <w:vAlign w:val="center"/>
                </w:tcPr>
                <w:p w14:paraId="3548FD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1#</w:t>
                  </w:r>
                </w:p>
              </w:tc>
              <w:tc>
                <w:tcPr>
                  <w:tcW w:w="2594" w:type="dxa"/>
                  <w:vAlign w:val="center"/>
                </w:tcPr>
                <w:p w14:paraId="39A0D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项目东侧厂界外1m处</w:t>
                  </w:r>
                </w:p>
              </w:tc>
              <w:tc>
                <w:tcPr>
                  <w:tcW w:w="802" w:type="dxa"/>
                </w:tcPr>
                <w:p w14:paraId="3C1A2F94">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eastAsia="宋体" w:cs="宋体"/>
                      <w:color w:val="auto"/>
                      <w:szCs w:val="21"/>
                      <w:lang w:val="en-US" w:eastAsia="zh-CN"/>
                    </w:rPr>
                    <w:t>49.5</w:t>
                  </w:r>
                </w:p>
              </w:tc>
              <w:tc>
                <w:tcPr>
                  <w:tcW w:w="804" w:type="dxa"/>
                  <w:vAlign w:val="center"/>
                </w:tcPr>
                <w:p w14:paraId="7BF51F3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4FBE1332">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eastAsia="宋体" w:cs="宋体"/>
                      <w:color w:val="auto"/>
                      <w:kern w:val="2"/>
                      <w:sz w:val="21"/>
                      <w:szCs w:val="21"/>
                      <w:lang w:val="en-US" w:eastAsia="zh-CN" w:bidi="ar-SA"/>
                    </w:rPr>
                    <w:t>38.1</w:t>
                  </w:r>
                </w:p>
              </w:tc>
              <w:tc>
                <w:tcPr>
                  <w:tcW w:w="811" w:type="dxa"/>
                  <w:vAlign w:val="center"/>
                </w:tcPr>
                <w:p w14:paraId="27BD772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restart"/>
                  <w:vAlign w:val="center"/>
                </w:tcPr>
                <w:p w14:paraId="60E0B4C2">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6</w:t>
                  </w:r>
                  <w:r>
                    <w:rPr>
                      <w:rFonts w:hint="default" w:ascii="Times New Roman" w:hAnsi="Times New Roman" w:cs="Times New Roman"/>
                      <w:color w:val="auto"/>
                      <w:szCs w:val="21"/>
                      <w:lang w:val="en-US" w:eastAsia="zh-CN"/>
                    </w:rPr>
                    <w:t>0</w:t>
                  </w:r>
                </w:p>
              </w:tc>
              <w:tc>
                <w:tcPr>
                  <w:tcW w:w="997" w:type="dxa"/>
                  <w:vMerge w:val="restart"/>
                  <w:vAlign w:val="center"/>
                </w:tcPr>
                <w:p w14:paraId="005AB286">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5</w:t>
                  </w:r>
                  <w:r>
                    <w:rPr>
                      <w:rFonts w:hint="default" w:ascii="Times New Roman" w:hAnsi="Times New Roman" w:cs="Times New Roman"/>
                      <w:color w:val="auto"/>
                      <w:szCs w:val="21"/>
                      <w:lang w:val="en-US" w:eastAsia="zh-CN"/>
                    </w:rPr>
                    <w:t>0</w:t>
                  </w:r>
                </w:p>
              </w:tc>
            </w:tr>
            <w:tr w14:paraId="0F91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198BD2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2#</w:t>
                  </w:r>
                </w:p>
              </w:tc>
              <w:tc>
                <w:tcPr>
                  <w:tcW w:w="2594" w:type="dxa"/>
                  <w:vAlign w:val="center"/>
                </w:tcPr>
                <w:p w14:paraId="066C3B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项目北侧厂界外1m处</w:t>
                  </w:r>
                </w:p>
              </w:tc>
              <w:tc>
                <w:tcPr>
                  <w:tcW w:w="802" w:type="dxa"/>
                </w:tcPr>
                <w:p w14:paraId="0EC901FB">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eastAsia="宋体" w:cs="宋体"/>
                      <w:color w:val="auto"/>
                      <w:szCs w:val="21"/>
                      <w:lang w:val="en-US" w:eastAsia="zh-CN"/>
                    </w:rPr>
                    <w:t>50.3</w:t>
                  </w:r>
                </w:p>
              </w:tc>
              <w:tc>
                <w:tcPr>
                  <w:tcW w:w="804" w:type="dxa"/>
                  <w:vAlign w:val="center"/>
                </w:tcPr>
                <w:p w14:paraId="15B11CD1">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10FA241F">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eastAsia="宋体" w:cs="宋体"/>
                      <w:color w:val="auto"/>
                      <w:szCs w:val="21"/>
                      <w:lang w:val="en-US" w:eastAsia="zh-CN"/>
                    </w:rPr>
                    <w:t>37.0</w:t>
                  </w:r>
                </w:p>
              </w:tc>
              <w:tc>
                <w:tcPr>
                  <w:tcW w:w="811" w:type="dxa"/>
                  <w:vAlign w:val="center"/>
                </w:tcPr>
                <w:p w14:paraId="57BDEF7C">
                  <w:pPr>
                    <w:spacing w:line="276"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06BB93DA">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789FEE4F">
                  <w:pPr>
                    <w:spacing w:line="276" w:lineRule="auto"/>
                    <w:jc w:val="center"/>
                    <w:rPr>
                      <w:rFonts w:hint="default" w:ascii="Times New Roman" w:hAnsi="Times New Roman" w:eastAsia="宋体" w:cs="Times New Roman"/>
                      <w:color w:val="auto"/>
                      <w:szCs w:val="21"/>
                    </w:rPr>
                  </w:pPr>
                </w:p>
              </w:tc>
            </w:tr>
            <w:tr w14:paraId="17B0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3F71B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3#</w:t>
                  </w:r>
                </w:p>
              </w:tc>
              <w:tc>
                <w:tcPr>
                  <w:tcW w:w="2594" w:type="dxa"/>
                  <w:vAlign w:val="center"/>
                </w:tcPr>
                <w:p w14:paraId="2B7032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项目西侧厂界外1m处</w:t>
                  </w:r>
                </w:p>
              </w:tc>
              <w:tc>
                <w:tcPr>
                  <w:tcW w:w="802" w:type="dxa"/>
                </w:tcPr>
                <w:p w14:paraId="08A71F79">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eastAsia="宋体" w:cs="宋体"/>
                      <w:color w:val="auto"/>
                      <w:szCs w:val="21"/>
                      <w:lang w:val="en-US" w:eastAsia="zh-CN"/>
                    </w:rPr>
                    <w:t>52.6</w:t>
                  </w:r>
                </w:p>
              </w:tc>
              <w:tc>
                <w:tcPr>
                  <w:tcW w:w="804" w:type="dxa"/>
                  <w:vAlign w:val="center"/>
                </w:tcPr>
                <w:p w14:paraId="4F8EFFC1">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3F161A8D">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eastAsia="宋体" w:cs="宋体"/>
                      <w:color w:val="auto"/>
                      <w:szCs w:val="21"/>
                      <w:lang w:val="en-US" w:eastAsia="zh-CN"/>
                    </w:rPr>
                    <w:t>39.7</w:t>
                  </w:r>
                </w:p>
              </w:tc>
              <w:tc>
                <w:tcPr>
                  <w:tcW w:w="811" w:type="dxa"/>
                  <w:vAlign w:val="center"/>
                </w:tcPr>
                <w:p w14:paraId="567A5B1F">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330CCD6C">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08B74EE7">
                  <w:pPr>
                    <w:spacing w:line="276" w:lineRule="auto"/>
                    <w:jc w:val="center"/>
                    <w:rPr>
                      <w:rFonts w:hint="default" w:ascii="Times New Roman" w:hAnsi="Times New Roman" w:eastAsia="宋体" w:cs="Times New Roman"/>
                      <w:color w:val="auto"/>
                      <w:szCs w:val="21"/>
                    </w:rPr>
                  </w:pPr>
                </w:p>
              </w:tc>
            </w:tr>
            <w:tr w14:paraId="2036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21A60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4#</w:t>
                  </w:r>
                </w:p>
              </w:tc>
              <w:tc>
                <w:tcPr>
                  <w:tcW w:w="2594" w:type="dxa"/>
                  <w:vAlign w:val="center"/>
                </w:tcPr>
                <w:p w14:paraId="5EB35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厂界南侧16m农户处</w:t>
                  </w:r>
                </w:p>
              </w:tc>
              <w:tc>
                <w:tcPr>
                  <w:tcW w:w="802" w:type="dxa"/>
                </w:tcPr>
                <w:p w14:paraId="2F244333">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cs="宋体"/>
                      <w:color w:val="auto"/>
                      <w:szCs w:val="21"/>
                      <w:lang w:val="en-US" w:eastAsia="zh-CN"/>
                    </w:rPr>
                    <w:t>47.2</w:t>
                  </w:r>
                </w:p>
              </w:tc>
              <w:tc>
                <w:tcPr>
                  <w:tcW w:w="804" w:type="dxa"/>
                  <w:vAlign w:val="center"/>
                </w:tcPr>
                <w:p w14:paraId="4D2F3822">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54D28CCC">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cs="宋体"/>
                      <w:color w:val="auto"/>
                      <w:szCs w:val="21"/>
                      <w:lang w:val="en-US" w:eastAsia="zh-CN"/>
                    </w:rPr>
                    <w:t>37.8</w:t>
                  </w:r>
                </w:p>
              </w:tc>
              <w:tc>
                <w:tcPr>
                  <w:tcW w:w="811" w:type="dxa"/>
                  <w:vAlign w:val="center"/>
                </w:tcPr>
                <w:p w14:paraId="6814A5D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79A355BD">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6F15CD9C">
                  <w:pPr>
                    <w:spacing w:line="276" w:lineRule="auto"/>
                    <w:jc w:val="center"/>
                    <w:rPr>
                      <w:rFonts w:hint="default" w:ascii="Times New Roman" w:hAnsi="Times New Roman" w:eastAsia="宋体" w:cs="Times New Roman"/>
                      <w:color w:val="auto"/>
                      <w:szCs w:val="21"/>
                    </w:rPr>
                  </w:pPr>
                </w:p>
              </w:tc>
            </w:tr>
            <w:tr w14:paraId="6745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49A76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sz w:val="21"/>
                      <w:szCs w:val="21"/>
                      <w:lang w:val="en-US" w:eastAsia="zh-CN"/>
                    </w:rPr>
                    <w:t>5#</w:t>
                  </w:r>
                </w:p>
              </w:tc>
              <w:tc>
                <w:tcPr>
                  <w:tcW w:w="2594" w:type="dxa"/>
                  <w:vAlign w:val="center"/>
                </w:tcPr>
                <w:p w14:paraId="3E89C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厂界西北侧150m农户处</w:t>
                  </w:r>
                </w:p>
              </w:tc>
              <w:tc>
                <w:tcPr>
                  <w:tcW w:w="802" w:type="dxa"/>
                </w:tcPr>
                <w:p w14:paraId="2C827608">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48.8</w:t>
                  </w:r>
                </w:p>
              </w:tc>
              <w:tc>
                <w:tcPr>
                  <w:tcW w:w="804" w:type="dxa"/>
                  <w:vAlign w:val="center"/>
                </w:tcPr>
                <w:p w14:paraId="1F5A4D70">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32908162">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cs="宋体"/>
                      <w:color w:val="auto"/>
                      <w:kern w:val="2"/>
                      <w:sz w:val="21"/>
                      <w:szCs w:val="21"/>
                      <w:lang w:val="en-US" w:eastAsia="zh-CN" w:bidi="ar-SA"/>
                    </w:rPr>
                    <w:t>37.1</w:t>
                  </w:r>
                </w:p>
              </w:tc>
              <w:tc>
                <w:tcPr>
                  <w:tcW w:w="811" w:type="dxa"/>
                  <w:vAlign w:val="center"/>
                </w:tcPr>
                <w:p w14:paraId="4E2A8E5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69FB7D18">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0704B6FB">
                  <w:pPr>
                    <w:spacing w:line="276" w:lineRule="auto"/>
                    <w:jc w:val="center"/>
                    <w:rPr>
                      <w:rFonts w:hint="default" w:ascii="Times New Roman" w:hAnsi="Times New Roman" w:eastAsia="宋体" w:cs="Times New Roman"/>
                      <w:color w:val="auto"/>
                      <w:szCs w:val="21"/>
                    </w:rPr>
                  </w:pPr>
                </w:p>
              </w:tc>
            </w:tr>
            <w:tr w14:paraId="6AB3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7E025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sz w:val="21"/>
                      <w:szCs w:val="21"/>
                      <w:lang w:val="en-US" w:eastAsia="zh-CN"/>
                    </w:rPr>
                    <w:t>6#</w:t>
                  </w:r>
                </w:p>
              </w:tc>
              <w:tc>
                <w:tcPr>
                  <w:tcW w:w="2594" w:type="dxa"/>
                  <w:vAlign w:val="center"/>
                </w:tcPr>
                <w:p w14:paraId="6AFED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厂界北侧100m农户处</w:t>
                  </w:r>
                </w:p>
              </w:tc>
              <w:tc>
                <w:tcPr>
                  <w:tcW w:w="802" w:type="dxa"/>
                </w:tcPr>
                <w:p w14:paraId="334F2D5B">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46.4</w:t>
                  </w:r>
                </w:p>
              </w:tc>
              <w:tc>
                <w:tcPr>
                  <w:tcW w:w="804" w:type="dxa"/>
                  <w:vAlign w:val="center"/>
                </w:tcPr>
                <w:p w14:paraId="46127C7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56073F35">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cs="宋体"/>
                      <w:color w:val="auto"/>
                      <w:szCs w:val="21"/>
                      <w:lang w:val="en-US" w:eastAsia="zh-CN"/>
                    </w:rPr>
                    <w:t>36.5</w:t>
                  </w:r>
                </w:p>
              </w:tc>
              <w:tc>
                <w:tcPr>
                  <w:tcW w:w="811" w:type="dxa"/>
                  <w:vAlign w:val="center"/>
                </w:tcPr>
                <w:p w14:paraId="4301952E">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608F2562">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341563FA">
                  <w:pPr>
                    <w:spacing w:line="276" w:lineRule="auto"/>
                    <w:jc w:val="center"/>
                    <w:rPr>
                      <w:rFonts w:hint="default" w:ascii="Times New Roman" w:hAnsi="Times New Roman" w:eastAsia="宋体" w:cs="Times New Roman"/>
                      <w:color w:val="auto"/>
                      <w:szCs w:val="21"/>
                    </w:rPr>
                  </w:pPr>
                </w:p>
              </w:tc>
            </w:tr>
            <w:tr w14:paraId="2E3D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676EB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sz w:val="21"/>
                      <w:szCs w:val="21"/>
                      <w:lang w:val="en-US" w:eastAsia="zh-CN"/>
                    </w:rPr>
                    <w:t>7#</w:t>
                  </w:r>
                </w:p>
              </w:tc>
              <w:tc>
                <w:tcPr>
                  <w:tcW w:w="2594" w:type="dxa"/>
                  <w:vAlign w:val="center"/>
                </w:tcPr>
                <w:p w14:paraId="121AD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 w:val="21"/>
                      <w:szCs w:val="21"/>
                      <w:lang w:val="en-US" w:eastAsia="zh-CN"/>
                    </w:rPr>
                    <w:t>厂界西南侧20m农户处</w:t>
                  </w:r>
                </w:p>
              </w:tc>
              <w:tc>
                <w:tcPr>
                  <w:tcW w:w="802" w:type="dxa"/>
                </w:tcPr>
                <w:p w14:paraId="4EB9A40D">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54.6</w:t>
                  </w:r>
                </w:p>
              </w:tc>
              <w:tc>
                <w:tcPr>
                  <w:tcW w:w="804" w:type="dxa"/>
                  <w:vAlign w:val="center"/>
                </w:tcPr>
                <w:p w14:paraId="107AE5E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5063751C">
                  <w:pPr>
                    <w:spacing w:line="276" w:lineRule="auto"/>
                    <w:jc w:val="center"/>
                    <w:rPr>
                      <w:rFonts w:hint="default" w:ascii="Times New Roman" w:hAnsi="Times New Roman" w:eastAsia="宋体" w:cs="Times New Roman"/>
                      <w:color w:val="auto"/>
                      <w:kern w:val="0"/>
                      <w:szCs w:val="21"/>
                      <w:lang w:val="en-US" w:eastAsia="zh-CN"/>
                    </w:rPr>
                  </w:pPr>
                  <w:r>
                    <w:rPr>
                      <w:rFonts w:hint="eastAsia" w:ascii="宋体" w:hAnsi="宋体" w:cs="宋体"/>
                      <w:color w:val="auto"/>
                      <w:szCs w:val="21"/>
                      <w:lang w:val="en-US" w:eastAsia="zh-CN"/>
                    </w:rPr>
                    <w:t>41.3</w:t>
                  </w:r>
                </w:p>
              </w:tc>
              <w:tc>
                <w:tcPr>
                  <w:tcW w:w="811" w:type="dxa"/>
                  <w:vAlign w:val="center"/>
                </w:tcPr>
                <w:p w14:paraId="11176AC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261D7791">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1D55CCF6">
                  <w:pPr>
                    <w:spacing w:line="276" w:lineRule="auto"/>
                    <w:jc w:val="center"/>
                    <w:rPr>
                      <w:rFonts w:hint="default" w:ascii="Times New Roman" w:hAnsi="Times New Roman" w:eastAsia="宋体" w:cs="Times New Roman"/>
                      <w:color w:val="auto"/>
                      <w:szCs w:val="21"/>
                    </w:rPr>
                  </w:pPr>
                </w:p>
              </w:tc>
            </w:tr>
            <w:tr w14:paraId="70DA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64F7EF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r>
                    <w:rPr>
                      <w:rFonts w:hint="eastAsia" w:ascii="Times New Roman" w:hAnsi="Times New Roman" w:eastAsia="宋体" w:cs="Times New Roman"/>
                      <w:color w:val="auto"/>
                      <w:sz w:val="21"/>
                      <w:szCs w:val="21"/>
                      <w:lang w:val="en-US" w:eastAsia="zh-CN"/>
                    </w:rPr>
                    <w:t>8#</w:t>
                  </w:r>
                </w:p>
              </w:tc>
              <w:tc>
                <w:tcPr>
                  <w:tcW w:w="2594" w:type="dxa"/>
                  <w:vAlign w:val="center"/>
                </w:tcPr>
                <w:p w14:paraId="566A34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厂界东南侧160m农户处</w:t>
                  </w:r>
                </w:p>
              </w:tc>
              <w:tc>
                <w:tcPr>
                  <w:tcW w:w="802" w:type="dxa"/>
                </w:tcPr>
                <w:p w14:paraId="40D5B272">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57.7</w:t>
                  </w:r>
                </w:p>
              </w:tc>
              <w:tc>
                <w:tcPr>
                  <w:tcW w:w="804" w:type="dxa"/>
                  <w:vAlign w:val="center"/>
                </w:tcPr>
                <w:p w14:paraId="704B06E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442F7D4C">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44.5</w:t>
                  </w:r>
                </w:p>
              </w:tc>
              <w:tc>
                <w:tcPr>
                  <w:tcW w:w="811" w:type="dxa"/>
                  <w:vAlign w:val="center"/>
                </w:tcPr>
                <w:p w14:paraId="29AFA79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59095B44">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5669C73E">
                  <w:pPr>
                    <w:spacing w:line="276" w:lineRule="auto"/>
                    <w:jc w:val="center"/>
                    <w:rPr>
                      <w:rFonts w:hint="default" w:ascii="Times New Roman" w:hAnsi="Times New Roman" w:eastAsia="宋体" w:cs="Times New Roman"/>
                      <w:color w:val="auto"/>
                      <w:szCs w:val="21"/>
                    </w:rPr>
                  </w:pPr>
                </w:p>
              </w:tc>
            </w:tr>
            <w:tr w14:paraId="156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97" w:type="dxa"/>
                  <w:vAlign w:val="center"/>
                </w:tcPr>
                <w:p w14:paraId="11F5A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r>
                    <w:rPr>
                      <w:rFonts w:hint="eastAsia" w:ascii="Times New Roman" w:hAnsi="Times New Roman" w:eastAsia="宋体" w:cs="Times New Roman"/>
                      <w:color w:val="auto"/>
                      <w:sz w:val="21"/>
                      <w:szCs w:val="21"/>
                      <w:lang w:val="en-US" w:eastAsia="zh-CN"/>
                    </w:rPr>
                    <w:t>9#</w:t>
                  </w:r>
                </w:p>
              </w:tc>
              <w:tc>
                <w:tcPr>
                  <w:tcW w:w="2594" w:type="dxa"/>
                  <w:vAlign w:val="center"/>
                </w:tcPr>
                <w:p w14:paraId="592C4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厂界东南侧145m农户处</w:t>
                  </w:r>
                </w:p>
              </w:tc>
              <w:tc>
                <w:tcPr>
                  <w:tcW w:w="802" w:type="dxa"/>
                </w:tcPr>
                <w:p w14:paraId="1384E459">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49.3</w:t>
                  </w:r>
                </w:p>
              </w:tc>
              <w:tc>
                <w:tcPr>
                  <w:tcW w:w="804" w:type="dxa"/>
                  <w:vAlign w:val="center"/>
                </w:tcPr>
                <w:p w14:paraId="3B5B65BE">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802" w:type="dxa"/>
                </w:tcPr>
                <w:p w14:paraId="3058B25C">
                  <w:pPr>
                    <w:spacing w:line="276" w:lineRule="auto"/>
                    <w:jc w:val="center"/>
                    <w:rPr>
                      <w:rFonts w:hint="default" w:ascii="Times New Roman" w:hAnsi="Times New Roman" w:cs="Times New Roman"/>
                      <w:color w:val="auto"/>
                      <w:kern w:val="0"/>
                      <w:szCs w:val="21"/>
                      <w:lang w:val="en-US" w:eastAsia="zh-CN"/>
                    </w:rPr>
                  </w:pPr>
                  <w:r>
                    <w:rPr>
                      <w:rFonts w:hint="eastAsia" w:ascii="宋体" w:hAnsi="宋体" w:cs="宋体"/>
                      <w:color w:val="auto"/>
                      <w:szCs w:val="21"/>
                      <w:lang w:val="en-US" w:eastAsia="zh-CN"/>
                    </w:rPr>
                    <w:t>38.8</w:t>
                  </w:r>
                </w:p>
              </w:tc>
              <w:tc>
                <w:tcPr>
                  <w:tcW w:w="811" w:type="dxa"/>
                  <w:vAlign w:val="center"/>
                </w:tcPr>
                <w:p w14:paraId="3AA4FA3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997" w:type="dxa"/>
                  <w:vMerge w:val="continue"/>
                  <w:vAlign w:val="center"/>
                </w:tcPr>
                <w:p w14:paraId="79083A0A">
                  <w:pPr>
                    <w:spacing w:line="276" w:lineRule="auto"/>
                    <w:jc w:val="center"/>
                    <w:rPr>
                      <w:rFonts w:hint="default" w:ascii="Times New Roman" w:hAnsi="Times New Roman" w:eastAsia="宋体" w:cs="Times New Roman"/>
                      <w:color w:val="auto"/>
                      <w:szCs w:val="21"/>
                    </w:rPr>
                  </w:pPr>
                </w:p>
              </w:tc>
              <w:tc>
                <w:tcPr>
                  <w:tcW w:w="997" w:type="dxa"/>
                  <w:vMerge w:val="continue"/>
                  <w:vAlign w:val="center"/>
                </w:tcPr>
                <w:p w14:paraId="7A4864B1">
                  <w:pPr>
                    <w:spacing w:line="276" w:lineRule="auto"/>
                    <w:jc w:val="center"/>
                    <w:rPr>
                      <w:rFonts w:hint="default" w:ascii="Times New Roman" w:hAnsi="Times New Roman" w:eastAsia="宋体" w:cs="Times New Roman"/>
                      <w:color w:val="auto"/>
                      <w:szCs w:val="21"/>
                    </w:rPr>
                  </w:pPr>
                </w:p>
              </w:tc>
            </w:tr>
          </w:tbl>
          <w:p w14:paraId="6148DAD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由噪声监测及评价结果可知，</w:t>
            </w:r>
            <w:r>
              <w:rPr>
                <w:rFonts w:hint="default" w:ascii="Times New Roman" w:hAnsi="Times New Roman" w:cs="Times New Roman"/>
                <w:color w:val="auto"/>
                <w:sz w:val="24"/>
                <w:szCs w:val="24"/>
                <w:lang w:val="en-US" w:eastAsia="zh-CN"/>
              </w:rPr>
              <w:t>敏感点处</w:t>
            </w:r>
            <w:r>
              <w:rPr>
                <w:rFonts w:hint="default" w:ascii="Times New Roman" w:hAnsi="Times New Roman" w:eastAsia="宋体" w:cs="Times New Roman"/>
                <w:color w:val="auto"/>
                <w:sz w:val="24"/>
                <w:szCs w:val="24"/>
              </w:rPr>
              <w:t>声环境满足《声环境质量标准》（GB 3096-2008）中2类标准，厂界声环境满足《声环境质量标准》（GB 3096-2008）中</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类标准，项目所在地区域声环境质量较好。</w:t>
            </w:r>
          </w:p>
          <w:p w14:paraId="7D7861CE">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四、生态质量现状</w:t>
            </w:r>
          </w:p>
          <w:p w14:paraId="64FCB50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项目选址于</w:t>
            </w:r>
            <w:r>
              <w:rPr>
                <w:rFonts w:hint="eastAsia" w:cs="Times New Roman"/>
                <w:color w:val="auto"/>
                <w:sz w:val="24"/>
                <w:szCs w:val="24"/>
                <w:lang w:val="en-US" w:eastAsia="zh-CN"/>
              </w:rPr>
              <w:t xml:space="preserve">四川省遂宁市蓬溪县蓬南镇长石村3社 </w:t>
            </w:r>
            <w:r>
              <w:rPr>
                <w:rFonts w:hint="default" w:ascii="Times New Roman" w:hAnsi="Times New Roman" w:eastAsia="宋体" w:cs="Times New Roman"/>
                <w:color w:val="auto"/>
                <w:sz w:val="24"/>
                <w:szCs w:val="24"/>
              </w:rPr>
              <w:t>，由于人为活动频繁，已不存在原生植被，仅有鸟类、鼠类及昆虫类等小型动物，植被为人工植被，区域生态环境质量较好。区内无大型野生动物及古大珍稀植物，无特殊文物保护单位。</w:t>
            </w:r>
          </w:p>
          <w:p w14:paraId="21EE84F7">
            <w:pPr>
              <w:pStyle w:val="2"/>
              <w:numPr>
                <w:ilvl w:val="0"/>
                <w:numId w:val="0"/>
              </w:numPr>
              <w:spacing w:line="360" w:lineRule="auto"/>
              <w:rPr>
                <w:rFonts w:hint="eastAsia" w:ascii="Times New Roman" w:hAnsi="Times New Roman" w:cs="Times New Roman"/>
                <w:color w:val="auto"/>
                <w:sz w:val="28"/>
                <w:szCs w:val="28"/>
                <w:lang w:val="en-US" w:eastAsia="zh-CN"/>
              </w:rPr>
            </w:pPr>
            <w:r>
              <w:rPr>
                <w:rFonts w:hint="default" w:ascii="Times New Roman" w:hAnsi="Times New Roman" w:cs="Times New Roman"/>
                <w:b/>
                <w:bCs/>
                <w:color w:val="auto"/>
                <w:sz w:val="28"/>
                <w:szCs w:val="28"/>
                <w:lang w:val="en-US" w:eastAsia="zh-CN"/>
              </w:rPr>
              <w:t>五</w:t>
            </w:r>
            <w:r>
              <w:rPr>
                <w:rFonts w:hint="default" w:ascii="Times New Roman" w:hAnsi="Times New Roman" w:eastAsia="宋体" w:cs="Times New Roman"/>
                <w:b/>
                <w:bCs/>
                <w:color w:val="auto"/>
                <w:sz w:val="28"/>
                <w:szCs w:val="28"/>
              </w:rPr>
              <w:t>、</w:t>
            </w:r>
            <w:r>
              <w:rPr>
                <w:rFonts w:hint="eastAsia" w:ascii="Times New Roman" w:hAnsi="Times New Roman" w:cs="Times New Roman"/>
                <w:b/>
                <w:bCs/>
                <w:color w:val="auto"/>
                <w:sz w:val="28"/>
                <w:szCs w:val="28"/>
                <w:lang w:val="en-US" w:eastAsia="zh-CN"/>
              </w:rPr>
              <w:t>土壤环境质量现状监测及评价</w:t>
            </w:r>
          </w:p>
          <w:p w14:paraId="196826CB">
            <w:pPr>
              <w:pStyle w:val="2"/>
              <w:numPr>
                <w:ilvl w:val="0"/>
                <w:numId w:val="0"/>
              </w:numPr>
              <w:spacing w:line="360" w:lineRule="auto"/>
              <w:ind w:left="0" w:leftChars="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依据《环境影响评价技术导则 土壤环境（试行）》（HJ 964-2018）评价等级划分，本项目为导则中规定的Ⅲ类项目，占地面积为小型，周边存在土壤环境敏感目标，属于敏感项目，土壤环境影响评价工作等级为三级。</w:t>
            </w:r>
          </w:p>
          <w:p w14:paraId="01DC8500">
            <w:pPr>
              <w:pStyle w:val="2"/>
              <w:numPr>
                <w:ilvl w:val="0"/>
                <w:numId w:val="0"/>
              </w:numPr>
              <w:spacing w:line="360" w:lineRule="auto"/>
              <w:ind w:left="0" w:leftChars="0" w:firstLine="480" w:firstLineChars="200"/>
              <w:rPr>
                <w:rFonts w:hint="eastAsia" w:ascii="Times New Roman" w:hAnsi="Times New Roman" w:eastAsia="宋体" w:cs="Times New Roman"/>
                <w:color w:val="C00000"/>
                <w:sz w:val="24"/>
                <w:szCs w:val="24"/>
                <w:lang w:val="en-US" w:eastAsia="zh-CN"/>
              </w:rPr>
            </w:pPr>
            <w:r>
              <w:rPr>
                <w:rFonts w:hint="eastAsia" w:ascii="Times New Roman" w:hAnsi="Times New Roman" w:cs="Times New Roman"/>
                <w:color w:val="auto"/>
                <w:sz w:val="24"/>
                <w:szCs w:val="24"/>
                <w:lang w:val="en-US" w:eastAsia="zh-CN"/>
              </w:rPr>
              <w:t>依据《环境影响评价技术导则 土壤环境（试行）》（HJ 964-2018）本项目应在</w:t>
            </w:r>
            <w:r>
              <w:rPr>
                <w:spacing w:val="-4"/>
                <w:sz w:val="24"/>
              </w:rPr>
              <w:t xml:space="preserve">占地范围内取 </w:t>
            </w:r>
            <w:r>
              <w:rPr>
                <w:rFonts w:ascii="Times New Roman" w:eastAsia="Times New Roman"/>
                <w:sz w:val="24"/>
              </w:rPr>
              <w:t xml:space="preserve">3 </w:t>
            </w:r>
            <w:r>
              <w:rPr>
                <w:spacing w:val="-1"/>
                <w:sz w:val="24"/>
              </w:rPr>
              <w:t>个表层样点</w:t>
            </w:r>
            <w:r>
              <w:rPr>
                <w:rFonts w:hint="eastAsia"/>
                <w:spacing w:val="-1"/>
                <w:sz w:val="24"/>
                <w:lang w:eastAsia="zh-CN"/>
              </w:rPr>
              <w:t>，</w:t>
            </w:r>
            <w:r>
              <w:rPr>
                <w:spacing w:val="-1"/>
                <w:sz w:val="24"/>
              </w:rPr>
              <w:t>在实际采样过程中，因</w:t>
            </w:r>
            <w:r>
              <w:rPr>
                <w:b/>
                <w:bCs/>
                <w:spacing w:val="-1"/>
                <w:sz w:val="24"/>
              </w:rPr>
              <w:t>本项目厂房及厂区四周已全部进行场地硬化，不宜进行破土取样</w:t>
            </w:r>
            <w:r>
              <w:rPr>
                <w:rFonts w:hint="eastAsia"/>
                <w:spacing w:val="-1"/>
                <w:sz w:val="24"/>
                <w:lang w:eastAsia="zh-CN"/>
              </w:rPr>
              <w:t>。</w:t>
            </w:r>
            <w:r>
              <w:rPr>
                <w:rFonts w:hint="eastAsia"/>
                <w:spacing w:val="-1"/>
                <w:sz w:val="24"/>
                <w:lang w:val="en-US" w:eastAsia="zh-CN"/>
              </w:rPr>
              <w:t>根据生态环境部部长信箱中“</w:t>
            </w:r>
            <w:r>
              <w:rPr>
                <w:rFonts w:hint="eastAsia" w:hAnsi="Times New Roman"/>
                <w:spacing w:val="-1"/>
                <w:sz w:val="24"/>
                <w:lang w:val="en-US" w:eastAsia="zh-CN"/>
              </w:rPr>
              <w:t>关于土壤现状监测点位如何选择的回复”，回复内容为：</w:t>
            </w:r>
            <w:r>
              <w:rPr>
                <w:rFonts w:hint="eastAsia" w:hAnsi="Times New Roman"/>
                <w:b/>
                <w:bCs/>
                <w:spacing w:val="-1"/>
                <w:sz w:val="24"/>
                <w:lang w:val="en-US" w:eastAsia="zh-CN"/>
              </w:rPr>
              <w:t>“</w:t>
            </w:r>
            <w:r>
              <w:rPr>
                <w:rFonts w:ascii="Helvetica" w:hAnsi="Helvetica" w:eastAsia="Helvetica" w:cs="Helvetica"/>
                <w:b/>
                <w:bCs/>
                <w:i w:val="0"/>
                <w:caps w:val="0"/>
                <w:color w:val="191919"/>
                <w:spacing w:val="0"/>
                <w:sz w:val="24"/>
                <w:szCs w:val="24"/>
                <w:shd w:val="clear" w:fill="FAFAFA"/>
              </w:rPr>
              <w:t>根据建设项目实际情况，如果项目场地已经做了防腐防渗（包括硬化）处理无法取样，可不取样监测，但需要详细说明无法取样原因</w:t>
            </w:r>
            <w:r>
              <w:rPr>
                <w:rFonts w:hint="eastAsia" w:ascii="Helvetica" w:hAnsi="Helvetica" w:eastAsia="宋体" w:cs="Helvetica"/>
                <w:b/>
                <w:bCs/>
                <w:i w:val="0"/>
                <w:caps w:val="0"/>
                <w:color w:val="191919"/>
                <w:spacing w:val="0"/>
                <w:sz w:val="24"/>
                <w:szCs w:val="24"/>
                <w:shd w:val="clear" w:fill="FAFAFA"/>
                <w:lang w:eastAsia="zh-CN"/>
              </w:rPr>
              <w:t>”</w:t>
            </w:r>
            <w:r>
              <w:rPr>
                <w:rFonts w:ascii="Helvetica" w:hAnsi="Helvetica" w:eastAsia="Helvetica" w:cs="Helvetica"/>
                <w:i w:val="0"/>
                <w:caps w:val="0"/>
                <w:color w:val="191919"/>
                <w:spacing w:val="0"/>
                <w:sz w:val="24"/>
                <w:szCs w:val="24"/>
                <w:shd w:val="clear" w:fill="FAFAFA"/>
              </w:rPr>
              <w:t>。</w:t>
            </w:r>
            <w:r>
              <w:rPr>
                <w:spacing w:val="-1"/>
                <w:sz w:val="24"/>
              </w:rPr>
              <w:t>因此本项目</w:t>
            </w:r>
            <w:r>
              <w:rPr>
                <w:rFonts w:hint="eastAsia"/>
                <w:spacing w:val="-1"/>
                <w:sz w:val="24"/>
                <w:lang w:val="en-US" w:eastAsia="zh-CN"/>
              </w:rPr>
              <w:t>未对项目占地范围内</w:t>
            </w:r>
            <w:r>
              <w:rPr>
                <w:sz w:val="24"/>
              </w:rPr>
              <w:t>表层土监测点进行采样</w:t>
            </w:r>
            <w:r>
              <w:rPr>
                <w:rFonts w:hint="eastAsia"/>
                <w:sz w:val="24"/>
                <w:lang w:eastAsia="zh-CN"/>
              </w:rPr>
              <w:t>。</w:t>
            </w:r>
          </w:p>
          <w:p w14:paraId="4ADFDDEC">
            <w:pPr>
              <w:pStyle w:val="2"/>
              <w:numPr>
                <w:ilvl w:val="0"/>
                <w:numId w:val="0"/>
              </w:numPr>
              <w:spacing w:line="360" w:lineRule="auto"/>
              <w:jc w:val="center"/>
              <w:rPr>
                <w:rFonts w:hint="default" w:ascii="Times New Roman" w:hAnsi="Times New Roman" w:cs="Times New Roman"/>
                <w:color w:val="C00000"/>
                <w:sz w:val="24"/>
                <w:szCs w:val="24"/>
                <w:lang w:val="en-US" w:eastAsia="zh-CN"/>
              </w:rPr>
            </w:pPr>
            <w:r>
              <w:rPr>
                <w:rFonts w:hint="eastAsia" w:ascii="Times New Roman" w:cs="Times New Roman"/>
                <w:color w:val="C00000"/>
                <w:sz w:val="24"/>
                <w:szCs w:val="24"/>
                <w:lang w:val="en-US" w:eastAsia="zh-CN"/>
              </w:rPr>
              <w:t xml:space="preserve"> </w:t>
            </w:r>
            <w:r>
              <w:rPr>
                <w:rFonts w:hint="default" w:ascii="Times New Roman" w:hAnsi="Times New Roman" w:cs="Times New Roman"/>
                <w:color w:val="C00000"/>
                <w:sz w:val="24"/>
                <w:szCs w:val="24"/>
                <w:lang w:val="en-US" w:eastAsia="zh-CN"/>
              </w:rPr>
              <w:drawing>
                <wp:inline distT="0" distB="0" distL="114300" distR="114300">
                  <wp:extent cx="2637790" cy="4243070"/>
                  <wp:effectExtent l="0" t="0" r="10160" b="5080"/>
                  <wp:docPr id="36" name="图片 36" descr="微信图片_2021022510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225101840"/>
                          <pic:cNvPicPr>
                            <a:picLocks noChangeAspect="1"/>
                          </pic:cNvPicPr>
                        </pic:nvPicPr>
                        <pic:blipFill>
                          <a:blip r:embed="rId12"/>
                          <a:stretch>
                            <a:fillRect/>
                          </a:stretch>
                        </pic:blipFill>
                        <pic:spPr>
                          <a:xfrm>
                            <a:off x="0" y="0"/>
                            <a:ext cx="2637790" cy="4243070"/>
                          </a:xfrm>
                          <a:prstGeom prst="rect">
                            <a:avLst/>
                          </a:prstGeom>
                        </pic:spPr>
                      </pic:pic>
                    </a:graphicData>
                  </a:graphic>
                </wp:inline>
              </w:drawing>
            </w:r>
            <w:r>
              <w:rPr>
                <w:rFonts w:hint="eastAsia" w:ascii="Times New Roman" w:cs="Times New Roman"/>
                <w:color w:val="C00000"/>
                <w:sz w:val="24"/>
                <w:szCs w:val="24"/>
                <w:lang w:val="en-US" w:eastAsia="zh-CN"/>
              </w:rPr>
              <w:t xml:space="preserve"> </w:t>
            </w:r>
            <w:r>
              <w:rPr>
                <w:rFonts w:hint="default" w:ascii="Times New Roman" w:hAnsi="Times New Roman" w:cs="Times New Roman"/>
                <w:color w:val="C00000"/>
                <w:sz w:val="24"/>
                <w:szCs w:val="24"/>
                <w:lang w:val="en-US" w:eastAsia="zh-CN"/>
              </w:rPr>
              <w:drawing>
                <wp:inline distT="0" distB="0" distL="114300" distR="114300">
                  <wp:extent cx="2974975" cy="4246880"/>
                  <wp:effectExtent l="0" t="0" r="15875" b="1270"/>
                  <wp:docPr id="43" name="图片 43" descr="微信图片_20210225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0225101856"/>
                          <pic:cNvPicPr>
                            <a:picLocks noChangeAspect="1"/>
                          </pic:cNvPicPr>
                        </pic:nvPicPr>
                        <pic:blipFill>
                          <a:blip r:embed="rId13"/>
                          <a:stretch>
                            <a:fillRect/>
                          </a:stretch>
                        </pic:blipFill>
                        <pic:spPr>
                          <a:xfrm>
                            <a:off x="0" y="0"/>
                            <a:ext cx="2974975" cy="4246880"/>
                          </a:xfrm>
                          <a:prstGeom prst="rect">
                            <a:avLst/>
                          </a:prstGeom>
                        </pic:spPr>
                      </pic:pic>
                    </a:graphicData>
                  </a:graphic>
                </wp:inline>
              </w:drawing>
            </w:r>
          </w:p>
          <w:p w14:paraId="61799523">
            <w:pPr>
              <w:spacing w:line="360" w:lineRule="auto"/>
              <w:ind w:firstLine="480" w:firstLineChars="200"/>
              <w:rPr>
                <w:rFonts w:hint="default" w:ascii="Times New Roman" w:hAnsi="Times New Roman" w:eastAsia="宋体" w:cs="Times New Roman"/>
                <w:color w:val="C00000"/>
                <w:sz w:val="24"/>
                <w:szCs w:val="24"/>
              </w:rPr>
            </w:pPr>
          </w:p>
        </w:tc>
      </w:tr>
      <w:tr w14:paraId="0C61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93" w:type="dxa"/>
            <w:shd w:val="clear" w:color="auto" w:fill="auto"/>
            <w:vAlign w:val="center"/>
          </w:tcPr>
          <w:p w14:paraId="786B5161">
            <w:pPr>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主要环境保护目标（列出名单及保护级别）：</w:t>
            </w:r>
          </w:p>
          <w:p w14:paraId="7B59400B">
            <w:pPr>
              <w:spacing w:line="360" w:lineRule="auto"/>
              <w:ind w:firstLine="48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1、外环境情况</w:t>
            </w:r>
          </w:p>
          <w:p w14:paraId="24834C6E">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eastAsia" w:cs="Times New Roman"/>
                <w:color w:val="auto"/>
                <w:sz w:val="24"/>
                <w:szCs w:val="24"/>
                <w:lang w:val="en-US" w:eastAsia="zh-CN"/>
              </w:rPr>
              <w:t xml:space="preserve">四川省遂宁市蓬溪县蓬南镇长石村3社 </w:t>
            </w:r>
            <w:r>
              <w:rPr>
                <w:rFonts w:hint="default" w:ascii="Times New Roman" w:hAnsi="Times New Roman" w:eastAsia="宋体" w:cs="Times New Roman"/>
                <w:color w:val="auto"/>
                <w:sz w:val="24"/>
                <w:szCs w:val="24"/>
              </w:rPr>
              <w:t>，据现场调查，本项目外环境关系见下表：</w:t>
            </w:r>
          </w:p>
          <w:p w14:paraId="14345E2C">
            <w:pPr>
              <w:spacing w:line="360" w:lineRule="auto"/>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9</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本项目外环境关系情况</w:t>
            </w:r>
          </w:p>
          <w:tbl>
            <w:tblPr>
              <w:tblStyle w:val="22"/>
              <w:tblW w:w="4995" w:type="pct"/>
              <w:jc w:val="center"/>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2"/>
              <w:gridCol w:w="4575"/>
              <w:gridCol w:w="1348"/>
              <w:gridCol w:w="1711"/>
              <w:gridCol w:w="1592"/>
            </w:tblGrid>
            <w:tr w14:paraId="7247A634">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372" w:type="pct"/>
                  <w:tcBorders>
                    <w:tl2br w:val="nil"/>
                    <w:tr2bl w:val="nil"/>
                  </w:tcBorders>
                  <w:noWrap w:val="0"/>
                  <w:vAlign w:val="center"/>
                </w:tcPr>
                <w:p w14:paraId="0A373DA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295" w:type="pct"/>
                  <w:tcBorders>
                    <w:tl2br w:val="nil"/>
                    <w:tr2bl w:val="nil"/>
                  </w:tcBorders>
                  <w:noWrap w:val="0"/>
                  <w:vAlign w:val="center"/>
                </w:tcPr>
                <w:p w14:paraId="3264492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保护目标</w:t>
                  </w:r>
                </w:p>
              </w:tc>
              <w:tc>
                <w:tcPr>
                  <w:tcW w:w="676" w:type="pct"/>
                  <w:tcBorders>
                    <w:tl2br w:val="nil"/>
                    <w:tr2bl w:val="nil"/>
                  </w:tcBorders>
                  <w:noWrap w:val="0"/>
                  <w:vAlign w:val="center"/>
                </w:tcPr>
                <w:p w14:paraId="73F9711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方位</w:t>
                  </w:r>
                </w:p>
              </w:tc>
              <w:tc>
                <w:tcPr>
                  <w:tcW w:w="858" w:type="pct"/>
                  <w:tcBorders>
                    <w:tl2br w:val="nil"/>
                    <w:tr2bl w:val="nil"/>
                  </w:tcBorders>
                  <w:noWrap w:val="0"/>
                  <w:vAlign w:val="center"/>
                </w:tcPr>
                <w:p w14:paraId="4F30ADB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与厂界最近距离</w:t>
                  </w:r>
                </w:p>
              </w:tc>
              <w:tc>
                <w:tcPr>
                  <w:tcW w:w="798" w:type="pct"/>
                  <w:tcBorders>
                    <w:tl2br w:val="nil"/>
                    <w:tr2bl w:val="nil"/>
                  </w:tcBorders>
                  <w:noWrap w:val="0"/>
                  <w:vAlign w:val="center"/>
                </w:tcPr>
                <w:p w14:paraId="06473B6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性质</w:t>
                  </w:r>
                </w:p>
              </w:tc>
            </w:tr>
            <w:tr w14:paraId="232620DF">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17A506A3">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295" w:type="pct"/>
                  <w:tcBorders>
                    <w:tl2br w:val="nil"/>
                    <w:tr2bl w:val="nil"/>
                  </w:tcBorders>
                  <w:noWrap w:val="0"/>
                  <w:vAlign w:val="center"/>
                </w:tcPr>
                <w:p w14:paraId="41E95FB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default" w:cs="宋体"/>
                      <w:color w:val="auto"/>
                      <w:sz w:val="21"/>
                      <w:szCs w:val="21"/>
                      <w:lang w:val="en-US" w:eastAsia="zh-CN"/>
                    </w:rPr>
                    <w:t>居民</w:t>
                  </w:r>
                  <w:r>
                    <w:rPr>
                      <w:rFonts w:hint="eastAsia" w:cs="宋体"/>
                      <w:color w:val="auto"/>
                      <w:sz w:val="21"/>
                      <w:szCs w:val="21"/>
                      <w:lang w:val="en-US" w:eastAsia="zh-CN"/>
                    </w:rPr>
                    <w:t>1户</w:t>
                  </w:r>
                </w:p>
              </w:tc>
              <w:tc>
                <w:tcPr>
                  <w:tcW w:w="676" w:type="pct"/>
                  <w:tcBorders>
                    <w:tl2br w:val="nil"/>
                    <w:tr2bl w:val="nil"/>
                  </w:tcBorders>
                  <w:noWrap w:val="0"/>
                  <w:vAlign w:val="center"/>
                </w:tcPr>
                <w:p w14:paraId="76B8085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858" w:type="pct"/>
                  <w:tcBorders>
                    <w:tl2br w:val="nil"/>
                    <w:tr2bl w:val="nil"/>
                  </w:tcBorders>
                  <w:noWrap w:val="0"/>
                  <w:vAlign w:val="center"/>
                </w:tcPr>
                <w:p w14:paraId="2A46624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282m</w:t>
                  </w:r>
                </w:p>
              </w:tc>
              <w:tc>
                <w:tcPr>
                  <w:tcW w:w="798" w:type="pct"/>
                  <w:tcBorders>
                    <w:tl2br w:val="nil"/>
                    <w:tr2bl w:val="nil"/>
                  </w:tcBorders>
                  <w:noWrap w:val="0"/>
                  <w:vAlign w:val="center"/>
                </w:tcPr>
                <w:p w14:paraId="3ADE1B0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居民点</w:t>
                  </w:r>
                </w:p>
              </w:tc>
            </w:tr>
            <w:tr w14:paraId="293C678C">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598277D7">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295" w:type="pct"/>
                  <w:tcBorders>
                    <w:tl2br w:val="nil"/>
                    <w:tr2bl w:val="nil"/>
                  </w:tcBorders>
                  <w:noWrap w:val="0"/>
                  <w:vAlign w:val="center"/>
                </w:tcPr>
                <w:p w14:paraId="450954A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长宁村居民9户</w:t>
                  </w:r>
                </w:p>
              </w:tc>
              <w:tc>
                <w:tcPr>
                  <w:tcW w:w="676" w:type="pct"/>
                  <w:tcBorders>
                    <w:tl2br w:val="nil"/>
                    <w:tr2bl w:val="nil"/>
                  </w:tcBorders>
                  <w:noWrap w:val="0"/>
                  <w:vAlign w:val="center"/>
                </w:tcPr>
                <w:p w14:paraId="5A3DA87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东侧</w:t>
                  </w:r>
                </w:p>
              </w:tc>
              <w:tc>
                <w:tcPr>
                  <w:tcW w:w="858" w:type="pct"/>
                  <w:tcBorders>
                    <w:tl2br w:val="nil"/>
                    <w:tr2bl w:val="nil"/>
                  </w:tcBorders>
                  <w:noWrap w:val="0"/>
                  <w:vAlign w:val="center"/>
                </w:tcPr>
                <w:p w14:paraId="5D1CEC6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375m~606m</w:t>
                  </w:r>
                </w:p>
              </w:tc>
              <w:tc>
                <w:tcPr>
                  <w:tcW w:w="798" w:type="pct"/>
                  <w:tcBorders>
                    <w:tl2br w:val="nil"/>
                    <w:tr2bl w:val="nil"/>
                  </w:tcBorders>
                  <w:noWrap w:val="0"/>
                  <w:vAlign w:val="center"/>
                </w:tcPr>
                <w:p w14:paraId="4ACB961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7E75C285">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FD8BD68">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295" w:type="pct"/>
                  <w:tcBorders>
                    <w:tl2br w:val="nil"/>
                    <w:tr2bl w:val="nil"/>
                  </w:tcBorders>
                  <w:noWrap w:val="0"/>
                  <w:vAlign w:val="center"/>
                </w:tcPr>
                <w:p w14:paraId="7B5910F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蓬溪县蓬南镇惠民小学</w:t>
                  </w:r>
                </w:p>
              </w:tc>
              <w:tc>
                <w:tcPr>
                  <w:tcW w:w="676" w:type="pct"/>
                  <w:tcBorders>
                    <w:tl2br w:val="nil"/>
                    <w:tr2bl w:val="nil"/>
                  </w:tcBorders>
                  <w:noWrap w:val="0"/>
                  <w:vAlign w:val="center"/>
                </w:tcPr>
                <w:p w14:paraId="643CAC3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858" w:type="pct"/>
                  <w:tcBorders>
                    <w:tl2br w:val="nil"/>
                    <w:tr2bl w:val="nil"/>
                  </w:tcBorders>
                  <w:noWrap w:val="0"/>
                  <w:vAlign w:val="center"/>
                </w:tcPr>
                <w:p w14:paraId="4ABC76B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420m</w:t>
                  </w:r>
                </w:p>
              </w:tc>
              <w:tc>
                <w:tcPr>
                  <w:tcW w:w="798" w:type="pct"/>
                  <w:tcBorders>
                    <w:tl2br w:val="nil"/>
                    <w:tr2bl w:val="nil"/>
                  </w:tcBorders>
                  <w:noWrap w:val="0"/>
                  <w:vAlign w:val="center"/>
                </w:tcPr>
                <w:p w14:paraId="0AC02C8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学校</w:t>
                  </w:r>
                </w:p>
              </w:tc>
            </w:tr>
            <w:tr w14:paraId="44F8343B">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30343416">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295" w:type="pct"/>
                  <w:tcBorders>
                    <w:tl2br w:val="nil"/>
                    <w:tr2bl w:val="nil"/>
                  </w:tcBorders>
                  <w:noWrap w:val="0"/>
                  <w:vAlign w:val="center"/>
                </w:tcPr>
                <w:p w14:paraId="3760A4B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居民6户</w:t>
                  </w:r>
                </w:p>
              </w:tc>
              <w:tc>
                <w:tcPr>
                  <w:tcW w:w="676" w:type="pct"/>
                  <w:tcBorders>
                    <w:tl2br w:val="nil"/>
                    <w:tr2bl w:val="nil"/>
                  </w:tcBorders>
                  <w:noWrap w:val="0"/>
                  <w:vAlign w:val="center"/>
                </w:tcPr>
                <w:p w14:paraId="3DF81F3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南侧</w:t>
                  </w:r>
                </w:p>
              </w:tc>
              <w:tc>
                <w:tcPr>
                  <w:tcW w:w="858" w:type="pct"/>
                  <w:tcBorders>
                    <w:tl2br w:val="nil"/>
                    <w:tr2bl w:val="nil"/>
                  </w:tcBorders>
                  <w:noWrap w:val="0"/>
                  <w:vAlign w:val="center"/>
                </w:tcPr>
                <w:p w14:paraId="7072843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15m-72m</w:t>
                  </w:r>
                </w:p>
              </w:tc>
              <w:tc>
                <w:tcPr>
                  <w:tcW w:w="798" w:type="pct"/>
                  <w:tcBorders>
                    <w:tl2br w:val="nil"/>
                    <w:tr2bl w:val="nil"/>
                  </w:tcBorders>
                  <w:noWrap w:val="0"/>
                  <w:vAlign w:val="center"/>
                </w:tcPr>
                <w:p w14:paraId="7459589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1125597E">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3A5630E5">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5</w:t>
                  </w:r>
                </w:p>
              </w:tc>
              <w:tc>
                <w:tcPr>
                  <w:tcW w:w="2295" w:type="pct"/>
                  <w:tcBorders>
                    <w:tl2br w:val="nil"/>
                    <w:tr2bl w:val="nil"/>
                  </w:tcBorders>
                  <w:noWrap w:val="0"/>
                  <w:vAlign w:val="center"/>
                </w:tcPr>
                <w:p w14:paraId="092899C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居民8户</w:t>
                  </w:r>
                </w:p>
              </w:tc>
              <w:tc>
                <w:tcPr>
                  <w:tcW w:w="676" w:type="pct"/>
                  <w:tcBorders>
                    <w:tl2br w:val="nil"/>
                    <w:tr2bl w:val="nil"/>
                  </w:tcBorders>
                  <w:noWrap w:val="0"/>
                  <w:vAlign w:val="center"/>
                </w:tcPr>
                <w:p w14:paraId="31D9C93A">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东南侧</w:t>
                  </w:r>
                </w:p>
              </w:tc>
              <w:tc>
                <w:tcPr>
                  <w:tcW w:w="858" w:type="pct"/>
                  <w:tcBorders>
                    <w:tl2br w:val="nil"/>
                    <w:tr2bl w:val="nil"/>
                  </w:tcBorders>
                  <w:noWrap w:val="0"/>
                  <w:vAlign w:val="center"/>
                </w:tcPr>
                <w:p w14:paraId="3851156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33m~260m</w:t>
                  </w:r>
                </w:p>
              </w:tc>
              <w:tc>
                <w:tcPr>
                  <w:tcW w:w="798" w:type="pct"/>
                  <w:tcBorders>
                    <w:tl2br w:val="nil"/>
                    <w:tr2bl w:val="nil"/>
                  </w:tcBorders>
                  <w:noWrap w:val="0"/>
                  <w:vAlign w:val="center"/>
                </w:tcPr>
                <w:p w14:paraId="1BF2338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3E1C1392">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0D7E1675">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6</w:t>
                  </w:r>
                </w:p>
              </w:tc>
              <w:tc>
                <w:tcPr>
                  <w:tcW w:w="2295" w:type="pct"/>
                  <w:tcBorders>
                    <w:tl2br w:val="nil"/>
                    <w:tr2bl w:val="nil"/>
                  </w:tcBorders>
                  <w:noWrap w:val="0"/>
                  <w:vAlign w:val="center"/>
                </w:tcPr>
                <w:p w14:paraId="342CE38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居民15户</w:t>
                  </w:r>
                </w:p>
              </w:tc>
              <w:tc>
                <w:tcPr>
                  <w:tcW w:w="676" w:type="pct"/>
                  <w:tcBorders>
                    <w:tl2br w:val="nil"/>
                    <w:tr2bl w:val="nil"/>
                  </w:tcBorders>
                  <w:noWrap w:val="0"/>
                  <w:vAlign w:val="center"/>
                </w:tcPr>
                <w:p w14:paraId="2188BE4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w:t>
                  </w:r>
                  <w:r>
                    <w:rPr>
                      <w:rFonts w:hint="eastAsia" w:cs="宋体"/>
                      <w:color w:val="auto"/>
                      <w:sz w:val="21"/>
                      <w:szCs w:val="21"/>
                      <w:lang w:val="en-US" w:eastAsia="zh-CN"/>
                    </w:rPr>
                    <w:t>北</w:t>
                  </w:r>
                  <w:r>
                    <w:rPr>
                      <w:rFonts w:hint="eastAsia" w:ascii="宋体" w:hAnsi="宋体" w:eastAsia="宋体" w:cs="宋体"/>
                      <w:color w:val="auto"/>
                      <w:sz w:val="21"/>
                      <w:szCs w:val="21"/>
                      <w:lang w:val="en-US" w:eastAsia="zh-CN"/>
                    </w:rPr>
                    <w:t>侧</w:t>
                  </w:r>
                  <w:r>
                    <w:rPr>
                      <w:rFonts w:hint="eastAsia" w:cs="宋体"/>
                      <w:color w:val="auto"/>
                      <w:sz w:val="21"/>
                      <w:szCs w:val="21"/>
                      <w:lang w:val="en-US" w:eastAsia="zh-CN"/>
                    </w:rPr>
                    <w:t>、西侧</w:t>
                  </w:r>
                </w:p>
              </w:tc>
              <w:tc>
                <w:tcPr>
                  <w:tcW w:w="858" w:type="pct"/>
                  <w:tcBorders>
                    <w:tl2br w:val="nil"/>
                    <w:tr2bl w:val="nil"/>
                  </w:tcBorders>
                  <w:noWrap w:val="0"/>
                  <w:vAlign w:val="center"/>
                </w:tcPr>
                <w:p w14:paraId="4251FF6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150m~507m</w:t>
                  </w:r>
                </w:p>
              </w:tc>
              <w:tc>
                <w:tcPr>
                  <w:tcW w:w="798" w:type="pct"/>
                  <w:tcBorders>
                    <w:tl2br w:val="nil"/>
                    <w:tr2bl w:val="nil"/>
                  </w:tcBorders>
                  <w:noWrap w:val="0"/>
                  <w:vAlign w:val="center"/>
                </w:tcPr>
                <w:p w14:paraId="6629524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6F14B04E">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372" w:type="pct"/>
                  <w:tcBorders>
                    <w:tl2br w:val="nil"/>
                    <w:tr2bl w:val="nil"/>
                  </w:tcBorders>
                  <w:noWrap w:val="0"/>
                  <w:vAlign w:val="center"/>
                </w:tcPr>
                <w:p w14:paraId="5D1F91AB">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7</w:t>
                  </w:r>
                </w:p>
              </w:tc>
              <w:tc>
                <w:tcPr>
                  <w:tcW w:w="2295" w:type="pct"/>
                  <w:tcBorders>
                    <w:tl2br w:val="nil"/>
                    <w:tr2bl w:val="nil"/>
                  </w:tcBorders>
                  <w:noWrap w:val="0"/>
                  <w:vAlign w:val="center"/>
                </w:tcPr>
                <w:p w14:paraId="57177A2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居民2户</w:t>
                  </w:r>
                </w:p>
              </w:tc>
              <w:tc>
                <w:tcPr>
                  <w:tcW w:w="676" w:type="pct"/>
                  <w:tcBorders>
                    <w:tl2br w:val="nil"/>
                    <w:tr2bl w:val="nil"/>
                  </w:tcBorders>
                  <w:noWrap w:val="0"/>
                  <w:vAlign w:val="center"/>
                </w:tcPr>
                <w:p w14:paraId="70F221F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30375A5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352m</w:t>
                  </w:r>
                </w:p>
              </w:tc>
              <w:tc>
                <w:tcPr>
                  <w:tcW w:w="798" w:type="pct"/>
                  <w:tcBorders>
                    <w:tl2br w:val="nil"/>
                    <w:tr2bl w:val="nil"/>
                  </w:tcBorders>
                  <w:noWrap w:val="0"/>
                  <w:vAlign w:val="center"/>
                </w:tcPr>
                <w:p w14:paraId="2397E208">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132237EB">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3944923E">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8</w:t>
                  </w:r>
                </w:p>
              </w:tc>
              <w:tc>
                <w:tcPr>
                  <w:tcW w:w="2295" w:type="pct"/>
                  <w:tcBorders>
                    <w:tl2br w:val="nil"/>
                    <w:tr2bl w:val="nil"/>
                  </w:tcBorders>
                  <w:noWrap w:val="0"/>
                  <w:vAlign w:val="center"/>
                </w:tcPr>
                <w:p w14:paraId="5119FF5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长石村村委会</w:t>
                  </w:r>
                </w:p>
              </w:tc>
              <w:tc>
                <w:tcPr>
                  <w:tcW w:w="676" w:type="pct"/>
                  <w:tcBorders>
                    <w:tl2br w:val="nil"/>
                    <w:tr2bl w:val="nil"/>
                  </w:tcBorders>
                  <w:noWrap w:val="0"/>
                  <w:vAlign w:val="center"/>
                </w:tcPr>
                <w:p w14:paraId="10FA15D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3BDACC1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35m</w:t>
                  </w:r>
                </w:p>
              </w:tc>
              <w:tc>
                <w:tcPr>
                  <w:tcW w:w="798" w:type="pct"/>
                  <w:tcBorders>
                    <w:tl2br w:val="nil"/>
                    <w:tr2bl w:val="nil"/>
                  </w:tcBorders>
                  <w:noWrap w:val="0"/>
                  <w:vAlign w:val="center"/>
                </w:tcPr>
                <w:p w14:paraId="0BC3FEC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行政单位</w:t>
                  </w:r>
                </w:p>
              </w:tc>
            </w:tr>
            <w:tr w14:paraId="1D5FFADF">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6806CD5">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9</w:t>
                  </w:r>
                </w:p>
              </w:tc>
              <w:tc>
                <w:tcPr>
                  <w:tcW w:w="2295" w:type="pct"/>
                  <w:tcBorders>
                    <w:tl2br w:val="nil"/>
                    <w:tr2bl w:val="nil"/>
                  </w:tcBorders>
                  <w:noWrap w:val="0"/>
                  <w:vAlign w:val="center"/>
                </w:tcPr>
                <w:p w14:paraId="06D70A3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居民2户</w:t>
                  </w:r>
                </w:p>
              </w:tc>
              <w:tc>
                <w:tcPr>
                  <w:tcW w:w="676" w:type="pct"/>
                  <w:tcBorders>
                    <w:tl2br w:val="nil"/>
                    <w:tr2bl w:val="nil"/>
                  </w:tcBorders>
                  <w:noWrap w:val="0"/>
                  <w:vAlign w:val="center"/>
                </w:tcPr>
                <w:p w14:paraId="3C17644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北侧</w:t>
                  </w:r>
                </w:p>
              </w:tc>
              <w:tc>
                <w:tcPr>
                  <w:tcW w:w="858" w:type="pct"/>
                  <w:tcBorders>
                    <w:tl2br w:val="nil"/>
                    <w:tr2bl w:val="nil"/>
                  </w:tcBorders>
                  <w:noWrap w:val="0"/>
                  <w:vAlign w:val="center"/>
                </w:tcPr>
                <w:p w14:paraId="17BF628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97m</w:t>
                  </w:r>
                </w:p>
              </w:tc>
              <w:tc>
                <w:tcPr>
                  <w:tcW w:w="798" w:type="pct"/>
                  <w:tcBorders>
                    <w:tl2br w:val="nil"/>
                    <w:tr2bl w:val="nil"/>
                  </w:tcBorders>
                  <w:noWrap w:val="0"/>
                  <w:vAlign w:val="center"/>
                </w:tcPr>
                <w:p w14:paraId="2D750F9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6F7EA6B5">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6D2253AB">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10</w:t>
                  </w:r>
                </w:p>
              </w:tc>
              <w:tc>
                <w:tcPr>
                  <w:tcW w:w="2295" w:type="pct"/>
                  <w:tcBorders>
                    <w:tl2br w:val="nil"/>
                    <w:tr2bl w:val="nil"/>
                  </w:tcBorders>
                  <w:noWrap w:val="0"/>
                  <w:vAlign w:val="center"/>
                </w:tcPr>
                <w:p w14:paraId="7532EA0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居民13户</w:t>
                  </w:r>
                </w:p>
              </w:tc>
              <w:tc>
                <w:tcPr>
                  <w:tcW w:w="676" w:type="pct"/>
                  <w:tcBorders>
                    <w:tl2br w:val="nil"/>
                    <w:tr2bl w:val="nil"/>
                  </w:tcBorders>
                  <w:noWrap w:val="0"/>
                  <w:vAlign w:val="center"/>
                </w:tcPr>
                <w:p w14:paraId="238CA8E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北侧偏东</w:t>
                  </w:r>
                </w:p>
              </w:tc>
              <w:tc>
                <w:tcPr>
                  <w:tcW w:w="858" w:type="pct"/>
                  <w:tcBorders>
                    <w:tl2br w:val="nil"/>
                    <w:tr2bl w:val="nil"/>
                  </w:tcBorders>
                  <w:noWrap w:val="0"/>
                  <w:vAlign w:val="center"/>
                </w:tcPr>
                <w:p w14:paraId="73C77A4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212m~300m</w:t>
                  </w:r>
                </w:p>
              </w:tc>
              <w:tc>
                <w:tcPr>
                  <w:tcW w:w="798" w:type="pct"/>
                  <w:tcBorders>
                    <w:tl2br w:val="nil"/>
                    <w:tr2bl w:val="nil"/>
                  </w:tcBorders>
                  <w:noWrap w:val="0"/>
                  <w:vAlign w:val="center"/>
                </w:tcPr>
                <w:p w14:paraId="505A811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bl>
          <w:p w14:paraId="70B6589A">
            <w:pPr>
              <w:pStyle w:val="12"/>
              <w:rPr>
                <w:rFonts w:hint="default"/>
              </w:rPr>
            </w:pPr>
          </w:p>
          <w:p w14:paraId="55EBD9FB">
            <w:p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2、主要环境保护目标</w:t>
            </w:r>
          </w:p>
          <w:p w14:paraId="4810FD5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根据工程性质和污染物排放特征以及所在地区的环境关系，本项目主要环境保护目标和级</w:t>
            </w:r>
          </w:p>
          <w:p w14:paraId="7253431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别如下：</w:t>
            </w:r>
          </w:p>
          <w:p w14:paraId="72DCF67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大气环境</w:t>
            </w:r>
          </w:p>
          <w:p w14:paraId="358D563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本项目大气环境保护目标为项目所在区域大气环境，应符合《环境空气质量标准》（GB3095-2012）二级标准。</w:t>
            </w:r>
          </w:p>
          <w:p w14:paraId="00AB89E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地表水环境</w:t>
            </w:r>
          </w:p>
          <w:p w14:paraId="022C0DE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本项目地表水环境保护目标为评价河段水质，应符合《地表水环境质量标准》（GB3838-2002）III类水域标准。</w:t>
            </w:r>
          </w:p>
          <w:p w14:paraId="5BEA47E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声环境</w:t>
            </w:r>
          </w:p>
          <w:p w14:paraId="5EA9B2E3">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声环境保护目标为以项目所在地为中心200m范围内的声环境敏感目标，应符合《声环境质量标准》（GB3096-2008）中</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类标准。</w:t>
            </w:r>
          </w:p>
          <w:p w14:paraId="27CFB58A">
            <w:pPr>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w:t>
            </w:r>
            <w:r>
              <w:rPr>
                <w:rFonts w:hint="default" w:ascii="Times New Roman" w:hAnsi="Times New Roman" w:cs="Times New Roman"/>
                <w:b/>
                <w:bCs/>
                <w:color w:val="auto"/>
                <w:lang w:val="en-US" w:eastAsia="zh-CN"/>
              </w:rPr>
              <w:t>1</w:t>
            </w:r>
            <w:r>
              <w:rPr>
                <w:rFonts w:hint="eastAsia" w:cs="Times New Roman"/>
                <w:b/>
                <w:bCs/>
                <w:color w:val="auto"/>
                <w:lang w:val="en-US" w:eastAsia="zh-CN"/>
              </w:rPr>
              <w:t>0</w:t>
            </w:r>
            <w:r>
              <w:rPr>
                <w:rFonts w:hint="default"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rPr>
              <w:t>本项目主要环境保护目标</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71"/>
              <w:gridCol w:w="884"/>
              <w:gridCol w:w="994"/>
              <w:gridCol w:w="2369"/>
              <w:gridCol w:w="666"/>
              <w:gridCol w:w="894"/>
              <w:gridCol w:w="517"/>
              <w:gridCol w:w="1061"/>
              <w:gridCol w:w="1914"/>
            </w:tblGrid>
            <w:tr w14:paraId="2ED4CF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336" w:type="pct"/>
                  <w:vMerge w:val="restart"/>
                  <w:shd w:val="clear" w:color="auto" w:fill="FFFFFF" w:themeFill="background1"/>
                  <w:tcMar>
                    <w:left w:w="57" w:type="dxa"/>
                    <w:right w:w="57" w:type="dxa"/>
                  </w:tcMar>
                  <w:vAlign w:val="center"/>
                </w:tcPr>
                <w:p w14:paraId="1BAFCEB0">
                  <w:pPr>
                    <w:pStyle w:val="74"/>
                    <w:snapToGrid w:val="0"/>
                    <w:spacing w:before="0" w:after="0"/>
                    <w:rPr>
                      <w:b/>
                      <w:color w:val="auto"/>
                      <w:sz w:val="18"/>
                      <w:szCs w:val="18"/>
                    </w:rPr>
                  </w:pPr>
                  <w:r>
                    <w:rPr>
                      <w:b/>
                      <w:color w:val="auto"/>
                      <w:sz w:val="18"/>
                      <w:szCs w:val="18"/>
                    </w:rPr>
                    <w:t>环境要素</w:t>
                  </w:r>
                </w:p>
              </w:tc>
              <w:tc>
                <w:tcPr>
                  <w:tcW w:w="941" w:type="pct"/>
                  <w:gridSpan w:val="2"/>
                  <w:shd w:val="clear" w:color="auto" w:fill="FFFFFF" w:themeFill="background1"/>
                  <w:tcMar>
                    <w:left w:w="57" w:type="dxa"/>
                    <w:right w:w="57" w:type="dxa"/>
                  </w:tcMar>
                  <w:vAlign w:val="center"/>
                </w:tcPr>
                <w:p w14:paraId="6BEC6E1D">
                  <w:pPr>
                    <w:pStyle w:val="74"/>
                    <w:snapToGrid w:val="0"/>
                    <w:spacing w:before="0" w:after="0"/>
                    <w:rPr>
                      <w:rFonts w:hint="eastAsia"/>
                      <w:b/>
                      <w:color w:val="auto"/>
                      <w:sz w:val="18"/>
                      <w:szCs w:val="18"/>
                      <w:lang w:val="en-US" w:eastAsia="zh-CN"/>
                    </w:rPr>
                  </w:pPr>
                  <w:r>
                    <w:rPr>
                      <w:rFonts w:hint="eastAsia"/>
                      <w:b/>
                      <w:color w:val="auto"/>
                      <w:sz w:val="18"/>
                      <w:szCs w:val="18"/>
                      <w:lang w:val="en-US" w:eastAsia="zh-CN"/>
                    </w:rPr>
                    <w:t>坐标/m</w:t>
                  </w:r>
                </w:p>
              </w:tc>
              <w:tc>
                <w:tcPr>
                  <w:tcW w:w="1188" w:type="pct"/>
                  <w:vMerge w:val="restart"/>
                  <w:shd w:val="clear" w:color="auto" w:fill="FFFFFF" w:themeFill="background1"/>
                  <w:tcMar>
                    <w:left w:w="57" w:type="dxa"/>
                    <w:right w:w="57" w:type="dxa"/>
                  </w:tcMar>
                  <w:vAlign w:val="center"/>
                </w:tcPr>
                <w:p w14:paraId="01CEE496">
                  <w:pPr>
                    <w:pStyle w:val="74"/>
                    <w:snapToGrid w:val="0"/>
                    <w:spacing w:before="0" w:after="0"/>
                    <w:rPr>
                      <w:b/>
                      <w:color w:val="auto"/>
                      <w:sz w:val="18"/>
                      <w:szCs w:val="18"/>
                    </w:rPr>
                  </w:pPr>
                  <w:r>
                    <w:rPr>
                      <w:b/>
                      <w:color w:val="auto"/>
                      <w:sz w:val="18"/>
                      <w:szCs w:val="18"/>
                    </w:rPr>
                    <w:t>环境保护对象</w:t>
                  </w:r>
                </w:p>
              </w:tc>
              <w:tc>
                <w:tcPr>
                  <w:tcW w:w="334" w:type="pct"/>
                  <w:vMerge w:val="restart"/>
                  <w:shd w:val="clear" w:color="auto" w:fill="FFFFFF" w:themeFill="background1"/>
                  <w:tcMar>
                    <w:left w:w="57" w:type="dxa"/>
                    <w:right w:w="57" w:type="dxa"/>
                  </w:tcMar>
                  <w:vAlign w:val="center"/>
                </w:tcPr>
                <w:p w14:paraId="174863B8">
                  <w:pPr>
                    <w:pStyle w:val="74"/>
                    <w:snapToGrid w:val="0"/>
                    <w:spacing w:before="0" w:after="0"/>
                    <w:rPr>
                      <w:b/>
                      <w:color w:val="auto"/>
                      <w:sz w:val="18"/>
                      <w:szCs w:val="18"/>
                    </w:rPr>
                  </w:pPr>
                  <w:r>
                    <w:rPr>
                      <w:b/>
                      <w:color w:val="auto"/>
                      <w:sz w:val="18"/>
                      <w:szCs w:val="18"/>
                    </w:rPr>
                    <w:t>性质</w:t>
                  </w:r>
                </w:p>
              </w:tc>
              <w:tc>
                <w:tcPr>
                  <w:tcW w:w="448" w:type="pct"/>
                  <w:vMerge w:val="restart"/>
                  <w:shd w:val="clear" w:color="auto" w:fill="FFFFFF" w:themeFill="background1"/>
                  <w:tcMar>
                    <w:left w:w="57" w:type="dxa"/>
                    <w:right w:w="57" w:type="dxa"/>
                  </w:tcMar>
                  <w:vAlign w:val="center"/>
                </w:tcPr>
                <w:p w14:paraId="3DF1BB16">
                  <w:pPr>
                    <w:pStyle w:val="74"/>
                    <w:snapToGrid w:val="0"/>
                    <w:spacing w:before="0" w:after="0"/>
                    <w:rPr>
                      <w:rFonts w:hint="default" w:eastAsia="宋体"/>
                      <w:b/>
                      <w:color w:val="auto"/>
                      <w:sz w:val="18"/>
                      <w:szCs w:val="18"/>
                      <w:lang w:val="en-US" w:eastAsia="zh-CN"/>
                    </w:rPr>
                  </w:pPr>
                  <w:r>
                    <w:rPr>
                      <w:rFonts w:hint="eastAsia"/>
                      <w:b/>
                      <w:color w:val="auto"/>
                      <w:sz w:val="18"/>
                      <w:szCs w:val="18"/>
                      <w:lang w:val="en-US" w:eastAsia="zh-CN"/>
                    </w:rPr>
                    <w:t>人口数</w:t>
                  </w:r>
                </w:p>
              </w:tc>
              <w:tc>
                <w:tcPr>
                  <w:tcW w:w="259" w:type="pct"/>
                  <w:vMerge w:val="restart"/>
                  <w:shd w:val="clear" w:color="auto" w:fill="FFFFFF" w:themeFill="background1"/>
                  <w:tcMar>
                    <w:left w:w="57" w:type="dxa"/>
                    <w:right w:w="57" w:type="dxa"/>
                  </w:tcMar>
                  <w:vAlign w:val="center"/>
                </w:tcPr>
                <w:p w14:paraId="6A8C0B7D">
                  <w:pPr>
                    <w:pStyle w:val="74"/>
                    <w:snapToGrid w:val="0"/>
                    <w:spacing w:before="0" w:after="0"/>
                    <w:rPr>
                      <w:b/>
                      <w:color w:val="auto"/>
                      <w:sz w:val="18"/>
                      <w:szCs w:val="18"/>
                    </w:rPr>
                  </w:pPr>
                  <w:r>
                    <w:rPr>
                      <w:b/>
                      <w:color w:val="auto"/>
                      <w:sz w:val="18"/>
                      <w:szCs w:val="18"/>
                    </w:rPr>
                    <w:t>方位</w:t>
                  </w:r>
                </w:p>
              </w:tc>
              <w:tc>
                <w:tcPr>
                  <w:tcW w:w="532" w:type="pct"/>
                  <w:vMerge w:val="restart"/>
                  <w:shd w:val="clear" w:color="auto" w:fill="FFFFFF" w:themeFill="background1"/>
                  <w:tcMar>
                    <w:left w:w="57" w:type="dxa"/>
                    <w:right w:w="57" w:type="dxa"/>
                  </w:tcMar>
                  <w:vAlign w:val="center"/>
                </w:tcPr>
                <w:p w14:paraId="09D39857">
                  <w:pPr>
                    <w:pStyle w:val="74"/>
                    <w:snapToGrid w:val="0"/>
                    <w:spacing w:before="0" w:after="0"/>
                    <w:rPr>
                      <w:b/>
                      <w:color w:val="auto"/>
                      <w:sz w:val="18"/>
                      <w:szCs w:val="18"/>
                    </w:rPr>
                  </w:pPr>
                  <w:r>
                    <w:rPr>
                      <w:b/>
                      <w:color w:val="auto"/>
                      <w:sz w:val="18"/>
                      <w:szCs w:val="18"/>
                    </w:rPr>
                    <w:t>距厂界</w:t>
                  </w:r>
                </w:p>
                <w:p w14:paraId="423FD041">
                  <w:pPr>
                    <w:pStyle w:val="74"/>
                    <w:snapToGrid w:val="0"/>
                    <w:spacing w:before="0" w:after="0"/>
                    <w:rPr>
                      <w:b/>
                      <w:color w:val="auto"/>
                      <w:sz w:val="18"/>
                      <w:szCs w:val="18"/>
                    </w:rPr>
                  </w:pPr>
                  <w:r>
                    <w:rPr>
                      <w:b/>
                      <w:color w:val="auto"/>
                      <w:sz w:val="18"/>
                      <w:szCs w:val="18"/>
                    </w:rPr>
                    <w:t>距离(m)</w:t>
                  </w:r>
                </w:p>
              </w:tc>
              <w:tc>
                <w:tcPr>
                  <w:tcW w:w="959" w:type="pct"/>
                  <w:vMerge w:val="restart"/>
                  <w:shd w:val="clear" w:color="auto" w:fill="FFFFFF" w:themeFill="background1"/>
                  <w:tcMar>
                    <w:left w:w="57" w:type="dxa"/>
                    <w:right w:w="57" w:type="dxa"/>
                  </w:tcMar>
                  <w:vAlign w:val="center"/>
                </w:tcPr>
                <w:p w14:paraId="6F27EBEF">
                  <w:pPr>
                    <w:pStyle w:val="74"/>
                    <w:snapToGrid w:val="0"/>
                    <w:spacing w:before="0" w:after="0"/>
                    <w:rPr>
                      <w:rFonts w:hint="eastAsia" w:eastAsia="宋体"/>
                      <w:b/>
                      <w:color w:val="auto"/>
                      <w:sz w:val="18"/>
                      <w:szCs w:val="18"/>
                      <w:lang w:val="en-US" w:eastAsia="zh-CN"/>
                    </w:rPr>
                  </w:pPr>
                  <w:r>
                    <w:rPr>
                      <w:b/>
                      <w:color w:val="auto"/>
                      <w:sz w:val="18"/>
                      <w:szCs w:val="18"/>
                    </w:rPr>
                    <w:t>环境</w:t>
                  </w:r>
                  <w:r>
                    <w:rPr>
                      <w:rFonts w:hint="eastAsia"/>
                      <w:b/>
                      <w:color w:val="auto"/>
                      <w:sz w:val="18"/>
                      <w:szCs w:val="18"/>
                      <w:lang w:val="en-US" w:eastAsia="zh-CN"/>
                    </w:rPr>
                    <w:t>级别</w:t>
                  </w:r>
                </w:p>
              </w:tc>
            </w:tr>
            <w:tr w14:paraId="5E5F62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336" w:type="pct"/>
                  <w:vMerge w:val="continue"/>
                  <w:shd w:val="clear" w:color="auto" w:fill="FFFFFF" w:themeFill="background1"/>
                  <w:tcMar>
                    <w:left w:w="57" w:type="dxa"/>
                    <w:right w:w="57" w:type="dxa"/>
                  </w:tcMar>
                  <w:vAlign w:val="center"/>
                </w:tcPr>
                <w:p w14:paraId="702C9262">
                  <w:pPr>
                    <w:pStyle w:val="74"/>
                    <w:snapToGrid w:val="0"/>
                    <w:spacing w:before="0" w:after="0"/>
                    <w:rPr>
                      <w:b/>
                      <w:color w:val="auto"/>
                      <w:sz w:val="18"/>
                      <w:szCs w:val="18"/>
                    </w:rPr>
                  </w:pPr>
                </w:p>
              </w:tc>
              <w:tc>
                <w:tcPr>
                  <w:tcW w:w="443" w:type="pct"/>
                  <w:shd w:val="clear" w:color="auto" w:fill="FFFFFF" w:themeFill="background1"/>
                  <w:tcMar>
                    <w:left w:w="57" w:type="dxa"/>
                    <w:right w:w="57" w:type="dxa"/>
                  </w:tcMar>
                  <w:vAlign w:val="center"/>
                </w:tcPr>
                <w:p w14:paraId="0F2BB708">
                  <w:pPr>
                    <w:pStyle w:val="74"/>
                    <w:snapToGrid w:val="0"/>
                    <w:spacing w:before="0" w:after="0"/>
                    <w:rPr>
                      <w:rFonts w:hint="default"/>
                      <w:b/>
                      <w:color w:val="auto"/>
                      <w:sz w:val="18"/>
                      <w:szCs w:val="18"/>
                      <w:lang w:val="en-US" w:eastAsia="zh-CN"/>
                    </w:rPr>
                  </w:pPr>
                  <w:r>
                    <w:rPr>
                      <w:rFonts w:hint="eastAsia"/>
                      <w:b/>
                      <w:color w:val="auto"/>
                      <w:sz w:val="18"/>
                      <w:szCs w:val="18"/>
                      <w:lang w:val="en-US" w:eastAsia="zh-CN"/>
                    </w:rPr>
                    <w:t>X</w:t>
                  </w:r>
                </w:p>
              </w:tc>
              <w:tc>
                <w:tcPr>
                  <w:tcW w:w="498" w:type="pct"/>
                  <w:shd w:val="clear" w:color="auto" w:fill="FFFFFF" w:themeFill="background1"/>
                  <w:tcMar>
                    <w:left w:w="57" w:type="dxa"/>
                    <w:right w:w="57" w:type="dxa"/>
                  </w:tcMar>
                  <w:vAlign w:val="center"/>
                </w:tcPr>
                <w:p w14:paraId="0E0FC18D">
                  <w:pPr>
                    <w:pStyle w:val="74"/>
                    <w:snapToGrid w:val="0"/>
                    <w:spacing w:before="0" w:after="0"/>
                    <w:rPr>
                      <w:rFonts w:hint="default"/>
                      <w:b/>
                      <w:color w:val="auto"/>
                      <w:sz w:val="18"/>
                      <w:szCs w:val="18"/>
                      <w:lang w:val="en-US" w:eastAsia="zh-CN"/>
                    </w:rPr>
                  </w:pPr>
                  <w:r>
                    <w:rPr>
                      <w:rFonts w:hint="eastAsia"/>
                      <w:b/>
                      <w:color w:val="auto"/>
                      <w:sz w:val="18"/>
                      <w:szCs w:val="18"/>
                      <w:lang w:val="en-US" w:eastAsia="zh-CN"/>
                    </w:rPr>
                    <w:t>Y</w:t>
                  </w:r>
                </w:p>
              </w:tc>
              <w:tc>
                <w:tcPr>
                  <w:tcW w:w="1188" w:type="pct"/>
                  <w:vMerge w:val="continue"/>
                  <w:shd w:val="clear" w:color="auto" w:fill="FFFFFF" w:themeFill="background1"/>
                  <w:tcMar>
                    <w:left w:w="57" w:type="dxa"/>
                    <w:right w:w="57" w:type="dxa"/>
                  </w:tcMar>
                  <w:vAlign w:val="center"/>
                </w:tcPr>
                <w:p w14:paraId="6F889C4F">
                  <w:pPr>
                    <w:pStyle w:val="74"/>
                    <w:snapToGrid w:val="0"/>
                    <w:spacing w:before="0" w:after="0"/>
                    <w:rPr>
                      <w:b/>
                      <w:color w:val="auto"/>
                      <w:sz w:val="18"/>
                      <w:szCs w:val="18"/>
                    </w:rPr>
                  </w:pPr>
                </w:p>
              </w:tc>
              <w:tc>
                <w:tcPr>
                  <w:tcW w:w="334" w:type="pct"/>
                  <w:vMerge w:val="continue"/>
                  <w:shd w:val="clear" w:color="auto" w:fill="FFFFFF" w:themeFill="background1"/>
                  <w:tcMar>
                    <w:left w:w="57" w:type="dxa"/>
                    <w:right w:w="57" w:type="dxa"/>
                  </w:tcMar>
                  <w:vAlign w:val="center"/>
                </w:tcPr>
                <w:p w14:paraId="4D60ACA5">
                  <w:pPr>
                    <w:pStyle w:val="74"/>
                    <w:snapToGrid w:val="0"/>
                    <w:spacing w:before="0" w:after="0"/>
                    <w:rPr>
                      <w:b/>
                      <w:color w:val="auto"/>
                      <w:sz w:val="18"/>
                      <w:szCs w:val="18"/>
                    </w:rPr>
                  </w:pPr>
                </w:p>
              </w:tc>
              <w:tc>
                <w:tcPr>
                  <w:tcW w:w="448" w:type="pct"/>
                  <w:vMerge w:val="continue"/>
                  <w:shd w:val="clear" w:color="auto" w:fill="FFFFFF" w:themeFill="background1"/>
                  <w:tcMar>
                    <w:left w:w="57" w:type="dxa"/>
                    <w:right w:w="57" w:type="dxa"/>
                  </w:tcMar>
                  <w:vAlign w:val="center"/>
                </w:tcPr>
                <w:p w14:paraId="08EF9A71">
                  <w:pPr>
                    <w:pStyle w:val="74"/>
                    <w:snapToGrid w:val="0"/>
                    <w:spacing w:before="0" w:after="0"/>
                    <w:rPr>
                      <w:rFonts w:hint="eastAsia"/>
                      <w:b/>
                      <w:color w:val="auto"/>
                      <w:sz w:val="18"/>
                      <w:szCs w:val="18"/>
                      <w:lang w:val="en-US" w:eastAsia="zh-CN"/>
                    </w:rPr>
                  </w:pPr>
                </w:p>
              </w:tc>
              <w:tc>
                <w:tcPr>
                  <w:tcW w:w="259" w:type="pct"/>
                  <w:vMerge w:val="continue"/>
                  <w:shd w:val="clear" w:color="auto" w:fill="FFFFFF" w:themeFill="background1"/>
                  <w:tcMar>
                    <w:left w:w="57" w:type="dxa"/>
                    <w:right w:w="57" w:type="dxa"/>
                  </w:tcMar>
                  <w:vAlign w:val="center"/>
                </w:tcPr>
                <w:p w14:paraId="36061D85">
                  <w:pPr>
                    <w:pStyle w:val="74"/>
                    <w:snapToGrid w:val="0"/>
                    <w:spacing w:before="0" w:after="0"/>
                    <w:rPr>
                      <w:b/>
                      <w:color w:val="auto"/>
                      <w:sz w:val="18"/>
                      <w:szCs w:val="18"/>
                    </w:rPr>
                  </w:pPr>
                </w:p>
              </w:tc>
              <w:tc>
                <w:tcPr>
                  <w:tcW w:w="532" w:type="pct"/>
                  <w:vMerge w:val="continue"/>
                  <w:shd w:val="clear" w:color="auto" w:fill="FFFFFF" w:themeFill="background1"/>
                  <w:tcMar>
                    <w:left w:w="57" w:type="dxa"/>
                    <w:right w:w="57" w:type="dxa"/>
                  </w:tcMar>
                  <w:vAlign w:val="center"/>
                </w:tcPr>
                <w:p w14:paraId="48DB0A18">
                  <w:pPr>
                    <w:pStyle w:val="74"/>
                    <w:snapToGrid w:val="0"/>
                    <w:spacing w:before="0" w:after="0"/>
                    <w:rPr>
                      <w:b/>
                      <w:color w:val="auto"/>
                      <w:sz w:val="18"/>
                      <w:szCs w:val="18"/>
                    </w:rPr>
                  </w:pPr>
                </w:p>
              </w:tc>
              <w:tc>
                <w:tcPr>
                  <w:tcW w:w="959" w:type="pct"/>
                  <w:vMerge w:val="continue"/>
                  <w:shd w:val="clear" w:color="auto" w:fill="FFFFFF" w:themeFill="background1"/>
                  <w:tcMar>
                    <w:left w:w="57" w:type="dxa"/>
                    <w:right w:w="57" w:type="dxa"/>
                  </w:tcMar>
                  <w:vAlign w:val="center"/>
                </w:tcPr>
                <w:p w14:paraId="24202C72">
                  <w:pPr>
                    <w:pStyle w:val="74"/>
                    <w:snapToGrid w:val="0"/>
                    <w:spacing w:before="0" w:after="0"/>
                    <w:rPr>
                      <w:b/>
                      <w:color w:val="auto"/>
                      <w:sz w:val="18"/>
                      <w:szCs w:val="18"/>
                    </w:rPr>
                  </w:pPr>
                </w:p>
              </w:tc>
            </w:tr>
            <w:tr w14:paraId="3230E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56" w:hRule="atLeast"/>
                <w:jc w:val="center"/>
              </w:trPr>
              <w:tc>
                <w:tcPr>
                  <w:tcW w:w="336" w:type="pct"/>
                  <w:vMerge w:val="restart"/>
                  <w:tcMar>
                    <w:left w:w="57" w:type="dxa"/>
                    <w:right w:w="57" w:type="dxa"/>
                  </w:tcMar>
                  <w:vAlign w:val="center"/>
                </w:tcPr>
                <w:p w14:paraId="3ACA939C">
                  <w:pPr>
                    <w:pStyle w:val="74"/>
                    <w:snapToGrid w:val="0"/>
                    <w:spacing w:before="0" w:after="0"/>
                    <w:rPr>
                      <w:color w:val="auto"/>
                      <w:sz w:val="18"/>
                      <w:szCs w:val="18"/>
                    </w:rPr>
                  </w:pPr>
                  <w:r>
                    <w:rPr>
                      <w:color w:val="auto"/>
                      <w:sz w:val="18"/>
                      <w:szCs w:val="18"/>
                    </w:rPr>
                    <w:t>环境空气及风险</w:t>
                  </w:r>
                </w:p>
                <w:p w14:paraId="2D1FE25A">
                  <w:pPr>
                    <w:pStyle w:val="74"/>
                    <w:snapToGrid w:val="0"/>
                    <w:spacing w:before="0" w:after="0"/>
                    <w:rPr>
                      <w:color w:val="auto"/>
                      <w:sz w:val="18"/>
                      <w:szCs w:val="18"/>
                    </w:rPr>
                  </w:pPr>
                </w:p>
              </w:tc>
              <w:tc>
                <w:tcPr>
                  <w:tcW w:w="443" w:type="pct"/>
                  <w:tcMar>
                    <w:left w:w="57" w:type="dxa"/>
                    <w:right w:w="57" w:type="dxa"/>
                  </w:tcMar>
                  <w:vAlign w:val="center"/>
                </w:tcPr>
                <w:p w14:paraId="66ABCA3D">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13</w:t>
                  </w:r>
                </w:p>
              </w:tc>
              <w:tc>
                <w:tcPr>
                  <w:tcW w:w="498" w:type="pct"/>
                  <w:tcMar>
                    <w:left w:w="57" w:type="dxa"/>
                    <w:right w:w="57" w:type="dxa"/>
                  </w:tcMar>
                  <w:vAlign w:val="center"/>
                </w:tcPr>
                <w:p w14:paraId="08F63440">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-38</w:t>
                  </w:r>
                </w:p>
              </w:tc>
              <w:tc>
                <w:tcPr>
                  <w:tcW w:w="1188" w:type="pct"/>
                  <w:tcMar>
                    <w:left w:w="57" w:type="dxa"/>
                    <w:right w:w="57" w:type="dxa"/>
                  </w:tcMar>
                  <w:vAlign w:val="center"/>
                </w:tcPr>
                <w:p w14:paraId="52378879">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5DB5B3A1">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5B7B4B74">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5</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2CCC2633">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S</w:t>
                  </w:r>
                </w:p>
              </w:tc>
              <w:tc>
                <w:tcPr>
                  <w:tcW w:w="532" w:type="pct"/>
                  <w:vAlign w:val="center"/>
                </w:tcPr>
                <w:p w14:paraId="331E3BA2">
                  <w:pPr>
                    <w:pStyle w:val="74"/>
                    <w:snapToGrid w:val="0"/>
                    <w:spacing w:before="0" w:after="0"/>
                    <w:rPr>
                      <w:rFonts w:hint="default" w:eastAsia="宋体"/>
                      <w:color w:val="auto"/>
                      <w:sz w:val="18"/>
                      <w:szCs w:val="18"/>
                      <w:lang w:val="en-US" w:eastAsia="zh-CN"/>
                    </w:rPr>
                  </w:pPr>
                  <w:r>
                    <w:rPr>
                      <w:rFonts w:hint="eastAsia" w:cs="宋体"/>
                      <w:color w:val="auto"/>
                      <w:sz w:val="21"/>
                      <w:szCs w:val="21"/>
                      <w:lang w:val="en-US" w:eastAsia="zh-CN"/>
                    </w:rPr>
                    <w:t>18-70</w:t>
                  </w:r>
                </w:p>
              </w:tc>
              <w:tc>
                <w:tcPr>
                  <w:tcW w:w="959" w:type="pct"/>
                  <w:vMerge w:val="restart"/>
                  <w:tcMar>
                    <w:left w:w="57" w:type="dxa"/>
                    <w:right w:w="57" w:type="dxa"/>
                  </w:tcMar>
                  <w:vAlign w:val="center"/>
                </w:tcPr>
                <w:p w14:paraId="3EC816A6">
                  <w:pPr>
                    <w:pStyle w:val="74"/>
                    <w:snapToGrid w:val="0"/>
                    <w:spacing w:before="0" w:after="0"/>
                    <w:rPr>
                      <w:color w:val="auto"/>
                      <w:sz w:val="18"/>
                      <w:szCs w:val="18"/>
                    </w:rPr>
                  </w:pPr>
                  <w:r>
                    <w:rPr>
                      <w:color w:val="auto"/>
                      <w:sz w:val="18"/>
                      <w:szCs w:val="18"/>
                    </w:rPr>
                    <w:t>《环境空气质量标准》</w:t>
                  </w:r>
                </w:p>
                <w:p w14:paraId="7A193385">
                  <w:pPr>
                    <w:pStyle w:val="74"/>
                    <w:snapToGrid w:val="0"/>
                    <w:spacing w:before="0" w:after="0"/>
                    <w:rPr>
                      <w:color w:val="auto"/>
                      <w:sz w:val="18"/>
                      <w:szCs w:val="18"/>
                    </w:rPr>
                  </w:pPr>
                  <w:r>
                    <w:rPr>
                      <w:color w:val="auto"/>
                      <w:sz w:val="18"/>
                      <w:szCs w:val="18"/>
                    </w:rPr>
                    <w:t>(GB3095-2012)二级</w:t>
                  </w:r>
                </w:p>
                <w:p w14:paraId="3E319B7C">
                  <w:pPr>
                    <w:pStyle w:val="74"/>
                    <w:snapToGrid w:val="0"/>
                    <w:spacing w:before="0" w:after="0"/>
                    <w:rPr>
                      <w:color w:val="auto"/>
                      <w:sz w:val="18"/>
                      <w:szCs w:val="18"/>
                    </w:rPr>
                  </w:pPr>
                  <w:r>
                    <w:rPr>
                      <w:color w:val="auto"/>
                      <w:sz w:val="18"/>
                      <w:szCs w:val="18"/>
                    </w:rPr>
                    <w:t>风险可控</w:t>
                  </w:r>
                </w:p>
              </w:tc>
            </w:tr>
            <w:tr w14:paraId="273A38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44" w:hRule="atLeast"/>
                <w:jc w:val="center"/>
              </w:trPr>
              <w:tc>
                <w:tcPr>
                  <w:tcW w:w="336" w:type="pct"/>
                  <w:vMerge w:val="continue"/>
                  <w:tcMar>
                    <w:left w:w="57" w:type="dxa"/>
                    <w:right w:w="57" w:type="dxa"/>
                  </w:tcMar>
                  <w:vAlign w:val="center"/>
                </w:tcPr>
                <w:p w14:paraId="2F48F947">
                  <w:pPr>
                    <w:pStyle w:val="74"/>
                    <w:snapToGrid w:val="0"/>
                    <w:spacing w:before="0" w:after="0"/>
                    <w:rPr>
                      <w:color w:val="auto"/>
                      <w:sz w:val="18"/>
                      <w:szCs w:val="18"/>
                    </w:rPr>
                  </w:pPr>
                </w:p>
              </w:tc>
              <w:tc>
                <w:tcPr>
                  <w:tcW w:w="443" w:type="pct"/>
                  <w:tcMar>
                    <w:left w:w="57" w:type="dxa"/>
                    <w:right w:w="57" w:type="dxa"/>
                  </w:tcMar>
                  <w:vAlign w:val="center"/>
                </w:tcPr>
                <w:p w14:paraId="00918EF4">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35~640</w:t>
                  </w:r>
                </w:p>
              </w:tc>
              <w:tc>
                <w:tcPr>
                  <w:tcW w:w="498" w:type="pct"/>
                  <w:tcMar>
                    <w:left w:w="57" w:type="dxa"/>
                    <w:right w:w="57" w:type="dxa"/>
                  </w:tcMar>
                  <w:vAlign w:val="center"/>
                </w:tcPr>
                <w:p w14:paraId="0F3E78BA">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-38~95</w:t>
                  </w:r>
                </w:p>
              </w:tc>
              <w:tc>
                <w:tcPr>
                  <w:tcW w:w="1188" w:type="pct"/>
                  <w:tcMar>
                    <w:left w:w="57" w:type="dxa"/>
                    <w:right w:w="57" w:type="dxa"/>
                  </w:tcMar>
                  <w:vAlign w:val="center"/>
                </w:tcPr>
                <w:p w14:paraId="106E4A3C">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3CF6325E">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6CFC55B5">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35</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73CE8841">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SE、E</w:t>
                  </w:r>
                </w:p>
              </w:tc>
              <w:tc>
                <w:tcPr>
                  <w:tcW w:w="532" w:type="pct"/>
                  <w:vAlign w:val="center"/>
                </w:tcPr>
                <w:p w14:paraId="35D0662A">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30-626</w:t>
                  </w:r>
                </w:p>
              </w:tc>
              <w:tc>
                <w:tcPr>
                  <w:tcW w:w="959" w:type="pct"/>
                  <w:vMerge w:val="continue"/>
                  <w:tcMar>
                    <w:left w:w="57" w:type="dxa"/>
                    <w:right w:w="57" w:type="dxa"/>
                  </w:tcMar>
                  <w:vAlign w:val="center"/>
                </w:tcPr>
                <w:p w14:paraId="0C3003F0">
                  <w:pPr>
                    <w:pStyle w:val="74"/>
                    <w:snapToGrid w:val="0"/>
                    <w:spacing w:before="0" w:after="0"/>
                    <w:rPr>
                      <w:color w:val="auto"/>
                      <w:sz w:val="18"/>
                      <w:szCs w:val="18"/>
                    </w:rPr>
                  </w:pPr>
                </w:p>
              </w:tc>
            </w:tr>
            <w:tr w14:paraId="52E9CB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67" w:hRule="atLeast"/>
                <w:jc w:val="center"/>
              </w:trPr>
              <w:tc>
                <w:tcPr>
                  <w:tcW w:w="336" w:type="pct"/>
                  <w:vMerge w:val="continue"/>
                  <w:tcMar>
                    <w:left w:w="57" w:type="dxa"/>
                    <w:right w:w="57" w:type="dxa"/>
                  </w:tcMar>
                  <w:vAlign w:val="center"/>
                </w:tcPr>
                <w:p w14:paraId="42351A26">
                  <w:pPr>
                    <w:pStyle w:val="74"/>
                    <w:snapToGrid w:val="0"/>
                    <w:spacing w:before="0" w:after="0"/>
                    <w:rPr>
                      <w:color w:val="auto"/>
                      <w:sz w:val="18"/>
                      <w:szCs w:val="18"/>
                    </w:rPr>
                  </w:pPr>
                </w:p>
              </w:tc>
              <w:tc>
                <w:tcPr>
                  <w:tcW w:w="443" w:type="pct"/>
                  <w:tcMar>
                    <w:left w:w="57" w:type="dxa"/>
                    <w:right w:w="57" w:type="dxa"/>
                  </w:tcMar>
                  <w:vAlign w:val="center"/>
                </w:tcPr>
                <w:p w14:paraId="6D736C32">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442</w:t>
                  </w:r>
                </w:p>
              </w:tc>
              <w:tc>
                <w:tcPr>
                  <w:tcW w:w="498" w:type="pct"/>
                  <w:tcMar>
                    <w:left w:w="57" w:type="dxa"/>
                    <w:right w:w="57" w:type="dxa"/>
                  </w:tcMar>
                  <w:vAlign w:val="center"/>
                </w:tcPr>
                <w:p w14:paraId="1531DDEF">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30</w:t>
                  </w:r>
                </w:p>
              </w:tc>
              <w:tc>
                <w:tcPr>
                  <w:tcW w:w="1188" w:type="pct"/>
                  <w:tcMar>
                    <w:left w:w="57" w:type="dxa"/>
                    <w:right w:w="57" w:type="dxa"/>
                  </w:tcMar>
                  <w:vAlign w:val="center"/>
                </w:tcPr>
                <w:p w14:paraId="53A9237B">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蓬溪县蓬南镇惠民小学</w:t>
                  </w:r>
                </w:p>
              </w:tc>
              <w:tc>
                <w:tcPr>
                  <w:tcW w:w="334" w:type="pct"/>
                  <w:vAlign w:val="center"/>
                </w:tcPr>
                <w:p w14:paraId="35408DA3">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学校</w:t>
                  </w:r>
                </w:p>
              </w:tc>
              <w:tc>
                <w:tcPr>
                  <w:tcW w:w="448" w:type="pct"/>
                  <w:vAlign w:val="center"/>
                </w:tcPr>
                <w:p w14:paraId="75BFAE07">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80人</w:t>
                  </w:r>
                </w:p>
              </w:tc>
              <w:tc>
                <w:tcPr>
                  <w:tcW w:w="259" w:type="pct"/>
                  <w:vAlign w:val="center"/>
                </w:tcPr>
                <w:p w14:paraId="794362DF">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E</w:t>
                  </w:r>
                </w:p>
              </w:tc>
              <w:tc>
                <w:tcPr>
                  <w:tcW w:w="532" w:type="pct"/>
                  <w:vAlign w:val="center"/>
                </w:tcPr>
                <w:p w14:paraId="1A9672E1">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420</w:t>
                  </w:r>
                </w:p>
              </w:tc>
              <w:tc>
                <w:tcPr>
                  <w:tcW w:w="959" w:type="pct"/>
                  <w:vMerge w:val="continue"/>
                  <w:tcMar>
                    <w:left w:w="57" w:type="dxa"/>
                    <w:right w:w="57" w:type="dxa"/>
                  </w:tcMar>
                  <w:vAlign w:val="center"/>
                </w:tcPr>
                <w:p w14:paraId="5E08CA9D">
                  <w:pPr>
                    <w:pStyle w:val="74"/>
                    <w:snapToGrid w:val="0"/>
                    <w:spacing w:before="0" w:after="0"/>
                    <w:rPr>
                      <w:color w:val="auto"/>
                      <w:sz w:val="18"/>
                      <w:szCs w:val="18"/>
                    </w:rPr>
                  </w:pPr>
                </w:p>
              </w:tc>
            </w:tr>
            <w:tr w14:paraId="57DD4B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67" w:hRule="atLeast"/>
                <w:jc w:val="center"/>
              </w:trPr>
              <w:tc>
                <w:tcPr>
                  <w:tcW w:w="336" w:type="pct"/>
                  <w:vMerge w:val="continue"/>
                  <w:tcMar>
                    <w:left w:w="57" w:type="dxa"/>
                    <w:right w:w="57" w:type="dxa"/>
                  </w:tcMar>
                  <w:vAlign w:val="center"/>
                </w:tcPr>
                <w:p w14:paraId="276FACDA">
                  <w:pPr>
                    <w:pStyle w:val="74"/>
                    <w:snapToGrid w:val="0"/>
                    <w:spacing w:before="0" w:after="0"/>
                    <w:rPr>
                      <w:color w:val="auto"/>
                      <w:sz w:val="18"/>
                      <w:szCs w:val="18"/>
                    </w:rPr>
                  </w:pPr>
                </w:p>
              </w:tc>
              <w:tc>
                <w:tcPr>
                  <w:tcW w:w="443" w:type="pct"/>
                  <w:tcMar>
                    <w:left w:w="57" w:type="dxa"/>
                    <w:right w:w="57" w:type="dxa"/>
                  </w:tcMar>
                  <w:vAlign w:val="center"/>
                </w:tcPr>
                <w:p w14:paraId="24F27F40">
                  <w:pPr>
                    <w:pStyle w:val="74"/>
                    <w:snapToGrid w:val="0"/>
                    <w:spacing w:before="0" w:after="0"/>
                    <w:rPr>
                      <w:rFonts w:hint="default"/>
                      <w:color w:val="auto"/>
                      <w:sz w:val="18"/>
                      <w:szCs w:val="18"/>
                      <w:lang w:val="en-US" w:eastAsia="zh-CN"/>
                    </w:rPr>
                  </w:pPr>
                  <w:r>
                    <w:rPr>
                      <w:rFonts w:hint="eastAsia"/>
                      <w:color w:val="auto"/>
                      <w:sz w:val="18"/>
                      <w:szCs w:val="18"/>
                      <w:lang w:val="en-US" w:eastAsia="zh-CN"/>
                    </w:rPr>
                    <w:t>-30</w:t>
                  </w:r>
                </w:p>
              </w:tc>
              <w:tc>
                <w:tcPr>
                  <w:tcW w:w="498" w:type="pct"/>
                  <w:tcMar>
                    <w:left w:w="57" w:type="dxa"/>
                    <w:right w:w="57" w:type="dxa"/>
                  </w:tcMar>
                  <w:vAlign w:val="center"/>
                </w:tcPr>
                <w:p w14:paraId="1398B779">
                  <w:pPr>
                    <w:pStyle w:val="74"/>
                    <w:snapToGrid w:val="0"/>
                    <w:spacing w:before="0" w:after="0"/>
                    <w:rPr>
                      <w:rFonts w:hint="default"/>
                      <w:color w:val="auto"/>
                      <w:sz w:val="18"/>
                      <w:szCs w:val="18"/>
                      <w:lang w:val="en-US" w:eastAsia="zh-CN"/>
                    </w:rPr>
                  </w:pPr>
                  <w:r>
                    <w:rPr>
                      <w:rFonts w:hint="eastAsia"/>
                      <w:color w:val="auto"/>
                      <w:sz w:val="18"/>
                      <w:szCs w:val="18"/>
                      <w:lang w:val="en-US" w:eastAsia="zh-CN"/>
                    </w:rPr>
                    <w:t>-54</w:t>
                  </w:r>
                </w:p>
              </w:tc>
              <w:tc>
                <w:tcPr>
                  <w:tcW w:w="1188" w:type="pct"/>
                  <w:tcMar>
                    <w:left w:w="57" w:type="dxa"/>
                    <w:right w:w="57" w:type="dxa"/>
                  </w:tcMar>
                  <w:vAlign w:val="center"/>
                </w:tcPr>
                <w:p w14:paraId="76F76ECD">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长石村村委会</w:t>
                  </w:r>
                </w:p>
              </w:tc>
              <w:tc>
                <w:tcPr>
                  <w:tcW w:w="334" w:type="pct"/>
                  <w:vAlign w:val="center"/>
                </w:tcPr>
                <w:p w14:paraId="0575D09B">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行政</w:t>
                  </w:r>
                </w:p>
              </w:tc>
              <w:tc>
                <w:tcPr>
                  <w:tcW w:w="448" w:type="pct"/>
                  <w:vAlign w:val="center"/>
                </w:tcPr>
                <w:p w14:paraId="0FC63568">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8</w:t>
                  </w:r>
                  <w:r>
                    <w:rPr>
                      <w:rFonts w:hint="default" w:ascii="Times New Roman" w:hAnsi="Times New Roman" w:eastAsia="宋体" w:cs="Times New Roman"/>
                      <w:color w:val="auto"/>
                      <w:kern w:val="0"/>
                      <w:sz w:val="18"/>
                      <w:szCs w:val="18"/>
                      <w:lang w:val="en-US" w:eastAsia="zh-CN" w:bidi="ar-SA"/>
                    </w:rPr>
                    <w:t>人</w:t>
                  </w:r>
                </w:p>
              </w:tc>
              <w:tc>
                <w:tcPr>
                  <w:tcW w:w="259" w:type="pct"/>
                  <w:vAlign w:val="center"/>
                </w:tcPr>
                <w:p w14:paraId="38375E7B">
                  <w:pPr>
                    <w:pStyle w:val="74"/>
                    <w:snapToGrid w:val="0"/>
                    <w:spacing w:before="0" w:after="0"/>
                    <w:rPr>
                      <w:rFonts w:hint="default"/>
                      <w:color w:val="auto"/>
                      <w:lang w:val="en-US" w:eastAsia="zh-CN"/>
                    </w:rPr>
                  </w:pPr>
                  <w:r>
                    <w:rPr>
                      <w:rFonts w:hint="eastAsia"/>
                      <w:color w:val="auto"/>
                      <w:sz w:val="18"/>
                      <w:szCs w:val="18"/>
                      <w:lang w:val="en-US" w:eastAsia="zh-CN"/>
                    </w:rPr>
                    <w:t>SW</w:t>
                  </w:r>
                </w:p>
              </w:tc>
              <w:tc>
                <w:tcPr>
                  <w:tcW w:w="532" w:type="pct"/>
                  <w:vAlign w:val="center"/>
                </w:tcPr>
                <w:p w14:paraId="4BAF1B52">
                  <w:pPr>
                    <w:pStyle w:val="74"/>
                    <w:snapToGrid w:val="0"/>
                    <w:spacing w:before="0" w:after="0"/>
                    <w:rPr>
                      <w:rFonts w:hint="default"/>
                      <w:color w:val="auto"/>
                      <w:sz w:val="18"/>
                      <w:szCs w:val="18"/>
                      <w:lang w:val="en-US" w:eastAsia="zh-CN"/>
                    </w:rPr>
                  </w:pPr>
                  <w:r>
                    <w:rPr>
                      <w:rFonts w:hint="eastAsia"/>
                      <w:color w:val="auto"/>
                      <w:sz w:val="18"/>
                      <w:szCs w:val="18"/>
                      <w:lang w:val="en-US" w:eastAsia="zh-CN"/>
                    </w:rPr>
                    <w:t>35</w:t>
                  </w:r>
                </w:p>
              </w:tc>
              <w:tc>
                <w:tcPr>
                  <w:tcW w:w="959" w:type="pct"/>
                  <w:vMerge w:val="continue"/>
                  <w:tcMar>
                    <w:left w:w="57" w:type="dxa"/>
                    <w:right w:w="57" w:type="dxa"/>
                  </w:tcMar>
                  <w:vAlign w:val="center"/>
                </w:tcPr>
                <w:p w14:paraId="43F96A73">
                  <w:pPr>
                    <w:pStyle w:val="74"/>
                    <w:snapToGrid w:val="0"/>
                    <w:spacing w:before="0" w:after="0"/>
                    <w:rPr>
                      <w:color w:val="auto"/>
                      <w:sz w:val="18"/>
                      <w:szCs w:val="18"/>
                    </w:rPr>
                  </w:pPr>
                </w:p>
              </w:tc>
            </w:tr>
            <w:tr w14:paraId="4E5E4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55" w:hRule="atLeast"/>
                <w:jc w:val="center"/>
              </w:trPr>
              <w:tc>
                <w:tcPr>
                  <w:tcW w:w="336" w:type="pct"/>
                  <w:vMerge w:val="continue"/>
                  <w:tcMar>
                    <w:left w:w="57" w:type="dxa"/>
                    <w:right w:w="57" w:type="dxa"/>
                  </w:tcMar>
                  <w:vAlign w:val="center"/>
                </w:tcPr>
                <w:p w14:paraId="42DCA2EF">
                  <w:pPr>
                    <w:pStyle w:val="74"/>
                    <w:snapToGrid w:val="0"/>
                    <w:spacing w:before="0" w:after="0"/>
                    <w:rPr>
                      <w:color w:val="auto"/>
                      <w:sz w:val="18"/>
                      <w:szCs w:val="18"/>
                    </w:rPr>
                  </w:pPr>
                </w:p>
              </w:tc>
              <w:tc>
                <w:tcPr>
                  <w:tcW w:w="443" w:type="pct"/>
                  <w:tcMar>
                    <w:left w:w="57" w:type="dxa"/>
                    <w:right w:w="57" w:type="dxa"/>
                  </w:tcMar>
                  <w:vAlign w:val="center"/>
                </w:tcPr>
                <w:p w14:paraId="1196164D">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-25</w:t>
                  </w:r>
                </w:p>
              </w:tc>
              <w:tc>
                <w:tcPr>
                  <w:tcW w:w="498" w:type="pct"/>
                  <w:tcMar>
                    <w:left w:w="57" w:type="dxa"/>
                    <w:right w:w="57" w:type="dxa"/>
                  </w:tcMar>
                  <w:vAlign w:val="center"/>
                </w:tcPr>
                <w:p w14:paraId="36A55D2E">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115</w:t>
                  </w:r>
                </w:p>
              </w:tc>
              <w:tc>
                <w:tcPr>
                  <w:tcW w:w="1188" w:type="pct"/>
                  <w:tcMar>
                    <w:left w:w="57" w:type="dxa"/>
                    <w:right w:w="57" w:type="dxa"/>
                  </w:tcMar>
                  <w:vAlign w:val="center"/>
                </w:tcPr>
                <w:p w14:paraId="1DF47701">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2C797C03">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193C4BD5">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2</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737DF06E">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N</w:t>
                  </w:r>
                </w:p>
              </w:tc>
              <w:tc>
                <w:tcPr>
                  <w:tcW w:w="532" w:type="pct"/>
                  <w:vAlign w:val="center"/>
                </w:tcPr>
                <w:p w14:paraId="04C147AC">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97</w:t>
                  </w:r>
                </w:p>
              </w:tc>
              <w:tc>
                <w:tcPr>
                  <w:tcW w:w="959" w:type="pct"/>
                  <w:vMerge w:val="continue"/>
                  <w:tcMar>
                    <w:left w:w="57" w:type="dxa"/>
                    <w:right w:w="57" w:type="dxa"/>
                  </w:tcMar>
                  <w:vAlign w:val="center"/>
                </w:tcPr>
                <w:p w14:paraId="76B089B9">
                  <w:pPr>
                    <w:pStyle w:val="74"/>
                    <w:snapToGrid w:val="0"/>
                    <w:spacing w:before="0" w:after="0"/>
                    <w:rPr>
                      <w:color w:val="auto"/>
                      <w:sz w:val="18"/>
                      <w:szCs w:val="18"/>
                    </w:rPr>
                  </w:pPr>
                </w:p>
              </w:tc>
            </w:tr>
            <w:tr w14:paraId="1A618A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55" w:hRule="atLeast"/>
                <w:jc w:val="center"/>
              </w:trPr>
              <w:tc>
                <w:tcPr>
                  <w:tcW w:w="336" w:type="pct"/>
                  <w:vMerge w:val="continue"/>
                  <w:tcMar>
                    <w:left w:w="57" w:type="dxa"/>
                    <w:right w:w="57" w:type="dxa"/>
                  </w:tcMar>
                  <w:vAlign w:val="center"/>
                </w:tcPr>
                <w:p w14:paraId="72B6A8EB">
                  <w:pPr>
                    <w:pStyle w:val="74"/>
                    <w:snapToGrid w:val="0"/>
                    <w:spacing w:before="0" w:after="0"/>
                    <w:rPr>
                      <w:color w:val="auto"/>
                      <w:sz w:val="18"/>
                      <w:szCs w:val="18"/>
                    </w:rPr>
                  </w:pPr>
                </w:p>
              </w:tc>
              <w:tc>
                <w:tcPr>
                  <w:tcW w:w="443" w:type="pct"/>
                  <w:tcMar>
                    <w:left w:w="57" w:type="dxa"/>
                    <w:right w:w="57" w:type="dxa"/>
                  </w:tcMar>
                  <w:vAlign w:val="center"/>
                </w:tcPr>
                <w:p w14:paraId="2C554E7A">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108</w:t>
                  </w:r>
                </w:p>
              </w:tc>
              <w:tc>
                <w:tcPr>
                  <w:tcW w:w="498" w:type="pct"/>
                  <w:tcMar>
                    <w:left w:w="57" w:type="dxa"/>
                    <w:right w:w="57" w:type="dxa"/>
                  </w:tcMar>
                  <w:vAlign w:val="center"/>
                </w:tcPr>
                <w:p w14:paraId="5B363BA6">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200</w:t>
                  </w:r>
                </w:p>
              </w:tc>
              <w:tc>
                <w:tcPr>
                  <w:tcW w:w="1188" w:type="pct"/>
                  <w:tcMar>
                    <w:left w:w="57" w:type="dxa"/>
                    <w:right w:w="57" w:type="dxa"/>
                  </w:tcMar>
                  <w:vAlign w:val="center"/>
                </w:tcPr>
                <w:p w14:paraId="3D3EEC91">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0FC8CA7F">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707CBAF1">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13</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6406D15A">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N</w:t>
                  </w:r>
                </w:p>
              </w:tc>
              <w:tc>
                <w:tcPr>
                  <w:tcW w:w="532" w:type="pct"/>
                  <w:vAlign w:val="center"/>
                </w:tcPr>
                <w:p w14:paraId="6B54AA7C">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173-283</w:t>
                  </w:r>
                </w:p>
              </w:tc>
              <w:tc>
                <w:tcPr>
                  <w:tcW w:w="959" w:type="pct"/>
                  <w:vMerge w:val="continue"/>
                  <w:tcMar>
                    <w:left w:w="57" w:type="dxa"/>
                    <w:right w:w="57" w:type="dxa"/>
                  </w:tcMar>
                  <w:vAlign w:val="center"/>
                </w:tcPr>
                <w:p w14:paraId="596F3421">
                  <w:pPr>
                    <w:pStyle w:val="74"/>
                    <w:snapToGrid w:val="0"/>
                    <w:spacing w:before="0" w:after="0"/>
                    <w:rPr>
                      <w:color w:val="auto"/>
                      <w:sz w:val="18"/>
                      <w:szCs w:val="18"/>
                    </w:rPr>
                  </w:pPr>
                </w:p>
              </w:tc>
            </w:tr>
            <w:tr w14:paraId="3CE139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55" w:hRule="atLeast"/>
                <w:jc w:val="center"/>
              </w:trPr>
              <w:tc>
                <w:tcPr>
                  <w:tcW w:w="336" w:type="pct"/>
                  <w:vMerge w:val="continue"/>
                  <w:tcMar>
                    <w:left w:w="57" w:type="dxa"/>
                    <w:right w:w="57" w:type="dxa"/>
                  </w:tcMar>
                  <w:vAlign w:val="center"/>
                </w:tcPr>
                <w:p w14:paraId="19F35088">
                  <w:pPr>
                    <w:pStyle w:val="74"/>
                    <w:snapToGrid w:val="0"/>
                    <w:spacing w:before="0" w:after="0"/>
                    <w:rPr>
                      <w:color w:val="auto"/>
                      <w:sz w:val="18"/>
                      <w:szCs w:val="18"/>
                    </w:rPr>
                  </w:pPr>
                </w:p>
              </w:tc>
              <w:tc>
                <w:tcPr>
                  <w:tcW w:w="443" w:type="pct"/>
                  <w:tcMar>
                    <w:left w:w="57" w:type="dxa"/>
                    <w:right w:w="57" w:type="dxa"/>
                  </w:tcMar>
                  <w:vAlign w:val="center"/>
                </w:tcPr>
                <w:p w14:paraId="29098253">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-47</w:t>
                  </w:r>
                </w:p>
              </w:tc>
              <w:tc>
                <w:tcPr>
                  <w:tcW w:w="498" w:type="pct"/>
                  <w:tcMar>
                    <w:left w:w="57" w:type="dxa"/>
                    <w:right w:w="57" w:type="dxa"/>
                  </w:tcMar>
                  <w:vAlign w:val="center"/>
                </w:tcPr>
                <w:p w14:paraId="3BF694BE">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160</w:t>
                  </w:r>
                </w:p>
              </w:tc>
              <w:tc>
                <w:tcPr>
                  <w:tcW w:w="1188" w:type="pct"/>
                  <w:tcMar>
                    <w:left w:w="57" w:type="dxa"/>
                    <w:right w:w="57" w:type="dxa"/>
                  </w:tcMar>
                  <w:vAlign w:val="center"/>
                </w:tcPr>
                <w:p w14:paraId="31B98F66">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10EFCB13">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365D8B3D">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2</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2D1EE4CF">
                  <w:pPr>
                    <w:pStyle w:val="74"/>
                    <w:snapToGrid w:val="0"/>
                    <w:spacing w:before="0" w:after="0"/>
                    <w:rPr>
                      <w:rFonts w:hint="default"/>
                      <w:color w:val="auto"/>
                      <w:sz w:val="18"/>
                      <w:szCs w:val="18"/>
                      <w:lang w:val="en-US" w:eastAsia="zh-CN"/>
                    </w:rPr>
                  </w:pPr>
                  <w:r>
                    <w:rPr>
                      <w:rFonts w:hint="eastAsia"/>
                      <w:color w:val="auto"/>
                      <w:sz w:val="18"/>
                      <w:szCs w:val="18"/>
                      <w:lang w:val="en-US" w:eastAsia="zh-CN"/>
                    </w:rPr>
                    <w:t>N</w:t>
                  </w:r>
                </w:p>
              </w:tc>
              <w:tc>
                <w:tcPr>
                  <w:tcW w:w="532" w:type="pct"/>
                  <w:vAlign w:val="center"/>
                </w:tcPr>
                <w:p w14:paraId="6E08A0E5">
                  <w:pPr>
                    <w:pStyle w:val="74"/>
                    <w:snapToGrid w:val="0"/>
                    <w:spacing w:before="0" w:after="0"/>
                    <w:rPr>
                      <w:rFonts w:hint="default"/>
                      <w:color w:val="auto"/>
                      <w:sz w:val="18"/>
                      <w:szCs w:val="18"/>
                      <w:lang w:val="en-US" w:eastAsia="zh-CN"/>
                    </w:rPr>
                  </w:pPr>
                  <w:r>
                    <w:rPr>
                      <w:rFonts w:hint="eastAsia"/>
                      <w:color w:val="auto"/>
                      <w:sz w:val="18"/>
                      <w:szCs w:val="18"/>
                      <w:lang w:val="en-US" w:eastAsia="zh-CN"/>
                    </w:rPr>
                    <w:t>160</w:t>
                  </w:r>
                </w:p>
              </w:tc>
              <w:tc>
                <w:tcPr>
                  <w:tcW w:w="959" w:type="pct"/>
                  <w:vMerge w:val="continue"/>
                  <w:tcMar>
                    <w:left w:w="57" w:type="dxa"/>
                    <w:right w:w="57" w:type="dxa"/>
                  </w:tcMar>
                  <w:vAlign w:val="center"/>
                </w:tcPr>
                <w:p w14:paraId="68CC10CC">
                  <w:pPr>
                    <w:pStyle w:val="74"/>
                    <w:snapToGrid w:val="0"/>
                    <w:spacing w:before="0" w:after="0"/>
                    <w:rPr>
                      <w:color w:val="auto"/>
                      <w:sz w:val="18"/>
                      <w:szCs w:val="18"/>
                    </w:rPr>
                  </w:pPr>
                </w:p>
              </w:tc>
            </w:tr>
            <w:tr w14:paraId="67DA79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55" w:hRule="atLeast"/>
                <w:jc w:val="center"/>
              </w:trPr>
              <w:tc>
                <w:tcPr>
                  <w:tcW w:w="336" w:type="pct"/>
                  <w:vMerge w:val="continue"/>
                  <w:tcMar>
                    <w:left w:w="57" w:type="dxa"/>
                    <w:right w:w="57" w:type="dxa"/>
                  </w:tcMar>
                  <w:vAlign w:val="center"/>
                </w:tcPr>
                <w:p w14:paraId="633E109E">
                  <w:pPr>
                    <w:pStyle w:val="74"/>
                    <w:snapToGrid w:val="0"/>
                    <w:spacing w:before="0" w:after="0"/>
                    <w:rPr>
                      <w:color w:val="auto"/>
                      <w:sz w:val="18"/>
                      <w:szCs w:val="18"/>
                    </w:rPr>
                  </w:pPr>
                </w:p>
              </w:tc>
              <w:tc>
                <w:tcPr>
                  <w:tcW w:w="443" w:type="pct"/>
                  <w:tcMar>
                    <w:left w:w="57" w:type="dxa"/>
                    <w:right w:w="57" w:type="dxa"/>
                  </w:tcMar>
                  <w:vAlign w:val="center"/>
                </w:tcPr>
                <w:p w14:paraId="5F483331">
                  <w:pPr>
                    <w:pStyle w:val="74"/>
                    <w:snapToGrid w:val="0"/>
                    <w:spacing w:before="0" w:after="0"/>
                    <w:rPr>
                      <w:rFonts w:hint="default"/>
                      <w:color w:val="auto"/>
                      <w:sz w:val="18"/>
                      <w:szCs w:val="18"/>
                      <w:lang w:val="en-US" w:eastAsia="zh-CN"/>
                    </w:rPr>
                  </w:pPr>
                  <w:r>
                    <w:rPr>
                      <w:rFonts w:hint="eastAsia"/>
                      <w:color w:val="auto"/>
                      <w:sz w:val="18"/>
                      <w:szCs w:val="18"/>
                      <w:lang w:val="en-US" w:eastAsia="zh-CN"/>
                    </w:rPr>
                    <w:t>-150</w:t>
                  </w:r>
                </w:p>
              </w:tc>
              <w:tc>
                <w:tcPr>
                  <w:tcW w:w="498" w:type="pct"/>
                  <w:tcMar>
                    <w:left w:w="57" w:type="dxa"/>
                    <w:right w:w="57" w:type="dxa"/>
                  </w:tcMar>
                  <w:vAlign w:val="center"/>
                </w:tcPr>
                <w:p w14:paraId="74A7DA82">
                  <w:pPr>
                    <w:pStyle w:val="74"/>
                    <w:snapToGrid w:val="0"/>
                    <w:spacing w:before="0" w:after="0"/>
                    <w:rPr>
                      <w:rFonts w:hint="default"/>
                      <w:color w:val="auto"/>
                      <w:sz w:val="18"/>
                      <w:szCs w:val="18"/>
                      <w:lang w:val="en-US" w:eastAsia="zh-CN"/>
                    </w:rPr>
                  </w:pPr>
                  <w:r>
                    <w:rPr>
                      <w:rFonts w:hint="eastAsia"/>
                      <w:color w:val="auto"/>
                      <w:sz w:val="18"/>
                      <w:szCs w:val="18"/>
                      <w:lang w:val="en-US" w:eastAsia="zh-CN"/>
                    </w:rPr>
                    <w:t>116</w:t>
                  </w:r>
                </w:p>
              </w:tc>
              <w:tc>
                <w:tcPr>
                  <w:tcW w:w="1188" w:type="pct"/>
                  <w:tcMar>
                    <w:left w:w="57" w:type="dxa"/>
                    <w:right w:w="57" w:type="dxa"/>
                  </w:tcMar>
                  <w:vAlign w:val="center"/>
                </w:tcPr>
                <w:p w14:paraId="52B9DF4D">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6C1453D0">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7A26CCB3">
                  <w:pPr>
                    <w:tabs>
                      <w:tab w:val="left" w:pos="201"/>
                      <w:tab w:val="center" w:pos="449"/>
                    </w:tabs>
                    <w:spacing w:line="240" w:lineRule="auto"/>
                    <w:jc w:val="lef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ab/>
                  </w:r>
                  <w:r>
                    <w:rPr>
                      <w:rFonts w:hint="eastAsia" w:ascii="Times New Roman" w:hAnsi="Times New Roman" w:cs="Times New Roman"/>
                      <w:color w:val="auto"/>
                      <w:kern w:val="0"/>
                      <w:sz w:val="18"/>
                      <w:szCs w:val="18"/>
                      <w:lang w:val="en-US" w:eastAsia="zh-CN" w:bidi="ar-SA"/>
                    </w:rPr>
                    <w:t>15</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2E56E6C8">
                  <w:pPr>
                    <w:pStyle w:val="74"/>
                    <w:snapToGrid w:val="0"/>
                    <w:spacing w:before="0" w:after="0"/>
                    <w:rPr>
                      <w:rFonts w:hint="default"/>
                      <w:color w:val="auto"/>
                      <w:sz w:val="18"/>
                      <w:szCs w:val="18"/>
                      <w:lang w:val="en-US" w:eastAsia="zh-CN"/>
                    </w:rPr>
                  </w:pPr>
                  <w:r>
                    <w:rPr>
                      <w:rFonts w:hint="eastAsia"/>
                      <w:color w:val="auto"/>
                      <w:sz w:val="18"/>
                      <w:szCs w:val="18"/>
                      <w:lang w:val="en-US" w:eastAsia="zh-CN"/>
                    </w:rPr>
                    <w:t>W</w:t>
                  </w:r>
                </w:p>
              </w:tc>
              <w:tc>
                <w:tcPr>
                  <w:tcW w:w="532" w:type="pct"/>
                  <w:vAlign w:val="center"/>
                </w:tcPr>
                <w:p w14:paraId="71C5106C">
                  <w:pPr>
                    <w:pStyle w:val="74"/>
                    <w:snapToGrid w:val="0"/>
                    <w:spacing w:before="0" w:after="0"/>
                    <w:rPr>
                      <w:rFonts w:hint="default"/>
                      <w:color w:val="auto"/>
                      <w:sz w:val="18"/>
                      <w:szCs w:val="18"/>
                      <w:lang w:val="en-US" w:eastAsia="zh-CN"/>
                    </w:rPr>
                  </w:pPr>
                  <w:r>
                    <w:rPr>
                      <w:rFonts w:hint="eastAsia"/>
                      <w:color w:val="auto"/>
                      <w:sz w:val="18"/>
                      <w:szCs w:val="18"/>
                      <w:lang w:val="en-US" w:eastAsia="zh-CN"/>
                    </w:rPr>
                    <w:t>150-507</w:t>
                  </w:r>
                </w:p>
              </w:tc>
              <w:tc>
                <w:tcPr>
                  <w:tcW w:w="959" w:type="pct"/>
                  <w:vMerge w:val="continue"/>
                  <w:tcMar>
                    <w:left w:w="57" w:type="dxa"/>
                    <w:right w:w="57" w:type="dxa"/>
                  </w:tcMar>
                  <w:vAlign w:val="center"/>
                </w:tcPr>
                <w:p w14:paraId="0735DED0">
                  <w:pPr>
                    <w:pStyle w:val="74"/>
                    <w:snapToGrid w:val="0"/>
                    <w:spacing w:before="0" w:after="0"/>
                    <w:rPr>
                      <w:color w:val="auto"/>
                      <w:sz w:val="18"/>
                      <w:szCs w:val="18"/>
                    </w:rPr>
                  </w:pPr>
                </w:p>
              </w:tc>
            </w:tr>
            <w:tr w14:paraId="4826F8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7AF00CBA">
                  <w:pPr>
                    <w:pStyle w:val="74"/>
                    <w:snapToGrid w:val="0"/>
                    <w:spacing w:before="0" w:after="0"/>
                    <w:rPr>
                      <w:color w:val="auto"/>
                      <w:sz w:val="18"/>
                      <w:szCs w:val="18"/>
                    </w:rPr>
                  </w:pPr>
                </w:p>
              </w:tc>
              <w:tc>
                <w:tcPr>
                  <w:tcW w:w="443" w:type="pct"/>
                  <w:tcMar>
                    <w:left w:w="57" w:type="dxa"/>
                    <w:right w:w="57" w:type="dxa"/>
                  </w:tcMar>
                  <w:vAlign w:val="center"/>
                </w:tcPr>
                <w:p w14:paraId="05D8C27B">
                  <w:pPr>
                    <w:pStyle w:val="74"/>
                    <w:snapToGrid w:val="0"/>
                    <w:spacing w:before="0" w:after="0"/>
                    <w:rPr>
                      <w:rFonts w:hint="default"/>
                      <w:color w:val="auto"/>
                      <w:sz w:val="18"/>
                      <w:szCs w:val="18"/>
                      <w:lang w:val="en-US" w:eastAsia="zh-CN"/>
                    </w:rPr>
                  </w:pPr>
                  <w:r>
                    <w:rPr>
                      <w:rFonts w:hint="eastAsia"/>
                      <w:color w:val="auto"/>
                      <w:sz w:val="18"/>
                      <w:szCs w:val="18"/>
                      <w:lang w:val="en-US" w:eastAsia="zh-CN"/>
                    </w:rPr>
                    <w:t>-270</w:t>
                  </w:r>
                </w:p>
              </w:tc>
              <w:tc>
                <w:tcPr>
                  <w:tcW w:w="498" w:type="pct"/>
                  <w:tcMar>
                    <w:left w:w="57" w:type="dxa"/>
                    <w:right w:w="57" w:type="dxa"/>
                  </w:tcMar>
                  <w:vAlign w:val="center"/>
                </w:tcPr>
                <w:p w14:paraId="58327C33">
                  <w:pPr>
                    <w:pStyle w:val="74"/>
                    <w:snapToGrid w:val="0"/>
                    <w:spacing w:before="0" w:after="0"/>
                    <w:rPr>
                      <w:rFonts w:hint="default"/>
                      <w:color w:val="auto"/>
                      <w:sz w:val="18"/>
                      <w:szCs w:val="18"/>
                      <w:lang w:val="en-US" w:eastAsia="zh-CN"/>
                    </w:rPr>
                  </w:pPr>
                  <w:r>
                    <w:rPr>
                      <w:rFonts w:hint="eastAsia"/>
                      <w:color w:val="auto"/>
                      <w:sz w:val="18"/>
                      <w:szCs w:val="18"/>
                      <w:lang w:val="en-US" w:eastAsia="zh-CN"/>
                    </w:rPr>
                    <w:t>-230</w:t>
                  </w:r>
                </w:p>
              </w:tc>
              <w:tc>
                <w:tcPr>
                  <w:tcW w:w="1188" w:type="pct"/>
                  <w:tcMar>
                    <w:left w:w="57" w:type="dxa"/>
                    <w:right w:w="57" w:type="dxa"/>
                  </w:tcMar>
                  <w:vAlign w:val="center"/>
                </w:tcPr>
                <w:p w14:paraId="1BE5DA8C">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369B130B">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2921B54B">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2</w:t>
                  </w:r>
                  <w:r>
                    <w:rPr>
                      <w:rFonts w:hint="default" w:ascii="Times New Roman" w:hAnsi="Times New Roman" w:eastAsia="宋体" w:cs="Times New Roman"/>
                      <w:color w:val="auto"/>
                      <w:kern w:val="0"/>
                      <w:sz w:val="18"/>
                      <w:szCs w:val="18"/>
                      <w:lang w:val="en-US" w:eastAsia="zh-CN" w:bidi="ar-SA"/>
                    </w:rPr>
                    <w:t>户</w:t>
                  </w:r>
                </w:p>
              </w:tc>
              <w:tc>
                <w:tcPr>
                  <w:tcW w:w="259" w:type="pct"/>
                  <w:vAlign w:val="center"/>
                </w:tcPr>
                <w:p w14:paraId="656B6361">
                  <w:pPr>
                    <w:pStyle w:val="74"/>
                    <w:snapToGrid w:val="0"/>
                    <w:spacing w:before="0" w:after="0"/>
                    <w:rPr>
                      <w:rFonts w:hint="eastAsia"/>
                      <w:color w:val="auto"/>
                      <w:sz w:val="18"/>
                      <w:szCs w:val="18"/>
                      <w:lang w:val="en-US" w:eastAsia="zh-CN"/>
                    </w:rPr>
                  </w:pPr>
                  <w:r>
                    <w:rPr>
                      <w:rFonts w:hint="eastAsia"/>
                      <w:color w:val="auto"/>
                      <w:sz w:val="18"/>
                      <w:szCs w:val="18"/>
                      <w:lang w:val="en-US" w:eastAsia="zh-CN"/>
                    </w:rPr>
                    <w:t>SW</w:t>
                  </w:r>
                </w:p>
              </w:tc>
              <w:tc>
                <w:tcPr>
                  <w:tcW w:w="532" w:type="pct"/>
                  <w:vAlign w:val="center"/>
                </w:tcPr>
                <w:p w14:paraId="44B85ACC">
                  <w:pPr>
                    <w:pStyle w:val="74"/>
                    <w:snapToGrid w:val="0"/>
                    <w:spacing w:before="0" w:after="0"/>
                    <w:rPr>
                      <w:rFonts w:hint="default"/>
                      <w:color w:val="auto"/>
                      <w:sz w:val="18"/>
                      <w:szCs w:val="18"/>
                      <w:lang w:val="en-US" w:eastAsia="zh-CN"/>
                    </w:rPr>
                  </w:pPr>
                  <w:r>
                    <w:rPr>
                      <w:rFonts w:hint="eastAsia"/>
                      <w:color w:val="auto"/>
                      <w:sz w:val="18"/>
                      <w:szCs w:val="18"/>
                      <w:lang w:val="en-US" w:eastAsia="zh-CN"/>
                    </w:rPr>
                    <w:t>352</w:t>
                  </w:r>
                </w:p>
              </w:tc>
              <w:tc>
                <w:tcPr>
                  <w:tcW w:w="959" w:type="pct"/>
                  <w:vMerge w:val="continue"/>
                  <w:tcMar>
                    <w:left w:w="57" w:type="dxa"/>
                    <w:right w:w="57" w:type="dxa"/>
                  </w:tcMar>
                  <w:vAlign w:val="center"/>
                </w:tcPr>
                <w:p w14:paraId="7694CFB4">
                  <w:pPr>
                    <w:pStyle w:val="74"/>
                    <w:snapToGrid w:val="0"/>
                    <w:spacing w:before="0" w:after="0"/>
                    <w:rPr>
                      <w:color w:val="auto"/>
                      <w:sz w:val="18"/>
                      <w:szCs w:val="18"/>
                    </w:rPr>
                  </w:pPr>
                </w:p>
              </w:tc>
            </w:tr>
            <w:tr w14:paraId="371764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36ACC58A">
                  <w:pPr>
                    <w:pStyle w:val="74"/>
                    <w:snapToGrid w:val="0"/>
                    <w:spacing w:before="0" w:after="0"/>
                    <w:rPr>
                      <w:color w:val="auto"/>
                      <w:sz w:val="18"/>
                      <w:szCs w:val="18"/>
                    </w:rPr>
                  </w:pPr>
                </w:p>
              </w:tc>
              <w:tc>
                <w:tcPr>
                  <w:tcW w:w="443" w:type="pct"/>
                  <w:tcMar>
                    <w:left w:w="57" w:type="dxa"/>
                    <w:right w:w="57" w:type="dxa"/>
                  </w:tcMar>
                  <w:vAlign w:val="center"/>
                </w:tcPr>
                <w:p w14:paraId="25137FC3">
                  <w:pPr>
                    <w:pStyle w:val="74"/>
                    <w:snapToGrid w:val="0"/>
                    <w:spacing w:before="0" w:after="0"/>
                    <w:rPr>
                      <w:rFonts w:hint="default"/>
                      <w:color w:val="auto"/>
                      <w:sz w:val="18"/>
                      <w:szCs w:val="18"/>
                      <w:lang w:val="en-US" w:eastAsia="zh-CN"/>
                    </w:rPr>
                  </w:pPr>
                  <w:r>
                    <w:rPr>
                      <w:rFonts w:hint="eastAsia"/>
                      <w:color w:val="auto"/>
                      <w:sz w:val="18"/>
                      <w:szCs w:val="18"/>
                      <w:lang w:val="en-US" w:eastAsia="zh-CN"/>
                    </w:rPr>
                    <w:t>-388</w:t>
                  </w:r>
                </w:p>
              </w:tc>
              <w:tc>
                <w:tcPr>
                  <w:tcW w:w="498" w:type="pct"/>
                  <w:tcMar>
                    <w:left w:w="57" w:type="dxa"/>
                    <w:right w:w="57" w:type="dxa"/>
                  </w:tcMar>
                  <w:vAlign w:val="center"/>
                </w:tcPr>
                <w:p w14:paraId="0319EB61">
                  <w:pPr>
                    <w:pStyle w:val="74"/>
                    <w:snapToGrid w:val="0"/>
                    <w:spacing w:before="0" w:after="0"/>
                    <w:rPr>
                      <w:rFonts w:hint="default"/>
                      <w:color w:val="auto"/>
                      <w:sz w:val="18"/>
                      <w:szCs w:val="18"/>
                      <w:lang w:val="en-US" w:eastAsia="zh-CN"/>
                    </w:rPr>
                  </w:pPr>
                  <w:r>
                    <w:rPr>
                      <w:rFonts w:hint="eastAsia"/>
                      <w:color w:val="auto"/>
                      <w:sz w:val="18"/>
                      <w:szCs w:val="18"/>
                      <w:lang w:val="en-US" w:eastAsia="zh-CN"/>
                    </w:rPr>
                    <w:t>-770</w:t>
                  </w:r>
                </w:p>
              </w:tc>
              <w:tc>
                <w:tcPr>
                  <w:tcW w:w="1188" w:type="pct"/>
                  <w:tcMar>
                    <w:left w:w="57" w:type="dxa"/>
                    <w:right w:w="57" w:type="dxa"/>
                  </w:tcMar>
                  <w:vAlign w:val="center"/>
                </w:tcPr>
                <w:p w14:paraId="7748D0F2">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建台村村民</w:t>
                  </w:r>
                </w:p>
              </w:tc>
              <w:tc>
                <w:tcPr>
                  <w:tcW w:w="334" w:type="pct"/>
                  <w:vAlign w:val="center"/>
                </w:tcPr>
                <w:p w14:paraId="75A06C68">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61AD5E72">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30户</w:t>
                  </w:r>
                </w:p>
              </w:tc>
              <w:tc>
                <w:tcPr>
                  <w:tcW w:w="259" w:type="pct"/>
                  <w:vAlign w:val="center"/>
                </w:tcPr>
                <w:p w14:paraId="7D6CDD43">
                  <w:pPr>
                    <w:pStyle w:val="74"/>
                    <w:snapToGrid w:val="0"/>
                    <w:spacing w:before="0" w:after="0"/>
                    <w:rPr>
                      <w:rFonts w:hint="eastAsia"/>
                      <w:color w:val="auto"/>
                      <w:sz w:val="18"/>
                      <w:szCs w:val="18"/>
                      <w:lang w:val="en-US" w:eastAsia="zh-CN"/>
                    </w:rPr>
                  </w:pPr>
                  <w:r>
                    <w:rPr>
                      <w:rFonts w:hint="eastAsia"/>
                      <w:color w:val="auto"/>
                      <w:sz w:val="18"/>
                      <w:szCs w:val="18"/>
                      <w:lang w:val="en-US" w:eastAsia="zh-CN"/>
                    </w:rPr>
                    <w:t>SW</w:t>
                  </w:r>
                </w:p>
              </w:tc>
              <w:tc>
                <w:tcPr>
                  <w:tcW w:w="532" w:type="pct"/>
                  <w:vAlign w:val="center"/>
                </w:tcPr>
                <w:p w14:paraId="23392CEC">
                  <w:pPr>
                    <w:pStyle w:val="74"/>
                    <w:snapToGrid w:val="0"/>
                    <w:spacing w:before="0" w:after="0"/>
                    <w:rPr>
                      <w:rFonts w:hint="default"/>
                      <w:color w:val="auto"/>
                      <w:sz w:val="18"/>
                      <w:szCs w:val="18"/>
                      <w:lang w:val="en-US" w:eastAsia="zh-CN"/>
                    </w:rPr>
                  </w:pPr>
                  <w:r>
                    <w:rPr>
                      <w:rFonts w:hint="eastAsia"/>
                      <w:color w:val="auto"/>
                      <w:sz w:val="18"/>
                      <w:szCs w:val="18"/>
                      <w:lang w:val="en-US" w:eastAsia="zh-CN"/>
                    </w:rPr>
                    <w:t>615-1005</w:t>
                  </w:r>
                </w:p>
              </w:tc>
              <w:tc>
                <w:tcPr>
                  <w:tcW w:w="959" w:type="pct"/>
                  <w:vMerge w:val="continue"/>
                  <w:tcMar>
                    <w:left w:w="57" w:type="dxa"/>
                    <w:right w:w="57" w:type="dxa"/>
                  </w:tcMar>
                  <w:vAlign w:val="center"/>
                </w:tcPr>
                <w:p w14:paraId="3D964F47">
                  <w:pPr>
                    <w:pStyle w:val="74"/>
                    <w:snapToGrid w:val="0"/>
                    <w:spacing w:before="0" w:after="0"/>
                    <w:rPr>
                      <w:color w:val="auto"/>
                      <w:sz w:val="18"/>
                      <w:szCs w:val="18"/>
                    </w:rPr>
                  </w:pPr>
                </w:p>
              </w:tc>
            </w:tr>
            <w:tr w14:paraId="5E933B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50696E46">
                  <w:pPr>
                    <w:pStyle w:val="74"/>
                    <w:snapToGrid w:val="0"/>
                    <w:spacing w:before="0" w:after="0"/>
                    <w:rPr>
                      <w:color w:val="auto"/>
                      <w:sz w:val="18"/>
                      <w:szCs w:val="18"/>
                    </w:rPr>
                  </w:pPr>
                </w:p>
              </w:tc>
              <w:tc>
                <w:tcPr>
                  <w:tcW w:w="443" w:type="pct"/>
                  <w:tcMar>
                    <w:left w:w="57" w:type="dxa"/>
                    <w:right w:w="57" w:type="dxa"/>
                  </w:tcMar>
                  <w:vAlign w:val="center"/>
                </w:tcPr>
                <w:p w14:paraId="1960476C">
                  <w:pPr>
                    <w:pStyle w:val="74"/>
                    <w:snapToGrid w:val="0"/>
                    <w:spacing w:before="0" w:after="0"/>
                    <w:rPr>
                      <w:rFonts w:hint="default"/>
                      <w:color w:val="auto"/>
                      <w:sz w:val="18"/>
                      <w:szCs w:val="18"/>
                      <w:lang w:val="en-US" w:eastAsia="zh-CN"/>
                    </w:rPr>
                  </w:pPr>
                  <w:r>
                    <w:rPr>
                      <w:rFonts w:hint="eastAsia"/>
                      <w:color w:val="auto"/>
                      <w:sz w:val="18"/>
                      <w:szCs w:val="18"/>
                      <w:lang w:val="en-US" w:eastAsia="zh-CN"/>
                    </w:rPr>
                    <w:t>-160</w:t>
                  </w:r>
                </w:p>
              </w:tc>
              <w:tc>
                <w:tcPr>
                  <w:tcW w:w="498" w:type="pct"/>
                  <w:tcMar>
                    <w:left w:w="57" w:type="dxa"/>
                    <w:right w:w="57" w:type="dxa"/>
                  </w:tcMar>
                  <w:vAlign w:val="center"/>
                </w:tcPr>
                <w:p w14:paraId="7D247E63">
                  <w:pPr>
                    <w:pStyle w:val="74"/>
                    <w:snapToGrid w:val="0"/>
                    <w:spacing w:before="0" w:after="0"/>
                    <w:rPr>
                      <w:rFonts w:hint="default"/>
                      <w:color w:val="auto"/>
                      <w:sz w:val="18"/>
                      <w:szCs w:val="18"/>
                      <w:lang w:val="en-US" w:eastAsia="zh-CN"/>
                    </w:rPr>
                  </w:pPr>
                  <w:r>
                    <w:rPr>
                      <w:rFonts w:hint="eastAsia"/>
                      <w:color w:val="auto"/>
                      <w:sz w:val="18"/>
                      <w:szCs w:val="18"/>
                      <w:lang w:val="en-US" w:eastAsia="zh-CN"/>
                    </w:rPr>
                    <w:t>-939</w:t>
                  </w:r>
                </w:p>
              </w:tc>
              <w:tc>
                <w:tcPr>
                  <w:tcW w:w="1188" w:type="pct"/>
                  <w:tcMar>
                    <w:left w:w="57" w:type="dxa"/>
                    <w:right w:w="57" w:type="dxa"/>
                  </w:tcMar>
                  <w:vAlign w:val="center"/>
                </w:tcPr>
                <w:p w14:paraId="6622FDE2">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调楼湾村民</w:t>
                  </w:r>
                </w:p>
              </w:tc>
              <w:tc>
                <w:tcPr>
                  <w:tcW w:w="334" w:type="pct"/>
                  <w:vAlign w:val="center"/>
                </w:tcPr>
                <w:p w14:paraId="28A10489">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65C1C269">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8户</w:t>
                  </w:r>
                </w:p>
              </w:tc>
              <w:tc>
                <w:tcPr>
                  <w:tcW w:w="259" w:type="pct"/>
                  <w:vAlign w:val="center"/>
                </w:tcPr>
                <w:p w14:paraId="29FA6F1F">
                  <w:pPr>
                    <w:pStyle w:val="74"/>
                    <w:snapToGrid w:val="0"/>
                    <w:spacing w:before="0" w:after="0"/>
                    <w:rPr>
                      <w:rFonts w:hint="default"/>
                      <w:color w:val="auto"/>
                      <w:sz w:val="18"/>
                      <w:szCs w:val="18"/>
                      <w:lang w:val="en-US" w:eastAsia="zh-CN"/>
                    </w:rPr>
                  </w:pPr>
                  <w:r>
                    <w:rPr>
                      <w:rFonts w:hint="eastAsia"/>
                      <w:color w:val="auto"/>
                      <w:sz w:val="18"/>
                      <w:szCs w:val="18"/>
                      <w:lang w:val="en-US" w:eastAsia="zh-CN"/>
                    </w:rPr>
                    <w:t>S</w:t>
                  </w:r>
                </w:p>
              </w:tc>
              <w:tc>
                <w:tcPr>
                  <w:tcW w:w="532" w:type="pct"/>
                  <w:vAlign w:val="center"/>
                </w:tcPr>
                <w:p w14:paraId="5B21DD87">
                  <w:pPr>
                    <w:pStyle w:val="74"/>
                    <w:snapToGrid w:val="0"/>
                    <w:spacing w:before="0" w:after="0"/>
                    <w:rPr>
                      <w:rFonts w:hint="default"/>
                      <w:color w:val="auto"/>
                      <w:sz w:val="18"/>
                      <w:szCs w:val="18"/>
                      <w:lang w:val="en-US" w:eastAsia="zh-CN"/>
                    </w:rPr>
                  </w:pPr>
                  <w:r>
                    <w:rPr>
                      <w:rFonts w:hint="eastAsia"/>
                      <w:color w:val="auto"/>
                      <w:sz w:val="18"/>
                      <w:szCs w:val="18"/>
                      <w:lang w:val="en-US" w:eastAsia="zh-CN"/>
                    </w:rPr>
                    <w:t>945</w:t>
                  </w:r>
                </w:p>
              </w:tc>
              <w:tc>
                <w:tcPr>
                  <w:tcW w:w="959" w:type="pct"/>
                  <w:vMerge w:val="continue"/>
                  <w:tcMar>
                    <w:left w:w="57" w:type="dxa"/>
                    <w:right w:w="57" w:type="dxa"/>
                  </w:tcMar>
                  <w:vAlign w:val="center"/>
                </w:tcPr>
                <w:p w14:paraId="2358172D">
                  <w:pPr>
                    <w:pStyle w:val="74"/>
                    <w:snapToGrid w:val="0"/>
                    <w:spacing w:before="0" w:after="0"/>
                    <w:rPr>
                      <w:color w:val="auto"/>
                      <w:sz w:val="18"/>
                      <w:szCs w:val="18"/>
                    </w:rPr>
                  </w:pPr>
                </w:p>
              </w:tc>
            </w:tr>
            <w:tr w14:paraId="762327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6758AECE">
                  <w:pPr>
                    <w:pStyle w:val="74"/>
                    <w:snapToGrid w:val="0"/>
                    <w:spacing w:before="0" w:after="0"/>
                    <w:rPr>
                      <w:color w:val="auto"/>
                      <w:sz w:val="18"/>
                      <w:szCs w:val="18"/>
                    </w:rPr>
                  </w:pPr>
                </w:p>
              </w:tc>
              <w:tc>
                <w:tcPr>
                  <w:tcW w:w="443" w:type="pct"/>
                  <w:tcMar>
                    <w:left w:w="57" w:type="dxa"/>
                    <w:right w:w="57" w:type="dxa"/>
                  </w:tcMar>
                  <w:vAlign w:val="center"/>
                </w:tcPr>
                <w:p w14:paraId="6D4CE8C2">
                  <w:pPr>
                    <w:pStyle w:val="74"/>
                    <w:snapToGrid w:val="0"/>
                    <w:spacing w:before="0" w:after="0"/>
                    <w:rPr>
                      <w:rFonts w:hint="default"/>
                      <w:color w:val="auto"/>
                      <w:sz w:val="18"/>
                      <w:szCs w:val="18"/>
                      <w:lang w:val="en-US" w:eastAsia="zh-CN"/>
                    </w:rPr>
                  </w:pPr>
                  <w:r>
                    <w:rPr>
                      <w:rFonts w:hint="eastAsia"/>
                      <w:color w:val="auto"/>
                      <w:sz w:val="18"/>
                      <w:szCs w:val="18"/>
                      <w:lang w:val="en-US" w:eastAsia="zh-CN"/>
                    </w:rPr>
                    <w:t>72</w:t>
                  </w:r>
                </w:p>
              </w:tc>
              <w:tc>
                <w:tcPr>
                  <w:tcW w:w="498" w:type="pct"/>
                  <w:tcMar>
                    <w:left w:w="57" w:type="dxa"/>
                    <w:right w:w="57" w:type="dxa"/>
                  </w:tcMar>
                  <w:vAlign w:val="center"/>
                </w:tcPr>
                <w:p w14:paraId="3BAA85E2">
                  <w:pPr>
                    <w:pStyle w:val="74"/>
                    <w:snapToGrid w:val="0"/>
                    <w:spacing w:before="0" w:after="0"/>
                    <w:rPr>
                      <w:rFonts w:hint="default"/>
                      <w:color w:val="auto"/>
                      <w:sz w:val="18"/>
                      <w:szCs w:val="18"/>
                      <w:lang w:val="en-US" w:eastAsia="zh-CN"/>
                    </w:rPr>
                  </w:pPr>
                  <w:r>
                    <w:rPr>
                      <w:rFonts w:hint="eastAsia"/>
                      <w:color w:val="auto"/>
                      <w:sz w:val="18"/>
                      <w:szCs w:val="18"/>
                      <w:lang w:val="en-US" w:eastAsia="zh-CN"/>
                    </w:rPr>
                    <w:t>-365</w:t>
                  </w:r>
                </w:p>
              </w:tc>
              <w:tc>
                <w:tcPr>
                  <w:tcW w:w="1188" w:type="pct"/>
                  <w:tcMar>
                    <w:left w:w="57" w:type="dxa"/>
                    <w:right w:w="57" w:type="dxa"/>
                  </w:tcMar>
                  <w:vAlign w:val="center"/>
                </w:tcPr>
                <w:p w14:paraId="143F1B9E">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17A1A58F">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7A29EA49">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5户</w:t>
                  </w:r>
                </w:p>
              </w:tc>
              <w:tc>
                <w:tcPr>
                  <w:tcW w:w="259" w:type="pct"/>
                  <w:vAlign w:val="center"/>
                </w:tcPr>
                <w:p w14:paraId="4C395B5F">
                  <w:pPr>
                    <w:pStyle w:val="74"/>
                    <w:snapToGrid w:val="0"/>
                    <w:spacing w:before="0" w:after="0"/>
                    <w:rPr>
                      <w:rFonts w:hint="eastAsia"/>
                      <w:color w:val="auto"/>
                      <w:sz w:val="18"/>
                      <w:szCs w:val="18"/>
                      <w:lang w:val="en-US" w:eastAsia="zh-CN"/>
                    </w:rPr>
                  </w:pPr>
                  <w:r>
                    <w:rPr>
                      <w:rFonts w:hint="eastAsia"/>
                      <w:color w:val="auto"/>
                      <w:sz w:val="18"/>
                      <w:szCs w:val="18"/>
                      <w:lang w:val="en-US" w:eastAsia="zh-CN"/>
                    </w:rPr>
                    <w:t>S</w:t>
                  </w:r>
                </w:p>
              </w:tc>
              <w:tc>
                <w:tcPr>
                  <w:tcW w:w="532" w:type="pct"/>
                  <w:vAlign w:val="center"/>
                </w:tcPr>
                <w:p w14:paraId="1CE656AB">
                  <w:pPr>
                    <w:pStyle w:val="74"/>
                    <w:snapToGrid w:val="0"/>
                    <w:spacing w:before="0" w:after="0"/>
                    <w:rPr>
                      <w:rFonts w:hint="default"/>
                      <w:color w:val="auto"/>
                      <w:sz w:val="18"/>
                      <w:szCs w:val="18"/>
                      <w:lang w:val="en-US" w:eastAsia="zh-CN"/>
                    </w:rPr>
                  </w:pPr>
                  <w:r>
                    <w:rPr>
                      <w:rFonts w:hint="eastAsia"/>
                      <w:color w:val="auto"/>
                      <w:sz w:val="18"/>
                      <w:szCs w:val="18"/>
                      <w:lang w:val="en-US" w:eastAsia="zh-CN"/>
                    </w:rPr>
                    <w:t>350-537</w:t>
                  </w:r>
                </w:p>
              </w:tc>
              <w:tc>
                <w:tcPr>
                  <w:tcW w:w="959" w:type="pct"/>
                  <w:vMerge w:val="continue"/>
                  <w:tcMar>
                    <w:left w:w="57" w:type="dxa"/>
                    <w:right w:w="57" w:type="dxa"/>
                  </w:tcMar>
                  <w:vAlign w:val="center"/>
                </w:tcPr>
                <w:p w14:paraId="197566DD">
                  <w:pPr>
                    <w:pStyle w:val="74"/>
                    <w:snapToGrid w:val="0"/>
                    <w:spacing w:before="0" w:after="0"/>
                    <w:rPr>
                      <w:color w:val="auto"/>
                      <w:sz w:val="18"/>
                      <w:szCs w:val="18"/>
                    </w:rPr>
                  </w:pPr>
                </w:p>
              </w:tc>
            </w:tr>
            <w:tr w14:paraId="6BF836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200AEAD2">
                  <w:pPr>
                    <w:pStyle w:val="74"/>
                    <w:snapToGrid w:val="0"/>
                    <w:spacing w:before="0" w:after="0"/>
                    <w:rPr>
                      <w:color w:val="auto"/>
                      <w:sz w:val="18"/>
                      <w:szCs w:val="18"/>
                    </w:rPr>
                  </w:pPr>
                </w:p>
              </w:tc>
              <w:tc>
                <w:tcPr>
                  <w:tcW w:w="443" w:type="pct"/>
                  <w:tcMar>
                    <w:left w:w="57" w:type="dxa"/>
                    <w:right w:w="57" w:type="dxa"/>
                  </w:tcMar>
                  <w:vAlign w:val="center"/>
                </w:tcPr>
                <w:p w14:paraId="4293004A">
                  <w:pPr>
                    <w:pStyle w:val="74"/>
                    <w:snapToGrid w:val="0"/>
                    <w:spacing w:before="0" w:after="0"/>
                    <w:rPr>
                      <w:rFonts w:hint="default"/>
                      <w:color w:val="auto"/>
                      <w:sz w:val="18"/>
                      <w:szCs w:val="18"/>
                      <w:lang w:val="en-US" w:eastAsia="zh-CN"/>
                    </w:rPr>
                  </w:pPr>
                  <w:r>
                    <w:rPr>
                      <w:rFonts w:hint="eastAsia"/>
                      <w:color w:val="auto"/>
                      <w:sz w:val="18"/>
                      <w:szCs w:val="18"/>
                      <w:lang w:val="en-US" w:eastAsia="zh-CN"/>
                    </w:rPr>
                    <w:t>371</w:t>
                  </w:r>
                </w:p>
              </w:tc>
              <w:tc>
                <w:tcPr>
                  <w:tcW w:w="498" w:type="pct"/>
                  <w:tcMar>
                    <w:left w:w="57" w:type="dxa"/>
                    <w:right w:w="57" w:type="dxa"/>
                  </w:tcMar>
                  <w:vAlign w:val="center"/>
                </w:tcPr>
                <w:p w14:paraId="2963C274">
                  <w:pPr>
                    <w:pStyle w:val="74"/>
                    <w:snapToGrid w:val="0"/>
                    <w:spacing w:before="0" w:after="0"/>
                    <w:rPr>
                      <w:rFonts w:hint="default"/>
                      <w:color w:val="auto"/>
                      <w:sz w:val="18"/>
                      <w:szCs w:val="18"/>
                      <w:lang w:val="en-US" w:eastAsia="zh-CN"/>
                    </w:rPr>
                  </w:pPr>
                  <w:r>
                    <w:rPr>
                      <w:rFonts w:hint="eastAsia"/>
                      <w:color w:val="auto"/>
                      <w:sz w:val="18"/>
                      <w:szCs w:val="18"/>
                      <w:lang w:val="en-US" w:eastAsia="zh-CN"/>
                    </w:rPr>
                    <w:t>-313</w:t>
                  </w:r>
                </w:p>
              </w:tc>
              <w:tc>
                <w:tcPr>
                  <w:tcW w:w="1188" w:type="pct"/>
                  <w:tcMar>
                    <w:left w:w="57" w:type="dxa"/>
                    <w:right w:w="57" w:type="dxa"/>
                  </w:tcMar>
                  <w:vAlign w:val="center"/>
                </w:tcPr>
                <w:p w14:paraId="7FD70058">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农户</w:t>
                  </w:r>
                </w:p>
              </w:tc>
              <w:tc>
                <w:tcPr>
                  <w:tcW w:w="334" w:type="pct"/>
                  <w:vAlign w:val="center"/>
                </w:tcPr>
                <w:p w14:paraId="3A59E70A">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1F8006C7">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3户</w:t>
                  </w:r>
                </w:p>
              </w:tc>
              <w:tc>
                <w:tcPr>
                  <w:tcW w:w="259" w:type="pct"/>
                  <w:vAlign w:val="center"/>
                </w:tcPr>
                <w:p w14:paraId="372A76F8">
                  <w:pPr>
                    <w:pStyle w:val="74"/>
                    <w:snapToGrid w:val="0"/>
                    <w:spacing w:before="0" w:after="0"/>
                    <w:rPr>
                      <w:rFonts w:hint="default"/>
                      <w:color w:val="auto"/>
                      <w:sz w:val="18"/>
                      <w:szCs w:val="18"/>
                      <w:lang w:val="en-US" w:eastAsia="zh-CN"/>
                    </w:rPr>
                  </w:pPr>
                  <w:r>
                    <w:rPr>
                      <w:rFonts w:hint="eastAsia"/>
                      <w:color w:val="auto"/>
                      <w:sz w:val="18"/>
                      <w:szCs w:val="18"/>
                      <w:lang w:val="en-US" w:eastAsia="zh-CN"/>
                    </w:rPr>
                    <w:t>SE</w:t>
                  </w:r>
                </w:p>
              </w:tc>
              <w:tc>
                <w:tcPr>
                  <w:tcW w:w="532" w:type="pct"/>
                  <w:vAlign w:val="center"/>
                </w:tcPr>
                <w:p w14:paraId="42B8B83C">
                  <w:pPr>
                    <w:pStyle w:val="74"/>
                    <w:snapToGrid w:val="0"/>
                    <w:spacing w:before="0" w:after="0"/>
                    <w:rPr>
                      <w:rFonts w:hint="default"/>
                      <w:color w:val="auto"/>
                      <w:sz w:val="18"/>
                      <w:szCs w:val="18"/>
                      <w:lang w:val="en-US" w:eastAsia="zh-CN"/>
                    </w:rPr>
                  </w:pPr>
                  <w:r>
                    <w:rPr>
                      <w:rFonts w:hint="eastAsia"/>
                      <w:color w:val="auto"/>
                      <w:sz w:val="18"/>
                      <w:szCs w:val="18"/>
                      <w:lang w:val="en-US" w:eastAsia="zh-CN"/>
                    </w:rPr>
                    <w:t>454-526</w:t>
                  </w:r>
                </w:p>
              </w:tc>
              <w:tc>
                <w:tcPr>
                  <w:tcW w:w="959" w:type="pct"/>
                  <w:vMerge w:val="continue"/>
                  <w:tcMar>
                    <w:left w:w="57" w:type="dxa"/>
                    <w:right w:w="57" w:type="dxa"/>
                  </w:tcMar>
                  <w:vAlign w:val="center"/>
                </w:tcPr>
                <w:p w14:paraId="2AC7FC58">
                  <w:pPr>
                    <w:pStyle w:val="74"/>
                    <w:snapToGrid w:val="0"/>
                    <w:spacing w:before="0" w:after="0"/>
                    <w:rPr>
                      <w:color w:val="auto"/>
                      <w:sz w:val="18"/>
                      <w:szCs w:val="18"/>
                    </w:rPr>
                  </w:pPr>
                </w:p>
              </w:tc>
            </w:tr>
            <w:tr w14:paraId="61D1B6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4BC7BBE2">
                  <w:pPr>
                    <w:pStyle w:val="74"/>
                    <w:snapToGrid w:val="0"/>
                    <w:spacing w:before="0" w:after="0"/>
                    <w:rPr>
                      <w:color w:val="auto"/>
                      <w:sz w:val="18"/>
                      <w:szCs w:val="18"/>
                    </w:rPr>
                  </w:pPr>
                </w:p>
              </w:tc>
              <w:tc>
                <w:tcPr>
                  <w:tcW w:w="443" w:type="pct"/>
                  <w:tcMar>
                    <w:left w:w="57" w:type="dxa"/>
                    <w:right w:w="57" w:type="dxa"/>
                  </w:tcMar>
                  <w:vAlign w:val="center"/>
                </w:tcPr>
                <w:p w14:paraId="226E9AF7">
                  <w:pPr>
                    <w:pStyle w:val="74"/>
                    <w:snapToGrid w:val="0"/>
                    <w:spacing w:before="0" w:after="0"/>
                    <w:rPr>
                      <w:rFonts w:hint="default"/>
                      <w:color w:val="auto"/>
                      <w:sz w:val="18"/>
                      <w:szCs w:val="18"/>
                      <w:lang w:val="en-US" w:eastAsia="zh-CN"/>
                    </w:rPr>
                  </w:pPr>
                  <w:r>
                    <w:rPr>
                      <w:rFonts w:hint="eastAsia"/>
                      <w:color w:val="auto"/>
                      <w:sz w:val="18"/>
                      <w:szCs w:val="18"/>
                      <w:lang w:val="en-US" w:eastAsia="zh-CN"/>
                    </w:rPr>
                    <w:t>518</w:t>
                  </w:r>
                </w:p>
              </w:tc>
              <w:tc>
                <w:tcPr>
                  <w:tcW w:w="498" w:type="pct"/>
                  <w:tcMar>
                    <w:left w:w="57" w:type="dxa"/>
                    <w:right w:w="57" w:type="dxa"/>
                  </w:tcMar>
                  <w:vAlign w:val="center"/>
                </w:tcPr>
                <w:p w14:paraId="6504C8F5">
                  <w:pPr>
                    <w:pStyle w:val="74"/>
                    <w:snapToGrid w:val="0"/>
                    <w:spacing w:before="0" w:after="0"/>
                    <w:rPr>
                      <w:rFonts w:hint="default"/>
                      <w:color w:val="auto"/>
                      <w:sz w:val="18"/>
                      <w:szCs w:val="18"/>
                      <w:lang w:val="en-US" w:eastAsia="zh-CN"/>
                    </w:rPr>
                  </w:pPr>
                  <w:r>
                    <w:rPr>
                      <w:rFonts w:hint="eastAsia"/>
                      <w:color w:val="auto"/>
                      <w:sz w:val="18"/>
                      <w:szCs w:val="18"/>
                      <w:lang w:val="en-US" w:eastAsia="zh-CN"/>
                    </w:rPr>
                    <w:t>-475</w:t>
                  </w:r>
                </w:p>
              </w:tc>
              <w:tc>
                <w:tcPr>
                  <w:tcW w:w="1188" w:type="pct"/>
                  <w:tcMar>
                    <w:left w:w="57" w:type="dxa"/>
                    <w:right w:w="57" w:type="dxa"/>
                  </w:tcMar>
                  <w:vAlign w:val="center"/>
                </w:tcPr>
                <w:p w14:paraId="20423F1A">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梓潼沟村民</w:t>
                  </w:r>
                </w:p>
              </w:tc>
              <w:tc>
                <w:tcPr>
                  <w:tcW w:w="334" w:type="pct"/>
                  <w:vAlign w:val="center"/>
                </w:tcPr>
                <w:p w14:paraId="1F143C6D">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41F19568">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11户</w:t>
                  </w:r>
                </w:p>
              </w:tc>
              <w:tc>
                <w:tcPr>
                  <w:tcW w:w="259" w:type="pct"/>
                  <w:vAlign w:val="center"/>
                </w:tcPr>
                <w:p w14:paraId="745DDF93">
                  <w:pPr>
                    <w:pStyle w:val="74"/>
                    <w:snapToGrid w:val="0"/>
                    <w:spacing w:before="0" w:after="0"/>
                    <w:rPr>
                      <w:rFonts w:hint="eastAsia"/>
                      <w:color w:val="auto"/>
                      <w:sz w:val="18"/>
                      <w:szCs w:val="18"/>
                      <w:lang w:val="en-US" w:eastAsia="zh-CN"/>
                    </w:rPr>
                  </w:pPr>
                  <w:r>
                    <w:rPr>
                      <w:rFonts w:hint="eastAsia"/>
                      <w:color w:val="auto"/>
                      <w:sz w:val="18"/>
                      <w:szCs w:val="18"/>
                      <w:lang w:val="en-US" w:eastAsia="zh-CN"/>
                    </w:rPr>
                    <w:t>SE</w:t>
                  </w:r>
                </w:p>
              </w:tc>
              <w:tc>
                <w:tcPr>
                  <w:tcW w:w="532" w:type="pct"/>
                  <w:vAlign w:val="center"/>
                </w:tcPr>
                <w:p w14:paraId="5AC536F7">
                  <w:pPr>
                    <w:pStyle w:val="74"/>
                    <w:snapToGrid w:val="0"/>
                    <w:spacing w:before="0" w:after="0"/>
                    <w:rPr>
                      <w:rFonts w:hint="default"/>
                      <w:color w:val="auto"/>
                      <w:sz w:val="18"/>
                      <w:szCs w:val="18"/>
                      <w:lang w:val="en-US" w:eastAsia="zh-CN"/>
                    </w:rPr>
                  </w:pPr>
                  <w:r>
                    <w:rPr>
                      <w:rFonts w:hint="eastAsia"/>
                      <w:color w:val="auto"/>
                      <w:sz w:val="18"/>
                      <w:szCs w:val="18"/>
                      <w:lang w:val="en-US" w:eastAsia="zh-CN"/>
                    </w:rPr>
                    <w:t>714-840</w:t>
                  </w:r>
                </w:p>
              </w:tc>
              <w:tc>
                <w:tcPr>
                  <w:tcW w:w="959" w:type="pct"/>
                  <w:vMerge w:val="continue"/>
                  <w:tcMar>
                    <w:left w:w="57" w:type="dxa"/>
                    <w:right w:w="57" w:type="dxa"/>
                  </w:tcMar>
                  <w:vAlign w:val="center"/>
                </w:tcPr>
                <w:p w14:paraId="203C76C2">
                  <w:pPr>
                    <w:pStyle w:val="74"/>
                    <w:snapToGrid w:val="0"/>
                    <w:spacing w:before="0" w:after="0"/>
                    <w:rPr>
                      <w:color w:val="auto"/>
                      <w:sz w:val="18"/>
                      <w:szCs w:val="18"/>
                    </w:rPr>
                  </w:pPr>
                </w:p>
              </w:tc>
            </w:tr>
            <w:tr w14:paraId="5BBAB7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6499ABE7">
                  <w:pPr>
                    <w:pStyle w:val="74"/>
                    <w:snapToGrid w:val="0"/>
                    <w:spacing w:before="0" w:after="0"/>
                    <w:rPr>
                      <w:color w:val="auto"/>
                      <w:sz w:val="18"/>
                      <w:szCs w:val="18"/>
                    </w:rPr>
                  </w:pPr>
                </w:p>
              </w:tc>
              <w:tc>
                <w:tcPr>
                  <w:tcW w:w="443" w:type="pct"/>
                  <w:tcMar>
                    <w:left w:w="57" w:type="dxa"/>
                    <w:right w:w="57" w:type="dxa"/>
                  </w:tcMar>
                  <w:vAlign w:val="center"/>
                </w:tcPr>
                <w:p w14:paraId="1ED2A05A">
                  <w:pPr>
                    <w:pStyle w:val="74"/>
                    <w:snapToGrid w:val="0"/>
                    <w:spacing w:before="0" w:after="0"/>
                    <w:rPr>
                      <w:rFonts w:hint="default"/>
                      <w:color w:val="auto"/>
                      <w:sz w:val="18"/>
                      <w:szCs w:val="18"/>
                      <w:lang w:val="en-US" w:eastAsia="zh-CN"/>
                    </w:rPr>
                  </w:pPr>
                  <w:r>
                    <w:rPr>
                      <w:rFonts w:hint="eastAsia"/>
                      <w:color w:val="auto"/>
                      <w:sz w:val="18"/>
                      <w:szCs w:val="18"/>
                      <w:lang w:val="en-US" w:eastAsia="zh-CN"/>
                    </w:rPr>
                    <w:t>748</w:t>
                  </w:r>
                </w:p>
              </w:tc>
              <w:tc>
                <w:tcPr>
                  <w:tcW w:w="498" w:type="pct"/>
                  <w:tcMar>
                    <w:left w:w="57" w:type="dxa"/>
                    <w:right w:w="57" w:type="dxa"/>
                  </w:tcMar>
                  <w:vAlign w:val="center"/>
                </w:tcPr>
                <w:p w14:paraId="6165C3A3">
                  <w:pPr>
                    <w:pStyle w:val="74"/>
                    <w:snapToGrid w:val="0"/>
                    <w:spacing w:before="0" w:after="0"/>
                    <w:rPr>
                      <w:rFonts w:hint="default"/>
                      <w:color w:val="auto"/>
                      <w:sz w:val="18"/>
                      <w:szCs w:val="18"/>
                      <w:lang w:val="en-US" w:eastAsia="zh-CN"/>
                    </w:rPr>
                  </w:pPr>
                  <w:r>
                    <w:rPr>
                      <w:rFonts w:hint="eastAsia"/>
                      <w:color w:val="auto"/>
                      <w:sz w:val="18"/>
                      <w:szCs w:val="18"/>
                      <w:lang w:val="en-US" w:eastAsia="zh-CN"/>
                    </w:rPr>
                    <w:t>-175</w:t>
                  </w:r>
                </w:p>
              </w:tc>
              <w:tc>
                <w:tcPr>
                  <w:tcW w:w="1188" w:type="pct"/>
                  <w:tcMar>
                    <w:left w:w="57" w:type="dxa"/>
                    <w:right w:w="57" w:type="dxa"/>
                  </w:tcMar>
                  <w:vAlign w:val="center"/>
                </w:tcPr>
                <w:p w14:paraId="2DE69CE3">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良玉沟村民</w:t>
                  </w:r>
                </w:p>
              </w:tc>
              <w:tc>
                <w:tcPr>
                  <w:tcW w:w="334" w:type="pct"/>
                  <w:vAlign w:val="center"/>
                </w:tcPr>
                <w:p w14:paraId="3615D9E6">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1DBD7AAA">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14户</w:t>
                  </w:r>
                </w:p>
              </w:tc>
              <w:tc>
                <w:tcPr>
                  <w:tcW w:w="259" w:type="pct"/>
                  <w:vAlign w:val="center"/>
                </w:tcPr>
                <w:p w14:paraId="73BF3F9D">
                  <w:pPr>
                    <w:pStyle w:val="74"/>
                    <w:snapToGrid w:val="0"/>
                    <w:spacing w:before="0" w:after="0"/>
                    <w:rPr>
                      <w:rFonts w:hint="default"/>
                      <w:color w:val="auto"/>
                      <w:sz w:val="18"/>
                      <w:szCs w:val="18"/>
                      <w:lang w:val="en-US" w:eastAsia="zh-CN"/>
                    </w:rPr>
                  </w:pPr>
                  <w:r>
                    <w:rPr>
                      <w:rFonts w:hint="eastAsia"/>
                      <w:color w:val="auto"/>
                      <w:sz w:val="18"/>
                      <w:szCs w:val="18"/>
                      <w:lang w:val="en-US" w:eastAsia="zh-CN"/>
                    </w:rPr>
                    <w:t>E</w:t>
                  </w:r>
                </w:p>
              </w:tc>
              <w:tc>
                <w:tcPr>
                  <w:tcW w:w="532" w:type="pct"/>
                  <w:vAlign w:val="center"/>
                </w:tcPr>
                <w:p w14:paraId="484CA361">
                  <w:pPr>
                    <w:pStyle w:val="74"/>
                    <w:snapToGrid w:val="0"/>
                    <w:spacing w:before="0" w:after="0"/>
                    <w:rPr>
                      <w:rFonts w:hint="default"/>
                      <w:color w:val="auto"/>
                      <w:sz w:val="18"/>
                      <w:szCs w:val="18"/>
                      <w:lang w:val="en-US" w:eastAsia="zh-CN"/>
                    </w:rPr>
                  </w:pPr>
                  <w:r>
                    <w:rPr>
                      <w:rFonts w:hint="eastAsia"/>
                      <w:color w:val="auto"/>
                      <w:sz w:val="18"/>
                      <w:szCs w:val="18"/>
                      <w:lang w:val="en-US" w:eastAsia="zh-CN"/>
                    </w:rPr>
                    <w:t>728-820</w:t>
                  </w:r>
                </w:p>
              </w:tc>
              <w:tc>
                <w:tcPr>
                  <w:tcW w:w="959" w:type="pct"/>
                  <w:vMerge w:val="continue"/>
                  <w:tcMar>
                    <w:left w:w="57" w:type="dxa"/>
                    <w:right w:w="57" w:type="dxa"/>
                  </w:tcMar>
                  <w:vAlign w:val="center"/>
                </w:tcPr>
                <w:p w14:paraId="58DE06BA">
                  <w:pPr>
                    <w:pStyle w:val="74"/>
                    <w:snapToGrid w:val="0"/>
                    <w:spacing w:before="0" w:after="0"/>
                    <w:rPr>
                      <w:color w:val="auto"/>
                      <w:sz w:val="18"/>
                      <w:szCs w:val="18"/>
                    </w:rPr>
                  </w:pPr>
                </w:p>
              </w:tc>
            </w:tr>
            <w:tr w14:paraId="6AF689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765938EE">
                  <w:pPr>
                    <w:pStyle w:val="74"/>
                    <w:snapToGrid w:val="0"/>
                    <w:spacing w:before="0" w:after="0"/>
                    <w:rPr>
                      <w:color w:val="auto"/>
                      <w:sz w:val="18"/>
                      <w:szCs w:val="18"/>
                    </w:rPr>
                  </w:pPr>
                </w:p>
              </w:tc>
              <w:tc>
                <w:tcPr>
                  <w:tcW w:w="443" w:type="pct"/>
                  <w:tcMar>
                    <w:left w:w="57" w:type="dxa"/>
                    <w:right w:w="57" w:type="dxa"/>
                  </w:tcMar>
                  <w:vAlign w:val="center"/>
                </w:tcPr>
                <w:p w14:paraId="7E27A793">
                  <w:pPr>
                    <w:pStyle w:val="74"/>
                    <w:snapToGrid w:val="0"/>
                    <w:spacing w:before="0" w:after="0"/>
                    <w:rPr>
                      <w:rFonts w:hint="default"/>
                      <w:color w:val="auto"/>
                      <w:sz w:val="18"/>
                      <w:szCs w:val="18"/>
                      <w:lang w:val="en-US" w:eastAsia="zh-CN"/>
                    </w:rPr>
                  </w:pPr>
                  <w:r>
                    <w:rPr>
                      <w:rFonts w:hint="eastAsia"/>
                      <w:color w:val="auto"/>
                      <w:sz w:val="18"/>
                      <w:szCs w:val="18"/>
                      <w:lang w:val="en-US" w:eastAsia="zh-CN"/>
                    </w:rPr>
                    <w:t>800</w:t>
                  </w:r>
                </w:p>
              </w:tc>
              <w:tc>
                <w:tcPr>
                  <w:tcW w:w="498" w:type="pct"/>
                  <w:tcMar>
                    <w:left w:w="57" w:type="dxa"/>
                    <w:right w:w="57" w:type="dxa"/>
                  </w:tcMar>
                  <w:vAlign w:val="center"/>
                </w:tcPr>
                <w:p w14:paraId="5A09422A">
                  <w:pPr>
                    <w:pStyle w:val="74"/>
                    <w:snapToGrid w:val="0"/>
                    <w:spacing w:before="0" w:after="0"/>
                    <w:rPr>
                      <w:rFonts w:hint="default"/>
                      <w:color w:val="auto"/>
                      <w:sz w:val="18"/>
                      <w:szCs w:val="18"/>
                      <w:lang w:val="en-US" w:eastAsia="zh-CN"/>
                    </w:rPr>
                  </w:pPr>
                  <w:r>
                    <w:rPr>
                      <w:rFonts w:hint="eastAsia"/>
                      <w:color w:val="auto"/>
                      <w:sz w:val="18"/>
                      <w:szCs w:val="18"/>
                      <w:lang w:val="en-US" w:eastAsia="zh-CN"/>
                    </w:rPr>
                    <w:t>140</w:t>
                  </w:r>
                </w:p>
              </w:tc>
              <w:tc>
                <w:tcPr>
                  <w:tcW w:w="1188" w:type="pct"/>
                  <w:tcMar>
                    <w:left w:w="57" w:type="dxa"/>
                    <w:right w:w="57" w:type="dxa"/>
                  </w:tcMar>
                  <w:vAlign w:val="center"/>
                </w:tcPr>
                <w:p w14:paraId="1C653C85">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农户</w:t>
                  </w:r>
                </w:p>
              </w:tc>
              <w:tc>
                <w:tcPr>
                  <w:tcW w:w="334" w:type="pct"/>
                  <w:vAlign w:val="center"/>
                </w:tcPr>
                <w:p w14:paraId="537F0175">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063AB753">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5户</w:t>
                  </w:r>
                </w:p>
              </w:tc>
              <w:tc>
                <w:tcPr>
                  <w:tcW w:w="259" w:type="pct"/>
                  <w:vAlign w:val="center"/>
                </w:tcPr>
                <w:p w14:paraId="6728628E">
                  <w:pPr>
                    <w:pStyle w:val="74"/>
                    <w:snapToGrid w:val="0"/>
                    <w:spacing w:before="0" w:after="0"/>
                    <w:rPr>
                      <w:rFonts w:hint="eastAsia"/>
                      <w:color w:val="auto"/>
                      <w:sz w:val="18"/>
                      <w:szCs w:val="18"/>
                      <w:lang w:val="en-US" w:eastAsia="zh-CN"/>
                    </w:rPr>
                  </w:pPr>
                  <w:r>
                    <w:rPr>
                      <w:rFonts w:hint="eastAsia"/>
                      <w:color w:val="auto"/>
                      <w:sz w:val="18"/>
                      <w:szCs w:val="18"/>
                      <w:lang w:val="en-US" w:eastAsia="zh-CN"/>
                    </w:rPr>
                    <w:t>E</w:t>
                  </w:r>
                </w:p>
              </w:tc>
              <w:tc>
                <w:tcPr>
                  <w:tcW w:w="532" w:type="pct"/>
                  <w:vAlign w:val="center"/>
                </w:tcPr>
                <w:p w14:paraId="316DF17C">
                  <w:pPr>
                    <w:pStyle w:val="74"/>
                    <w:snapToGrid w:val="0"/>
                    <w:spacing w:before="0" w:after="0"/>
                    <w:rPr>
                      <w:rFonts w:hint="default"/>
                      <w:color w:val="auto"/>
                      <w:sz w:val="18"/>
                      <w:szCs w:val="18"/>
                      <w:lang w:val="en-US" w:eastAsia="zh-CN"/>
                    </w:rPr>
                  </w:pPr>
                  <w:r>
                    <w:rPr>
                      <w:rFonts w:hint="eastAsia"/>
                      <w:color w:val="auto"/>
                      <w:sz w:val="18"/>
                      <w:szCs w:val="18"/>
                      <w:lang w:val="en-US" w:eastAsia="zh-CN"/>
                    </w:rPr>
                    <w:t>800-860</w:t>
                  </w:r>
                </w:p>
              </w:tc>
              <w:tc>
                <w:tcPr>
                  <w:tcW w:w="959" w:type="pct"/>
                  <w:vMerge w:val="continue"/>
                  <w:tcMar>
                    <w:left w:w="57" w:type="dxa"/>
                    <w:right w:w="57" w:type="dxa"/>
                  </w:tcMar>
                  <w:vAlign w:val="center"/>
                </w:tcPr>
                <w:p w14:paraId="19E38E30">
                  <w:pPr>
                    <w:pStyle w:val="74"/>
                    <w:snapToGrid w:val="0"/>
                    <w:spacing w:before="0" w:after="0"/>
                    <w:rPr>
                      <w:color w:val="auto"/>
                      <w:sz w:val="18"/>
                      <w:szCs w:val="18"/>
                    </w:rPr>
                  </w:pPr>
                </w:p>
              </w:tc>
            </w:tr>
            <w:tr w14:paraId="65D559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18525C29">
                  <w:pPr>
                    <w:pStyle w:val="74"/>
                    <w:snapToGrid w:val="0"/>
                    <w:spacing w:before="0" w:after="0"/>
                    <w:rPr>
                      <w:color w:val="auto"/>
                      <w:sz w:val="18"/>
                      <w:szCs w:val="18"/>
                    </w:rPr>
                  </w:pPr>
                </w:p>
              </w:tc>
              <w:tc>
                <w:tcPr>
                  <w:tcW w:w="443" w:type="pct"/>
                  <w:tcMar>
                    <w:left w:w="57" w:type="dxa"/>
                    <w:right w:w="57" w:type="dxa"/>
                  </w:tcMar>
                  <w:vAlign w:val="center"/>
                </w:tcPr>
                <w:p w14:paraId="12B73B57">
                  <w:pPr>
                    <w:pStyle w:val="74"/>
                    <w:snapToGrid w:val="0"/>
                    <w:spacing w:before="0" w:after="0"/>
                    <w:rPr>
                      <w:rFonts w:hint="default"/>
                      <w:color w:val="auto"/>
                      <w:sz w:val="18"/>
                      <w:szCs w:val="18"/>
                      <w:lang w:val="en-US" w:eastAsia="zh-CN"/>
                    </w:rPr>
                  </w:pPr>
                  <w:r>
                    <w:rPr>
                      <w:rFonts w:hint="eastAsia"/>
                      <w:color w:val="auto"/>
                      <w:sz w:val="18"/>
                      <w:szCs w:val="18"/>
                      <w:lang w:val="en-US" w:eastAsia="zh-CN"/>
                    </w:rPr>
                    <w:t>1217</w:t>
                  </w:r>
                </w:p>
              </w:tc>
              <w:tc>
                <w:tcPr>
                  <w:tcW w:w="498" w:type="pct"/>
                  <w:tcMar>
                    <w:left w:w="57" w:type="dxa"/>
                    <w:right w:w="57" w:type="dxa"/>
                  </w:tcMar>
                  <w:vAlign w:val="center"/>
                </w:tcPr>
                <w:p w14:paraId="1805DF32">
                  <w:pPr>
                    <w:pStyle w:val="74"/>
                    <w:snapToGrid w:val="0"/>
                    <w:spacing w:before="0" w:after="0"/>
                    <w:rPr>
                      <w:rFonts w:hint="default"/>
                      <w:color w:val="auto"/>
                      <w:sz w:val="18"/>
                      <w:szCs w:val="18"/>
                      <w:lang w:val="en-US" w:eastAsia="zh-CN"/>
                    </w:rPr>
                  </w:pPr>
                  <w:r>
                    <w:rPr>
                      <w:rFonts w:hint="eastAsia"/>
                      <w:color w:val="auto"/>
                      <w:sz w:val="18"/>
                      <w:szCs w:val="18"/>
                      <w:lang w:val="en-US" w:eastAsia="zh-CN"/>
                    </w:rPr>
                    <w:t>510</w:t>
                  </w:r>
                </w:p>
              </w:tc>
              <w:tc>
                <w:tcPr>
                  <w:tcW w:w="1188" w:type="pct"/>
                  <w:tcMar>
                    <w:left w:w="57" w:type="dxa"/>
                    <w:right w:w="57" w:type="dxa"/>
                  </w:tcMar>
                  <w:vAlign w:val="center"/>
                </w:tcPr>
                <w:p w14:paraId="7937060E">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凡池村、天平村村民</w:t>
                  </w:r>
                </w:p>
              </w:tc>
              <w:tc>
                <w:tcPr>
                  <w:tcW w:w="334" w:type="pct"/>
                  <w:vAlign w:val="center"/>
                </w:tcPr>
                <w:p w14:paraId="0AABF5C6">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2C86A107">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49户</w:t>
                  </w:r>
                </w:p>
              </w:tc>
              <w:tc>
                <w:tcPr>
                  <w:tcW w:w="259" w:type="pct"/>
                  <w:vAlign w:val="center"/>
                </w:tcPr>
                <w:p w14:paraId="79144B6C">
                  <w:pPr>
                    <w:pStyle w:val="74"/>
                    <w:snapToGrid w:val="0"/>
                    <w:spacing w:before="0" w:after="0"/>
                    <w:rPr>
                      <w:rFonts w:hint="default"/>
                      <w:color w:val="auto"/>
                      <w:sz w:val="18"/>
                      <w:szCs w:val="18"/>
                      <w:lang w:val="en-US" w:eastAsia="zh-CN"/>
                    </w:rPr>
                  </w:pPr>
                  <w:r>
                    <w:rPr>
                      <w:rFonts w:hint="eastAsia"/>
                      <w:color w:val="auto"/>
                      <w:sz w:val="18"/>
                      <w:szCs w:val="18"/>
                      <w:lang w:val="en-US" w:eastAsia="zh-CN"/>
                    </w:rPr>
                    <w:t>NE</w:t>
                  </w:r>
                </w:p>
              </w:tc>
              <w:tc>
                <w:tcPr>
                  <w:tcW w:w="532" w:type="pct"/>
                  <w:vAlign w:val="center"/>
                </w:tcPr>
                <w:p w14:paraId="706A894A">
                  <w:pPr>
                    <w:pStyle w:val="74"/>
                    <w:snapToGrid w:val="0"/>
                    <w:spacing w:before="0" w:after="0"/>
                    <w:rPr>
                      <w:rFonts w:hint="default"/>
                      <w:color w:val="auto"/>
                      <w:sz w:val="18"/>
                      <w:szCs w:val="18"/>
                      <w:lang w:val="en-US" w:eastAsia="zh-CN"/>
                    </w:rPr>
                  </w:pPr>
                  <w:r>
                    <w:rPr>
                      <w:rFonts w:hint="eastAsia"/>
                      <w:color w:val="auto"/>
                      <w:sz w:val="18"/>
                      <w:szCs w:val="18"/>
                      <w:lang w:val="en-US" w:eastAsia="zh-CN"/>
                    </w:rPr>
                    <w:t>1350-2400</w:t>
                  </w:r>
                </w:p>
              </w:tc>
              <w:tc>
                <w:tcPr>
                  <w:tcW w:w="959" w:type="pct"/>
                  <w:vMerge w:val="continue"/>
                  <w:tcMar>
                    <w:left w:w="57" w:type="dxa"/>
                    <w:right w:w="57" w:type="dxa"/>
                  </w:tcMar>
                  <w:vAlign w:val="center"/>
                </w:tcPr>
                <w:p w14:paraId="4A483CF8">
                  <w:pPr>
                    <w:pStyle w:val="74"/>
                    <w:snapToGrid w:val="0"/>
                    <w:spacing w:before="0" w:after="0"/>
                    <w:rPr>
                      <w:color w:val="auto"/>
                      <w:sz w:val="18"/>
                      <w:szCs w:val="18"/>
                    </w:rPr>
                  </w:pPr>
                </w:p>
              </w:tc>
            </w:tr>
            <w:tr w14:paraId="4A242F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2015C51E">
                  <w:pPr>
                    <w:pStyle w:val="74"/>
                    <w:snapToGrid w:val="0"/>
                    <w:spacing w:before="0" w:after="0"/>
                    <w:rPr>
                      <w:color w:val="auto"/>
                      <w:sz w:val="18"/>
                      <w:szCs w:val="18"/>
                    </w:rPr>
                  </w:pPr>
                </w:p>
              </w:tc>
              <w:tc>
                <w:tcPr>
                  <w:tcW w:w="443" w:type="pct"/>
                  <w:tcMar>
                    <w:left w:w="57" w:type="dxa"/>
                    <w:right w:w="57" w:type="dxa"/>
                  </w:tcMar>
                  <w:vAlign w:val="center"/>
                </w:tcPr>
                <w:p w14:paraId="122254C6">
                  <w:pPr>
                    <w:pStyle w:val="74"/>
                    <w:snapToGrid w:val="0"/>
                    <w:spacing w:before="0" w:after="0"/>
                    <w:rPr>
                      <w:rFonts w:hint="default"/>
                      <w:color w:val="auto"/>
                      <w:sz w:val="18"/>
                      <w:szCs w:val="18"/>
                      <w:lang w:val="en-US" w:eastAsia="zh-CN"/>
                    </w:rPr>
                  </w:pPr>
                  <w:r>
                    <w:rPr>
                      <w:rFonts w:hint="eastAsia"/>
                      <w:color w:val="auto"/>
                      <w:sz w:val="18"/>
                      <w:szCs w:val="18"/>
                      <w:lang w:val="en-US" w:eastAsia="zh-CN"/>
                    </w:rPr>
                    <w:t>430</w:t>
                  </w:r>
                </w:p>
              </w:tc>
              <w:tc>
                <w:tcPr>
                  <w:tcW w:w="498" w:type="pct"/>
                  <w:tcMar>
                    <w:left w:w="57" w:type="dxa"/>
                    <w:right w:w="57" w:type="dxa"/>
                  </w:tcMar>
                  <w:vAlign w:val="center"/>
                </w:tcPr>
                <w:p w14:paraId="2615EFAE">
                  <w:pPr>
                    <w:pStyle w:val="74"/>
                    <w:snapToGrid w:val="0"/>
                    <w:spacing w:before="0" w:after="0"/>
                    <w:rPr>
                      <w:rFonts w:hint="default"/>
                      <w:color w:val="auto"/>
                      <w:sz w:val="18"/>
                      <w:szCs w:val="18"/>
                      <w:lang w:val="en-US" w:eastAsia="zh-CN"/>
                    </w:rPr>
                  </w:pPr>
                  <w:r>
                    <w:rPr>
                      <w:rFonts w:hint="eastAsia"/>
                      <w:color w:val="auto"/>
                      <w:sz w:val="18"/>
                      <w:szCs w:val="18"/>
                      <w:lang w:val="en-US" w:eastAsia="zh-CN"/>
                    </w:rPr>
                    <w:t>235</w:t>
                  </w:r>
                </w:p>
              </w:tc>
              <w:tc>
                <w:tcPr>
                  <w:tcW w:w="1188" w:type="pct"/>
                  <w:tcMar>
                    <w:left w:w="57" w:type="dxa"/>
                    <w:right w:w="57" w:type="dxa"/>
                  </w:tcMar>
                  <w:vAlign w:val="center"/>
                </w:tcPr>
                <w:p w14:paraId="251BAA46">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农户</w:t>
                  </w:r>
                </w:p>
              </w:tc>
              <w:tc>
                <w:tcPr>
                  <w:tcW w:w="334" w:type="pct"/>
                  <w:vAlign w:val="center"/>
                </w:tcPr>
                <w:p w14:paraId="0C939345">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78EC27C9">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10户</w:t>
                  </w:r>
                </w:p>
              </w:tc>
              <w:tc>
                <w:tcPr>
                  <w:tcW w:w="259" w:type="pct"/>
                  <w:vAlign w:val="center"/>
                </w:tcPr>
                <w:p w14:paraId="0296A961">
                  <w:pPr>
                    <w:pStyle w:val="74"/>
                    <w:snapToGrid w:val="0"/>
                    <w:spacing w:before="0" w:after="0"/>
                    <w:rPr>
                      <w:rFonts w:hint="eastAsia"/>
                      <w:color w:val="auto"/>
                      <w:sz w:val="18"/>
                      <w:szCs w:val="18"/>
                      <w:lang w:val="en-US" w:eastAsia="zh-CN"/>
                    </w:rPr>
                  </w:pPr>
                  <w:r>
                    <w:rPr>
                      <w:rFonts w:hint="eastAsia"/>
                      <w:color w:val="auto"/>
                      <w:sz w:val="18"/>
                      <w:szCs w:val="18"/>
                      <w:lang w:val="en-US" w:eastAsia="zh-CN"/>
                    </w:rPr>
                    <w:t>NE</w:t>
                  </w:r>
                </w:p>
              </w:tc>
              <w:tc>
                <w:tcPr>
                  <w:tcW w:w="532" w:type="pct"/>
                  <w:vAlign w:val="center"/>
                </w:tcPr>
                <w:p w14:paraId="77303BE3">
                  <w:pPr>
                    <w:pStyle w:val="74"/>
                    <w:snapToGrid w:val="0"/>
                    <w:spacing w:before="0" w:after="0"/>
                    <w:rPr>
                      <w:rFonts w:hint="default"/>
                      <w:color w:val="auto"/>
                      <w:sz w:val="18"/>
                      <w:szCs w:val="18"/>
                      <w:lang w:val="en-US" w:eastAsia="zh-CN"/>
                    </w:rPr>
                  </w:pPr>
                  <w:r>
                    <w:rPr>
                      <w:rFonts w:hint="eastAsia"/>
                      <w:color w:val="auto"/>
                      <w:sz w:val="18"/>
                      <w:szCs w:val="18"/>
                      <w:lang w:val="en-US" w:eastAsia="zh-CN"/>
                    </w:rPr>
                    <w:t>440-570</w:t>
                  </w:r>
                </w:p>
              </w:tc>
              <w:tc>
                <w:tcPr>
                  <w:tcW w:w="959" w:type="pct"/>
                  <w:vMerge w:val="continue"/>
                  <w:tcMar>
                    <w:left w:w="57" w:type="dxa"/>
                    <w:right w:w="57" w:type="dxa"/>
                  </w:tcMar>
                  <w:vAlign w:val="center"/>
                </w:tcPr>
                <w:p w14:paraId="7493C9C2">
                  <w:pPr>
                    <w:pStyle w:val="74"/>
                    <w:snapToGrid w:val="0"/>
                    <w:spacing w:before="0" w:after="0"/>
                    <w:rPr>
                      <w:color w:val="auto"/>
                      <w:sz w:val="18"/>
                      <w:szCs w:val="18"/>
                    </w:rPr>
                  </w:pPr>
                </w:p>
              </w:tc>
            </w:tr>
            <w:tr w14:paraId="2613F3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5527B427">
                  <w:pPr>
                    <w:pStyle w:val="74"/>
                    <w:snapToGrid w:val="0"/>
                    <w:spacing w:before="0" w:after="0"/>
                    <w:rPr>
                      <w:color w:val="auto"/>
                      <w:sz w:val="18"/>
                      <w:szCs w:val="18"/>
                    </w:rPr>
                  </w:pPr>
                </w:p>
              </w:tc>
              <w:tc>
                <w:tcPr>
                  <w:tcW w:w="443" w:type="pct"/>
                  <w:tcMar>
                    <w:left w:w="57" w:type="dxa"/>
                    <w:right w:w="57" w:type="dxa"/>
                  </w:tcMar>
                  <w:vAlign w:val="center"/>
                </w:tcPr>
                <w:p w14:paraId="03060608">
                  <w:pPr>
                    <w:pStyle w:val="74"/>
                    <w:snapToGrid w:val="0"/>
                    <w:spacing w:before="0" w:after="0"/>
                    <w:rPr>
                      <w:rFonts w:hint="default"/>
                      <w:color w:val="auto"/>
                      <w:sz w:val="18"/>
                      <w:szCs w:val="18"/>
                      <w:lang w:val="en-US" w:eastAsia="zh-CN"/>
                    </w:rPr>
                  </w:pPr>
                  <w:r>
                    <w:rPr>
                      <w:rFonts w:hint="eastAsia"/>
                      <w:color w:val="auto"/>
                      <w:sz w:val="18"/>
                      <w:szCs w:val="18"/>
                      <w:lang w:val="en-US" w:eastAsia="zh-CN"/>
                    </w:rPr>
                    <w:t>202</w:t>
                  </w:r>
                </w:p>
              </w:tc>
              <w:tc>
                <w:tcPr>
                  <w:tcW w:w="498" w:type="pct"/>
                  <w:tcMar>
                    <w:left w:w="57" w:type="dxa"/>
                    <w:right w:w="57" w:type="dxa"/>
                  </w:tcMar>
                  <w:vAlign w:val="center"/>
                </w:tcPr>
                <w:p w14:paraId="7E89B9CF">
                  <w:pPr>
                    <w:pStyle w:val="74"/>
                    <w:snapToGrid w:val="0"/>
                    <w:spacing w:before="0" w:after="0"/>
                    <w:rPr>
                      <w:rFonts w:hint="default"/>
                      <w:color w:val="auto"/>
                      <w:sz w:val="18"/>
                      <w:szCs w:val="18"/>
                      <w:lang w:val="en-US" w:eastAsia="zh-CN"/>
                    </w:rPr>
                  </w:pPr>
                  <w:r>
                    <w:rPr>
                      <w:rFonts w:hint="eastAsia"/>
                      <w:color w:val="auto"/>
                      <w:sz w:val="18"/>
                      <w:szCs w:val="18"/>
                      <w:lang w:val="en-US" w:eastAsia="zh-CN"/>
                    </w:rPr>
                    <w:t>365</w:t>
                  </w:r>
                </w:p>
              </w:tc>
              <w:tc>
                <w:tcPr>
                  <w:tcW w:w="1188" w:type="pct"/>
                  <w:tcMar>
                    <w:left w:w="57" w:type="dxa"/>
                    <w:right w:w="57" w:type="dxa"/>
                  </w:tcMar>
                  <w:vAlign w:val="center"/>
                </w:tcPr>
                <w:p w14:paraId="1F141558">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两河口农户</w:t>
                  </w:r>
                </w:p>
              </w:tc>
              <w:tc>
                <w:tcPr>
                  <w:tcW w:w="334" w:type="pct"/>
                  <w:vAlign w:val="center"/>
                </w:tcPr>
                <w:p w14:paraId="55237311">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0DDCC207">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11户</w:t>
                  </w:r>
                </w:p>
              </w:tc>
              <w:tc>
                <w:tcPr>
                  <w:tcW w:w="259" w:type="pct"/>
                  <w:vAlign w:val="center"/>
                </w:tcPr>
                <w:p w14:paraId="108077DD">
                  <w:pPr>
                    <w:pStyle w:val="74"/>
                    <w:snapToGrid w:val="0"/>
                    <w:spacing w:before="0" w:after="0"/>
                    <w:rPr>
                      <w:rFonts w:hint="eastAsia"/>
                      <w:color w:val="auto"/>
                      <w:sz w:val="18"/>
                      <w:szCs w:val="18"/>
                      <w:lang w:val="en-US" w:eastAsia="zh-CN"/>
                    </w:rPr>
                  </w:pPr>
                  <w:r>
                    <w:rPr>
                      <w:rFonts w:hint="eastAsia"/>
                      <w:color w:val="auto"/>
                      <w:sz w:val="18"/>
                      <w:szCs w:val="18"/>
                      <w:lang w:val="en-US" w:eastAsia="zh-CN"/>
                    </w:rPr>
                    <w:t>N</w:t>
                  </w:r>
                </w:p>
              </w:tc>
              <w:tc>
                <w:tcPr>
                  <w:tcW w:w="532" w:type="pct"/>
                  <w:vAlign w:val="center"/>
                </w:tcPr>
                <w:p w14:paraId="76DDB7CC">
                  <w:pPr>
                    <w:pStyle w:val="74"/>
                    <w:snapToGrid w:val="0"/>
                    <w:spacing w:before="0" w:after="0"/>
                    <w:rPr>
                      <w:rFonts w:hint="default"/>
                      <w:color w:val="auto"/>
                      <w:sz w:val="18"/>
                      <w:szCs w:val="18"/>
                      <w:lang w:val="en-US" w:eastAsia="zh-CN"/>
                    </w:rPr>
                  </w:pPr>
                  <w:r>
                    <w:rPr>
                      <w:rFonts w:hint="eastAsia"/>
                      <w:color w:val="auto"/>
                      <w:sz w:val="18"/>
                      <w:szCs w:val="18"/>
                      <w:lang w:val="en-US" w:eastAsia="zh-CN"/>
                    </w:rPr>
                    <w:t>420-580</w:t>
                  </w:r>
                </w:p>
              </w:tc>
              <w:tc>
                <w:tcPr>
                  <w:tcW w:w="959" w:type="pct"/>
                  <w:vMerge w:val="continue"/>
                  <w:tcMar>
                    <w:left w:w="57" w:type="dxa"/>
                    <w:right w:w="57" w:type="dxa"/>
                  </w:tcMar>
                  <w:vAlign w:val="center"/>
                </w:tcPr>
                <w:p w14:paraId="73957FFD">
                  <w:pPr>
                    <w:pStyle w:val="74"/>
                    <w:snapToGrid w:val="0"/>
                    <w:spacing w:before="0" w:after="0"/>
                    <w:rPr>
                      <w:color w:val="auto"/>
                      <w:sz w:val="18"/>
                      <w:szCs w:val="18"/>
                    </w:rPr>
                  </w:pPr>
                </w:p>
              </w:tc>
            </w:tr>
            <w:tr w14:paraId="36A1B3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755766DB">
                  <w:pPr>
                    <w:pStyle w:val="74"/>
                    <w:snapToGrid w:val="0"/>
                    <w:spacing w:before="0" w:after="0"/>
                    <w:rPr>
                      <w:color w:val="auto"/>
                      <w:sz w:val="18"/>
                      <w:szCs w:val="18"/>
                    </w:rPr>
                  </w:pPr>
                </w:p>
              </w:tc>
              <w:tc>
                <w:tcPr>
                  <w:tcW w:w="443" w:type="pct"/>
                  <w:tcMar>
                    <w:left w:w="57" w:type="dxa"/>
                    <w:right w:w="57" w:type="dxa"/>
                  </w:tcMar>
                  <w:vAlign w:val="center"/>
                </w:tcPr>
                <w:p w14:paraId="187FC8DE">
                  <w:pPr>
                    <w:pStyle w:val="74"/>
                    <w:snapToGrid w:val="0"/>
                    <w:spacing w:before="0" w:after="0"/>
                    <w:rPr>
                      <w:rFonts w:hint="default"/>
                      <w:color w:val="auto"/>
                      <w:sz w:val="18"/>
                      <w:szCs w:val="18"/>
                      <w:lang w:val="en-US" w:eastAsia="zh-CN"/>
                    </w:rPr>
                  </w:pPr>
                  <w:r>
                    <w:rPr>
                      <w:rFonts w:hint="eastAsia"/>
                      <w:color w:val="auto"/>
                      <w:sz w:val="18"/>
                      <w:szCs w:val="18"/>
                      <w:lang w:val="en-US" w:eastAsia="zh-CN"/>
                    </w:rPr>
                    <w:t>-365</w:t>
                  </w:r>
                </w:p>
              </w:tc>
              <w:tc>
                <w:tcPr>
                  <w:tcW w:w="498" w:type="pct"/>
                  <w:tcMar>
                    <w:left w:w="57" w:type="dxa"/>
                    <w:right w:w="57" w:type="dxa"/>
                  </w:tcMar>
                  <w:vAlign w:val="center"/>
                </w:tcPr>
                <w:p w14:paraId="3A1F85DC">
                  <w:pPr>
                    <w:pStyle w:val="74"/>
                    <w:snapToGrid w:val="0"/>
                    <w:spacing w:before="0" w:after="0"/>
                    <w:rPr>
                      <w:rFonts w:hint="default"/>
                      <w:color w:val="auto"/>
                      <w:sz w:val="18"/>
                      <w:szCs w:val="18"/>
                      <w:lang w:val="en-US" w:eastAsia="zh-CN"/>
                    </w:rPr>
                  </w:pPr>
                  <w:r>
                    <w:rPr>
                      <w:rFonts w:hint="eastAsia"/>
                      <w:color w:val="auto"/>
                      <w:sz w:val="18"/>
                      <w:szCs w:val="18"/>
                      <w:lang w:val="en-US" w:eastAsia="zh-CN"/>
                    </w:rPr>
                    <w:t>616</w:t>
                  </w:r>
                </w:p>
              </w:tc>
              <w:tc>
                <w:tcPr>
                  <w:tcW w:w="1188" w:type="pct"/>
                  <w:tcMar>
                    <w:left w:w="57" w:type="dxa"/>
                    <w:right w:w="57" w:type="dxa"/>
                  </w:tcMar>
                  <w:vAlign w:val="center"/>
                </w:tcPr>
                <w:p w14:paraId="0F4241AA">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小山坝农户</w:t>
                  </w:r>
                </w:p>
              </w:tc>
              <w:tc>
                <w:tcPr>
                  <w:tcW w:w="334" w:type="pct"/>
                  <w:vAlign w:val="center"/>
                </w:tcPr>
                <w:p w14:paraId="06D3965B">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居住</w:t>
                  </w:r>
                </w:p>
              </w:tc>
              <w:tc>
                <w:tcPr>
                  <w:tcW w:w="448" w:type="pct"/>
                  <w:vAlign w:val="center"/>
                </w:tcPr>
                <w:p w14:paraId="69F55107">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5户</w:t>
                  </w:r>
                </w:p>
              </w:tc>
              <w:tc>
                <w:tcPr>
                  <w:tcW w:w="259" w:type="pct"/>
                  <w:vAlign w:val="center"/>
                </w:tcPr>
                <w:p w14:paraId="6B6A34FF">
                  <w:pPr>
                    <w:pStyle w:val="74"/>
                    <w:snapToGrid w:val="0"/>
                    <w:spacing w:before="0" w:after="0"/>
                    <w:rPr>
                      <w:rFonts w:hint="eastAsia"/>
                      <w:color w:val="auto"/>
                      <w:sz w:val="18"/>
                      <w:szCs w:val="18"/>
                      <w:lang w:val="en-US" w:eastAsia="zh-CN"/>
                    </w:rPr>
                  </w:pPr>
                  <w:r>
                    <w:rPr>
                      <w:rFonts w:hint="eastAsia"/>
                      <w:color w:val="auto"/>
                      <w:sz w:val="18"/>
                      <w:szCs w:val="18"/>
                      <w:lang w:val="en-US" w:eastAsia="zh-CN"/>
                    </w:rPr>
                    <w:t>N</w:t>
                  </w:r>
                </w:p>
              </w:tc>
              <w:tc>
                <w:tcPr>
                  <w:tcW w:w="532" w:type="pct"/>
                  <w:vAlign w:val="center"/>
                </w:tcPr>
                <w:p w14:paraId="62361CE8">
                  <w:pPr>
                    <w:pStyle w:val="74"/>
                    <w:snapToGrid w:val="0"/>
                    <w:spacing w:before="0" w:after="0"/>
                    <w:rPr>
                      <w:rFonts w:hint="default"/>
                      <w:color w:val="auto"/>
                      <w:sz w:val="18"/>
                      <w:szCs w:val="18"/>
                      <w:lang w:val="en-US" w:eastAsia="zh-CN"/>
                    </w:rPr>
                  </w:pPr>
                  <w:r>
                    <w:rPr>
                      <w:rFonts w:hint="eastAsia"/>
                      <w:color w:val="auto"/>
                      <w:sz w:val="18"/>
                      <w:szCs w:val="18"/>
                      <w:lang w:val="en-US" w:eastAsia="zh-CN"/>
                    </w:rPr>
                    <w:t>650</w:t>
                  </w:r>
                </w:p>
              </w:tc>
              <w:tc>
                <w:tcPr>
                  <w:tcW w:w="959" w:type="pct"/>
                  <w:vMerge w:val="continue"/>
                  <w:tcMar>
                    <w:left w:w="57" w:type="dxa"/>
                    <w:right w:w="57" w:type="dxa"/>
                  </w:tcMar>
                  <w:vAlign w:val="center"/>
                </w:tcPr>
                <w:p w14:paraId="6BBE6DA3">
                  <w:pPr>
                    <w:pStyle w:val="74"/>
                    <w:snapToGrid w:val="0"/>
                    <w:spacing w:before="0" w:after="0"/>
                    <w:rPr>
                      <w:color w:val="auto"/>
                      <w:sz w:val="18"/>
                      <w:szCs w:val="18"/>
                    </w:rPr>
                  </w:pPr>
                </w:p>
              </w:tc>
            </w:tr>
            <w:tr w14:paraId="647862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2F8BA9FC">
                  <w:pPr>
                    <w:pStyle w:val="74"/>
                    <w:snapToGrid w:val="0"/>
                    <w:spacing w:before="0" w:after="0"/>
                    <w:rPr>
                      <w:color w:val="auto"/>
                      <w:sz w:val="18"/>
                      <w:szCs w:val="18"/>
                    </w:rPr>
                  </w:pPr>
                </w:p>
              </w:tc>
              <w:tc>
                <w:tcPr>
                  <w:tcW w:w="443" w:type="pct"/>
                  <w:tcMar>
                    <w:left w:w="57" w:type="dxa"/>
                    <w:right w:w="57" w:type="dxa"/>
                  </w:tcMar>
                  <w:vAlign w:val="center"/>
                </w:tcPr>
                <w:p w14:paraId="779B4344">
                  <w:pPr>
                    <w:pStyle w:val="74"/>
                    <w:snapToGrid w:val="0"/>
                    <w:spacing w:before="0" w:after="0"/>
                    <w:rPr>
                      <w:rFonts w:hint="default"/>
                      <w:color w:val="auto"/>
                      <w:sz w:val="18"/>
                      <w:szCs w:val="18"/>
                      <w:lang w:val="en-US" w:eastAsia="zh-CN"/>
                    </w:rPr>
                  </w:pPr>
                  <w:r>
                    <w:rPr>
                      <w:rFonts w:hint="eastAsia"/>
                      <w:color w:val="auto"/>
                      <w:sz w:val="18"/>
                      <w:szCs w:val="18"/>
                      <w:lang w:val="en-US" w:eastAsia="zh-CN"/>
                    </w:rPr>
                    <w:t>0</w:t>
                  </w:r>
                </w:p>
              </w:tc>
              <w:tc>
                <w:tcPr>
                  <w:tcW w:w="498" w:type="pct"/>
                  <w:tcMar>
                    <w:left w:w="57" w:type="dxa"/>
                    <w:right w:w="57" w:type="dxa"/>
                  </w:tcMar>
                  <w:vAlign w:val="center"/>
                </w:tcPr>
                <w:p w14:paraId="152FE3AA">
                  <w:pPr>
                    <w:pStyle w:val="74"/>
                    <w:snapToGrid w:val="0"/>
                    <w:spacing w:before="0" w:after="0"/>
                    <w:rPr>
                      <w:rFonts w:hint="default"/>
                      <w:color w:val="auto"/>
                      <w:sz w:val="18"/>
                      <w:szCs w:val="18"/>
                      <w:lang w:val="en-US" w:eastAsia="zh-CN"/>
                    </w:rPr>
                  </w:pPr>
                  <w:r>
                    <w:rPr>
                      <w:rFonts w:hint="eastAsia"/>
                      <w:color w:val="auto"/>
                      <w:sz w:val="18"/>
                      <w:szCs w:val="18"/>
                      <w:lang w:val="en-US" w:eastAsia="zh-CN"/>
                    </w:rPr>
                    <w:t>736</w:t>
                  </w:r>
                </w:p>
              </w:tc>
              <w:tc>
                <w:tcPr>
                  <w:tcW w:w="1188" w:type="pct"/>
                  <w:tcMar>
                    <w:left w:w="57" w:type="dxa"/>
                    <w:right w:w="57" w:type="dxa"/>
                  </w:tcMar>
                  <w:vAlign w:val="center"/>
                </w:tcPr>
                <w:p w14:paraId="40126454">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欧家坝农户</w:t>
                  </w:r>
                </w:p>
              </w:tc>
              <w:tc>
                <w:tcPr>
                  <w:tcW w:w="334" w:type="pct"/>
                  <w:vAlign w:val="center"/>
                </w:tcPr>
                <w:p w14:paraId="699D84EF">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居住</w:t>
                  </w:r>
                </w:p>
              </w:tc>
              <w:tc>
                <w:tcPr>
                  <w:tcW w:w="448" w:type="pct"/>
                  <w:vAlign w:val="center"/>
                </w:tcPr>
                <w:p w14:paraId="005FBA48">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11户</w:t>
                  </w:r>
                </w:p>
              </w:tc>
              <w:tc>
                <w:tcPr>
                  <w:tcW w:w="259" w:type="pct"/>
                  <w:vAlign w:val="center"/>
                </w:tcPr>
                <w:p w14:paraId="39A38CED">
                  <w:pPr>
                    <w:pStyle w:val="74"/>
                    <w:snapToGrid w:val="0"/>
                    <w:spacing w:before="0" w:after="0"/>
                    <w:rPr>
                      <w:rFonts w:hint="eastAsia"/>
                      <w:color w:val="auto"/>
                      <w:sz w:val="18"/>
                      <w:szCs w:val="18"/>
                      <w:lang w:val="en-US" w:eastAsia="zh-CN"/>
                    </w:rPr>
                  </w:pPr>
                  <w:r>
                    <w:rPr>
                      <w:rFonts w:hint="eastAsia"/>
                      <w:color w:val="auto"/>
                      <w:sz w:val="18"/>
                      <w:szCs w:val="18"/>
                      <w:lang w:val="en-US" w:eastAsia="zh-CN"/>
                    </w:rPr>
                    <w:t>N</w:t>
                  </w:r>
                </w:p>
              </w:tc>
              <w:tc>
                <w:tcPr>
                  <w:tcW w:w="532" w:type="pct"/>
                  <w:vAlign w:val="center"/>
                </w:tcPr>
                <w:p w14:paraId="30B093E2">
                  <w:pPr>
                    <w:pStyle w:val="74"/>
                    <w:snapToGrid w:val="0"/>
                    <w:spacing w:before="0" w:after="0"/>
                    <w:rPr>
                      <w:rFonts w:hint="default"/>
                      <w:color w:val="auto"/>
                      <w:sz w:val="18"/>
                      <w:szCs w:val="18"/>
                      <w:lang w:val="en-US" w:eastAsia="zh-CN"/>
                    </w:rPr>
                  </w:pPr>
                  <w:r>
                    <w:rPr>
                      <w:rFonts w:hint="eastAsia"/>
                      <w:color w:val="auto"/>
                      <w:sz w:val="18"/>
                      <w:szCs w:val="18"/>
                      <w:lang w:val="en-US" w:eastAsia="zh-CN"/>
                    </w:rPr>
                    <w:t>736-881</w:t>
                  </w:r>
                </w:p>
              </w:tc>
              <w:tc>
                <w:tcPr>
                  <w:tcW w:w="959" w:type="pct"/>
                  <w:vMerge w:val="continue"/>
                  <w:tcMar>
                    <w:left w:w="57" w:type="dxa"/>
                    <w:right w:w="57" w:type="dxa"/>
                  </w:tcMar>
                  <w:vAlign w:val="center"/>
                </w:tcPr>
                <w:p w14:paraId="5DFE82B5">
                  <w:pPr>
                    <w:pStyle w:val="74"/>
                    <w:snapToGrid w:val="0"/>
                    <w:spacing w:before="0" w:after="0"/>
                    <w:rPr>
                      <w:color w:val="auto"/>
                      <w:sz w:val="18"/>
                      <w:szCs w:val="18"/>
                    </w:rPr>
                  </w:pPr>
                </w:p>
              </w:tc>
            </w:tr>
            <w:tr w14:paraId="464DEE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2F8FEED1">
                  <w:pPr>
                    <w:pStyle w:val="74"/>
                    <w:snapToGrid w:val="0"/>
                    <w:spacing w:before="0" w:after="0"/>
                    <w:rPr>
                      <w:color w:val="auto"/>
                      <w:sz w:val="18"/>
                      <w:szCs w:val="18"/>
                    </w:rPr>
                  </w:pPr>
                </w:p>
              </w:tc>
              <w:tc>
                <w:tcPr>
                  <w:tcW w:w="443" w:type="pct"/>
                  <w:tcMar>
                    <w:left w:w="57" w:type="dxa"/>
                    <w:right w:w="57" w:type="dxa"/>
                  </w:tcMar>
                  <w:vAlign w:val="center"/>
                </w:tcPr>
                <w:p w14:paraId="40C1F8DC">
                  <w:pPr>
                    <w:pStyle w:val="74"/>
                    <w:snapToGrid w:val="0"/>
                    <w:spacing w:before="0" w:after="0"/>
                    <w:rPr>
                      <w:rFonts w:hint="default"/>
                      <w:color w:val="auto"/>
                      <w:sz w:val="18"/>
                      <w:szCs w:val="18"/>
                      <w:lang w:val="en-US" w:eastAsia="zh-CN"/>
                    </w:rPr>
                  </w:pPr>
                  <w:r>
                    <w:rPr>
                      <w:rFonts w:hint="eastAsia"/>
                      <w:color w:val="auto"/>
                      <w:sz w:val="18"/>
                      <w:szCs w:val="18"/>
                      <w:lang w:val="en-US" w:eastAsia="zh-CN"/>
                    </w:rPr>
                    <w:t>-570</w:t>
                  </w:r>
                </w:p>
              </w:tc>
              <w:tc>
                <w:tcPr>
                  <w:tcW w:w="498" w:type="pct"/>
                  <w:tcMar>
                    <w:left w:w="57" w:type="dxa"/>
                    <w:right w:w="57" w:type="dxa"/>
                  </w:tcMar>
                  <w:vAlign w:val="center"/>
                </w:tcPr>
                <w:p w14:paraId="4F11A9FB">
                  <w:pPr>
                    <w:pStyle w:val="74"/>
                    <w:snapToGrid w:val="0"/>
                    <w:spacing w:before="0" w:after="0"/>
                    <w:rPr>
                      <w:rFonts w:hint="default"/>
                      <w:color w:val="auto"/>
                      <w:sz w:val="18"/>
                      <w:szCs w:val="18"/>
                      <w:lang w:val="en-US" w:eastAsia="zh-CN"/>
                    </w:rPr>
                  </w:pPr>
                  <w:r>
                    <w:rPr>
                      <w:rFonts w:hint="eastAsia"/>
                      <w:color w:val="auto"/>
                      <w:sz w:val="18"/>
                      <w:szCs w:val="18"/>
                      <w:lang w:val="en-US" w:eastAsia="zh-CN"/>
                    </w:rPr>
                    <w:t>560</w:t>
                  </w:r>
                </w:p>
              </w:tc>
              <w:tc>
                <w:tcPr>
                  <w:tcW w:w="1188" w:type="pct"/>
                  <w:tcMar>
                    <w:left w:w="57" w:type="dxa"/>
                    <w:right w:w="57" w:type="dxa"/>
                  </w:tcMar>
                  <w:vAlign w:val="center"/>
                </w:tcPr>
                <w:p w14:paraId="0169398B">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转弯沟</w:t>
                  </w:r>
                </w:p>
              </w:tc>
              <w:tc>
                <w:tcPr>
                  <w:tcW w:w="334" w:type="pct"/>
                  <w:vAlign w:val="center"/>
                </w:tcPr>
                <w:p w14:paraId="07827A27">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居住</w:t>
                  </w:r>
                </w:p>
              </w:tc>
              <w:tc>
                <w:tcPr>
                  <w:tcW w:w="448" w:type="pct"/>
                  <w:vAlign w:val="center"/>
                </w:tcPr>
                <w:p w14:paraId="53B2E94F">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8</w:t>
                  </w:r>
                </w:p>
              </w:tc>
              <w:tc>
                <w:tcPr>
                  <w:tcW w:w="259" w:type="pct"/>
                  <w:vAlign w:val="center"/>
                </w:tcPr>
                <w:p w14:paraId="5D488305">
                  <w:pPr>
                    <w:pStyle w:val="74"/>
                    <w:snapToGrid w:val="0"/>
                    <w:spacing w:before="0" w:after="0"/>
                    <w:rPr>
                      <w:rFonts w:hint="default"/>
                      <w:color w:val="auto"/>
                      <w:sz w:val="18"/>
                      <w:szCs w:val="18"/>
                      <w:lang w:val="en-US" w:eastAsia="zh-CN"/>
                    </w:rPr>
                  </w:pPr>
                  <w:r>
                    <w:rPr>
                      <w:rFonts w:hint="eastAsia"/>
                      <w:color w:val="auto"/>
                      <w:sz w:val="18"/>
                      <w:szCs w:val="18"/>
                      <w:lang w:val="en-US" w:eastAsia="zh-CN"/>
                    </w:rPr>
                    <w:t>NW</w:t>
                  </w:r>
                </w:p>
              </w:tc>
              <w:tc>
                <w:tcPr>
                  <w:tcW w:w="532" w:type="pct"/>
                  <w:vAlign w:val="center"/>
                </w:tcPr>
                <w:p w14:paraId="45424D1E">
                  <w:pPr>
                    <w:pStyle w:val="74"/>
                    <w:snapToGrid w:val="0"/>
                    <w:spacing w:before="0" w:after="0"/>
                    <w:rPr>
                      <w:rFonts w:hint="default"/>
                      <w:color w:val="auto"/>
                      <w:sz w:val="18"/>
                      <w:szCs w:val="18"/>
                      <w:lang w:val="en-US" w:eastAsia="zh-CN"/>
                    </w:rPr>
                  </w:pPr>
                  <w:r>
                    <w:rPr>
                      <w:rFonts w:hint="eastAsia"/>
                      <w:color w:val="auto"/>
                      <w:sz w:val="18"/>
                      <w:szCs w:val="18"/>
                      <w:lang w:val="en-US" w:eastAsia="zh-CN"/>
                    </w:rPr>
                    <w:t>836</w:t>
                  </w:r>
                </w:p>
              </w:tc>
              <w:tc>
                <w:tcPr>
                  <w:tcW w:w="959" w:type="pct"/>
                  <w:vMerge w:val="continue"/>
                  <w:tcMar>
                    <w:left w:w="57" w:type="dxa"/>
                    <w:right w:w="57" w:type="dxa"/>
                  </w:tcMar>
                  <w:vAlign w:val="center"/>
                </w:tcPr>
                <w:p w14:paraId="1D26D940">
                  <w:pPr>
                    <w:pStyle w:val="74"/>
                    <w:snapToGrid w:val="0"/>
                    <w:spacing w:before="0" w:after="0"/>
                    <w:rPr>
                      <w:color w:val="auto"/>
                      <w:sz w:val="18"/>
                      <w:szCs w:val="18"/>
                    </w:rPr>
                  </w:pPr>
                </w:p>
              </w:tc>
            </w:tr>
            <w:tr w14:paraId="42C19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5B8B2B8E">
                  <w:pPr>
                    <w:pStyle w:val="74"/>
                    <w:snapToGrid w:val="0"/>
                    <w:spacing w:before="0" w:after="0"/>
                    <w:rPr>
                      <w:color w:val="auto"/>
                      <w:sz w:val="18"/>
                      <w:szCs w:val="18"/>
                    </w:rPr>
                  </w:pPr>
                </w:p>
              </w:tc>
              <w:tc>
                <w:tcPr>
                  <w:tcW w:w="443" w:type="pct"/>
                  <w:tcMar>
                    <w:left w:w="57" w:type="dxa"/>
                    <w:right w:w="57" w:type="dxa"/>
                  </w:tcMar>
                  <w:vAlign w:val="center"/>
                </w:tcPr>
                <w:p w14:paraId="59788B56">
                  <w:pPr>
                    <w:pStyle w:val="74"/>
                    <w:snapToGrid w:val="0"/>
                    <w:spacing w:before="0" w:after="0"/>
                    <w:rPr>
                      <w:rFonts w:hint="default"/>
                      <w:color w:val="auto"/>
                      <w:sz w:val="18"/>
                      <w:szCs w:val="18"/>
                      <w:lang w:val="en-US" w:eastAsia="zh-CN"/>
                    </w:rPr>
                  </w:pPr>
                  <w:r>
                    <w:rPr>
                      <w:rFonts w:hint="eastAsia"/>
                      <w:color w:val="auto"/>
                      <w:sz w:val="18"/>
                      <w:szCs w:val="18"/>
                      <w:lang w:val="en-US" w:eastAsia="zh-CN"/>
                    </w:rPr>
                    <w:t>-650</w:t>
                  </w:r>
                </w:p>
              </w:tc>
              <w:tc>
                <w:tcPr>
                  <w:tcW w:w="498" w:type="pct"/>
                  <w:tcMar>
                    <w:left w:w="57" w:type="dxa"/>
                    <w:right w:w="57" w:type="dxa"/>
                  </w:tcMar>
                  <w:vAlign w:val="center"/>
                </w:tcPr>
                <w:p w14:paraId="6B4FD136">
                  <w:pPr>
                    <w:pStyle w:val="74"/>
                    <w:snapToGrid w:val="0"/>
                    <w:spacing w:before="0" w:after="0"/>
                    <w:rPr>
                      <w:rFonts w:hint="default"/>
                      <w:color w:val="auto"/>
                      <w:sz w:val="18"/>
                      <w:szCs w:val="18"/>
                      <w:lang w:val="en-US" w:eastAsia="zh-CN"/>
                    </w:rPr>
                  </w:pPr>
                  <w:r>
                    <w:rPr>
                      <w:rFonts w:hint="eastAsia"/>
                      <w:color w:val="auto"/>
                      <w:sz w:val="18"/>
                      <w:szCs w:val="18"/>
                      <w:lang w:val="en-US" w:eastAsia="zh-CN"/>
                    </w:rPr>
                    <w:t>470</w:t>
                  </w:r>
                </w:p>
              </w:tc>
              <w:tc>
                <w:tcPr>
                  <w:tcW w:w="1188" w:type="pct"/>
                  <w:tcMar>
                    <w:left w:w="57" w:type="dxa"/>
                    <w:right w:w="57" w:type="dxa"/>
                  </w:tcMar>
                  <w:vAlign w:val="center"/>
                </w:tcPr>
                <w:p w14:paraId="53DCD5AD">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双河村农户</w:t>
                  </w:r>
                </w:p>
              </w:tc>
              <w:tc>
                <w:tcPr>
                  <w:tcW w:w="334" w:type="pct"/>
                  <w:vAlign w:val="center"/>
                </w:tcPr>
                <w:p w14:paraId="019B779E">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居住</w:t>
                  </w:r>
                </w:p>
              </w:tc>
              <w:tc>
                <w:tcPr>
                  <w:tcW w:w="448" w:type="pct"/>
                  <w:vAlign w:val="center"/>
                </w:tcPr>
                <w:p w14:paraId="0B20F3F4">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6</w:t>
                  </w:r>
                </w:p>
              </w:tc>
              <w:tc>
                <w:tcPr>
                  <w:tcW w:w="259" w:type="pct"/>
                  <w:vAlign w:val="center"/>
                </w:tcPr>
                <w:p w14:paraId="292FB2B5">
                  <w:pPr>
                    <w:pStyle w:val="74"/>
                    <w:snapToGrid w:val="0"/>
                    <w:spacing w:before="0" w:after="0"/>
                    <w:rPr>
                      <w:rFonts w:hint="eastAsia"/>
                      <w:color w:val="auto"/>
                      <w:sz w:val="18"/>
                      <w:szCs w:val="18"/>
                      <w:lang w:val="en-US" w:eastAsia="zh-CN"/>
                    </w:rPr>
                  </w:pPr>
                  <w:r>
                    <w:rPr>
                      <w:rFonts w:hint="eastAsia"/>
                      <w:color w:val="auto"/>
                      <w:sz w:val="18"/>
                      <w:szCs w:val="18"/>
                      <w:lang w:val="en-US" w:eastAsia="zh-CN"/>
                    </w:rPr>
                    <w:t>NW</w:t>
                  </w:r>
                </w:p>
              </w:tc>
              <w:tc>
                <w:tcPr>
                  <w:tcW w:w="532" w:type="pct"/>
                  <w:vAlign w:val="center"/>
                </w:tcPr>
                <w:p w14:paraId="1D838E39">
                  <w:pPr>
                    <w:pStyle w:val="74"/>
                    <w:snapToGrid w:val="0"/>
                    <w:spacing w:before="0" w:after="0"/>
                    <w:rPr>
                      <w:rFonts w:hint="default"/>
                      <w:color w:val="auto"/>
                      <w:sz w:val="18"/>
                      <w:szCs w:val="18"/>
                      <w:lang w:val="en-US" w:eastAsia="zh-CN"/>
                    </w:rPr>
                  </w:pPr>
                  <w:r>
                    <w:rPr>
                      <w:rFonts w:hint="eastAsia"/>
                      <w:color w:val="auto"/>
                      <w:sz w:val="18"/>
                      <w:szCs w:val="18"/>
                      <w:lang w:val="en-US" w:eastAsia="zh-CN"/>
                    </w:rPr>
                    <w:t>795</w:t>
                  </w:r>
                </w:p>
              </w:tc>
              <w:tc>
                <w:tcPr>
                  <w:tcW w:w="959" w:type="pct"/>
                  <w:vMerge w:val="continue"/>
                  <w:tcMar>
                    <w:left w:w="57" w:type="dxa"/>
                    <w:right w:w="57" w:type="dxa"/>
                  </w:tcMar>
                  <w:vAlign w:val="center"/>
                </w:tcPr>
                <w:p w14:paraId="72579D66">
                  <w:pPr>
                    <w:pStyle w:val="74"/>
                    <w:snapToGrid w:val="0"/>
                    <w:spacing w:before="0" w:after="0"/>
                    <w:rPr>
                      <w:color w:val="auto"/>
                      <w:sz w:val="18"/>
                      <w:szCs w:val="18"/>
                    </w:rPr>
                  </w:pPr>
                </w:p>
              </w:tc>
            </w:tr>
            <w:tr w14:paraId="01AA12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23" w:hRule="atLeast"/>
                <w:jc w:val="center"/>
              </w:trPr>
              <w:tc>
                <w:tcPr>
                  <w:tcW w:w="336" w:type="pct"/>
                  <w:vMerge w:val="continue"/>
                  <w:tcMar>
                    <w:left w:w="57" w:type="dxa"/>
                    <w:right w:w="57" w:type="dxa"/>
                  </w:tcMar>
                  <w:vAlign w:val="center"/>
                </w:tcPr>
                <w:p w14:paraId="1ACC5FC9">
                  <w:pPr>
                    <w:pStyle w:val="74"/>
                    <w:snapToGrid w:val="0"/>
                    <w:spacing w:before="0" w:after="0"/>
                    <w:rPr>
                      <w:color w:val="auto"/>
                      <w:sz w:val="18"/>
                      <w:szCs w:val="18"/>
                    </w:rPr>
                  </w:pPr>
                </w:p>
              </w:tc>
              <w:tc>
                <w:tcPr>
                  <w:tcW w:w="443" w:type="pct"/>
                  <w:tcMar>
                    <w:left w:w="57" w:type="dxa"/>
                    <w:right w:w="57" w:type="dxa"/>
                  </w:tcMar>
                  <w:vAlign w:val="center"/>
                </w:tcPr>
                <w:p w14:paraId="53B4381B">
                  <w:pPr>
                    <w:pStyle w:val="74"/>
                    <w:snapToGrid w:val="0"/>
                    <w:spacing w:before="0" w:after="0"/>
                    <w:rPr>
                      <w:rFonts w:hint="default"/>
                      <w:color w:val="auto"/>
                      <w:sz w:val="18"/>
                      <w:szCs w:val="18"/>
                      <w:lang w:val="en-US" w:eastAsia="zh-CN"/>
                    </w:rPr>
                  </w:pPr>
                  <w:r>
                    <w:rPr>
                      <w:rFonts w:hint="eastAsia"/>
                      <w:color w:val="auto"/>
                      <w:sz w:val="18"/>
                      <w:szCs w:val="18"/>
                      <w:lang w:val="en-US" w:eastAsia="zh-CN"/>
                    </w:rPr>
                    <w:t>-695</w:t>
                  </w:r>
                </w:p>
              </w:tc>
              <w:tc>
                <w:tcPr>
                  <w:tcW w:w="498" w:type="pct"/>
                  <w:tcMar>
                    <w:left w:w="57" w:type="dxa"/>
                    <w:right w:w="57" w:type="dxa"/>
                  </w:tcMar>
                  <w:vAlign w:val="center"/>
                </w:tcPr>
                <w:p w14:paraId="18B24ADC">
                  <w:pPr>
                    <w:pStyle w:val="74"/>
                    <w:snapToGrid w:val="0"/>
                    <w:spacing w:before="0" w:after="0"/>
                    <w:rPr>
                      <w:rFonts w:hint="default"/>
                      <w:color w:val="auto"/>
                      <w:sz w:val="18"/>
                      <w:szCs w:val="18"/>
                      <w:lang w:val="en-US" w:eastAsia="zh-CN"/>
                    </w:rPr>
                  </w:pPr>
                  <w:r>
                    <w:rPr>
                      <w:rFonts w:hint="eastAsia"/>
                      <w:color w:val="auto"/>
                      <w:sz w:val="18"/>
                      <w:szCs w:val="18"/>
                      <w:lang w:val="en-US" w:eastAsia="zh-CN"/>
                    </w:rPr>
                    <w:t>-232</w:t>
                  </w:r>
                </w:p>
              </w:tc>
              <w:tc>
                <w:tcPr>
                  <w:tcW w:w="1188" w:type="pct"/>
                  <w:tcMar>
                    <w:left w:w="57" w:type="dxa"/>
                    <w:right w:w="57" w:type="dxa"/>
                  </w:tcMar>
                  <w:vAlign w:val="center"/>
                </w:tcPr>
                <w:p w14:paraId="3B114C0D">
                  <w:pPr>
                    <w:spacing w:line="240" w:lineRule="auto"/>
                    <w:jc w:val="center"/>
                    <w:rPr>
                      <w:rFonts w:hint="eastAsia"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农户</w:t>
                  </w:r>
                </w:p>
              </w:tc>
              <w:tc>
                <w:tcPr>
                  <w:tcW w:w="334" w:type="pct"/>
                  <w:vAlign w:val="center"/>
                </w:tcPr>
                <w:p w14:paraId="71079C55">
                  <w:pPr>
                    <w:spacing w:line="240" w:lineRule="auto"/>
                    <w:jc w:val="center"/>
                    <w:rPr>
                      <w:rFonts w:hint="eastAsia"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居住</w:t>
                  </w:r>
                </w:p>
              </w:tc>
              <w:tc>
                <w:tcPr>
                  <w:tcW w:w="448" w:type="pct"/>
                  <w:vAlign w:val="center"/>
                </w:tcPr>
                <w:p w14:paraId="47BDAF04">
                  <w:pPr>
                    <w:spacing w:line="240" w:lineRule="auto"/>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27户</w:t>
                  </w:r>
                </w:p>
              </w:tc>
              <w:tc>
                <w:tcPr>
                  <w:tcW w:w="259" w:type="pct"/>
                  <w:vAlign w:val="center"/>
                </w:tcPr>
                <w:p w14:paraId="1149D86A">
                  <w:pPr>
                    <w:pStyle w:val="74"/>
                    <w:snapToGrid w:val="0"/>
                    <w:spacing w:before="0" w:after="0"/>
                    <w:rPr>
                      <w:rFonts w:hint="default"/>
                      <w:color w:val="auto"/>
                      <w:sz w:val="18"/>
                      <w:szCs w:val="18"/>
                      <w:lang w:val="en-US" w:eastAsia="zh-CN"/>
                    </w:rPr>
                  </w:pPr>
                  <w:r>
                    <w:rPr>
                      <w:rFonts w:hint="eastAsia"/>
                      <w:color w:val="auto"/>
                      <w:sz w:val="18"/>
                      <w:szCs w:val="18"/>
                      <w:lang w:val="en-US" w:eastAsia="zh-CN"/>
                    </w:rPr>
                    <w:t>W</w:t>
                  </w:r>
                </w:p>
              </w:tc>
              <w:tc>
                <w:tcPr>
                  <w:tcW w:w="532" w:type="pct"/>
                  <w:vAlign w:val="center"/>
                </w:tcPr>
                <w:p w14:paraId="4149328B">
                  <w:pPr>
                    <w:pStyle w:val="74"/>
                    <w:snapToGrid w:val="0"/>
                    <w:spacing w:before="0" w:after="0"/>
                    <w:rPr>
                      <w:rFonts w:hint="default"/>
                      <w:color w:val="auto"/>
                      <w:sz w:val="18"/>
                      <w:szCs w:val="18"/>
                      <w:lang w:val="en-US" w:eastAsia="zh-CN"/>
                    </w:rPr>
                  </w:pPr>
                  <w:r>
                    <w:rPr>
                      <w:rFonts w:hint="eastAsia"/>
                      <w:color w:val="auto"/>
                      <w:sz w:val="18"/>
                      <w:szCs w:val="18"/>
                      <w:lang w:val="en-US" w:eastAsia="zh-CN"/>
                    </w:rPr>
                    <w:t>742-1230</w:t>
                  </w:r>
                </w:p>
              </w:tc>
              <w:tc>
                <w:tcPr>
                  <w:tcW w:w="959" w:type="pct"/>
                  <w:vMerge w:val="continue"/>
                  <w:tcMar>
                    <w:left w:w="57" w:type="dxa"/>
                    <w:right w:w="57" w:type="dxa"/>
                  </w:tcMar>
                  <w:vAlign w:val="center"/>
                </w:tcPr>
                <w:p w14:paraId="1A40F7F4">
                  <w:pPr>
                    <w:pStyle w:val="74"/>
                    <w:snapToGrid w:val="0"/>
                    <w:spacing w:before="0" w:after="0"/>
                    <w:rPr>
                      <w:color w:val="auto"/>
                      <w:sz w:val="18"/>
                      <w:szCs w:val="18"/>
                    </w:rPr>
                  </w:pPr>
                </w:p>
              </w:tc>
            </w:tr>
            <w:tr w14:paraId="07A684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55" w:hRule="atLeast"/>
                <w:jc w:val="center"/>
              </w:trPr>
              <w:tc>
                <w:tcPr>
                  <w:tcW w:w="336" w:type="pct"/>
                  <w:vMerge w:val="continue"/>
                  <w:tcMar>
                    <w:left w:w="57" w:type="dxa"/>
                    <w:right w:w="57" w:type="dxa"/>
                  </w:tcMar>
                  <w:vAlign w:val="center"/>
                </w:tcPr>
                <w:p w14:paraId="61E8CC5F">
                  <w:pPr>
                    <w:pStyle w:val="74"/>
                    <w:snapToGrid w:val="0"/>
                    <w:spacing w:before="0" w:after="0"/>
                    <w:rPr>
                      <w:color w:val="auto"/>
                      <w:sz w:val="18"/>
                      <w:szCs w:val="18"/>
                    </w:rPr>
                  </w:pPr>
                </w:p>
              </w:tc>
              <w:tc>
                <w:tcPr>
                  <w:tcW w:w="443" w:type="pct"/>
                  <w:tcMar>
                    <w:left w:w="57" w:type="dxa"/>
                    <w:right w:w="57" w:type="dxa"/>
                  </w:tcMar>
                  <w:vAlign w:val="center"/>
                </w:tcPr>
                <w:p w14:paraId="08F20E43">
                  <w:pPr>
                    <w:pStyle w:val="74"/>
                    <w:snapToGrid w:val="0"/>
                    <w:spacing w:before="0" w:after="0"/>
                    <w:rPr>
                      <w:rFonts w:hint="default"/>
                      <w:color w:val="auto"/>
                      <w:sz w:val="18"/>
                      <w:szCs w:val="18"/>
                      <w:lang w:val="en-US" w:eastAsia="zh-CN"/>
                    </w:rPr>
                  </w:pPr>
                  <w:r>
                    <w:rPr>
                      <w:rFonts w:hint="eastAsia"/>
                      <w:color w:val="auto"/>
                      <w:sz w:val="18"/>
                      <w:szCs w:val="18"/>
                      <w:lang w:val="en-US" w:eastAsia="zh-CN"/>
                    </w:rPr>
                    <w:t>1562</w:t>
                  </w:r>
                </w:p>
              </w:tc>
              <w:tc>
                <w:tcPr>
                  <w:tcW w:w="498" w:type="pct"/>
                  <w:tcMar>
                    <w:left w:w="57" w:type="dxa"/>
                    <w:right w:w="57" w:type="dxa"/>
                  </w:tcMar>
                  <w:vAlign w:val="center"/>
                </w:tcPr>
                <w:p w14:paraId="5219A6E6">
                  <w:pPr>
                    <w:pStyle w:val="74"/>
                    <w:snapToGrid w:val="0"/>
                    <w:spacing w:before="0" w:after="0"/>
                    <w:rPr>
                      <w:rFonts w:hint="default"/>
                      <w:color w:val="auto"/>
                      <w:sz w:val="18"/>
                      <w:szCs w:val="18"/>
                      <w:lang w:val="en-US" w:eastAsia="zh-CN"/>
                    </w:rPr>
                  </w:pPr>
                  <w:r>
                    <w:rPr>
                      <w:rFonts w:hint="eastAsia"/>
                      <w:color w:val="auto"/>
                      <w:sz w:val="18"/>
                      <w:szCs w:val="18"/>
                      <w:lang w:val="en-US" w:eastAsia="zh-CN"/>
                    </w:rPr>
                    <w:t>1472</w:t>
                  </w:r>
                </w:p>
              </w:tc>
              <w:tc>
                <w:tcPr>
                  <w:tcW w:w="1188" w:type="pct"/>
                  <w:tcMar>
                    <w:left w:w="57" w:type="dxa"/>
                    <w:right w:w="57" w:type="dxa"/>
                  </w:tcMar>
                  <w:vAlign w:val="center"/>
                </w:tcPr>
                <w:p w14:paraId="2AC0CB27">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蓬南镇</w:t>
                  </w:r>
                </w:p>
              </w:tc>
              <w:tc>
                <w:tcPr>
                  <w:tcW w:w="334" w:type="pct"/>
                  <w:vAlign w:val="center"/>
                </w:tcPr>
                <w:p w14:paraId="612989BC">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乡镇</w:t>
                  </w:r>
                </w:p>
              </w:tc>
              <w:tc>
                <w:tcPr>
                  <w:tcW w:w="448" w:type="pct"/>
                  <w:vAlign w:val="center"/>
                </w:tcPr>
                <w:p w14:paraId="25DF400A">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10000人</w:t>
                  </w:r>
                </w:p>
              </w:tc>
              <w:tc>
                <w:tcPr>
                  <w:tcW w:w="259" w:type="pct"/>
                  <w:vAlign w:val="center"/>
                </w:tcPr>
                <w:p w14:paraId="5E7AA137">
                  <w:pPr>
                    <w:pStyle w:val="74"/>
                    <w:snapToGrid w:val="0"/>
                    <w:spacing w:before="0" w:after="0"/>
                    <w:rPr>
                      <w:rFonts w:hint="default"/>
                      <w:color w:val="auto"/>
                      <w:sz w:val="18"/>
                      <w:szCs w:val="18"/>
                      <w:lang w:val="en-US" w:eastAsia="zh-CN"/>
                    </w:rPr>
                  </w:pPr>
                  <w:r>
                    <w:rPr>
                      <w:rFonts w:hint="eastAsia"/>
                      <w:color w:val="auto"/>
                      <w:sz w:val="18"/>
                      <w:szCs w:val="18"/>
                      <w:lang w:val="en-US" w:eastAsia="zh-CN"/>
                    </w:rPr>
                    <w:t>E</w:t>
                  </w:r>
                </w:p>
              </w:tc>
              <w:tc>
                <w:tcPr>
                  <w:tcW w:w="532" w:type="pct"/>
                  <w:vAlign w:val="center"/>
                </w:tcPr>
                <w:p w14:paraId="025795C2">
                  <w:pPr>
                    <w:pStyle w:val="74"/>
                    <w:snapToGrid w:val="0"/>
                    <w:spacing w:before="0" w:after="0"/>
                    <w:rPr>
                      <w:rFonts w:hint="default"/>
                      <w:color w:val="auto"/>
                      <w:sz w:val="18"/>
                      <w:szCs w:val="18"/>
                      <w:lang w:val="en-US" w:eastAsia="zh-CN"/>
                    </w:rPr>
                  </w:pPr>
                  <w:r>
                    <w:rPr>
                      <w:rFonts w:hint="eastAsia"/>
                      <w:color w:val="auto"/>
                      <w:sz w:val="18"/>
                      <w:szCs w:val="18"/>
                      <w:lang w:val="en-US" w:eastAsia="zh-CN"/>
                    </w:rPr>
                    <w:t>810</w:t>
                  </w:r>
                </w:p>
              </w:tc>
              <w:tc>
                <w:tcPr>
                  <w:tcW w:w="959" w:type="pct"/>
                  <w:vMerge w:val="continue"/>
                  <w:tcMar>
                    <w:left w:w="57" w:type="dxa"/>
                    <w:right w:w="57" w:type="dxa"/>
                  </w:tcMar>
                  <w:vAlign w:val="center"/>
                </w:tcPr>
                <w:p w14:paraId="3C564ACB">
                  <w:pPr>
                    <w:pStyle w:val="74"/>
                    <w:snapToGrid w:val="0"/>
                    <w:spacing w:before="0" w:after="0"/>
                    <w:rPr>
                      <w:color w:val="auto"/>
                      <w:sz w:val="18"/>
                      <w:szCs w:val="18"/>
                    </w:rPr>
                  </w:pPr>
                </w:p>
              </w:tc>
            </w:tr>
            <w:tr w14:paraId="487AB0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65" w:hRule="atLeast"/>
                <w:jc w:val="center"/>
              </w:trPr>
              <w:tc>
                <w:tcPr>
                  <w:tcW w:w="336" w:type="pct"/>
                  <w:tcMar>
                    <w:left w:w="57" w:type="dxa"/>
                    <w:right w:w="57" w:type="dxa"/>
                  </w:tcMar>
                  <w:vAlign w:val="center"/>
                </w:tcPr>
                <w:p w14:paraId="3ED99CA6">
                  <w:pPr>
                    <w:pStyle w:val="74"/>
                    <w:snapToGrid w:val="0"/>
                    <w:spacing w:before="0" w:after="0"/>
                    <w:rPr>
                      <w:color w:val="auto"/>
                      <w:sz w:val="18"/>
                      <w:szCs w:val="18"/>
                    </w:rPr>
                  </w:pPr>
                  <w:r>
                    <w:rPr>
                      <w:color w:val="auto"/>
                      <w:sz w:val="18"/>
                      <w:szCs w:val="18"/>
                    </w:rPr>
                    <w:t>声环境</w:t>
                  </w:r>
                </w:p>
              </w:tc>
              <w:tc>
                <w:tcPr>
                  <w:tcW w:w="941" w:type="pct"/>
                  <w:gridSpan w:val="2"/>
                  <w:tcMar>
                    <w:left w:w="57" w:type="dxa"/>
                    <w:right w:w="57" w:type="dxa"/>
                  </w:tcMar>
                  <w:vAlign w:val="center"/>
                </w:tcPr>
                <w:p w14:paraId="1FE2D157">
                  <w:pPr>
                    <w:pStyle w:val="74"/>
                    <w:snapToGrid w:val="0"/>
                    <w:spacing w:before="0" w:after="0"/>
                    <w:rPr>
                      <w:rFonts w:hint="eastAsia" w:eastAsia="宋体"/>
                      <w:color w:val="auto"/>
                      <w:sz w:val="18"/>
                      <w:szCs w:val="18"/>
                      <w:lang w:val="en-US" w:eastAsia="zh-CN"/>
                    </w:rPr>
                  </w:pPr>
                  <w:r>
                    <w:rPr>
                      <w:rFonts w:hint="eastAsia"/>
                      <w:color w:val="auto"/>
                      <w:sz w:val="18"/>
                      <w:szCs w:val="18"/>
                      <w:lang w:val="en-US" w:eastAsia="zh-CN"/>
                    </w:rPr>
                    <w:t>/</w:t>
                  </w:r>
                </w:p>
              </w:tc>
              <w:tc>
                <w:tcPr>
                  <w:tcW w:w="1188" w:type="pct"/>
                  <w:tcMar>
                    <w:left w:w="57" w:type="dxa"/>
                    <w:right w:w="57" w:type="dxa"/>
                  </w:tcMar>
                  <w:vAlign w:val="center"/>
                </w:tcPr>
                <w:p w14:paraId="33A1729D">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厂界外200m范围内所有敏感点声环境</w:t>
                  </w:r>
                </w:p>
              </w:tc>
              <w:tc>
                <w:tcPr>
                  <w:tcW w:w="334" w:type="pct"/>
                  <w:vAlign w:val="center"/>
                </w:tcPr>
                <w:p w14:paraId="36897C43">
                  <w:pPr>
                    <w:pStyle w:val="74"/>
                    <w:snapToGrid w:val="0"/>
                    <w:spacing w:before="0" w:after="0"/>
                    <w:rPr>
                      <w:color w:val="auto"/>
                      <w:sz w:val="18"/>
                      <w:szCs w:val="18"/>
                    </w:rPr>
                  </w:pPr>
                  <w:r>
                    <w:rPr>
                      <w:color w:val="auto"/>
                      <w:sz w:val="18"/>
                      <w:szCs w:val="18"/>
                    </w:rPr>
                    <w:t>——</w:t>
                  </w:r>
                </w:p>
              </w:tc>
              <w:tc>
                <w:tcPr>
                  <w:tcW w:w="448" w:type="pct"/>
                  <w:vAlign w:val="center"/>
                </w:tcPr>
                <w:p w14:paraId="0112CD19">
                  <w:pPr>
                    <w:pStyle w:val="74"/>
                    <w:snapToGrid w:val="0"/>
                    <w:spacing w:before="0" w:after="0"/>
                    <w:rPr>
                      <w:color w:val="auto"/>
                      <w:sz w:val="18"/>
                      <w:szCs w:val="18"/>
                    </w:rPr>
                  </w:pPr>
                  <w:r>
                    <w:rPr>
                      <w:color w:val="auto"/>
                      <w:sz w:val="18"/>
                      <w:szCs w:val="18"/>
                    </w:rPr>
                    <w:t>——</w:t>
                  </w:r>
                </w:p>
              </w:tc>
              <w:tc>
                <w:tcPr>
                  <w:tcW w:w="259" w:type="pct"/>
                  <w:vAlign w:val="center"/>
                </w:tcPr>
                <w:p w14:paraId="52AF2142">
                  <w:pPr>
                    <w:pStyle w:val="74"/>
                    <w:snapToGrid w:val="0"/>
                    <w:spacing w:before="0" w:after="0"/>
                    <w:rPr>
                      <w:color w:val="auto"/>
                      <w:sz w:val="18"/>
                      <w:szCs w:val="18"/>
                    </w:rPr>
                  </w:pPr>
                  <w:r>
                    <w:rPr>
                      <w:color w:val="auto"/>
                      <w:sz w:val="18"/>
                      <w:szCs w:val="18"/>
                    </w:rPr>
                    <w:t>——</w:t>
                  </w:r>
                </w:p>
              </w:tc>
              <w:tc>
                <w:tcPr>
                  <w:tcW w:w="532" w:type="pct"/>
                  <w:vAlign w:val="center"/>
                </w:tcPr>
                <w:p w14:paraId="579BF1D0">
                  <w:pPr>
                    <w:pStyle w:val="74"/>
                    <w:snapToGrid w:val="0"/>
                    <w:spacing w:before="0" w:after="0"/>
                    <w:rPr>
                      <w:color w:val="auto"/>
                      <w:sz w:val="18"/>
                      <w:szCs w:val="18"/>
                    </w:rPr>
                  </w:pPr>
                  <w:r>
                    <w:rPr>
                      <w:color w:val="auto"/>
                      <w:sz w:val="18"/>
                      <w:szCs w:val="18"/>
                    </w:rPr>
                    <w:t>&lt;200m</w:t>
                  </w:r>
                </w:p>
              </w:tc>
              <w:tc>
                <w:tcPr>
                  <w:tcW w:w="959" w:type="pct"/>
                  <w:tcMar>
                    <w:left w:w="57" w:type="dxa"/>
                    <w:right w:w="57" w:type="dxa"/>
                  </w:tcMar>
                  <w:vAlign w:val="center"/>
                </w:tcPr>
                <w:p w14:paraId="032DAB5E">
                  <w:pPr>
                    <w:pStyle w:val="74"/>
                    <w:snapToGrid w:val="0"/>
                    <w:spacing w:before="0" w:after="0"/>
                    <w:rPr>
                      <w:color w:val="auto"/>
                      <w:sz w:val="18"/>
                      <w:szCs w:val="18"/>
                    </w:rPr>
                  </w:pPr>
                  <w:r>
                    <w:rPr>
                      <w:color w:val="auto"/>
                      <w:sz w:val="18"/>
                      <w:szCs w:val="18"/>
                    </w:rPr>
                    <w:t>《声环境质量标准》</w:t>
                  </w:r>
                </w:p>
                <w:p w14:paraId="1C4A8C93">
                  <w:pPr>
                    <w:pStyle w:val="74"/>
                    <w:snapToGrid w:val="0"/>
                    <w:spacing w:before="0" w:after="0"/>
                    <w:rPr>
                      <w:color w:val="auto"/>
                      <w:sz w:val="18"/>
                      <w:szCs w:val="18"/>
                    </w:rPr>
                  </w:pPr>
                  <w:r>
                    <w:rPr>
                      <w:color w:val="auto"/>
                      <w:sz w:val="18"/>
                      <w:szCs w:val="18"/>
                    </w:rPr>
                    <w:t>(GB 3096-2008)3类</w:t>
                  </w:r>
                </w:p>
              </w:tc>
            </w:tr>
            <w:tr w14:paraId="2F8C65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858" w:hRule="atLeast"/>
                <w:jc w:val="center"/>
              </w:trPr>
              <w:tc>
                <w:tcPr>
                  <w:tcW w:w="336" w:type="pct"/>
                  <w:tcMar>
                    <w:left w:w="57" w:type="dxa"/>
                    <w:right w:w="57" w:type="dxa"/>
                  </w:tcMar>
                  <w:vAlign w:val="center"/>
                </w:tcPr>
                <w:p w14:paraId="132DCEBD">
                  <w:pPr>
                    <w:pStyle w:val="74"/>
                    <w:snapToGrid w:val="0"/>
                    <w:spacing w:before="0" w:after="0"/>
                    <w:rPr>
                      <w:color w:val="auto"/>
                      <w:sz w:val="18"/>
                      <w:szCs w:val="18"/>
                    </w:rPr>
                  </w:pPr>
                  <w:r>
                    <w:rPr>
                      <w:color w:val="auto"/>
                      <w:sz w:val="18"/>
                      <w:szCs w:val="18"/>
                    </w:rPr>
                    <w:t>地表水</w:t>
                  </w:r>
                </w:p>
                <w:p w14:paraId="4729E80D">
                  <w:pPr>
                    <w:pStyle w:val="74"/>
                    <w:snapToGrid w:val="0"/>
                    <w:spacing w:before="0" w:after="0"/>
                    <w:rPr>
                      <w:color w:val="auto"/>
                      <w:sz w:val="18"/>
                      <w:szCs w:val="18"/>
                    </w:rPr>
                  </w:pPr>
                  <w:r>
                    <w:rPr>
                      <w:color w:val="auto"/>
                      <w:sz w:val="18"/>
                      <w:szCs w:val="18"/>
                    </w:rPr>
                    <w:t>环境</w:t>
                  </w:r>
                </w:p>
              </w:tc>
              <w:tc>
                <w:tcPr>
                  <w:tcW w:w="941" w:type="pct"/>
                  <w:gridSpan w:val="2"/>
                  <w:tcMar>
                    <w:left w:w="57" w:type="dxa"/>
                    <w:right w:w="57" w:type="dxa"/>
                  </w:tcMar>
                  <w:vAlign w:val="center"/>
                </w:tcPr>
                <w:p w14:paraId="5542D52C">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w:t>
                  </w:r>
                </w:p>
              </w:tc>
              <w:tc>
                <w:tcPr>
                  <w:tcW w:w="1188" w:type="pct"/>
                  <w:tcMar>
                    <w:left w:w="57" w:type="dxa"/>
                    <w:right w:w="57" w:type="dxa"/>
                  </w:tcMar>
                  <w:vAlign w:val="center"/>
                </w:tcPr>
                <w:p w14:paraId="2805B6FA">
                  <w:pPr>
                    <w:pStyle w:val="74"/>
                    <w:snapToGrid w:val="0"/>
                    <w:spacing w:before="0" w:after="0"/>
                    <w:rPr>
                      <w:rFonts w:hint="eastAsia" w:eastAsia="宋体"/>
                      <w:color w:val="auto"/>
                      <w:sz w:val="18"/>
                      <w:szCs w:val="18"/>
                      <w:lang w:eastAsia="zh-CN"/>
                    </w:rPr>
                  </w:pPr>
                  <w:r>
                    <w:rPr>
                      <w:rFonts w:hint="eastAsia" w:cs="Times New Roman"/>
                      <w:color w:val="auto"/>
                      <w:sz w:val="21"/>
                      <w:szCs w:val="21"/>
                      <w:vertAlign w:val="baseline"/>
                      <w:lang w:val="en-US" w:eastAsia="zh-CN"/>
                    </w:rPr>
                    <w:t>沙坝水库</w:t>
                  </w:r>
                </w:p>
              </w:tc>
              <w:tc>
                <w:tcPr>
                  <w:tcW w:w="334" w:type="pct"/>
                  <w:tcMar>
                    <w:left w:w="57" w:type="dxa"/>
                    <w:right w:w="57" w:type="dxa"/>
                  </w:tcMar>
                  <w:vAlign w:val="center"/>
                </w:tcPr>
                <w:p w14:paraId="3E7E5274">
                  <w:pPr>
                    <w:pStyle w:val="74"/>
                    <w:snapToGrid w:val="0"/>
                    <w:spacing w:before="0" w:after="0"/>
                    <w:rPr>
                      <w:color w:val="auto"/>
                      <w:sz w:val="18"/>
                      <w:szCs w:val="18"/>
                    </w:rPr>
                  </w:pPr>
                  <w:r>
                    <w:rPr>
                      <w:rFonts w:hint="default" w:ascii="Times New Roman" w:hAnsi="Times New Roman" w:eastAsia="宋体" w:cs="Times New Roman"/>
                      <w:color w:val="auto"/>
                      <w:lang w:eastAsia="zh-CN"/>
                    </w:rPr>
                    <w:t>行洪灌溉</w:t>
                  </w:r>
                </w:p>
              </w:tc>
              <w:tc>
                <w:tcPr>
                  <w:tcW w:w="1239" w:type="pct"/>
                  <w:gridSpan w:val="3"/>
                  <w:tcMar>
                    <w:left w:w="57" w:type="dxa"/>
                    <w:right w:w="57" w:type="dxa"/>
                  </w:tcMar>
                  <w:vAlign w:val="center"/>
                </w:tcPr>
                <w:p w14:paraId="039678AE">
                  <w:pPr>
                    <w:pStyle w:val="74"/>
                    <w:snapToGrid w:val="0"/>
                    <w:spacing w:before="0" w:after="0"/>
                    <w:rPr>
                      <w:rFonts w:hint="default" w:eastAsia="宋体"/>
                      <w:color w:val="auto"/>
                      <w:sz w:val="18"/>
                      <w:szCs w:val="18"/>
                      <w:lang w:val="en-US" w:eastAsia="zh-CN"/>
                    </w:rPr>
                  </w:pPr>
                  <w:r>
                    <w:rPr>
                      <w:rFonts w:hint="eastAsia"/>
                      <w:color w:val="auto"/>
                      <w:sz w:val="18"/>
                      <w:szCs w:val="18"/>
                      <w:lang w:val="en-US" w:eastAsia="zh-CN"/>
                    </w:rPr>
                    <w:t>/</w:t>
                  </w:r>
                </w:p>
              </w:tc>
              <w:tc>
                <w:tcPr>
                  <w:tcW w:w="959" w:type="pct"/>
                  <w:tcMar>
                    <w:left w:w="57" w:type="dxa"/>
                    <w:right w:w="57" w:type="dxa"/>
                  </w:tcMar>
                  <w:vAlign w:val="center"/>
                </w:tcPr>
                <w:p w14:paraId="1F362628">
                  <w:pPr>
                    <w:pStyle w:val="74"/>
                    <w:snapToGrid w:val="0"/>
                    <w:spacing w:before="0" w:after="0"/>
                    <w:rPr>
                      <w:color w:val="auto"/>
                      <w:sz w:val="18"/>
                      <w:szCs w:val="18"/>
                    </w:rPr>
                  </w:pPr>
                  <w:r>
                    <w:rPr>
                      <w:color w:val="auto"/>
                      <w:sz w:val="18"/>
                      <w:szCs w:val="18"/>
                    </w:rPr>
                    <w:t>《地表水环境质量标准》</w:t>
                  </w:r>
                </w:p>
                <w:p w14:paraId="505764EC">
                  <w:pPr>
                    <w:pStyle w:val="74"/>
                    <w:snapToGrid w:val="0"/>
                    <w:spacing w:before="0" w:after="0"/>
                    <w:rPr>
                      <w:color w:val="auto"/>
                      <w:sz w:val="18"/>
                      <w:szCs w:val="18"/>
                    </w:rPr>
                  </w:pPr>
                  <w:r>
                    <w:rPr>
                      <w:color w:val="auto"/>
                      <w:sz w:val="18"/>
                      <w:szCs w:val="18"/>
                    </w:rPr>
                    <w:t xml:space="preserve">(GB3838-2002) </w:t>
                  </w:r>
                  <w:r>
                    <w:rPr>
                      <w:rFonts w:hint="eastAsia"/>
                      <w:color w:val="auto"/>
                      <w:sz w:val="18"/>
                      <w:szCs w:val="18"/>
                    </w:rPr>
                    <w:t>Ⅲ</w:t>
                  </w:r>
                  <w:r>
                    <w:rPr>
                      <w:color w:val="auto"/>
                      <w:sz w:val="18"/>
                      <w:szCs w:val="18"/>
                    </w:rPr>
                    <w:t>类标准</w:t>
                  </w:r>
                </w:p>
              </w:tc>
            </w:tr>
          </w:tbl>
          <w:p w14:paraId="23CFF2D1">
            <w:pPr>
              <w:rPr>
                <w:rFonts w:hint="default"/>
              </w:rPr>
            </w:pPr>
          </w:p>
          <w:p w14:paraId="6963AC9C">
            <w:pPr>
              <w:pStyle w:val="12"/>
              <w:rPr>
                <w:rFonts w:hint="default"/>
              </w:rPr>
            </w:pPr>
          </w:p>
          <w:p w14:paraId="69DC7CB3">
            <w:pPr>
              <w:pStyle w:val="2"/>
              <w:rPr>
                <w:rFonts w:hint="default" w:ascii="Times New Roman" w:hAnsi="Times New Roman" w:eastAsia="宋体" w:cs="Times New Roman"/>
                <w:color w:val="C00000"/>
                <w:sz w:val="24"/>
                <w:szCs w:val="24"/>
                <w:lang w:eastAsia="zh-CN"/>
              </w:rPr>
            </w:pPr>
          </w:p>
        </w:tc>
      </w:tr>
    </w:tbl>
    <w:p w14:paraId="535BA974">
      <w:pPr>
        <w:spacing w:line="360" w:lineRule="auto"/>
        <w:rPr>
          <w:rFonts w:hint="default" w:ascii="Times New Roman" w:hAnsi="Times New Roman" w:eastAsia="宋体" w:cs="Times New Roman"/>
          <w:b/>
          <w:color w:val="C00000"/>
          <w:sz w:val="28"/>
          <w:szCs w:val="28"/>
        </w:rPr>
      </w:pPr>
    </w:p>
    <w:p w14:paraId="490B2A5C">
      <w:pPr>
        <w:spacing w:line="360" w:lineRule="auto"/>
        <w:ind w:firstLine="281" w:firstLineChars="100"/>
        <w:outlineLvl w:val="0"/>
        <w:rPr>
          <w:rFonts w:hint="default" w:ascii="Times New Roman" w:hAnsi="Times New Roman" w:eastAsia="宋体" w:cs="Times New Roman"/>
          <w:b/>
          <w:color w:val="auto"/>
          <w:sz w:val="28"/>
          <w:szCs w:val="28"/>
        </w:rPr>
      </w:pPr>
    </w:p>
    <w:p w14:paraId="537BC7F6">
      <w:pPr>
        <w:spacing w:line="360" w:lineRule="auto"/>
        <w:ind w:firstLine="281" w:firstLineChars="100"/>
        <w:outlineLvl w:val="0"/>
        <w:rPr>
          <w:rFonts w:hint="default" w:ascii="Times New Roman" w:hAnsi="Times New Roman" w:eastAsia="宋体" w:cs="Times New Roman"/>
          <w:b/>
          <w:color w:val="auto"/>
          <w:sz w:val="28"/>
          <w:szCs w:val="28"/>
        </w:rPr>
      </w:pPr>
    </w:p>
    <w:p w14:paraId="39C59A18">
      <w:pPr>
        <w:spacing w:line="360" w:lineRule="auto"/>
        <w:ind w:firstLine="281" w:firstLineChars="100"/>
        <w:outlineLvl w:val="0"/>
        <w:rPr>
          <w:rFonts w:hint="default" w:ascii="Times New Roman" w:hAnsi="Times New Roman" w:eastAsia="宋体" w:cs="Times New Roman"/>
          <w:b/>
          <w:color w:val="auto"/>
          <w:sz w:val="28"/>
          <w:szCs w:val="28"/>
        </w:rPr>
      </w:pPr>
    </w:p>
    <w:p w14:paraId="46437E92">
      <w:pPr>
        <w:spacing w:line="360" w:lineRule="auto"/>
        <w:ind w:firstLine="281" w:firstLineChars="100"/>
        <w:outlineLvl w:val="0"/>
        <w:rPr>
          <w:rFonts w:hint="default" w:ascii="Times New Roman" w:hAnsi="Times New Roman" w:eastAsia="宋体" w:cs="Times New Roman"/>
          <w:b/>
          <w:color w:val="auto"/>
          <w:sz w:val="28"/>
          <w:szCs w:val="28"/>
        </w:rPr>
      </w:pPr>
    </w:p>
    <w:p w14:paraId="0A1428A9">
      <w:pPr>
        <w:spacing w:line="360" w:lineRule="auto"/>
        <w:ind w:firstLine="281" w:firstLineChars="100"/>
        <w:outlineLvl w:val="0"/>
        <w:rPr>
          <w:rFonts w:hint="default" w:ascii="Times New Roman" w:hAnsi="Times New Roman" w:eastAsia="宋体" w:cs="Times New Roman"/>
          <w:b/>
          <w:color w:val="auto"/>
          <w:sz w:val="28"/>
          <w:szCs w:val="28"/>
        </w:rPr>
      </w:pPr>
    </w:p>
    <w:p w14:paraId="646680E4">
      <w:pPr>
        <w:spacing w:line="360" w:lineRule="auto"/>
        <w:ind w:firstLine="281" w:firstLineChars="100"/>
        <w:outlineLvl w:val="0"/>
        <w:rPr>
          <w:rFonts w:hint="default" w:ascii="Times New Roman" w:hAnsi="Times New Roman" w:eastAsia="宋体" w:cs="Times New Roman"/>
          <w:b/>
          <w:color w:val="auto"/>
          <w:sz w:val="28"/>
          <w:szCs w:val="28"/>
        </w:rPr>
      </w:pPr>
    </w:p>
    <w:p w14:paraId="0C8C1CAE">
      <w:pPr>
        <w:spacing w:line="360" w:lineRule="auto"/>
        <w:ind w:firstLine="281" w:firstLineChars="100"/>
        <w:outlineLvl w:val="0"/>
        <w:rPr>
          <w:rFonts w:hint="default" w:ascii="Times New Roman" w:hAnsi="Times New Roman" w:eastAsia="宋体" w:cs="Times New Roman"/>
          <w:b/>
          <w:color w:val="auto"/>
          <w:sz w:val="28"/>
          <w:szCs w:val="28"/>
        </w:rPr>
      </w:pPr>
    </w:p>
    <w:p w14:paraId="45739AB6">
      <w:pPr>
        <w:spacing w:line="360" w:lineRule="auto"/>
        <w:ind w:firstLine="281" w:firstLineChars="100"/>
        <w:outlineLvl w:val="0"/>
        <w:rPr>
          <w:rFonts w:hint="default" w:ascii="Times New Roman" w:hAnsi="Times New Roman" w:eastAsia="宋体" w:cs="Times New Roman"/>
          <w:b/>
          <w:color w:val="auto"/>
          <w:sz w:val="28"/>
          <w:szCs w:val="28"/>
        </w:rPr>
      </w:pPr>
    </w:p>
    <w:p w14:paraId="1D08C27D">
      <w:pPr>
        <w:spacing w:line="360" w:lineRule="auto"/>
        <w:ind w:firstLine="281" w:firstLineChars="100"/>
        <w:outlineLvl w:val="0"/>
        <w:rPr>
          <w:rFonts w:hint="default" w:ascii="Times New Roman" w:hAnsi="Times New Roman" w:eastAsia="宋体" w:cs="Times New Roman"/>
          <w:b/>
          <w:color w:val="auto"/>
          <w:sz w:val="28"/>
          <w:szCs w:val="28"/>
        </w:rPr>
      </w:pPr>
    </w:p>
    <w:p w14:paraId="54335470">
      <w:pPr>
        <w:spacing w:line="360" w:lineRule="auto"/>
        <w:ind w:firstLine="281" w:firstLineChars="100"/>
        <w:outlineLvl w:val="0"/>
        <w:rPr>
          <w:rFonts w:hint="default" w:ascii="Times New Roman" w:hAnsi="Times New Roman" w:eastAsia="宋体" w:cs="Times New Roman"/>
          <w:b/>
          <w:color w:val="auto"/>
          <w:sz w:val="28"/>
          <w:szCs w:val="28"/>
        </w:rPr>
      </w:pPr>
    </w:p>
    <w:p w14:paraId="5673793E">
      <w:pPr>
        <w:spacing w:line="360" w:lineRule="auto"/>
        <w:ind w:firstLine="281" w:firstLineChars="100"/>
        <w:outlineLvl w:val="0"/>
        <w:rPr>
          <w:rFonts w:hint="default" w:ascii="Times New Roman" w:hAnsi="Times New Roman" w:eastAsia="宋体" w:cs="Times New Roman"/>
          <w:b/>
          <w:color w:val="auto"/>
          <w:sz w:val="28"/>
          <w:szCs w:val="28"/>
        </w:rPr>
      </w:pPr>
    </w:p>
    <w:p w14:paraId="12AF93FD">
      <w:pPr>
        <w:spacing w:line="360" w:lineRule="auto"/>
        <w:ind w:firstLine="281" w:firstLineChars="100"/>
        <w:outlineLvl w:val="0"/>
        <w:rPr>
          <w:rFonts w:hint="default" w:ascii="Times New Roman" w:hAnsi="Times New Roman" w:eastAsia="宋体" w:cs="Times New Roman"/>
          <w:b/>
          <w:color w:val="auto"/>
          <w:sz w:val="28"/>
          <w:szCs w:val="28"/>
        </w:rPr>
      </w:pPr>
    </w:p>
    <w:p w14:paraId="5B019CC9">
      <w:pPr>
        <w:spacing w:line="360" w:lineRule="auto"/>
        <w:ind w:firstLine="281" w:firstLineChars="100"/>
        <w:outlineLvl w:val="0"/>
        <w:rPr>
          <w:rFonts w:hint="default" w:ascii="Times New Roman" w:hAnsi="Times New Roman" w:eastAsia="宋体" w:cs="Times New Roman"/>
          <w:b/>
          <w:color w:val="auto"/>
          <w:sz w:val="28"/>
          <w:szCs w:val="28"/>
        </w:rPr>
      </w:pPr>
    </w:p>
    <w:p w14:paraId="518F5D17">
      <w:pPr>
        <w:spacing w:line="360" w:lineRule="auto"/>
        <w:ind w:firstLine="281" w:firstLineChars="100"/>
        <w:outlineLvl w:val="0"/>
        <w:rPr>
          <w:rFonts w:hint="default" w:ascii="Times New Roman" w:hAnsi="Times New Roman" w:eastAsia="宋体" w:cs="Times New Roman"/>
          <w:b/>
          <w:color w:val="auto"/>
          <w:sz w:val="28"/>
          <w:szCs w:val="28"/>
        </w:rPr>
      </w:pPr>
    </w:p>
    <w:p w14:paraId="69C11E42">
      <w:pPr>
        <w:spacing w:line="360" w:lineRule="auto"/>
        <w:ind w:firstLine="281" w:firstLineChars="100"/>
        <w:outlineLvl w:val="0"/>
        <w:rPr>
          <w:rFonts w:hint="default" w:ascii="Times New Roman" w:hAnsi="Times New Roman" w:eastAsia="宋体" w:cs="Times New Roman"/>
          <w:b/>
          <w:color w:val="auto"/>
          <w:sz w:val="28"/>
          <w:szCs w:val="28"/>
        </w:rPr>
      </w:pPr>
    </w:p>
    <w:p w14:paraId="57AA2CD1">
      <w:pPr>
        <w:spacing w:line="360" w:lineRule="auto"/>
        <w:ind w:firstLine="281" w:firstLineChars="100"/>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color w:val="auto"/>
          <w:sz w:val="28"/>
          <w:szCs w:val="28"/>
        </w:rPr>
        <w:t xml:space="preserve">评价适用标准                                               </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（表四）</w:t>
      </w:r>
    </w:p>
    <w:tbl>
      <w:tblPr>
        <w:tblStyle w:val="22"/>
        <w:tblW w:w="1019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44"/>
        <w:gridCol w:w="9647"/>
      </w:tblGrid>
      <w:tr w14:paraId="32ECE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314" w:hRule="atLeast"/>
          <w:jc w:val="center"/>
        </w:trPr>
        <w:tc>
          <w:tcPr>
            <w:tcW w:w="544" w:type="dxa"/>
            <w:tcBorders>
              <w:top w:val="single" w:color="000000" w:sz="6" w:space="0"/>
              <w:left w:val="single" w:color="auto" w:sz="4" w:space="0"/>
              <w:bottom w:val="single" w:color="000000" w:sz="6" w:space="0"/>
              <w:right w:val="single" w:color="000000" w:sz="6" w:space="0"/>
            </w:tcBorders>
            <w:vAlign w:val="center"/>
          </w:tcPr>
          <w:p w14:paraId="5281DE15">
            <w:pPr>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环境质量标准</w:t>
            </w:r>
          </w:p>
        </w:tc>
        <w:tc>
          <w:tcPr>
            <w:tcW w:w="9647" w:type="dxa"/>
            <w:tcBorders>
              <w:top w:val="single" w:color="000000" w:sz="6" w:space="0"/>
              <w:left w:val="single" w:color="auto" w:sz="4" w:space="0"/>
              <w:bottom w:val="single" w:color="000000" w:sz="6" w:space="0"/>
              <w:right w:val="single" w:color="000000" w:sz="6" w:space="0"/>
            </w:tcBorders>
          </w:tcPr>
          <w:p w14:paraId="7B801DC6">
            <w:pPr>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1、环境空气：</w:t>
            </w:r>
            <w:r>
              <w:rPr>
                <w:rFonts w:hint="default" w:ascii="Times New Roman" w:hAnsi="Times New Roman" w:eastAsia="宋体" w:cs="Times New Roman"/>
                <w:color w:val="auto"/>
                <w:sz w:val="24"/>
                <w:szCs w:val="24"/>
              </w:rPr>
              <w:t>执行《环境空气质量标准》（GB3095-2012）二级标准。</w:t>
            </w:r>
          </w:p>
          <w:p w14:paraId="6FF3D315">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表4-1  环境空气质量标准限值</w:t>
            </w:r>
          </w:p>
          <w:tbl>
            <w:tblPr>
              <w:tblStyle w:val="22"/>
              <w:tblW w:w="9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298"/>
              <w:gridCol w:w="967"/>
              <w:gridCol w:w="1088"/>
              <w:gridCol w:w="1012"/>
              <w:gridCol w:w="1038"/>
              <w:gridCol w:w="1012"/>
              <w:gridCol w:w="988"/>
              <w:gridCol w:w="912"/>
            </w:tblGrid>
            <w:tr w14:paraId="04DB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5" w:type="dxa"/>
                  <w:gridSpan w:val="2"/>
                  <w:shd w:val="clear" w:color="auto" w:fill="auto"/>
                  <w:vAlign w:val="center"/>
                </w:tcPr>
                <w:p w14:paraId="228AA3E4">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967" w:type="dxa"/>
                  <w:shd w:val="clear" w:color="auto" w:fill="auto"/>
                  <w:vAlign w:val="center"/>
                </w:tcPr>
                <w:p w14:paraId="5FC67967">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1088" w:type="dxa"/>
                  <w:shd w:val="clear" w:color="auto" w:fill="auto"/>
                  <w:vAlign w:val="center"/>
                </w:tcPr>
                <w:p w14:paraId="456756C7">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2</w:t>
                  </w:r>
                </w:p>
              </w:tc>
              <w:tc>
                <w:tcPr>
                  <w:tcW w:w="1012" w:type="dxa"/>
                  <w:shd w:val="clear" w:color="auto" w:fill="auto"/>
                  <w:vAlign w:val="center"/>
                </w:tcPr>
                <w:p w14:paraId="502A3909">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CO</w:t>
                  </w:r>
                </w:p>
              </w:tc>
              <w:tc>
                <w:tcPr>
                  <w:tcW w:w="1038" w:type="dxa"/>
                  <w:shd w:val="clear" w:color="auto" w:fill="auto"/>
                  <w:vAlign w:val="center"/>
                </w:tcPr>
                <w:p w14:paraId="77558FBC">
                  <w:pPr>
                    <w:spacing w:line="276" w:lineRule="auto"/>
                    <w:jc w:val="center"/>
                    <w:rPr>
                      <w:rFonts w:hint="default" w:ascii="Times New Roman" w:hAnsi="Times New Roman" w:eastAsia="宋体" w:cs="Times New Roman"/>
                      <w:color w:val="auto"/>
                      <w:szCs w:val="21"/>
                      <w:vertAlign w:val="subscript"/>
                      <w:lang w:val="en-US" w:eastAsia="zh-CN"/>
                    </w:rPr>
                  </w:pPr>
                  <w:r>
                    <w:rPr>
                      <w:rFonts w:hint="default" w:ascii="Times New Roman" w:hAnsi="Times New Roman" w:cs="Times New Roman"/>
                      <w:color w:val="auto"/>
                      <w:szCs w:val="21"/>
                      <w:lang w:val="en-US" w:eastAsia="zh-CN"/>
                    </w:rPr>
                    <w:t>O</w:t>
                  </w:r>
                  <w:r>
                    <w:rPr>
                      <w:rFonts w:hint="default" w:ascii="Times New Roman" w:hAnsi="Times New Roman" w:cs="Times New Roman"/>
                      <w:color w:val="auto"/>
                      <w:szCs w:val="21"/>
                      <w:vertAlign w:val="subscript"/>
                      <w:lang w:val="en-US" w:eastAsia="zh-CN"/>
                    </w:rPr>
                    <w:t>3</w:t>
                  </w:r>
                </w:p>
              </w:tc>
              <w:tc>
                <w:tcPr>
                  <w:tcW w:w="1012" w:type="dxa"/>
                  <w:shd w:val="clear" w:color="auto" w:fill="auto"/>
                  <w:vAlign w:val="center"/>
                </w:tcPr>
                <w:p w14:paraId="578612CC">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PM</w:t>
                  </w:r>
                  <w:r>
                    <w:rPr>
                      <w:rFonts w:hint="default" w:ascii="Times New Roman" w:hAnsi="Times New Roman" w:cs="Times New Roman"/>
                      <w:color w:val="auto"/>
                      <w:szCs w:val="21"/>
                      <w:vertAlign w:val="subscript"/>
                      <w:lang w:val="en-US" w:eastAsia="zh-CN"/>
                    </w:rPr>
                    <w:t>10</w:t>
                  </w:r>
                </w:p>
              </w:tc>
              <w:tc>
                <w:tcPr>
                  <w:tcW w:w="988" w:type="dxa"/>
                  <w:shd w:val="clear" w:color="auto" w:fill="auto"/>
                  <w:vAlign w:val="center"/>
                </w:tcPr>
                <w:p w14:paraId="668AB148">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PM</w:t>
                  </w:r>
                  <w:r>
                    <w:rPr>
                      <w:rFonts w:hint="default" w:ascii="Times New Roman" w:hAnsi="Times New Roman" w:cs="Times New Roman"/>
                      <w:color w:val="auto"/>
                      <w:szCs w:val="21"/>
                      <w:vertAlign w:val="subscript"/>
                      <w:lang w:val="en-US" w:eastAsia="zh-CN"/>
                    </w:rPr>
                    <w:t>2.5</w:t>
                  </w:r>
                </w:p>
              </w:tc>
              <w:tc>
                <w:tcPr>
                  <w:tcW w:w="912" w:type="dxa"/>
                  <w:shd w:val="clear" w:color="auto" w:fill="auto"/>
                  <w:vAlign w:val="center"/>
                </w:tcPr>
                <w:p w14:paraId="3D983870">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TSP</w:t>
                  </w:r>
                </w:p>
              </w:tc>
            </w:tr>
            <w:tr w14:paraId="46D7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Merge w:val="restart"/>
                  <w:shd w:val="clear" w:color="auto" w:fill="auto"/>
                  <w:vAlign w:val="center"/>
                </w:tcPr>
                <w:p w14:paraId="374C8691">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p w14:paraId="0E4622E6">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298" w:type="dxa"/>
                  <w:shd w:val="clear" w:color="auto" w:fill="auto"/>
                  <w:vAlign w:val="center"/>
                </w:tcPr>
                <w:p w14:paraId="4B37372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1小时平均</w:t>
                  </w:r>
                </w:p>
              </w:tc>
              <w:tc>
                <w:tcPr>
                  <w:tcW w:w="967" w:type="dxa"/>
                  <w:shd w:val="clear" w:color="auto" w:fill="auto"/>
                  <w:vAlign w:val="center"/>
                </w:tcPr>
                <w:p w14:paraId="18795AE9">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0.50</w:t>
                  </w:r>
                </w:p>
              </w:tc>
              <w:tc>
                <w:tcPr>
                  <w:tcW w:w="1088" w:type="dxa"/>
                  <w:shd w:val="clear" w:color="auto" w:fill="auto"/>
                  <w:vAlign w:val="center"/>
                </w:tcPr>
                <w:p w14:paraId="79078F5E">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w:t>
                  </w:r>
                </w:p>
              </w:tc>
              <w:tc>
                <w:tcPr>
                  <w:tcW w:w="1012" w:type="dxa"/>
                  <w:shd w:val="clear" w:color="auto" w:fill="auto"/>
                  <w:vAlign w:val="center"/>
                </w:tcPr>
                <w:p w14:paraId="04BA19D7">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10.0</w:t>
                  </w:r>
                </w:p>
              </w:tc>
              <w:tc>
                <w:tcPr>
                  <w:tcW w:w="1038" w:type="dxa"/>
                  <w:shd w:val="clear" w:color="auto" w:fill="auto"/>
                  <w:vAlign w:val="center"/>
                </w:tcPr>
                <w:p w14:paraId="3AD4AB61">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0.2</w:t>
                  </w:r>
                </w:p>
              </w:tc>
              <w:tc>
                <w:tcPr>
                  <w:tcW w:w="1012" w:type="dxa"/>
                  <w:shd w:val="clear" w:color="auto" w:fill="auto"/>
                  <w:vAlign w:val="center"/>
                </w:tcPr>
                <w:p w14:paraId="4163DA35">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88" w:type="dxa"/>
                  <w:shd w:val="clear" w:color="auto" w:fill="auto"/>
                  <w:vAlign w:val="center"/>
                </w:tcPr>
                <w:p w14:paraId="383F3DFB">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12" w:type="dxa"/>
                  <w:shd w:val="clear" w:color="auto" w:fill="auto"/>
                  <w:vAlign w:val="center"/>
                </w:tcPr>
                <w:p w14:paraId="096056C1">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r>
            <w:tr w14:paraId="4CFE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Merge w:val="continue"/>
                  <w:shd w:val="clear" w:color="auto" w:fill="auto"/>
                  <w:vAlign w:val="center"/>
                </w:tcPr>
                <w:p w14:paraId="094BFBC5">
                  <w:pPr>
                    <w:spacing w:line="276" w:lineRule="auto"/>
                    <w:jc w:val="center"/>
                    <w:rPr>
                      <w:rFonts w:hint="default" w:ascii="Times New Roman" w:hAnsi="Times New Roman" w:eastAsia="宋体" w:cs="Times New Roman"/>
                      <w:color w:val="auto"/>
                      <w:szCs w:val="21"/>
                    </w:rPr>
                  </w:pPr>
                </w:p>
              </w:tc>
              <w:tc>
                <w:tcPr>
                  <w:tcW w:w="1298" w:type="dxa"/>
                  <w:shd w:val="clear" w:color="auto" w:fill="auto"/>
                  <w:vAlign w:val="center"/>
                </w:tcPr>
                <w:p w14:paraId="5DAB696D">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24小时平均</w:t>
                  </w:r>
                </w:p>
              </w:tc>
              <w:tc>
                <w:tcPr>
                  <w:tcW w:w="967" w:type="dxa"/>
                  <w:shd w:val="clear" w:color="auto" w:fill="auto"/>
                  <w:vAlign w:val="center"/>
                </w:tcPr>
                <w:p w14:paraId="6B7E9B61">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0.15</w:t>
                  </w:r>
                </w:p>
              </w:tc>
              <w:tc>
                <w:tcPr>
                  <w:tcW w:w="1088" w:type="dxa"/>
                  <w:shd w:val="clear" w:color="auto" w:fill="auto"/>
                  <w:vAlign w:val="center"/>
                </w:tcPr>
                <w:p w14:paraId="2B959E3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w:t>
                  </w:r>
                </w:p>
              </w:tc>
              <w:tc>
                <w:tcPr>
                  <w:tcW w:w="1012" w:type="dxa"/>
                  <w:shd w:val="clear" w:color="auto" w:fill="auto"/>
                  <w:vAlign w:val="center"/>
                </w:tcPr>
                <w:p w14:paraId="3460997D">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w:t>
                  </w:r>
                </w:p>
              </w:tc>
              <w:tc>
                <w:tcPr>
                  <w:tcW w:w="1038" w:type="dxa"/>
                  <w:shd w:val="clear" w:color="auto" w:fill="auto"/>
                  <w:vAlign w:val="center"/>
                </w:tcPr>
                <w:p w14:paraId="22816650">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12" w:type="dxa"/>
                  <w:shd w:val="clear" w:color="auto" w:fill="auto"/>
                  <w:vAlign w:val="center"/>
                </w:tcPr>
                <w:p w14:paraId="5B0165DC">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88" w:type="dxa"/>
                  <w:shd w:val="clear" w:color="auto" w:fill="auto"/>
                  <w:vAlign w:val="center"/>
                </w:tcPr>
                <w:p w14:paraId="0BD76E90">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12" w:type="dxa"/>
                  <w:shd w:val="clear" w:color="auto" w:fill="auto"/>
                  <w:vAlign w:val="center"/>
                </w:tcPr>
                <w:p w14:paraId="1EA561B8">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0.3</w:t>
                  </w:r>
                </w:p>
              </w:tc>
            </w:tr>
            <w:tr w14:paraId="0F80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Merge w:val="continue"/>
                  <w:shd w:val="clear" w:color="auto" w:fill="auto"/>
                  <w:vAlign w:val="center"/>
                </w:tcPr>
                <w:p w14:paraId="3B6DE6A6">
                  <w:pPr>
                    <w:spacing w:line="276" w:lineRule="auto"/>
                    <w:jc w:val="center"/>
                    <w:rPr>
                      <w:rFonts w:hint="default" w:ascii="Times New Roman" w:hAnsi="Times New Roman" w:eastAsia="宋体" w:cs="Times New Roman"/>
                      <w:color w:val="auto"/>
                      <w:szCs w:val="21"/>
                    </w:rPr>
                  </w:pPr>
                </w:p>
              </w:tc>
              <w:tc>
                <w:tcPr>
                  <w:tcW w:w="1298" w:type="dxa"/>
                  <w:shd w:val="clear" w:color="auto" w:fill="auto"/>
                  <w:vAlign w:val="center"/>
                </w:tcPr>
                <w:p w14:paraId="21EC7767">
                  <w:pPr>
                    <w:spacing w:line="276"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年平均</w:t>
                  </w:r>
                </w:p>
              </w:tc>
              <w:tc>
                <w:tcPr>
                  <w:tcW w:w="967" w:type="dxa"/>
                  <w:shd w:val="clear" w:color="auto" w:fill="auto"/>
                  <w:vAlign w:val="center"/>
                </w:tcPr>
                <w:p w14:paraId="4E9D905F">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88" w:type="dxa"/>
                  <w:shd w:val="clear" w:color="auto" w:fill="auto"/>
                  <w:vAlign w:val="center"/>
                </w:tcPr>
                <w:p w14:paraId="3E811883">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12" w:type="dxa"/>
                  <w:shd w:val="clear" w:color="auto" w:fill="auto"/>
                  <w:vAlign w:val="center"/>
                </w:tcPr>
                <w:p w14:paraId="1BAB6290">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38" w:type="dxa"/>
                  <w:shd w:val="clear" w:color="auto" w:fill="auto"/>
                  <w:vAlign w:val="center"/>
                </w:tcPr>
                <w:p w14:paraId="78C26197">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12" w:type="dxa"/>
                  <w:shd w:val="clear" w:color="auto" w:fill="auto"/>
                  <w:vAlign w:val="center"/>
                </w:tcPr>
                <w:p w14:paraId="37DDC3D4">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0.07</w:t>
                  </w:r>
                </w:p>
              </w:tc>
              <w:tc>
                <w:tcPr>
                  <w:tcW w:w="988" w:type="dxa"/>
                  <w:shd w:val="clear" w:color="auto" w:fill="auto"/>
                  <w:vAlign w:val="center"/>
                </w:tcPr>
                <w:p w14:paraId="2C32342A">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0.035</w:t>
                  </w:r>
                </w:p>
              </w:tc>
              <w:tc>
                <w:tcPr>
                  <w:tcW w:w="912" w:type="dxa"/>
                  <w:shd w:val="clear" w:color="auto" w:fill="auto"/>
                  <w:vAlign w:val="center"/>
                </w:tcPr>
                <w:p w14:paraId="7BF13AEC">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p>
              </w:tc>
            </w:tr>
          </w:tbl>
          <w:p w14:paraId="0F9C7382">
            <w:pPr>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2、地表水环境：</w:t>
            </w:r>
            <w:r>
              <w:rPr>
                <w:rFonts w:hint="default" w:ascii="Times New Roman" w:hAnsi="Times New Roman" w:eastAsia="宋体" w:cs="Times New Roman"/>
                <w:color w:val="auto"/>
                <w:sz w:val="24"/>
                <w:szCs w:val="24"/>
              </w:rPr>
              <w:t>执行《地表水环境质量标准》（GB3838-2002）III类水域标准。</w:t>
            </w:r>
          </w:p>
          <w:p w14:paraId="793521A1">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表4-2  地表水环境质量标准限值</w:t>
            </w:r>
          </w:p>
          <w:tbl>
            <w:tblPr>
              <w:tblStyle w:val="22"/>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1430"/>
              <w:gridCol w:w="1430"/>
              <w:gridCol w:w="1430"/>
              <w:gridCol w:w="1430"/>
              <w:gridCol w:w="1430"/>
            </w:tblGrid>
            <w:tr w14:paraId="4DAB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1" w:type="dxa"/>
                  <w:shd w:val="clear" w:color="auto" w:fill="auto"/>
                  <w:vAlign w:val="center"/>
                </w:tcPr>
                <w:p w14:paraId="0CE2CB1E">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430" w:type="dxa"/>
                  <w:shd w:val="clear" w:color="auto" w:fill="auto"/>
                  <w:vAlign w:val="center"/>
                </w:tcPr>
                <w:p w14:paraId="7710770B">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430" w:type="dxa"/>
                  <w:shd w:val="clear" w:color="auto" w:fill="auto"/>
                  <w:vAlign w:val="center"/>
                </w:tcPr>
                <w:p w14:paraId="077E860B">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430" w:type="dxa"/>
                  <w:shd w:val="clear" w:color="auto" w:fill="auto"/>
                  <w:vAlign w:val="center"/>
                </w:tcPr>
                <w:p w14:paraId="615665C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1430" w:type="dxa"/>
                  <w:shd w:val="clear" w:color="auto" w:fill="auto"/>
                  <w:vAlign w:val="center"/>
                </w:tcPr>
                <w:p w14:paraId="60A80ED4">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430" w:type="dxa"/>
                  <w:vAlign w:val="center"/>
                </w:tcPr>
                <w:p w14:paraId="678154A4">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r>
            <w:tr w14:paraId="47A4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1" w:type="dxa"/>
                  <w:shd w:val="clear" w:color="auto" w:fill="auto"/>
                  <w:vAlign w:val="center"/>
                </w:tcPr>
                <w:p w14:paraId="4B7A9E82">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标准限值（mg/L）</w:t>
                  </w:r>
                </w:p>
              </w:tc>
              <w:tc>
                <w:tcPr>
                  <w:tcW w:w="1430" w:type="dxa"/>
                  <w:shd w:val="clear" w:color="auto" w:fill="auto"/>
                  <w:vAlign w:val="center"/>
                </w:tcPr>
                <w:p w14:paraId="1B9B0FDF">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1430" w:type="dxa"/>
                  <w:shd w:val="clear" w:color="auto" w:fill="auto"/>
                  <w:vAlign w:val="center"/>
                </w:tcPr>
                <w:p w14:paraId="42C9408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1430" w:type="dxa"/>
                  <w:shd w:val="clear" w:color="auto" w:fill="auto"/>
                  <w:vAlign w:val="center"/>
                </w:tcPr>
                <w:p w14:paraId="0A40E9F1">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430" w:type="dxa"/>
                  <w:shd w:val="clear" w:color="auto" w:fill="auto"/>
                  <w:vAlign w:val="center"/>
                </w:tcPr>
                <w:p w14:paraId="7DD901A4">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430" w:type="dxa"/>
                  <w:vAlign w:val="center"/>
                </w:tcPr>
                <w:p w14:paraId="1DFCFD60">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w:t>
                  </w:r>
                </w:p>
              </w:tc>
            </w:tr>
          </w:tbl>
          <w:p w14:paraId="47ABF81F">
            <w:pPr>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3、声环境：</w:t>
            </w:r>
            <w:r>
              <w:rPr>
                <w:rFonts w:hint="default" w:ascii="Times New Roman" w:hAnsi="Times New Roman" w:eastAsia="宋体" w:cs="Times New Roman"/>
                <w:color w:val="auto"/>
                <w:sz w:val="24"/>
                <w:szCs w:val="24"/>
              </w:rPr>
              <w:t>执行《声环境质量标准》（GB3096-2008）</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类标准。</w:t>
            </w:r>
          </w:p>
          <w:p w14:paraId="3584AD40">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表4-3  声环境质量标准限值</w:t>
            </w:r>
          </w:p>
          <w:tbl>
            <w:tblPr>
              <w:tblStyle w:val="22"/>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3265"/>
              <w:gridCol w:w="3265"/>
            </w:tblGrid>
            <w:tr w14:paraId="5AE8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1" w:type="dxa"/>
                  <w:shd w:val="clear" w:color="auto" w:fill="auto"/>
                  <w:vAlign w:val="center"/>
                </w:tcPr>
                <w:p w14:paraId="3B40F8A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3265" w:type="dxa"/>
                  <w:shd w:val="clear" w:color="auto" w:fill="auto"/>
                  <w:vAlign w:val="center"/>
                </w:tcPr>
                <w:p w14:paraId="784D1197">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3265" w:type="dxa"/>
                  <w:shd w:val="clear" w:color="auto" w:fill="auto"/>
                  <w:vAlign w:val="center"/>
                </w:tcPr>
                <w:p w14:paraId="1543EE3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14:paraId="5493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1" w:type="dxa"/>
                  <w:shd w:val="clear" w:color="auto" w:fill="auto"/>
                  <w:vAlign w:val="center"/>
                </w:tcPr>
                <w:p w14:paraId="48822B00">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标准限值[dB（A）]</w:t>
                  </w:r>
                </w:p>
              </w:tc>
              <w:tc>
                <w:tcPr>
                  <w:tcW w:w="3265" w:type="dxa"/>
                  <w:shd w:val="clear" w:color="auto" w:fill="auto"/>
                  <w:vAlign w:val="center"/>
                </w:tcPr>
                <w:p w14:paraId="228C4CF7">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3265" w:type="dxa"/>
                  <w:shd w:val="clear" w:color="auto" w:fill="auto"/>
                  <w:vAlign w:val="center"/>
                </w:tcPr>
                <w:p w14:paraId="00E06A04">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r>
          </w:tbl>
          <w:p w14:paraId="26FCF91B">
            <w:pPr>
              <w:spacing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土壤环境：</w:t>
            </w:r>
            <w:r>
              <w:rPr>
                <w:rFonts w:hint="default" w:ascii="Times New Roman" w:hAnsi="Times New Roman" w:cs="Times New Roman" w:eastAsiaTheme="minorEastAsia"/>
                <w:color w:val="auto"/>
                <w:sz w:val="24"/>
                <w:szCs w:val="24"/>
              </w:rPr>
              <w:t>《土壤环境质量 建设用地土壤污染风险管控标准（试行）》（GB36600-2018）中的筛选值（第二类用地）中相应的标准值。</w:t>
            </w:r>
          </w:p>
          <w:p w14:paraId="7245B38D">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1"/>
                <w:szCs w:val="21"/>
              </w:rPr>
              <w:t>表4-</w:t>
            </w:r>
            <w:r>
              <w:rPr>
                <w:rFonts w:hint="eastAsia" w:cs="Times New Roman" w:eastAsiaTheme="minorEastAsia"/>
                <w:b/>
                <w:bCs/>
                <w:color w:val="auto"/>
                <w:sz w:val="21"/>
                <w:szCs w:val="21"/>
                <w:lang w:val="en-US" w:eastAsia="zh-CN"/>
              </w:rPr>
              <w:t>4</w:t>
            </w:r>
            <w:r>
              <w:rPr>
                <w:rFonts w:hint="default" w:ascii="Times New Roman" w:hAnsi="Times New Roman" w:cs="Times New Roman" w:eastAsiaTheme="minorEastAsia"/>
                <w:b/>
                <w:bCs/>
                <w:color w:val="auto"/>
                <w:sz w:val="21"/>
                <w:szCs w:val="21"/>
              </w:rPr>
              <w:t xml:space="preserve">  （GB36600-2018）中的筛选值（第二类用地）中相应的标准值</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9"/>
              <w:gridCol w:w="2421"/>
              <w:gridCol w:w="1860"/>
              <w:gridCol w:w="2014"/>
              <w:gridCol w:w="2037"/>
            </w:tblGrid>
            <w:tr w14:paraId="34AD3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7" w:type="pct"/>
                  <w:vAlign w:val="center"/>
                </w:tcPr>
                <w:p w14:paraId="0ED0D2F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序号</w:t>
                  </w:r>
                </w:p>
              </w:tc>
              <w:tc>
                <w:tcPr>
                  <w:tcW w:w="1284" w:type="pct"/>
                  <w:vAlign w:val="center"/>
                </w:tcPr>
                <w:p w14:paraId="71F7AA3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污染物项目</w:t>
                  </w:r>
                </w:p>
              </w:tc>
              <w:tc>
                <w:tcPr>
                  <w:tcW w:w="987" w:type="pct"/>
                  <w:vAlign w:val="center"/>
                </w:tcPr>
                <w:p w14:paraId="6DCA664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CAS编号</w:t>
                  </w:r>
                </w:p>
              </w:tc>
              <w:tc>
                <w:tcPr>
                  <w:tcW w:w="1068" w:type="pct"/>
                  <w:vAlign w:val="center"/>
                </w:tcPr>
                <w:p w14:paraId="77E4DE7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第二类用地筛选值</w:t>
                  </w:r>
                </w:p>
              </w:tc>
              <w:tc>
                <w:tcPr>
                  <w:tcW w:w="1081" w:type="pct"/>
                  <w:vAlign w:val="center"/>
                </w:tcPr>
                <w:p w14:paraId="4F5D8DC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第二类用地管制值</w:t>
                  </w:r>
                </w:p>
              </w:tc>
            </w:tr>
            <w:tr w14:paraId="7A565D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000" w:type="pct"/>
                  <w:gridSpan w:val="5"/>
                  <w:vAlign w:val="center"/>
                </w:tcPr>
                <w:p w14:paraId="23488A6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重金属和无机物</w:t>
                  </w:r>
                </w:p>
              </w:tc>
            </w:tr>
            <w:tr w14:paraId="33A7B7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756C2E9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w:t>
                  </w:r>
                </w:p>
              </w:tc>
              <w:tc>
                <w:tcPr>
                  <w:tcW w:w="1284" w:type="pct"/>
                  <w:vAlign w:val="center"/>
                </w:tcPr>
                <w:p w14:paraId="09166C4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砷</w:t>
                  </w:r>
                </w:p>
              </w:tc>
              <w:tc>
                <w:tcPr>
                  <w:tcW w:w="987" w:type="pct"/>
                  <w:vAlign w:val="center"/>
                </w:tcPr>
                <w:p w14:paraId="184D5F0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7440-38-2</w:t>
                  </w:r>
                </w:p>
              </w:tc>
              <w:tc>
                <w:tcPr>
                  <w:tcW w:w="1068" w:type="pct"/>
                  <w:vAlign w:val="center"/>
                </w:tcPr>
                <w:p w14:paraId="22F0603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60①</w:t>
                  </w:r>
                </w:p>
              </w:tc>
              <w:tc>
                <w:tcPr>
                  <w:tcW w:w="1081" w:type="pct"/>
                  <w:vAlign w:val="center"/>
                </w:tcPr>
                <w:p w14:paraId="0CA0188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140</w:t>
                  </w:r>
                </w:p>
              </w:tc>
            </w:tr>
            <w:tr w14:paraId="635EB0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2919A48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w:t>
                  </w:r>
                </w:p>
              </w:tc>
              <w:tc>
                <w:tcPr>
                  <w:tcW w:w="1284" w:type="pct"/>
                  <w:vAlign w:val="center"/>
                </w:tcPr>
                <w:p w14:paraId="025D312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镉</w:t>
                  </w:r>
                </w:p>
              </w:tc>
              <w:tc>
                <w:tcPr>
                  <w:tcW w:w="987" w:type="pct"/>
                  <w:vAlign w:val="center"/>
                </w:tcPr>
                <w:p w14:paraId="230B6B9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7440-43-9</w:t>
                  </w:r>
                </w:p>
              </w:tc>
              <w:tc>
                <w:tcPr>
                  <w:tcW w:w="1068" w:type="pct"/>
                  <w:vAlign w:val="center"/>
                </w:tcPr>
                <w:p w14:paraId="7642BF9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65</w:t>
                  </w:r>
                </w:p>
              </w:tc>
              <w:tc>
                <w:tcPr>
                  <w:tcW w:w="1081" w:type="pct"/>
                  <w:vAlign w:val="center"/>
                </w:tcPr>
                <w:p w14:paraId="332204A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172</w:t>
                  </w:r>
                </w:p>
              </w:tc>
            </w:tr>
            <w:tr w14:paraId="3B29FA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7FF8788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w:t>
                  </w:r>
                </w:p>
              </w:tc>
              <w:tc>
                <w:tcPr>
                  <w:tcW w:w="1284" w:type="pct"/>
                  <w:vAlign w:val="center"/>
                </w:tcPr>
                <w:p w14:paraId="5410E69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铬（六价）</w:t>
                  </w:r>
                </w:p>
              </w:tc>
              <w:tc>
                <w:tcPr>
                  <w:tcW w:w="987" w:type="pct"/>
                  <w:vAlign w:val="center"/>
                </w:tcPr>
                <w:p w14:paraId="4D58E5A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18540-29-9</w:t>
                  </w:r>
                </w:p>
              </w:tc>
              <w:tc>
                <w:tcPr>
                  <w:tcW w:w="1068" w:type="pct"/>
                  <w:vAlign w:val="center"/>
                </w:tcPr>
                <w:p w14:paraId="72A1A98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5.7</w:t>
                  </w:r>
                </w:p>
              </w:tc>
              <w:tc>
                <w:tcPr>
                  <w:tcW w:w="1081" w:type="pct"/>
                  <w:vAlign w:val="center"/>
                </w:tcPr>
                <w:p w14:paraId="1A614EA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78</w:t>
                  </w:r>
                </w:p>
              </w:tc>
            </w:tr>
            <w:tr w14:paraId="283CBD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56FD388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w:t>
                  </w:r>
                </w:p>
              </w:tc>
              <w:tc>
                <w:tcPr>
                  <w:tcW w:w="1284" w:type="pct"/>
                  <w:vAlign w:val="center"/>
                </w:tcPr>
                <w:p w14:paraId="4DF298A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铜</w:t>
                  </w:r>
                </w:p>
              </w:tc>
              <w:tc>
                <w:tcPr>
                  <w:tcW w:w="987" w:type="pct"/>
                  <w:vAlign w:val="center"/>
                </w:tcPr>
                <w:p w14:paraId="7C9A303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7440-50-8</w:t>
                  </w:r>
                </w:p>
              </w:tc>
              <w:tc>
                <w:tcPr>
                  <w:tcW w:w="1068" w:type="pct"/>
                  <w:vAlign w:val="center"/>
                </w:tcPr>
                <w:p w14:paraId="12B7026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18000</w:t>
                  </w:r>
                </w:p>
              </w:tc>
              <w:tc>
                <w:tcPr>
                  <w:tcW w:w="1081" w:type="pct"/>
                  <w:vAlign w:val="center"/>
                </w:tcPr>
                <w:p w14:paraId="725FAA5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36000</w:t>
                  </w:r>
                </w:p>
              </w:tc>
            </w:tr>
            <w:tr w14:paraId="05F6CF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6AF914F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w:t>
                  </w:r>
                </w:p>
              </w:tc>
              <w:tc>
                <w:tcPr>
                  <w:tcW w:w="1284" w:type="pct"/>
                  <w:vAlign w:val="center"/>
                </w:tcPr>
                <w:p w14:paraId="0196496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铅</w:t>
                  </w:r>
                </w:p>
              </w:tc>
              <w:tc>
                <w:tcPr>
                  <w:tcW w:w="987" w:type="pct"/>
                  <w:vAlign w:val="center"/>
                </w:tcPr>
                <w:p w14:paraId="1751CB9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7439-92-1</w:t>
                  </w:r>
                </w:p>
              </w:tc>
              <w:tc>
                <w:tcPr>
                  <w:tcW w:w="1068" w:type="pct"/>
                  <w:vAlign w:val="center"/>
                </w:tcPr>
                <w:p w14:paraId="574085D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800</w:t>
                  </w:r>
                </w:p>
              </w:tc>
              <w:tc>
                <w:tcPr>
                  <w:tcW w:w="1081" w:type="pct"/>
                  <w:vAlign w:val="center"/>
                </w:tcPr>
                <w:p w14:paraId="69D2B12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2500</w:t>
                  </w:r>
                </w:p>
              </w:tc>
            </w:tr>
            <w:tr w14:paraId="4C0C59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607F11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w:t>
                  </w:r>
                </w:p>
              </w:tc>
              <w:tc>
                <w:tcPr>
                  <w:tcW w:w="1284" w:type="pct"/>
                  <w:vAlign w:val="center"/>
                </w:tcPr>
                <w:p w14:paraId="39F6A64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汞</w:t>
                  </w:r>
                </w:p>
              </w:tc>
              <w:tc>
                <w:tcPr>
                  <w:tcW w:w="987" w:type="pct"/>
                  <w:vAlign w:val="center"/>
                </w:tcPr>
                <w:p w14:paraId="1D1986B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7439-97-6</w:t>
                  </w:r>
                </w:p>
              </w:tc>
              <w:tc>
                <w:tcPr>
                  <w:tcW w:w="1068" w:type="pct"/>
                  <w:vAlign w:val="center"/>
                </w:tcPr>
                <w:p w14:paraId="7CBA410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38</w:t>
                  </w:r>
                </w:p>
              </w:tc>
              <w:tc>
                <w:tcPr>
                  <w:tcW w:w="1081" w:type="pct"/>
                  <w:vAlign w:val="center"/>
                </w:tcPr>
                <w:p w14:paraId="22C4557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82</w:t>
                  </w:r>
                </w:p>
              </w:tc>
            </w:tr>
            <w:tr w14:paraId="34145B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569578D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w:t>
                  </w:r>
                </w:p>
              </w:tc>
              <w:tc>
                <w:tcPr>
                  <w:tcW w:w="1284" w:type="pct"/>
                  <w:vAlign w:val="center"/>
                </w:tcPr>
                <w:p w14:paraId="18297DD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镍</w:t>
                  </w:r>
                </w:p>
              </w:tc>
              <w:tc>
                <w:tcPr>
                  <w:tcW w:w="987" w:type="pct"/>
                  <w:vAlign w:val="center"/>
                </w:tcPr>
                <w:p w14:paraId="329BADA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7440-02-0</w:t>
                  </w:r>
                </w:p>
              </w:tc>
              <w:tc>
                <w:tcPr>
                  <w:tcW w:w="1068" w:type="pct"/>
                  <w:vAlign w:val="center"/>
                </w:tcPr>
                <w:p w14:paraId="118D80B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900</w:t>
                  </w:r>
                </w:p>
              </w:tc>
              <w:tc>
                <w:tcPr>
                  <w:tcW w:w="1081" w:type="pct"/>
                  <w:vAlign w:val="center"/>
                </w:tcPr>
                <w:p w14:paraId="7567118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2000</w:t>
                  </w:r>
                </w:p>
              </w:tc>
            </w:tr>
            <w:tr w14:paraId="04DD96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000" w:type="pct"/>
                  <w:gridSpan w:val="5"/>
                  <w:vAlign w:val="center"/>
                </w:tcPr>
                <w:p w14:paraId="2E27EE7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挥发性有机物</w:t>
                  </w:r>
                </w:p>
              </w:tc>
            </w:tr>
            <w:tr w14:paraId="59C8C0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3949388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w:t>
                  </w:r>
                </w:p>
              </w:tc>
              <w:tc>
                <w:tcPr>
                  <w:tcW w:w="1284" w:type="pct"/>
                  <w:vAlign w:val="center"/>
                </w:tcPr>
                <w:p w14:paraId="408EB4D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四氯化碳</w:t>
                  </w:r>
                </w:p>
              </w:tc>
              <w:tc>
                <w:tcPr>
                  <w:tcW w:w="987" w:type="pct"/>
                  <w:vAlign w:val="center"/>
                </w:tcPr>
                <w:p w14:paraId="748A796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56-23-5</w:t>
                  </w:r>
                </w:p>
              </w:tc>
              <w:tc>
                <w:tcPr>
                  <w:tcW w:w="1068" w:type="pct"/>
                  <w:vAlign w:val="center"/>
                </w:tcPr>
                <w:p w14:paraId="41BA48C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2.8</w:t>
                  </w:r>
                </w:p>
              </w:tc>
              <w:tc>
                <w:tcPr>
                  <w:tcW w:w="1081" w:type="pct"/>
                  <w:vAlign w:val="center"/>
                </w:tcPr>
                <w:p w14:paraId="514258C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34</w:t>
                  </w:r>
                </w:p>
              </w:tc>
            </w:tr>
            <w:tr w14:paraId="4A1DEF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6414C2A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w:t>
                  </w:r>
                </w:p>
              </w:tc>
              <w:tc>
                <w:tcPr>
                  <w:tcW w:w="1284" w:type="pct"/>
                  <w:vAlign w:val="center"/>
                </w:tcPr>
                <w:p w14:paraId="790F4C5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氯仿</w:t>
                  </w:r>
                </w:p>
              </w:tc>
              <w:tc>
                <w:tcPr>
                  <w:tcW w:w="987" w:type="pct"/>
                  <w:vAlign w:val="center"/>
                </w:tcPr>
                <w:p w14:paraId="36E0C08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67-66-3</w:t>
                  </w:r>
                </w:p>
              </w:tc>
              <w:tc>
                <w:tcPr>
                  <w:tcW w:w="1068" w:type="pct"/>
                  <w:vAlign w:val="center"/>
                </w:tcPr>
                <w:p w14:paraId="2ADF91D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0.9</w:t>
                  </w:r>
                </w:p>
              </w:tc>
              <w:tc>
                <w:tcPr>
                  <w:tcW w:w="1081" w:type="pct"/>
                  <w:vAlign w:val="center"/>
                </w:tcPr>
                <w:p w14:paraId="3F88349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w:t>
                  </w:r>
                </w:p>
              </w:tc>
            </w:tr>
            <w:tr w14:paraId="37796A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B6BEEE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w:t>
                  </w:r>
                </w:p>
              </w:tc>
              <w:tc>
                <w:tcPr>
                  <w:tcW w:w="1284" w:type="pct"/>
                  <w:vAlign w:val="center"/>
                </w:tcPr>
                <w:p w14:paraId="34AA6EE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氯甲烷</w:t>
                  </w:r>
                </w:p>
              </w:tc>
              <w:tc>
                <w:tcPr>
                  <w:tcW w:w="987" w:type="pct"/>
                  <w:vAlign w:val="center"/>
                </w:tcPr>
                <w:p w14:paraId="239B824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74-87-3</w:t>
                  </w:r>
                </w:p>
              </w:tc>
              <w:tc>
                <w:tcPr>
                  <w:tcW w:w="1068" w:type="pct"/>
                  <w:vAlign w:val="center"/>
                </w:tcPr>
                <w:p w14:paraId="7C35E73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37</w:t>
                  </w:r>
                </w:p>
              </w:tc>
              <w:tc>
                <w:tcPr>
                  <w:tcW w:w="1081" w:type="pct"/>
                  <w:vAlign w:val="center"/>
                </w:tcPr>
                <w:p w14:paraId="79FE279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120</w:t>
                  </w:r>
                </w:p>
              </w:tc>
            </w:tr>
            <w:tr w14:paraId="5E91E4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20F4A7F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w:t>
                  </w:r>
                </w:p>
              </w:tc>
              <w:tc>
                <w:tcPr>
                  <w:tcW w:w="1284" w:type="pct"/>
                  <w:vAlign w:val="center"/>
                </w:tcPr>
                <w:p w14:paraId="7BE482C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1,1-二氯乙烷</w:t>
                  </w:r>
                </w:p>
              </w:tc>
              <w:tc>
                <w:tcPr>
                  <w:tcW w:w="987" w:type="pct"/>
                  <w:vAlign w:val="center"/>
                </w:tcPr>
                <w:p w14:paraId="374846E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75-34-3</w:t>
                  </w:r>
                </w:p>
              </w:tc>
              <w:tc>
                <w:tcPr>
                  <w:tcW w:w="1068" w:type="pct"/>
                  <w:vAlign w:val="center"/>
                </w:tcPr>
                <w:p w14:paraId="0C55706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w:t>
                  </w:r>
                </w:p>
              </w:tc>
              <w:tc>
                <w:tcPr>
                  <w:tcW w:w="1081" w:type="pct"/>
                  <w:vAlign w:val="center"/>
                </w:tcPr>
                <w:p w14:paraId="6FC90B6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100</w:t>
                  </w:r>
                </w:p>
              </w:tc>
            </w:tr>
            <w:tr w14:paraId="4691D5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5410F9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1284" w:type="pct"/>
                  <w:vAlign w:val="center"/>
                </w:tcPr>
                <w:p w14:paraId="55614AA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1,2-二氯乙烷</w:t>
                  </w:r>
                </w:p>
              </w:tc>
              <w:tc>
                <w:tcPr>
                  <w:tcW w:w="987" w:type="pct"/>
                  <w:vAlign w:val="center"/>
                </w:tcPr>
                <w:p w14:paraId="29D31FB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107-06-2</w:t>
                  </w:r>
                </w:p>
              </w:tc>
              <w:tc>
                <w:tcPr>
                  <w:tcW w:w="1068" w:type="pct"/>
                  <w:vAlign w:val="center"/>
                </w:tcPr>
                <w:p w14:paraId="7FC23FE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w:t>
                  </w:r>
                </w:p>
              </w:tc>
              <w:tc>
                <w:tcPr>
                  <w:tcW w:w="1081" w:type="pct"/>
                  <w:vAlign w:val="center"/>
                </w:tcPr>
                <w:p w14:paraId="5C3A2E7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21</w:t>
                  </w:r>
                </w:p>
              </w:tc>
            </w:tr>
            <w:tr w14:paraId="0B3356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64CCF48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13</w:t>
                  </w:r>
                </w:p>
              </w:tc>
              <w:tc>
                <w:tcPr>
                  <w:tcW w:w="1284" w:type="pct"/>
                  <w:vAlign w:val="center"/>
                </w:tcPr>
                <w:p w14:paraId="103C317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1,1-二氯乙烯</w:t>
                  </w:r>
                </w:p>
              </w:tc>
              <w:tc>
                <w:tcPr>
                  <w:tcW w:w="987" w:type="pct"/>
                  <w:vAlign w:val="center"/>
                </w:tcPr>
                <w:p w14:paraId="4B88CFD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75-35-4</w:t>
                  </w:r>
                </w:p>
              </w:tc>
              <w:tc>
                <w:tcPr>
                  <w:tcW w:w="1068" w:type="pct"/>
                  <w:vAlign w:val="center"/>
                </w:tcPr>
                <w:p w14:paraId="5C530D2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66</w:t>
                  </w:r>
                </w:p>
              </w:tc>
              <w:tc>
                <w:tcPr>
                  <w:tcW w:w="1081" w:type="pct"/>
                  <w:vAlign w:val="center"/>
                </w:tcPr>
                <w:p w14:paraId="4AFC576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200</w:t>
                  </w:r>
                </w:p>
              </w:tc>
            </w:tr>
            <w:tr w14:paraId="16C9C4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0A55D57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14</w:t>
                  </w:r>
                </w:p>
              </w:tc>
              <w:tc>
                <w:tcPr>
                  <w:tcW w:w="1284" w:type="pct"/>
                  <w:vAlign w:val="center"/>
                </w:tcPr>
                <w:p w14:paraId="0CAF5D8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顺-1,2-二氯乙烯</w:t>
                  </w:r>
                </w:p>
              </w:tc>
              <w:tc>
                <w:tcPr>
                  <w:tcW w:w="987" w:type="pct"/>
                  <w:vAlign w:val="center"/>
                </w:tcPr>
                <w:p w14:paraId="793014D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156-59-2</w:t>
                  </w:r>
                </w:p>
              </w:tc>
              <w:tc>
                <w:tcPr>
                  <w:tcW w:w="1068" w:type="pct"/>
                  <w:vAlign w:val="center"/>
                </w:tcPr>
                <w:p w14:paraId="640AC46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596</w:t>
                  </w:r>
                </w:p>
              </w:tc>
              <w:tc>
                <w:tcPr>
                  <w:tcW w:w="1081" w:type="pct"/>
                  <w:vAlign w:val="center"/>
                </w:tcPr>
                <w:p w14:paraId="7086CE1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2000</w:t>
                  </w:r>
                </w:p>
              </w:tc>
            </w:tr>
            <w:tr w14:paraId="306FF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47085B0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1284" w:type="pct"/>
                  <w:vAlign w:val="center"/>
                </w:tcPr>
                <w:p w14:paraId="1906E10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反-1,2-二氯乙烯</w:t>
                  </w:r>
                </w:p>
              </w:tc>
              <w:tc>
                <w:tcPr>
                  <w:tcW w:w="987" w:type="pct"/>
                  <w:vAlign w:val="center"/>
                </w:tcPr>
                <w:p w14:paraId="4FDA861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156-60-5</w:t>
                  </w:r>
                </w:p>
              </w:tc>
              <w:tc>
                <w:tcPr>
                  <w:tcW w:w="1068" w:type="pct"/>
                  <w:vAlign w:val="center"/>
                </w:tcPr>
                <w:p w14:paraId="472C462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54</w:t>
                  </w:r>
                </w:p>
              </w:tc>
              <w:tc>
                <w:tcPr>
                  <w:tcW w:w="1081" w:type="pct"/>
                  <w:vAlign w:val="center"/>
                </w:tcPr>
                <w:p w14:paraId="5D2A2C1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163</w:t>
                  </w:r>
                </w:p>
              </w:tc>
            </w:tr>
            <w:tr w14:paraId="1A8AA4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8B8513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16</w:t>
                  </w:r>
                </w:p>
              </w:tc>
              <w:tc>
                <w:tcPr>
                  <w:tcW w:w="1284" w:type="pct"/>
                  <w:vAlign w:val="center"/>
                </w:tcPr>
                <w:p w14:paraId="17EE6EF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二氯甲烷</w:t>
                  </w:r>
                </w:p>
              </w:tc>
              <w:tc>
                <w:tcPr>
                  <w:tcW w:w="987" w:type="pct"/>
                  <w:vAlign w:val="center"/>
                </w:tcPr>
                <w:p w14:paraId="5DFF4A0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75-09-2</w:t>
                  </w:r>
                </w:p>
              </w:tc>
              <w:tc>
                <w:tcPr>
                  <w:tcW w:w="1068" w:type="pct"/>
                  <w:vAlign w:val="center"/>
                </w:tcPr>
                <w:p w14:paraId="5D31074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616</w:t>
                  </w:r>
                </w:p>
              </w:tc>
              <w:tc>
                <w:tcPr>
                  <w:tcW w:w="1081" w:type="pct"/>
                  <w:vAlign w:val="center"/>
                </w:tcPr>
                <w:p w14:paraId="243BAF3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2000</w:t>
                  </w:r>
                </w:p>
              </w:tc>
            </w:tr>
            <w:tr w14:paraId="6F6330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01A2A9B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17</w:t>
                  </w:r>
                </w:p>
              </w:tc>
              <w:tc>
                <w:tcPr>
                  <w:tcW w:w="1284" w:type="pct"/>
                  <w:vAlign w:val="center"/>
                </w:tcPr>
                <w:p w14:paraId="028E8B5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1,2-二氯丙烷</w:t>
                  </w:r>
                </w:p>
              </w:tc>
              <w:tc>
                <w:tcPr>
                  <w:tcW w:w="987" w:type="pct"/>
                  <w:vAlign w:val="center"/>
                </w:tcPr>
                <w:p w14:paraId="16B9174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78-87-6</w:t>
                  </w:r>
                </w:p>
              </w:tc>
              <w:tc>
                <w:tcPr>
                  <w:tcW w:w="1068" w:type="pct"/>
                  <w:vAlign w:val="center"/>
                </w:tcPr>
                <w:p w14:paraId="1B97302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w:t>
                  </w:r>
                </w:p>
              </w:tc>
              <w:tc>
                <w:tcPr>
                  <w:tcW w:w="1081" w:type="pct"/>
                  <w:vAlign w:val="center"/>
                </w:tcPr>
                <w:p w14:paraId="2C101B9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47</w:t>
                  </w:r>
                </w:p>
              </w:tc>
            </w:tr>
            <w:tr w14:paraId="3FF607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7EB9285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18</w:t>
                  </w:r>
                </w:p>
              </w:tc>
              <w:tc>
                <w:tcPr>
                  <w:tcW w:w="1284" w:type="pct"/>
                  <w:vAlign w:val="center"/>
                </w:tcPr>
                <w:p w14:paraId="1B54FC2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1,1,1,2-四氯乙烷</w:t>
                  </w:r>
                </w:p>
              </w:tc>
              <w:tc>
                <w:tcPr>
                  <w:tcW w:w="987" w:type="pct"/>
                  <w:vAlign w:val="center"/>
                </w:tcPr>
                <w:p w14:paraId="4C3BC1F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630-20-6</w:t>
                  </w:r>
                </w:p>
              </w:tc>
              <w:tc>
                <w:tcPr>
                  <w:tcW w:w="1068" w:type="pct"/>
                  <w:vAlign w:val="center"/>
                </w:tcPr>
                <w:p w14:paraId="5D8B44E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w:t>
                  </w:r>
                </w:p>
              </w:tc>
              <w:tc>
                <w:tcPr>
                  <w:tcW w:w="1081" w:type="pct"/>
                  <w:vAlign w:val="center"/>
                </w:tcPr>
                <w:p w14:paraId="7110E11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100</w:t>
                  </w:r>
                </w:p>
              </w:tc>
            </w:tr>
            <w:tr w14:paraId="26FDEB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49916CB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19</w:t>
                  </w:r>
                </w:p>
              </w:tc>
              <w:tc>
                <w:tcPr>
                  <w:tcW w:w="1284" w:type="pct"/>
                  <w:vAlign w:val="center"/>
                </w:tcPr>
                <w:p w14:paraId="1551319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1,1,2,2-四氯乙烷</w:t>
                  </w:r>
                </w:p>
              </w:tc>
              <w:tc>
                <w:tcPr>
                  <w:tcW w:w="987" w:type="pct"/>
                  <w:vAlign w:val="center"/>
                </w:tcPr>
                <w:p w14:paraId="4F58014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79-34-5</w:t>
                  </w:r>
                </w:p>
              </w:tc>
              <w:tc>
                <w:tcPr>
                  <w:tcW w:w="1068" w:type="pct"/>
                  <w:vAlign w:val="center"/>
                </w:tcPr>
                <w:p w14:paraId="17F541A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6.8</w:t>
                  </w:r>
                </w:p>
              </w:tc>
              <w:tc>
                <w:tcPr>
                  <w:tcW w:w="1081" w:type="pct"/>
                  <w:vAlign w:val="center"/>
                </w:tcPr>
                <w:p w14:paraId="78A09E2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50</w:t>
                  </w:r>
                </w:p>
              </w:tc>
            </w:tr>
            <w:tr w14:paraId="6D95BA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495FDD9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w:t>
                  </w:r>
                </w:p>
              </w:tc>
              <w:tc>
                <w:tcPr>
                  <w:tcW w:w="1284" w:type="pct"/>
                  <w:vAlign w:val="center"/>
                </w:tcPr>
                <w:p w14:paraId="0109F37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四氯乙烯</w:t>
                  </w:r>
                </w:p>
              </w:tc>
              <w:tc>
                <w:tcPr>
                  <w:tcW w:w="987" w:type="pct"/>
                  <w:vAlign w:val="center"/>
                </w:tcPr>
                <w:p w14:paraId="4F6EB9A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127-18-4</w:t>
                  </w:r>
                </w:p>
              </w:tc>
              <w:tc>
                <w:tcPr>
                  <w:tcW w:w="1068" w:type="pct"/>
                  <w:vAlign w:val="center"/>
                </w:tcPr>
                <w:p w14:paraId="2F31F98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53</w:t>
                  </w:r>
                </w:p>
              </w:tc>
              <w:tc>
                <w:tcPr>
                  <w:tcW w:w="1081" w:type="pct"/>
                  <w:vAlign w:val="center"/>
                </w:tcPr>
                <w:p w14:paraId="07D064D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183</w:t>
                  </w:r>
                </w:p>
              </w:tc>
            </w:tr>
            <w:tr w14:paraId="250FA8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62AC5D4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21</w:t>
                  </w:r>
                </w:p>
              </w:tc>
              <w:tc>
                <w:tcPr>
                  <w:tcW w:w="1284" w:type="pct"/>
                  <w:vAlign w:val="center"/>
                </w:tcPr>
                <w:p w14:paraId="5552715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1,1,1-三氯乙烷</w:t>
                  </w:r>
                </w:p>
              </w:tc>
              <w:tc>
                <w:tcPr>
                  <w:tcW w:w="987" w:type="pct"/>
                  <w:vAlign w:val="center"/>
                </w:tcPr>
                <w:p w14:paraId="04DDFB9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71-55-6</w:t>
                  </w:r>
                </w:p>
              </w:tc>
              <w:tc>
                <w:tcPr>
                  <w:tcW w:w="1068" w:type="pct"/>
                  <w:vAlign w:val="center"/>
                </w:tcPr>
                <w:p w14:paraId="09B4486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840</w:t>
                  </w:r>
                </w:p>
              </w:tc>
              <w:tc>
                <w:tcPr>
                  <w:tcW w:w="1081" w:type="pct"/>
                  <w:vAlign w:val="center"/>
                </w:tcPr>
                <w:p w14:paraId="36362F4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840</w:t>
                  </w:r>
                </w:p>
              </w:tc>
            </w:tr>
            <w:tr w14:paraId="322517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222E0F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22</w:t>
                  </w:r>
                </w:p>
              </w:tc>
              <w:tc>
                <w:tcPr>
                  <w:tcW w:w="1284" w:type="pct"/>
                  <w:vAlign w:val="center"/>
                </w:tcPr>
                <w:p w14:paraId="7FAA000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1,1,2-三氯乙烷</w:t>
                  </w:r>
                </w:p>
              </w:tc>
              <w:tc>
                <w:tcPr>
                  <w:tcW w:w="987" w:type="pct"/>
                  <w:vAlign w:val="center"/>
                </w:tcPr>
                <w:p w14:paraId="730DC16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79-00-5</w:t>
                  </w:r>
                </w:p>
              </w:tc>
              <w:tc>
                <w:tcPr>
                  <w:tcW w:w="1068" w:type="pct"/>
                  <w:vAlign w:val="center"/>
                </w:tcPr>
                <w:p w14:paraId="5F2AE0E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2.8</w:t>
                  </w:r>
                </w:p>
              </w:tc>
              <w:tc>
                <w:tcPr>
                  <w:tcW w:w="1081" w:type="pct"/>
                  <w:vAlign w:val="center"/>
                </w:tcPr>
                <w:p w14:paraId="535A1ED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r>
            <w:tr w14:paraId="490EEB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41E08DC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23</w:t>
                  </w:r>
                </w:p>
              </w:tc>
              <w:tc>
                <w:tcPr>
                  <w:tcW w:w="1284" w:type="pct"/>
                  <w:vAlign w:val="center"/>
                </w:tcPr>
                <w:p w14:paraId="45FCFAD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三氯乙烯</w:t>
                  </w:r>
                </w:p>
              </w:tc>
              <w:tc>
                <w:tcPr>
                  <w:tcW w:w="987" w:type="pct"/>
                  <w:vAlign w:val="center"/>
                </w:tcPr>
                <w:p w14:paraId="2D2E6BA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79-01-6</w:t>
                  </w:r>
                </w:p>
              </w:tc>
              <w:tc>
                <w:tcPr>
                  <w:tcW w:w="1068" w:type="pct"/>
                  <w:vAlign w:val="center"/>
                </w:tcPr>
                <w:p w14:paraId="201CE5C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2.8</w:t>
                  </w:r>
                </w:p>
              </w:tc>
              <w:tc>
                <w:tcPr>
                  <w:tcW w:w="1081" w:type="pct"/>
                  <w:vAlign w:val="center"/>
                </w:tcPr>
                <w:p w14:paraId="2725639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w:t>
                  </w:r>
                </w:p>
              </w:tc>
            </w:tr>
            <w:tr w14:paraId="3E330D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5819078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24</w:t>
                  </w:r>
                </w:p>
              </w:tc>
              <w:tc>
                <w:tcPr>
                  <w:tcW w:w="1284" w:type="pct"/>
                  <w:vAlign w:val="center"/>
                </w:tcPr>
                <w:p w14:paraId="5DAB846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1,2,3-三氯丙烷</w:t>
                  </w:r>
                </w:p>
              </w:tc>
              <w:tc>
                <w:tcPr>
                  <w:tcW w:w="987" w:type="pct"/>
                  <w:vAlign w:val="center"/>
                </w:tcPr>
                <w:p w14:paraId="70FEA8F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96-18-4</w:t>
                  </w:r>
                </w:p>
              </w:tc>
              <w:tc>
                <w:tcPr>
                  <w:tcW w:w="1068" w:type="pct"/>
                  <w:vAlign w:val="center"/>
                </w:tcPr>
                <w:p w14:paraId="4EDB440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0.5</w:t>
                  </w:r>
                </w:p>
              </w:tc>
              <w:tc>
                <w:tcPr>
                  <w:tcW w:w="1081" w:type="pct"/>
                  <w:vAlign w:val="center"/>
                </w:tcPr>
                <w:p w14:paraId="673BA37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w:t>
                  </w:r>
                </w:p>
              </w:tc>
            </w:tr>
            <w:tr w14:paraId="77B3E1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0540F99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25</w:t>
                  </w:r>
                </w:p>
              </w:tc>
              <w:tc>
                <w:tcPr>
                  <w:tcW w:w="1284" w:type="pct"/>
                  <w:vAlign w:val="center"/>
                </w:tcPr>
                <w:p w14:paraId="223C1B4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氯乙烯</w:t>
                  </w:r>
                </w:p>
              </w:tc>
              <w:tc>
                <w:tcPr>
                  <w:tcW w:w="987" w:type="pct"/>
                  <w:vAlign w:val="center"/>
                </w:tcPr>
                <w:p w14:paraId="4D5AA50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75-01-4</w:t>
                  </w:r>
                </w:p>
              </w:tc>
              <w:tc>
                <w:tcPr>
                  <w:tcW w:w="1068" w:type="pct"/>
                  <w:vAlign w:val="center"/>
                </w:tcPr>
                <w:p w14:paraId="305B744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0.43</w:t>
                  </w:r>
                </w:p>
              </w:tc>
              <w:tc>
                <w:tcPr>
                  <w:tcW w:w="1081" w:type="pct"/>
                  <w:vAlign w:val="center"/>
                </w:tcPr>
                <w:p w14:paraId="5CB8212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4.3</w:t>
                  </w:r>
                </w:p>
              </w:tc>
            </w:tr>
            <w:tr w14:paraId="5689BB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045EA9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26</w:t>
                  </w:r>
                </w:p>
              </w:tc>
              <w:tc>
                <w:tcPr>
                  <w:tcW w:w="1284" w:type="pct"/>
                  <w:vAlign w:val="center"/>
                </w:tcPr>
                <w:p w14:paraId="034E539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w:t>
                  </w:r>
                </w:p>
              </w:tc>
              <w:tc>
                <w:tcPr>
                  <w:tcW w:w="987" w:type="pct"/>
                  <w:vAlign w:val="center"/>
                </w:tcPr>
                <w:p w14:paraId="2C3AA6C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71-43-2</w:t>
                  </w:r>
                </w:p>
              </w:tc>
              <w:tc>
                <w:tcPr>
                  <w:tcW w:w="1068" w:type="pct"/>
                  <w:vAlign w:val="center"/>
                </w:tcPr>
                <w:p w14:paraId="16A2158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w:t>
                  </w:r>
                </w:p>
              </w:tc>
              <w:tc>
                <w:tcPr>
                  <w:tcW w:w="1081" w:type="pct"/>
                  <w:vAlign w:val="center"/>
                </w:tcPr>
                <w:p w14:paraId="4C40631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40</w:t>
                  </w:r>
                </w:p>
              </w:tc>
            </w:tr>
            <w:tr w14:paraId="4040BE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5B7B0DE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27</w:t>
                  </w:r>
                </w:p>
              </w:tc>
              <w:tc>
                <w:tcPr>
                  <w:tcW w:w="1284" w:type="pct"/>
                  <w:vAlign w:val="center"/>
                </w:tcPr>
                <w:p w14:paraId="4080A97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氯苯</w:t>
                  </w:r>
                </w:p>
              </w:tc>
              <w:tc>
                <w:tcPr>
                  <w:tcW w:w="987" w:type="pct"/>
                  <w:vAlign w:val="center"/>
                </w:tcPr>
                <w:p w14:paraId="2D357B7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108-90-7</w:t>
                  </w:r>
                </w:p>
              </w:tc>
              <w:tc>
                <w:tcPr>
                  <w:tcW w:w="1068" w:type="pct"/>
                  <w:vAlign w:val="center"/>
                </w:tcPr>
                <w:p w14:paraId="1CFB729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270</w:t>
                  </w:r>
                </w:p>
              </w:tc>
              <w:tc>
                <w:tcPr>
                  <w:tcW w:w="1081" w:type="pct"/>
                  <w:vAlign w:val="center"/>
                </w:tcPr>
                <w:p w14:paraId="03BE20A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1000</w:t>
                  </w:r>
                </w:p>
              </w:tc>
            </w:tr>
            <w:tr w14:paraId="2388BE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2D814F9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28</w:t>
                  </w:r>
                </w:p>
              </w:tc>
              <w:tc>
                <w:tcPr>
                  <w:tcW w:w="1284" w:type="pct"/>
                  <w:vAlign w:val="center"/>
                </w:tcPr>
                <w:p w14:paraId="2E97B06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1,2-二氯苯</w:t>
                  </w:r>
                </w:p>
              </w:tc>
              <w:tc>
                <w:tcPr>
                  <w:tcW w:w="987" w:type="pct"/>
                  <w:vAlign w:val="center"/>
                </w:tcPr>
                <w:p w14:paraId="08B1D6E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95-50-1</w:t>
                  </w:r>
                </w:p>
              </w:tc>
              <w:tc>
                <w:tcPr>
                  <w:tcW w:w="1068" w:type="pct"/>
                  <w:vAlign w:val="center"/>
                </w:tcPr>
                <w:p w14:paraId="7149499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560</w:t>
                  </w:r>
                </w:p>
              </w:tc>
              <w:tc>
                <w:tcPr>
                  <w:tcW w:w="1081" w:type="pct"/>
                  <w:vAlign w:val="center"/>
                </w:tcPr>
                <w:p w14:paraId="17671DB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560</w:t>
                  </w:r>
                </w:p>
              </w:tc>
            </w:tr>
            <w:tr w14:paraId="5C6EFC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1BA0FE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29</w:t>
                  </w:r>
                </w:p>
              </w:tc>
              <w:tc>
                <w:tcPr>
                  <w:tcW w:w="1284" w:type="pct"/>
                  <w:vAlign w:val="center"/>
                </w:tcPr>
                <w:p w14:paraId="361D472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1,4-二氯苯</w:t>
                  </w:r>
                </w:p>
              </w:tc>
              <w:tc>
                <w:tcPr>
                  <w:tcW w:w="987" w:type="pct"/>
                  <w:vAlign w:val="center"/>
                </w:tcPr>
                <w:p w14:paraId="4278511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106-46-7</w:t>
                  </w:r>
                </w:p>
              </w:tc>
              <w:tc>
                <w:tcPr>
                  <w:tcW w:w="1068" w:type="pct"/>
                  <w:vAlign w:val="center"/>
                </w:tcPr>
                <w:p w14:paraId="0DBC4A1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w:t>
                  </w:r>
                </w:p>
              </w:tc>
              <w:tc>
                <w:tcPr>
                  <w:tcW w:w="1081" w:type="pct"/>
                  <w:vAlign w:val="center"/>
                </w:tcPr>
                <w:p w14:paraId="07884A4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200</w:t>
                  </w:r>
                </w:p>
              </w:tc>
            </w:tr>
            <w:tr w14:paraId="6F231C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34381A8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30</w:t>
                  </w:r>
                </w:p>
              </w:tc>
              <w:tc>
                <w:tcPr>
                  <w:tcW w:w="1284" w:type="pct"/>
                  <w:vAlign w:val="center"/>
                </w:tcPr>
                <w:p w14:paraId="76A782B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乙苯</w:t>
                  </w:r>
                </w:p>
              </w:tc>
              <w:tc>
                <w:tcPr>
                  <w:tcW w:w="987" w:type="pct"/>
                  <w:vAlign w:val="center"/>
                </w:tcPr>
                <w:p w14:paraId="7591E1E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100-41-4</w:t>
                  </w:r>
                </w:p>
              </w:tc>
              <w:tc>
                <w:tcPr>
                  <w:tcW w:w="1068" w:type="pct"/>
                  <w:vAlign w:val="center"/>
                </w:tcPr>
                <w:p w14:paraId="5705B35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28</w:t>
                  </w:r>
                </w:p>
              </w:tc>
              <w:tc>
                <w:tcPr>
                  <w:tcW w:w="1081" w:type="pct"/>
                  <w:vAlign w:val="center"/>
                </w:tcPr>
                <w:p w14:paraId="77BBE29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280</w:t>
                  </w:r>
                </w:p>
              </w:tc>
            </w:tr>
            <w:tr w14:paraId="3492A8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3632DA0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31</w:t>
                  </w:r>
                </w:p>
              </w:tc>
              <w:tc>
                <w:tcPr>
                  <w:tcW w:w="1284" w:type="pct"/>
                  <w:vAlign w:val="center"/>
                </w:tcPr>
                <w:p w14:paraId="383DAB1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苯乙烯</w:t>
                  </w:r>
                </w:p>
              </w:tc>
              <w:tc>
                <w:tcPr>
                  <w:tcW w:w="987" w:type="pct"/>
                  <w:vAlign w:val="center"/>
                </w:tcPr>
                <w:p w14:paraId="1A21BDE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100-42-5</w:t>
                  </w:r>
                </w:p>
              </w:tc>
              <w:tc>
                <w:tcPr>
                  <w:tcW w:w="1068" w:type="pct"/>
                  <w:vAlign w:val="center"/>
                </w:tcPr>
                <w:p w14:paraId="0E6C859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1290</w:t>
                  </w:r>
                </w:p>
              </w:tc>
              <w:tc>
                <w:tcPr>
                  <w:tcW w:w="1081" w:type="pct"/>
                  <w:vAlign w:val="center"/>
                </w:tcPr>
                <w:p w14:paraId="6D6F2D9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1290</w:t>
                  </w:r>
                </w:p>
              </w:tc>
            </w:tr>
            <w:tr w14:paraId="0F31BD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6B4E9FD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32</w:t>
                  </w:r>
                </w:p>
              </w:tc>
              <w:tc>
                <w:tcPr>
                  <w:tcW w:w="1284" w:type="pct"/>
                  <w:vAlign w:val="center"/>
                </w:tcPr>
                <w:p w14:paraId="410AF22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甲苯</w:t>
                  </w:r>
                </w:p>
              </w:tc>
              <w:tc>
                <w:tcPr>
                  <w:tcW w:w="987" w:type="pct"/>
                  <w:vAlign w:val="center"/>
                </w:tcPr>
                <w:p w14:paraId="5803D67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108-88-3</w:t>
                  </w:r>
                </w:p>
              </w:tc>
              <w:tc>
                <w:tcPr>
                  <w:tcW w:w="1068" w:type="pct"/>
                  <w:vAlign w:val="center"/>
                </w:tcPr>
                <w:p w14:paraId="6782654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1200</w:t>
                  </w:r>
                </w:p>
              </w:tc>
              <w:tc>
                <w:tcPr>
                  <w:tcW w:w="1081" w:type="pct"/>
                  <w:vAlign w:val="center"/>
                </w:tcPr>
                <w:p w14:paraId="6280A93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1200</w:t>
                  </w:r>
                </w:p>
              </w:tc>
            </w:tr>
            <w:tr w14:paraId="68FA69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5E76033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33</w:t>
                  </w:r>
                </w:p>
              </w:tc>
              <w:tc>
                <w:tcPr>
                  <w:tcW w:w="1284" w:type="pct"/>
                  <w:vAlign w:val="center"/>
                </w:tcPr>
                <w:p w14:paraId="21625FC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间二甲苯+对二甲苯</w:t>
                  </w:r>
                </w:p>
              </w:tc>
              <w:tc>
                <w:tcPr>
                  <w:tcW w:w="987" w:type="pct"/>
                  <w:vAlign w:val="center"/>
                </w:tcPr>
                <w:p w14:paraId="0CBD264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108-38-3</w:t>
                  </w:r>
                </w:p>
                <w:p w14:paraId="43F390E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106-42-3</w:t>
                  </w:r>
                </w:p>
              </w:tc>
              <w:tc>
                <w:tcPr>
                  <w:tcW w:w="1068" w:type="pct"/>
                  <w:vAlign w:val="center"/>
                </w:tcPr>
                <w:p w14:paraId="690476D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570</w:t>
                  </w:r>
                </w:p>
              </w:tc>
              <w:tc>
                <w:tcPr>
                  <w:tcW w:w="1081" w:type="pct"/>
                  <w:vAlign w:val="center"/>
                </w:tcPr>
                <w:p w14:paraId="4D12358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570</w:t>
                  </w:r>
                </w:p>
              </w:tc>
            </w:tr>
            <w:tr w14:paraId="43A29A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5B99AA4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34</w:t>
                  </w:r>
                </w:p>
              </w:tc>
              <w:tc>
                <w:tcPr>
                  <w:tcW w:w="1284" w:type="pct"/>
                  <w:vAlign w:val="center"/>
                </w:tcPr>
                <w:p w14:paraId="222FF45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邻二甲苯</w:t>
                  </w:r>
                </w:p>
              </w:tc>
              <w:tc>
                <w:tcPr>
                  <w:tcW w:w="987" w:type="pct"/>
                  <w:vAlign w:val="center"/>
                </w:tcPr>
                <w:p w14:paraId="15D1A49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95-47-6</w:t>
                  </w:r>
                </w:p>
              </w:tc>
              <w:tc>
                <w:tcPr>
                  <w:tcW w:w="1068" w:type="pct"/>
                  <w:vAlign w:val="center"/>
                </w:tcPr>
                <w:p w14:paraId="3E10145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640</w:t>
                  </w:r>
                </w:p>
              </w:tc>
              <w:tc>
                <w:tcPr>
                  <w:tcW w:w="1081" w:type="pct"/>
                  <w:vAlign w:val="center"/>
                </w:tcPr>
                <w:p w14:paraId="642F143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640</w:t>
                  </w:r>
                </w:p>
              </w:tc>
            </w:tr>
            <w:tr w14:paraId="101603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000" w:type="pct"/>
                  <w:gridSpan w:val="5"/>
                  <w:vAlign w:val="center"/>
                </w:tcPr>
                <w:p w14:paraId="6D4D6B4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半挥发性有机物</w:t>
                  </w:r>
                </w:p>
              </w:tc>
            </w:tr>
            <w:tr w14:paraId="197CEE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899E2D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35</w:t>
                  </w:r>
                </w:p>
              </w:tc>
              <w:tc>
                <w:tcPr>
                  <w:tcW w:w="1284" w:type="pct"/>
                  <w:vAlign w:val="center"/>
                </w:tcPr>
                <w:p w14:paraId="2DE2264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硝基苯</w:t>
                  </w:r>
                </w:p>
              </w:tc>
              <w:tc>
                <w:tcPr>
                  <w:tcW w:w="987" w:type="pct"/>
                  <w:vAlign w:val="center"/>
                </w:tcPr>
                <w:p w14:paraId="720CDE0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98-98-3</w:t>
                  </w:r>
                </w:p>
              </w:tc>
              <w:tc>
                <w:tcPr>
                  <w:tcW w:w="1068" w:type="pct"/>
                  <w:vAlign w:val="center"/>
                </w:tcPr>
                <w:p w14:paraId="65F0516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76</w:t>
                  </w:r>
                </w:p>
              </w:tc>
              <w:tc>
                <w:tcPr>
                  <w:tcW w:w="1081" w:type="pct"/>
                  <w:vAlign w:val="center"/>
                </w:tcPr>
                <w:p w14:paraId="15AAB34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760</w:t>
                  </w:r>
                </w:p>
              </w:tc>
            </w:tr>
            <w:tr w14:paraId="6E353F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2D1B8B38">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36</w:t>
                  </w:r>
                </w:p>
              </w:tc>
              <w:tc>
                <w:tcPr>
                  <w:tcW w:w="1284" w:type="pct"/>
                  <w:vAlign w:val="center"/>
                </w:tcPr>
                <w:p w14:paraId="575DB71C">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苯胺</w:t>
                  </w:r>
                </w:p>
              </w:tc>
              <w:tc>
                <w:tcPr>
                  <w:tcW w:w="987" w:type="pct"/>
                  <w:vAlign w:val="center"/>
                </w:tcPr>
                <w:p w14:paraId="1F468A6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62-53-3</w:t>
                  </w:r>
                </w:p>
              </w:tc>
              <w:tc>
                <w:tcPr>
                  <w:tcW w:w="1068" w:type="pct"/>
                  <w:vAlign w:val="center"/>
                </w:tcPr>
                <w:p w14:paraId="28B770F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260</w:t>
                  </w:r>
                </w:p>
              </w:tc>
              <w:tc>
                <w:tcPr>
                  <w:tcW w:w="1081" w:type="pct"/>
                  <w:vAlign w:val="center"/>
                </w:tcPr>
                <w:p w14:paraId="773EA07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663</w:t>
                  </w:r>
                </w:p>
              </w:tc>
            </w:tr>
            <w:tr w14:paraId="27AD0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0B2217D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37</w:t>
                  </w:r>
                </w:p>
              </w:tc>
              <w:tc>
                <w:tcPr>
                  <w:tcW w:w="1284" w:type="pct"/>
                  <w:vAlign w:val="center"/>
                </w:tcPr>
                <w:p w14:paraId="3DB2992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2-氯酚</w:t>
                  </w:r>
                </w:p>
              </w:tc>
              <w:tc>
                <w:tcPr>
                  <w:tcW w:w="987" w:type="pct"/>
                  <w:vAlign w:val="center"/>
                </w:tcPr>
                <w:p w14:paraId="0A41F49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95-57-8</w:t>
                  </w:r>
                </w:p>
              </w:tc>
              <w:tc>
                <w:tcPr>
                  <w:tcW w:w="1068" w:type="pct"/>
                  <w:vAlign w:val="center"/>
                </w:tcPr>
                <w:p w14:paraId="70C7A68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2256</w:t>
                  </w:r>
                </w:p>
              </w:tc>
              <w:tc>
                <w:tcPr>
                  <w:tcW w:w="1081" w:type="pct"/>
                  <w:vAlign w:val="center"/>
                </w:tcPr>
                <w:p w14:paraId="7770D2B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4500</w:t>
                  </w:r>
                </w:p>
              </w:tc>
            </w:tr>
            <w:tr w14:paraId="73BEBD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33F7FE19">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38</w:t>
                  </w:r>
                </w:p>
              </w:tc>
              <w:tc>
                <w:tcPr>
                  <w:tcW w:w="1284" w:type="pct"/>
                  <w:vAlign w:val="center"/>
                </w:tcPr>
                <w:p w14:paraId="54C811A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苯并[a]蒽</w:t>
                  </w:r>
                </w:p>
              </w:tc>
              <w:tc>
                <w:tcPr>
                  <w:tcW w:w="987" w:type="pct"/>
                  <w:vAlign w:val="center"/>
                </w:tcPr>
                <w:p w14:paraId="517520C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56-55-3</w:t>
                  </w:r>
                </w:p>
              </w:tc>
              <w:tc>
                <w:tcPr>
                  <w:tcW w:w="1068" w:type="pct"/>
                  <w:vAlign w:val="center"/>
                </w:tcPr>
                <w:p w14:paraId="455A47B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1081" w:type="pct"/>
                  <w:vAlign w:val="center"/>
                </w:tcPr>
                <w:p w14:paraId="1E1E686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151</w:t>
                  </w:r>
                </w:p>
              </w:tc>
            </w:tr>
            <w:tr w14:paraId="56A4E1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64239E4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39</w:t>
                  </w:r>
                </w:p>
              </w:tc>
              <w:tc>
                <w:tcPr>
                  <w:tcW w:w="1284" w:type="pct"/>
                  <w:vAlign w:val="center"/>
                </w:tcPr>
                <w:p w14:paraId="6A332A7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苯并[a]芘</w:t>
                  </w:r>
                </w:p>
              </w:tc>
              <w:tc>
                <w:tcPr>
                  <w:tcW w:w="987" w:type="pct"/>
                  <w:vAlign w:val="center"/>
                </w:tcPr>
                <w:p w14:paraId="76BD042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50-32-8</w:t>
                  </w:r>
                </w:p>
              </w:tc>
              <w:tc>
                <w:tcPr>
                  <w:tcW w:w="1068" w:type="pct"/>
                  <w:vAlign w:val="center"/>
                </w:tcPr>
                <w:p w14:paraId="33BE495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1081" w:type="pct"/>
                  <w:vAlign w:val="center"/>
                </w:tcPr>
                <w:p w14:paraId="616A1DE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r>
            <w:tr w14:paraId="3F82CB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A02683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40</w:t>
                  </w:r>
                </w:p>
              </w:tc>
              <w:tc>
                <w:tcPr>
                  <w:tcW w:w="1284" w:type="pct"/>
                  <w:vAlign w:val="center"/>
                </w:tcPr>
                <w:p w14:paraId="1EF0941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苯并[b]荧蒽</w:t>
                  </w:r>
                </w:p>
              </w:tc>
              <w:tc>
                <w:tcPr>
                  <w:tcW w:w="987" w:type="pct"/>
                  <w:vAlign w:val="center"/>
                </w:tcPr>
                <w:p w14:paraId="6521120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205-32-8</w:t>
                  </w:r>
                </w:p>
              </w:tc>
              <w:tc>
                <w:tcPr>
                  <w:tcW w:w="1068" w:type="pct"/>
                  <w:vAlign w:val="center"/>
                </w:tcPr>
                <w:p w14:paraId="5F6A3AE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1081" w:type="pct"/>
                  <w:vAlign w:val="center"/>
                </w:tcPr>
                <w:p w14:paraId="1DA27BDD">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151</w:t>
                  </w:r>
                </w:p>
              </w:tc>
            </w:tr>
            <w:tr w14:paraId="45A7B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2546A14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41</w:t>
                  </w:r>
                </w:p>
              </w:tc>
              <w:tc>
                <w:tcPr>
                  <w:tcW w:w="1284" w:type="pct"/>
                  <w:vAlign w:val="center"/>
                </w:tcPr>
                <w:p w14:paraId="2D1F34A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苯并[k]荧蒽</w:t>
                  </w:r>
                </w:p>
              </w:tc>
              <w:tc>
                <w:tcPr>
                  <w:tcW w:w="987" w:type="pct"/>
                  <w:vAlign w:val="center"/>
                </w:tcPr>
                <w:p w14:paraId="3772676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207-08-9</w:t>
                  </w:r>
                </w:p>
              </w:tc>
              <w:tc>
                <w:tcPr>
                  <w:tcW w:w="1068" w:type="pct"/>
                  <w:vAlign w:val="center"/>
                </w:tcPr>
                <w:p w14:paraId="2DDB200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151</w:t>
                  </w:r>
                </w:p>
              </w:tc>
              <w:tc>
                <w:tcPr>
                  <w:tcW w:w="1081" w:type="pct"/>
                  <w:vAlign w:val="center"/>
                </w:tcPr>
                <w:p w14:paraId="2E43F7B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1500</w:t>
                  </w:r>
                </w:p>
              </w:tc>
            </w:tr>
            <w:tr w14:paraId="42D85C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1DA5FD5E">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42</w:t>
                  </w:r>
                </w:p>
              </w:tc>
              <w:tc>
                <w:tcPr>
                  <w:tcW w:w="1284" w:type="pct"/>
                  <w:vAlign w:val="center"/>
                </w:tcPr>
                <w:p w14:paraId="00CC200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䓛</w:t>
                  </w:r>
                </w:p>
              </w:tc>
              <w:tc>
                <w:tcPr>
                  <w:tcW w:w="987" w:type="pct"/>
                  <w:vAlign w:val="center"/>
                </w:tcPr>
                <w:p w14:paraId="7DA6C4B7">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218-01-9</w:t>
                  </w:r>
                </w:p>
              </w:tc>
              <w:tc>
                <w:tcPr>
                  <w:tcW w:w="1068" w:type="pct"/>
                  <w:vAlign w:val="center"/>
                </w:tcPr>
                <w:p w14:paraId="5B44AFE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1293</w:t>
                  </w:r>
                </w:p>
              </w:tc>
              <w:tc>
                <w:tcPr>
                  <w:tcW w:w="1081" w:type="pct"/>
                  <w:vAlign w:val="center"/>
                </w:tcPr>
                <w:p w14:paraId="098B93C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12900</w:t>
                  </w:r>
                </w:p>
              </w:tc>
            </w:tr>
            <w:tr w14:paraId="3FC73F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2D1AD3B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43</w:t>
                  </w:r>
                </w:p>
              </w:tc>
              <w:tc>
                <w:tcPr>
                  <w:tcW w:w="1284" w:type="pct"/>
                  <w:vAlign w:val="center"/>
                </w:tcPr>
                <w:p w14:paraId="19915976">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二苯并[a，h]蒽</w:t>
                  </w:r>
                </w:p>
              </w:tc>
              <w:tc>
                <w:tcPr>
                  <w:tcW w:w="987" w:type="pct"/>
                  <w:vAlign w:val="center"/>
                </w:tcPr>
                <w:p w14:paraId="31CD23D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53-70-3</w:t>
                  </w:r>
                </w:p>
              </w:tc>
              <w:tc>
                <w:tcPr>
                  <w:tcW w:w="1068" w:type="pct"/>
                  <w:vAlign w:val="center"/>
                </w:tcPr>
                <w:p w14:paraId="0F55840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1081" w:type="pct"/>
                  <w:vAlign w:val="center"/>
                </w:tcPr>
                <w:p w14:paraId="0AA3778F">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r>
            <w:tr w14:paraId="796C50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32AD790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44</w:t>
                  </w:r>
                </w:p>
              </w:tc>
              <w:tc>
                <w:tcPr>
                  <w:tcW w:w="1284" w:type="pct"/>
                  <w:vAlign w:val="center"/>
                </w:tcPr>
                <w:p w14:paraId="3094A831">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茚并[1,2,3-cd]芘</w:t>
                  </w:r>
                </w:p>
              </w:tc>
              <w:tc>
                <w:tcPr>
                  <w:tcW w:w="987" w:type="pct"/>
                  <w:vAlign w:val="center"/>
                </w:tcPr>
                <w:p w14:paraId="71AD13F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193-39-5</w:t>
                  </w:r>
                </w:p>
              </w:tc>
              <w:tc>
                <w:tcPr>
                  <w:tcW w:w="1068" w:type="pct"/>
                  <w:vAlign w:val="center"/>
                </w:tcPr>
                <w:p w14:paraId="66765013">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1081" w:type="pct"/>
                  <w:vAlign w:val="center"/>
                </w:tcPr>
                <w:p w14:paraId="2EA3729B">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151</w:t>
                  </w:r>
                </w:p>
              </w:tc>
            </w:tr>
            <w:tr w14:paraId="2B55FF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44166D94">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45</w:t>
                  </w:r>
                </w:p>
              </w:tc>
              <w:tc>
                <w:tcPr>
                  <w:tcW w:w="1284" w:type="pct"/>
                  <w:vAlign w:val="center"/>
                </w:tcPr>
                <w:p w14:paraId="24384D40">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萘</w:t>
                  </w:r>
                </w:p>
              </w:tc>
              <w:tc>
                <w:tcPr>
                  <w:tcW w:w="987" w:type="pct"/>
                  <w:vAlign w:val="center"/>
                </w:tcPr>
                <w:p w14:paraId="1C98E52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91-20-3</w:t>
                  </w:r>
                </w:p>
              </w:tc>
              <w:tc>
                <w:tcPr>
                  <w:tcW w:w="1068" w:type="pct"/>
                  <w:vAlign w:val="center"/>
                </w:tcPr>
                <w:p w14:paraId="2B09FE0A">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70</w:t>
                  </w:r>
                </w:p>
              </w:tc>
              <w:tc>
                <w:tcPr>
                  <w:tcW w:w="1081" w:type="pct"/>
                  <w:vAlign w:val="center"/>
                </w:tcPr>
                <w:p w14:paraId="360AA515">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700</w:t>
                  </w:r>
                </w:p>
              </w:tc>
            </w:tr>
            <w:tr w14:paraId="0D9149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000" w:type="pct"/>
                  <w:gridSpan w:val="5"/>
                  <w:vAlign w:val="center"/>
                </w:tcPr>
                <w:p w14:paraId="320A6848">
                  <w:pPr>
                    <w:widowControl/>
                    <w:snapToGrid w:val="0"/>
                    <w:spacing w:line="320" w:lineRule="exact"/>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其他项目（石油烃类）</w:t>
                  </w:r>
                </w:p>
              </w:tc>
            </w:tr>
            <w:tr w14:paraId="422F35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77" w:type="pct"/>
                  <w:vAlign w:val="center"/>
                </w:tcPr>
                <w:p w14:paraId="3063A546">
                  <w:pPr>
                    <w:widowControl/>
                    <w:snapToGrid w:val="0"/>
                    <w:spacing w:line="320" w:lineRule="exact"/>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40</w:t>
                  </w:r>
                </w:p>
              </w:tc>
              <w:tc>
                <w:tcPr>
                  <w:tcW w:w="1284" w:type="pct"/>
                  <w:vAlign w:val="center"/>
                </w:tcPr>
                <w:p w14:paraId="7E5F181A">
                  <w:pPr>
                    <w:widowControl/>
                    <w:snapToGrid w:val="0"/>
                    <w:spacing w:line="320" w:lineRule="exact"/>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石油烃（C</w:t>
                  </w:r>
                  <w:r>
                    <w:rPr>
                      <w:rFonts w:hint="eastAsia" w:cs="Times New Roman" w:eastAsiaTheme="minorEastAsia"/>
                      <w:color w:val="auto"/>
                      <w:szCs w:val="21"/>
                      <w:vertAlign w:val="subscript"/>
                      <w:lang w:val="en-US" w:eastAsia="zh-CN"/>
                    </w:rPr>
                    <w:t>10</w:t>
                  </w:r>
                  <w:r>
                    <w:rPr>
                      <w:rFonts w:hint="eastAsia" w:cs="Times New Roman" w:eastAsiaTheme="minorEastAsia"/>
                      <w:color w:val="auto"/>
                      <w:szCs w:val="21"/>
                      <w:lang w:val="en-US" w:eastAsia="zh-CN"/>
                    </w:rPr>
                    <w:t>-C</w:t>
                  </w:r>
                  <w:r>
                    <w:rPr>
                      <w:rFonts w:hint="eastAsia" w:cs="Times New Roman" w:eastAsiaTheme="minorEastAsia"/>
                      <w:color w:val="auto"/>
                      <w:szCs w:val="21"/>
                      <w:vertAlign w:val="subscript"/>
                      <w:lang w:val="en-US" w:eastAsia="zh-CN"/>
                    </w:rPr>
                    <w:t>40</w:t>
                  </w:r>
                  <w:r>
                    <w:rPr>
                      <w:rFonts w:hint="eastAsia" w:cs="Times New Roman" w:eastAsiaTheme="minorEastAsia"/>
                      <w:color w:val="auto"/>
                      <w:szCs w:val="21"/>
                      <w:lang w:val="en-US" w:eastAsia="zh-CN"/>
                    </w:rPr>
                    <w:t>）</w:t>
                  </w:r>
                </w:p>
              </w:tc>
              <w:tc>
                <w:tcPr>
                  <w:tcW w:w="987" w:type="pct"/>
                  <w:vAlign w:val="center"/>
                </w:tcPr>
                <w:p w14:paraId="249A5821">
                  <w:pPr>
                    <w:widowControl/>
                    <w:snapToGrid w:val="0"/>
                    <w:spacing w:line="320" w:lineRule="exact"/>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w:t>
                  </w:r>
                </w:p>
              </w:tc>
              <w:tc>
                <w:tcPr>
                  <w:tcW w:w="1068" w:type="pct"/>
                  <w:vAlign w:val="center"/>
                </w:tcPr>
                <w:p w14:paraId="0FCDA5D2">
                  <w:pPr>
                    <w:widowControl/>
                    <w:snapToGrid w:val="0"/>
                    <w:spacing w:line="320" w:lineRule="exact"/>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4500</w:t>
                  </w:r>
                </w:p>
              </w:tc>
              <w:tc>
                <w:tcPr>
                  <w:tcW w:w="1081" w:type="pct"/>
                  <w:vAlign w:val="center"/>
                </w:tcPr>
                <w:p w14:paraId="07D1AADE">
                  <w:pPr>
                    <w:widowControl/>
                    <w:snapToGrid w:val="0"/>
                    <w:spacing w:line="320" w:lineRule="exact"/>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9000</w:t>
                  </w:r>
                </w:p>
              </w:tc>
            </w:tr>
            <w:tr w14:paraId="080EFA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000" w:type="pct"/>
                  <w:gridSpan w:val="5"/>
                  <w:vAlign w:val="center"/>
                </w:tcPr>
                <w:p w14:paraId="06E14402">
                  <w:pPr>
                    <w:widowControl/>
                    <w:snapToGrid w:val="0"/>
                    <w:spacing w:line="32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注：①具体地块土壤中污染物检测含量超过筛选值，但等于或者低于土壤环境背景值（见3.6）水平的，纳入污染地块管理，土壤环境背景值可参考附录A。</w:t>
                  </w:r>
                </w:p>
              </w:tc>
            </w:tr>
          </w:tbl>
          <w:p w14:paraId="1F571342">
            <w:pPr>
              <w:spacing w:line="360" w:lineRule="auto"/>
              <w:rPr>
                <w:rFonts w:hint="default" w:ascii="Times New Roman" w:hAnsi="Times New Roman" w:eastAsia="宋体" w:cs="Times New Roman"/>
                <w:color w:val="auto"/>
                <w:sz w:val="24"/>
                <w:szCs w:val="24"/>
              </w:rPr>
            </w:pPr>
          </w:p>
        </w:tc>
      </w:tr>
      <w:tr w14:paraId="07F14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61" w:hRule="atLeast"/>
          <w:jc w:val="center"/>
        </w:trPr>
        <w:tc>
          <w:tcPr>
            <w:tcW w:w="544" w:type="dxa"/>
            <w:tcBorders>
              <w:top w:val="single" w:color="000000" w:sz="6" w:space="0"/>
              <w:left w:val="single" w:color="auto" w:sz="4" w:space="0"/>
              <w:bottom w:val="single" w:color="000000" w:sz="6" w:space="0"/>
              <w:right w:val="single" w:color="000000" w:sz="6" w:space="0"/>
            </w:tcBorders>
            <w:vAlign w:val="center"/>
          </w:tcPr>
          <w:p w14:paraId="612553E7">
            <w:pPr>
              <w:spacing w:line="360" w:lineRule="auto"/>
              <w:jc w:val="center"/>
              <w:rPr>
                <w:rFonts w:hint="default" w:ascii="Times New Roman" w:hAnsi="Times New Roman" w:eastAsia="宋体" w:cs="Times New Roman"/>
                <w:b/>
                <w:color w:val="C00000"/>
                <w:sz w:val="24"/>
                <w:szCs w:val="24"/>
              </w:rPr>
            </w:pPr>
            <w:r>
              <w:rPr>
                <w:rFonts w:hint="default" w:ascii="Times New Roman" w:hAnsi="Times New Roman" w:eastAsia="宋体" w:cs="Times New Roman"/>
                <w:b/>
                <w:color w:val="auto"/>
                <w:sz w:val="24"/>
                <w:szCs w:val="24"/>
              </w:rPr>
              <w:t>污染物排放标准</w:t>
            </w:r>
          </w:p>
        </w:tc>
        <w:tc>
          <w:tcPr>
            <w:tcW w:w="9647" w:type="dxa"/>
            <w:tcBorders>
              <w:top w:val="single" w:color="000000" w:sz="6" w:space="0"/>
              <w:left w:val="single" w:color="auto" w:sz="4" w:space="0"/>
              <w:bottom w:val="single" w:color="000000" w:sz="6" w:space="0"/>
              <w:right w:val="single" w:color="000000" w:sz="6" w:space="0"/>
            </w:tcBorders>
          </w:tcPr>
          <w:p w14:paraId="4C3E3764">
            <w:pPr>
              <w:snapToGrid w:val="0"/>
              <w:spacing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rPr>
              <w:t>1、废水：</w:t>
            </w:r>
            <w:r>
              <w:rPr>
                <w:rFonts w:hint="eastAsia" w:cs="Times New Roman"/>
                <w:b w:val="0"/>
                <w:bCs/>
                <w:color w:val="auto"/>
                <w:sz w:val="24"/>
                <w:szCs w:val="24"/>
                <w:lang w:val="en-US" w:eastAsia="zh-CN"/>
              </w:rPr>
              <w:t>本项目车间及道路洒水降尘用水蒸发，地面冲洗用水经沉淀池处理后用于生产，本项目无生产废水外排。生活污水经厂区已建化粪池处理后定期由周边农户清掏用于农肥，无外排废水产生。</w:t>
            </w:r>
          </w:p>
          <w:p w14:paraId="47A6D268">
            <w:pPr>
              <w:snapToGrid w:val="0"/>
              <w:spacing w:line="360" w:lineRule="auto"/>
              <w:rPr>
                <w:rFonts w:hint="default" w:ascii="Times New Roman" w:hAnsi="Times New Roman" w:cs="Times New Roman"/>
                <w:b w:val="0"/>
                <w:bCs w:val="0"/>
                <w:sz w:val="24"/>
                <w:lang w:val="en-US" w:eastAsia="zh-CN"/>
              </w:rPr>
            </w:pPr>
            <w:r>
              <w:rPr>
                <w:rFonts w:hint="default" w:ascii="Times New Roman" w:hAnsi="Times New Roman" w:eastAsia="宋体" w:cs="Times New Roman"/>
                <w:b/>
                <w:color w:val="auto"/>
                <w:sz w:val="24"/>
                <w:szCs w:val="24"/>
              </w:rPr>
              <w:t>2、废气：</w:t>
            </w:r>
            <w:r>
              <w:rPr>
                <w:rFonts w:hint="eastAsia"/>
                <w:b w:val="0"/>
                <w:bCs w:val="0"/>
                <w:sz w:val="24"/>
              </w:rPr>
              <w:t>施工期</w:t>
            </w:r>
            <w:r>
              <w:rPr>
                <w:rFonts w:hint="eastAsia"/>
                <w:b w:val="0"/>
                <w:bCs w:val="0"/>
                <w:sz w:val="24"/>
                <w:lang w:val="en-US" w:eastAsia="zh-CN"/>
              </w:rPr>
              <w:t>废气排放执行《四川省施工期扬尘排放》（DB51/ 2682—2020）中表1标准限制要求，</w:t>
            </w:r>
            <w:r>
              <w:rPr>
                <w:rFonts w:hint="eastAsia" w:ascii="Times New Roman" w:hAnsi="Times New Roman" w:cs="Times New Roman"/>
                <w:b w:val="0"/>
                <w:bCs w:val="0"/>
                <w:sz w:val="24"/>
                <w:lang w:val="en-US" w:eastAsia="zh-CN"/>
              </w:rPr>
              <w:t>营运期大气污染物排放执行</w:t>
            </w:r>
            <w:r>
              <w:rPr>
                <w:rFonts w:hint="default" w:ascii="Times New Roman" w:hAnsi="Times New Roman" w:cs="Times New Roman"/>
                <w:b w:val="0"/>
                <w:bCs w:val="0"/>
                <w:sz w:val="24"/>
                <w:lang w:val="en-US" w:eastAsia="zh-CN"/>
              </w:rPr>
              <w:t>《大气污染物综合排放标准》GB16297-1996中二级标准。</w:t>
            </w:r>
          </w:p>
          <w:p w14:paraId="4A6AE87C">
            <w:pPr>
              <w:pStyle w:val="2"/>
              <w:jc w:val="center"/>
              <w:rPr>
                <w:rFonts w:ascii="Times New Roman" w:eastAsia="黑体" w:cs="Times New Roman"/>
                <w:b/>
                <w:color w:val="auto"/>
              </w:rPr>
            </w:pPr>
            <w:r>
              <w:rPr>
                <w:rFonts w:ascii="Times New Roman" w:cs="Times New Roman"/>
                <w:b/>
                <w:color w:val="auto"/>
                <w:kern w:val="2"/>
                <w:sz w:val="21"/>
                <w:szCs w:val="21"/>
              </w:rPr>
              <w:t>表4</w:t>
            </w:r>
            <w:r>
              <w:rPr>
                <w:rFonts w:hint="eastAsia" w:ascii="Times New Roman" w:cs="Times New Roman"/>
                <w:b/>
                <w:color w:val="auto"/>
                <w:kern w:val="2"/>
                <w:sz w:val="21"/>
                <w:szCs w:val="21"/>
                <w:lang w:val="en-US" w:eastAsia="zh-CN"/>
              </w:rPr>
              <w:t>-5</w:t>
            </w:r>
            <w:r>
              <w:rPr>
                <w:rFonts w:ascii="Times New Roman" w:cs="Times New Roman"/>
                <w:b/>
                <w:color w:val="auto"/>
                <w:kern w:val="2"/>
                <w:sz w:val="21"/>
                <w:szCs w:val="21"/>
              </w:rPr>
              <w:t xml:space="preserve">  </w:t>
            </w:r>
            <w:r>
              <w:rPr>
                <w:rFonts w:hint="eastAsia" w:ascii="Times New Roman" w:cs="Times New Roman"/>
                <w:b/>
                <w:color w:val="auto"/>
                <w:kern w:val="2"/>
                <w:sz w:val="21"/>
                <w:szCs w:val="21"/>
                <w:lang w:val="en-US" w:eastAsia="zh-CN"/>
              </w:rPr>
              <w:t>施工期扬尘排放</w:t>
            </w:r>
            <w:r>
              <w:rPr>
                <w:rFonts w:hint="eastAsia" w:ascii="Times New Roman" w:cs="Times New Roman"/>
                <w:b/>
                <w:color w:val="auto"/>
                <w:kern w:val="2"/>
                <w:sz w:val="21"/>
                <w:szCs w:val="21"/>
              </w:rPr>
              <w:t>浓度     单位：</w:t>
            </w:r>
            <w:r>
              <w:rPr>
                <w:rFonts w:hint="eastAsia" w:ascii="Times New Roman" w:cs="Times New Roman"/>
                <w:b w:val="0"/>
                <w:bCs/>
                <w:color w:val="auto"/>
                <w:kern w:val="2"/>
                <w:sz w:val="21"/>
                <w:szCs w:val="21"/>
                <w:lang w:val="en-US" w:eastAsia="zh-CN"/>
              </w:rPr>
              <w:t>u</w:t>
            </w:r>
            <w:r>
              <w:rPr>
                <w:rFonts w:ascii="Times New Roman" w:cs="Times New Roman"/>
                <w:color w:val="auto"/>
                <w:spacing w:val="4"/>
                <w:sz w:val="21"/>
                <w:szCs w:val="21"/>
              </w:rPr>
              <w:t>g/m</w:t>
            </w:r>
            <w:r>
              <w:rPr>
                <w:rFonts w:ascii="Times New Roman" w:cs="Times New Roman"/>
                <w:color w:val="auto"/>
                <w:spacing w:val="4"/>
                <w:sz w:val="21"/>
                <w:szCs w:val="21"/>
                <w:vertAlign w:val="superscript"/>
              </w:rPr>
              <w:t>3</w:t>
            </w:r>
          </w:p>
          <w:tbl>
            <w:tblPr>
              <w:tblStyle w:val="22"/>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88"/>
              <w:gridCol w:w="950"/>
              <w:gridCol w:w="3151"/>
              <w:gridCol w:w="1880"/>
              <w:gridCol w:w="1556"/>
            </w:tblGrid>
            <w:tr w14:paraId="134B71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001" w:type="pct"/>
                  <w:noWrap w:val="0"/>
                  <w:vAlign w:val="center"/>
                </w:tcPr>
                <w:p w14:paraId="51449BFC">
                  <w:pPr>
                    <w:snapToGrid w:val="0"/>
                    <w:spacing w:line="320" w:lineRule="exact"/>
                    <w:jc w:val="center"/>
                    <w:rPr>
                      <w:rFonts w:hint="default" w:eastAsia="宋体"/>
                      <w:spacing w:val="4"/>
                      <w:szCs w:val="21"/>
                      <w:lang w:val="en-US" w:eastAsia="zh-CN"/>
                    </w:rPr>
                  </w:pPr>
                  <w:r>
                    <w:rPr>
                      <w:rFonts w:hint="eastAsia"/>
                      <w:spacing w:val="4"/>
                      <w:szCs w:val="21"/>
                      <w:lang w:val="en-US" w:eastAsia="zh-CN"/>
                    </w:rPr>
                    <w:t>监测项目</w:t>
                  </w:r>
                </w:p>
              </w:tc>
              <w:tc>
                <w:tcPr>
                  <w:tcW w:w="504" w:type="pct"/>
                  <w:noWrap w:val="0"/>
                  <w:vAlign w:val="center"/>
                </w:tcPr>
                <w:p w14:paraId="773FFACC">
                  <w:pPr>
                    <w:snapToGrid w:val="0"/>
                    <w:spacing w:line="260" w:lineRule="exact"/>
                    <w:jc w:val="center"/>
                    <w:rPr>
                      <w:rFonts w:hint="eastAsia" w:eastAsia="宋体"/>
                      <w:spacing w:val="4"/>
                      <w:szCs w:val="21"/>
                      <w:lang w:eastAsia="zh-CN"/>
                    </w:rPr>
                  </w:pPr>
                  <w:r>
                    <w:rPr>
                      <w:rFonts w:hint="eastAsia"/>
                      <w:spacing w:val="4"/>
                      <w:szCs w:val="21"/>
                      <w:lang w:val="en-US" w:eastAsia="zh-CN"/>
                    </w:rPr>
                    <w:t>区域</w:t>
                  </w:r>
                </w:p>
              </w:tc>
              <w:tc>
                <w:tcPr>
                  <w:tcW w:w="1671" w:type="pct"/>
                  <w:noWrap w:val="0"/>
                  <w:vAlign w:val="center"/>
                </w:tcPr>
                <w:p w14:paraId="0574ECBF">
                  <w:pPr>
                    <w:snapToGrid w:val="0"/>
                    <w:spacing w:line="260" w:lineRule="exact"/>
                    <w:jc w:val="center"/>
                    <w:rPr>
                      <w:rFonts w:hint="default" w:eastAsia="宋体"/>
                      <w:spacing w:val="4"/>
                      <w:szCs w:val="21"/>
                      <w:lang w:val="en-US" w:eastAsia="zh-CN"/>
                    </w:rPr>
                  </w:pPr>
                  <w:r>
                    <w:rPr>
                      <w:rFonts w:hint="eastAsia"/>
                      <w:spacing w:val="4"/>
                      <w:szCs w:val="21"/>
                      <w:lang w:val="en-US" w:eastAsia="zh-CN"/>
                    </w:rPr>
                    <w:t>施工阶段</w:t>
                  </w:r>
                </w:p>
              </w:tc>
              <w:tc>
                <w:tcPr>
                  <w:tcW w:w="997" w:type="pct"/>
                  <w:noWrap w:val="0"/>
                  <w:vAlign w:val="center"/>
                </w:tcPr>
                <w:p w14:paraId="73945B46">
                  <w:pPr>
                    <w:snapToGrid w:val="0"/>
                    <w:spacing w:line="260" w:lineRule="exact"/>
                    <w:jc w:val="center"/>
                    <w:rPr>
                      <w:rFonts w:hint="default" w:eastAsia="宋体"/>
                      <w:spacing w:val="4"/>
                      <w:szCs w:val="21"/>
                      <w:lang w:val="en-US" w:eastAsia="zh-CN"/>
                    </w:rPr>
                  </w:pPr>
                  <w:r>
                    <w:rPr>
                      <w:rFonts w:hint="eastAsia"/>
                      <w:spacing w:val="4"/>
                      <w:szCs w:val="21"/>
                      <w:lang w:val="en-US" w:eastAsia="zh-CN"/>
                    </w:rPr>
                    <w:t>监测点排放限值</w:t>
                  </w:r>
                </w:p>
              </w:tc>
              <w:tc>
                <w:tcPr>
                  <w:tcW w:w="825" w:type="pct"/>
                  <w:noWrap w:val="0"/>
                  <w:vAlign w:val="center"/>
                </w:tcPr>
                <w:p w14:paraId="6E308AC2">
                  <w:pPr>
                    <w:snapToGrid w:val="0"/>
                    <w:spacing w:line="260" w:lineRule="exact"/>
                    <w:jc w:val="center"/>
                    <w:rPr>
                      <w:rFonts w:hint="default" w:eastAsia="宋体"/>
                      <w:spacing w:val="4"/>
                      <w:szCs w:val="21"/>
                      <w:lang w:val="en-US" w:eastAsia="zh-CN"/>
                    </w:rPr>
                  </w:pPr>
                  <w:r>
                    <w:rPr>
                      <w:rFonts w:hint="eastAsia"/>
                      <w:spacing w:val="4"/>
                      <w:szCs w:val="21"/>
                      <w:lang w:val="en-US" w:eastAsia="zh-CN"/>
                    </w:rPr>
                    <w:t>监测时间</w:t>
                  </w:r>
                </w:p>
              </w:tc>
            </w:tr>
            <w:tr w14:paraId="5BF69D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1" w:hRule="atLeast"/>
                <w:jc w:val="center"/>
              </w:trPr>
              <w:tc>
                <w:tcPr>
                  <w:tcW w:w="1001" w:type="pct"/>
                  <w:vMerge w:val="restart"/>
                  <w:noWrap w:val="0"/>
                  <w:vAlign w:val="center"/>
                </w:tcPr>
                <w:p w14:paraId="67853081">
                  <w:pPr>
                    <w:snapToGrid w:val="0"/>
                    <w:spacing w:line="320" w:lineRule="exact"/>
                    <w:jc w:val="center"/>
                    <w:rPr>
                      <w:rFonts w:hint="default" w:eastAsia="宋体"/>
                      <w:spacing w:val="4"/>
                      <w:szCs w:val="21"/>
                      <w:lang w:val="en-US" w:eastAsia="zh-CN"/>
                    </w:rPr>
                  </w:pPr>
                  <w:r>
                    <w:rPr>
                      <w:rFonts w:hint="eastAsia"/>
                      <w:spacing w:val="4"/>
                      <w:szCs w:val="21"/>
                      <w:lang w:val="en-US" w:eastAsia="zh-CN"/>
                    </w:rPr>
                    <w:t>总悬浮颗粒物（TSP）</w:t>
                  </w:r>
                </w:p>
              </w:tc>
              <w:tc>
                <w:tcPr>
                  <w:tcW w:w="504" w:type="pct"/>
                  <w:vMerge w:val="restart"/>
                  <w:noWrap w:val="0"/>
                  <w:vAlign w:val="center"/>
                </w:tcPr>
                <w:p w14:paraId="05F286C6">
                  <w:pPr>
                    <w:snapToGrid w:val="0"/>
                    <w:spacing w:line="320" w:lineRule="exact"/>
                    <w:jc w:val="center"/>
                    <w:rPr>
                      <w:rFonts w:hint="default" w:eastAsia="宋体"/>
                      <w:spacing w:val="4"/>
                      <w:szCs w:val="21"/>
                      <w:lang w:val="en-US" w:eastAsia="zh-CN"/>
                    </w:rPr>
                  </w:pPr>
                  <w:r>
                    <w:rPr>
                      <w:rFonts w:hint="eastAsia"/>
                      <w:spacing w:val="4"/>
                      <w:szCs w:val="21"/>
                      <w:lang w:val="en-US" w:eastAsia="zh-CN"/>
                    </w:rPr>
                    <w:t>遂宁市</w:t>
                  </w:r>
                </w:p>
              </w:tc>
              <w:tc>
                <w:tcPr>
                  <w:tcW w:w="1671" w:type="pct"/>
                  <w:noWrap w:val="0"/>
                  <w:vAlign w:val="center"/>
                </w:tcPr>
                <w:p w14:paraId="3DD460E8">
                  <w:pPr>
                    <w:keepNext w:val="0"/>
                    <w:keepLines w:val="0"/>
                    <w:widowControl/>
                    <w:suppressLineNumbers w:val="0"/>
                    <w:jc w:val="center"/>
                    <w:rPr>
                      <w:spacing w:val="4"/>
                      <w:szCs w:val="21"/>
                    </w:rPr>
                  </w:pPr>
                  <w:r>
                    <w:rPr>
                      <w:rFonts w:hint="eastAsia" w:ascii="宋体" w:hAnsi="宋体" w:eastAsia="宋体" w:cs="宋体"/>
                      <w:color w:val="000000"/>
                      <w:kern w:val="0"/>
                      <w:sz w:val="18"/>
                      <w:szCs w:val="18"/>
                      <w:lang w:val="en-US" w:eastAsia="zh-CN" w:bidi="ar"/>
                    </w:rPr>
                    <w:t>拆除工程/土方开挖/土方回填阶段</w:t>
                  </w:r>
                </w:p>
              </w:tc>
              <w:tc>
                <w:tcPr>
                  <w:tcW w:w="997" w:type="pct"/>
                  <w:noWrap w:val="0"/>
                  <w:vAlign w:val="center"/>
                </w:tcPr>
                <w:p w14:paraId="7CB3047B">
                  <w:pPr>
                    <w:snapToGrid w:val="0"/>
                    <w:spacing w:line="320" w:lineRule="exact"/>
                    <w:jc w:val="center"/>
                    <w:rPr>
                      <w:rFonts w:hint="default" w:eastAsia="宋体"/>
                      <w:spacing w:val="4"/>
                      <w:szCs w:val="21"/>
                      <w:lang w:val="en-US" w:eastAsia="zh-CN"/>
                    </w:rPr>
                  </w:pPr>
                  <w:r>
                    <w:rPr>
                      <w:rFonts w:hint="eastAsia"/>
                      <w:spacing w:val="4"/>
                      <w:szCs w:val="21"/>
                      <w:lang w:val="en-US" w:eastAsia="zh-CN"/>
                    </w:rPr>
                    <w:t>600</w:t>
                  </w:r>
                </w:p>
              </w:tc>
              <w:tc>
                <w:tcPr>
                  <w:tcW w:w="825" w:type="pct"/>
                  <w:vMerge w:val="restart"/>
                  <w:noWrap w:val="0"/>
                  <w:vAlign w:val="center"/>
                </w:tcPr>
                <w:p w14:paraId="6F1B3794">
                  <w:pPr>
                    <w:keepNext w:val="0"/>
                    <w:keepLines w:val="0"/>
                    <w:widowControl/>
                    <w:suppressLineNumbers w:val="0"/>
                    <w:jc w:val="center"/>
                  </w:pPr>
                  <w:r>
                    <w:rPr>
                      <w:rFonts w:hint="eastAsia" w:ascii="宋体" w:hAnsi="宋体" w:eastAsia="宋体" w:cs="宋体"/>
                      <w:color w:val="000000"/>
                      <w:kern w:val="0"/>
                      <w:sz w:val="18"/>
                      <w:szCs w:val="18"/>
                      <w:lang w:val="en-US" w:eastAsia="zh-CN" w:bidi="ar"/>
                    </w:rPr>
                    <w:t>自监测起持续</w:t>
                  </w:r>
                </w:p>
                <w:p w14:paraId="3052EEB1">
                  <w:pPr>
                    <w:keepNext w:val="0"/>
                    <w:keepLines w:val="0"/>
                    <w:widowControl/>
                    <w:suppressLineNumbers w:val="0"/>
                    <w:jc w:val="center"/>
                    <w:rPr>
                      <w:rFonts w:hint="eastAsia"/>
                      <w:spacing w:val="4"/>
                      <w:szCs w:val="21"/>
                    </w:rPr>
                  </w:pPr>
                  <w:r>
                    <w:rPr>
                      <w:rFonts w:hint="eastAsia" w:ascii="宋体" w:hAnsi="宋体" w:eastAsia="宋体" w:cs="宋体"/>
                      <w:color w:val="000000"/>
                      <w:kern w:val="0"/>
                      <w:sz w:val="18"/>
                      <w:szCs w:val="18"/>
                      <w:lang w:val="en-US" w:eastAsia="zh-CN" w:bidi="ar"/>
                    </w:rPr>
                    <w:t>15 分钟</w:t>
                  </w:r>
                </w:p>
              </w:tc>
            </w:tr>
            <w:tr w14:paraId="20D38F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1" w:hRule="atLeast"/>
                <w:jc w:val="center"/>
              </w:trPr>
              <w:tc>
                <w:tcPr>
                  <w:tcW w:w="1001" w:type="pct"/>
                  <w:vMerge w:val="continue"/>
                  <w:noWrap w:val="0"/>
                  <w:vAlign w:val="center"/>
                </w:tcPr>
                <w:p w14:paraId="4AC97464">
                  <w:pPr>
                    <w:snapToGrid w:val="0"/>
                    <w:spacing w:line="320" w:lineRule="exact"/>
                    <w:jc w:val="center"/>
                    <w:rPr>
                      <w:rFonts w:hint="eastAsia"/>
                      <w:spacing w:val="4"/>
                      <w:szCs w:val="21"/>
                    </w:rPr>
                  </w:pPr>
                </w:p>
              </w:tc>
              <w:tc>
                <w:tcPr>
                  <w:tcW w:w="504" w:type="pct"/>
                  <w:vMerge w:val="continue"/>
                  <w:noWrap w:val="0"/>
                  <w:vAlign w:val="center"/>
                </w:tcPr>
                <w:p w14:paraId="08A45B71">
                  <w:pPr>
                    <w:snapToGrid w:val="0"/>
                    <w:spacing w:line="320" w:lineRule="exact"/>
                    <w:jc w:val="center"/>
                    <w:rPr>
                      <w:rFonts w:hint="eastAsia"/>
                      <w:spacing w:val="4"/>
                      <w:szCs w:val="21"/>
                    </w:rPr>
                  </w:pPr>
                </w:p>
              </w:tc>
              <w:tc>
                <w:tcPr>
                  <w:tcW w:w="1671" w:type="pct"/>
                  <w:noWrap w:val="0"/>
                  <w:vAlign w:val="center"/>
                </w:tcPr>
                <w:p w14:paraId="2F439DEB">
                  <w:pPr>
                    <w:keepNext w:val="0"/>
                    <w:keepLines w:val="0"/>
                    <w:widowControl/>
                    <w:suppressLineNumbers w:val="0"/>
                    <w:jc w:val="center"/>
                    <w:rPr>
                      <w:spacing w:val="4"/>
                      <w:szCs w:val="21"/>
                    </w:rPr>
                  </w:pPr>
                  <w:r>
                    <w:rPr>
                      <w:rFonts w:hint="eastAsia" w:ascii="宋体" w:hAnsi="宋体" w:eastAsia="宋体" w:cs="宋体"/>
                      <w:color w:val="000000"/>
                      <w:kern w:val="0"/>
                      <w:sz w:val="18"/>
                      <w:szCs w:val="18"/>
                      <w:lang w:val="en-US" w:eastAsia="zh-CN" w:bidi="ar"/>
                    </w:rPr>
                    <w:t>其他工程阶段</w:t>
                  </w:r>
                </w:p>
              </w:tc>
              <w:tc>
                <w:tcPr>
                  <w:tcW w:w="997" w:type="pct"/>
                  <w:noWrap w:val="0"/>
                  <w:vAlign w:val="center"/>
                </w:tcPr>
                <w:p w14:paraId="68D57762">
                  <w:pPr>
                    <w:snapToGrid w:val="0"/>
                    <w:spacing w:line="320" w:lineRule="exact"/>
                    <w:jc w:val="center"/>
                    <w:rPr>
                      <w:rFonts w:hint="default" w:eastAsia="宋体"/>
                      <w:spacing w:val="4"/>
                      <w:szCs w:val="21"/>
                      <w:lang w:val="en-US" w:eastAsia="zh-CN"/>
                    </w:rPr>
                  </w:pPr>
                  <w:r>
                    <w:rPr>
                      <w:rFonts w:hint="eastAsia"/>
                      <w:spacing w:val="4"/>
                      <w:szCs w:val="21"/>
                      <w:lang w:val="en-US" w:eastAsia="zh-CN"/>
                    </w:rPr>
                    <w:t>250</w:t>
                  </w:r>
                </w:p>
              </w:tc>
              <w:tc>
                <w:tcPr>
                  <w:tcW w:w="825" w:type="pct"/>
                  <w:vMerge w:val="continue"/>
                  <w:noWrap w:val="0"/>
                  <w:vAlign w:val="center"/>
                </w:tcPr>
                <w:p w14:paraId="7FD55DAB">
                  <w:pPr>
                    <w:snapToGrid w:val="0"/>
                    <w:spacing w:line="320" w:lineRule="exact"/>
                    <w:jc w:val="center"/>
                    <w:rPr>
                      <w:rFonts w:hint="eastAsia"/>
                      <w:spacing w:val="4"/>
                      <w:szCs w:val="21"/>
                    </w:rPr>
                  </w:pPr>
                </w:p>
              </w:tc>
            </w:tr>
          </w:tbl>
          <w:p w14:paraId="4BED9426">
            <w:pPr>
              <w:snapToGrid w:val="0"/>
              <w:spacing w:line="360" w:lineRule="auto"/>
              <w:jc w:val="center"/>
              <w:rPr>
                <w:rFonts w:hint="default" w:ascii="Times New Roman" w:hAnsi="Times New Roman" w:eastAsia="宋体" w:cs="Times New Roman"/>
                <w:b/>
                <w:bCs/>
                <w:color w:val="C00000"/>
                <w:szCs w:val="21"/>
              </w:rPr>
            </w:pPr>
          </w:p>
          <w:p w14:paraId="4823A600">
            <w:pPr>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w:t>
            </w:r>
            <w:r>
              <w:rPr>
                <w:rFonts w:hint="eastAsia" w:cs="Times New Roman"/>
                <w:b/>
                <w:bCs/>
                <w:color w:val="auto"/>
                <w:szCs w:val="21"/>
                <w:lang w:val="en-US" w:eastAsia="zh-CN"/>
              </w:rPr>
              <w:t>6</w:t>
            </w:r>
            <w:r>
              <w:rPr>
                <w:rFonts w:hint="default" w:ascii="Times New Roman" w:hAnsi="Times New Roman" w:eastAsia="宋体" w:cs="Times New Roman"/>
                <w:b/>
                <w:bCs/>
                <w:color w:val="auto"/>
                <w:szCs w:val="21"/>
              </w:rPr>
              <w:t xml:space="preserve">  大气污染物排放限值</w:t>
            </w:r>
          </w:p>
          <w:tbl>
            <w:tblPr>
              <w:tblStyle w:val="22"/>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858"/>
              <w:gridCol w:w="1937"/>
              <w:gridCol w:w="1937"/>
              <w:gridCol w:w="2037"/>
            </w:tblGrid>
            <w:tr w14:paraId="7592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52" w:type="dxa"/>
                  <w:vMerge w:val="restart"/>
                  <w:shd w:val="clear" w:color="auto" w:fill="auto"/>
                  <w:vAlign w:val="center"/>
                </w:tcPr>
                <w:p w14:paraId="7C5A2E2D">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1858" w:type="dxa"/>
                  <w:vMerge w:val="restart"/>
                  <w:shd w:val="clear" w:color="auto" w:fill="auto"/>
                  <w:vAlign w:val="center"/>
                </w:tcPr>
                <w:p w14:paraId="7804E5D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3874" w:type="dxa"/>
                  <w:gridSpan w:val="2"/>
                  <w:shd w:val="clear" w:color="auto" w:fill="auto"/>
                  <w:vAlign w:val="center"/>
                </w:tcPr>
                <w:p w14:paraId="425C925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最高允许排放速率（kg/h）</w:t>
                  </w:r>
                </w:p>
              </w:tc>
              <w:tc>
                <w:tcPr>
                  <w:tcW w:w="2037" w:type="dxa"/>
                  <w:vMerge w:val="restart"/>
                  <w:shd w:val="clear" w:color="auto" w:fill="auto"/>
                  <w:vAlign w:val="center"/>
                </w:tcPr>
                <w:p w14:paraId="24E8B689">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无组织排放浓度限值（mg/m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r>
            <w:tr w14:paraId="082E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52" w:type="dxa"/>
                  <w:vMerge w:val="continue"/>
                  <w:shd w:val="clear" w:color="auto" w:fill="auto"/>
                  <w:vAlign w:val="center"/>
                </w:tcPr>
                <w:p w14:paraId="48898A03">
                  <w:pPr>
                    <w:spacing w:line="276" w:lineRule="auto"/>
                    <w:jc w:val="center"/>
                    <w:rPr>
                      <w:rFonts w:hint="default" w:ascii="Times New Roman" w:hAnsi="Times New Roman" w:eastAsia="宋体" w:cs="Times New Roman"/>
                      <w:color w:val="auto"/>
                      <w:szCs w:val="21"/>
                    </w:rPr>
                  </w:pPr>
                </w:p>
              </w:tc>
              <w:tc>
                <w:tcPr>
                  <w:tcW w:w="1858" w:type="dxa"/>
                  <w:vMerge w:val="continue"/>
                  <w:shd w:val="clear" w:color="auto" w:fill="auto"/>
                  <w:vAlign w:val="center"/>
                </w:tcPr>
                <w:p w14:paraId="620F44BB">
                  <w:pPr>
                    <w:spacing w:line="276" w:lineRule="auto"/>
                    <w:jc w:val="center"/>
                    <w:rPr>
                      <w:rFonts w:hint="default" w:ascii="Times New Roman" w:hAnsi="Times New Roman" w:eastAsia="宋体" w:cs="Times New Roman"/>
                      <w:color w:val="auto"/>
                      <w:szCs w:val="21"/>
                    </w:rPr>
                  </w:pPr>
                </w:p>
              </w:tc>
              <w:tc>
                <w:tcPr>
                  <w:tcW w:w="1937" w:type="dxa"/>
                  <w:shd w:val="clear" w:color="auto" w:fill="auto"/>
                  <w:vAlign w:val="center"/>
                </w:tcPr>
                <w:p w14:paraId="3C659C36">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排放高度（m）</w:t>
                  </w:r>
                </w:p>
              </w:tc>
              <w:tc>
                <w:tcPr>
                  <w:tcW w:w="1937" w:type="dxa"/>
                  <w:shd w:val="clear" w:color="auto" w:fill="auto"/>
                  <w:vAlign w:val="center"/>
                </w:tcPr>
                <w:p w14:paraId="77C57542">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p>
              </w:tc>
              <w:tc>
                <w:tcPr>
                  <w:tcW w:w="2037" w:type="dxa"/>
                  <w:vMerge w:val="continue"/>
                  <w:shd w:val="clear" w:color="auto" w:fill="auto"/>
                  <w:vAlign w:val="center"/>
                </w:tcPr>
                <w:p w14:paraId="5E9B4C99">
                  <w:pPr>
                    <w:spacing w:line="276" w:lineRule="auto"/>
                    <w:jc w:val="center"/>
                    <w:rPr>
                      <w:rFonts w:hint="default" w:ascii="Times New Roman" w:hAnsi="Times New Roman" w:eastAsia="宋体" w:cs="Times New Roman"/>
                      <w:color w:val="auto"/>
                      <w:szCs w:val="21"/>
                    </w:rPr>
                  </w:pPr>
                </w:p>
              </w:tc>
            </w:tr>
            <w:tr w14:paraId="5CD0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2" w:type="dxa"/>
                  <w:shd w:val="clear" w:color="auto" w:fill="auto"/>
                  <w:vAlign w:val="center"/>
                </w:tcPr>
                <w:p w14:paraId="14637609">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858" w:type="dxa"/>
                  <w:shd w:val="clear" w:color="auto" w:fill="auto"/>
                  <w:vAlign w:val="center"/>
                </w:tcPr>
                <w:p w14:paraId="66B799F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1937" w:type="dxa"/>
                  <w:shd w:val="clear" w:color="auto" w:fill="auto"/>
                  <w:vAlign w:val="center"/>
                </w:tcPr>
                <w:p w14:paraId="5E2D19E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1937" w:type="dxa"/>
                  <w:shd w:val="clear" w:color="auto" w:fill="auto"/>
                  <w:vAlign w:val="center"/>
                </w:tcPr>
                <w:p w14:paraId="37CFA09E">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2037" w:type="dxa"/>
                  <w:shd w:val="clear" w:color="auto" w:fill="auto"/>
                  <w:vAlign w:val="center"/>
                </w:tcPr>
                <w:p w14:paraId="0FE24B1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14:paraId="66069345">
            <w:pPr>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3、噪声：</w:t>
            </w:r>
            <w:r>
              <w:rPr>
                <w:rFonts w:hint="default" w:ascii="Times New Roman" w:hAnsi="Times New Roman" w:eastAsia="宋体" w:cs="Times New Roman"/>
                <w:color w:val="auto"/>
                <w:sz w:val="24"/>
                <w:szCs w:val="24"/>
              </w:rPr>
              <w:t>施工期执行《建筑施工场界环境噪声排放标准》（GB12523-2011），营运期执行《工业企业厂界环境噪声排放标准》（GB12348-2008）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类标准。</w:t>
            </w:r>
          </w:p>
          <w:p w14:paraId="73631F32">
            <w:pPr>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表4-</w:t>
            </w:r>
            <w:r>
              <w:rPr>
                <w:rFonts w:hint="eastAsia" w:cs="Times New Roman"/>
                <w:b/>
                <w:bCs/>
                <w:color w:val="auto"/>
                <w:szCs w:val="21"/>
                <w:lang w:val="en-US" w:eastAsia="zh-CN"/>
              </w:rPr>
              <w:t>7</w:t>
            </w:r>
            <w:r>
              <w:rPr>
                <w:rFonts w:hint="default" w:ascii="Times New Roman" w:hAnsi="Times New Roman" w:eastAsia="宋体" w:cs="Times New Roman"/>
                <w:b/>
                <w:bCs/>
                <w:color w:val="auto"/>
                <w:szCs w:val="21"/>
              </w:rPr>
              <w:t xml:space="preserve">  噪声排放限值</w:t>
            </w:r>
          </w:p>
          <w:tbl>
            <w:tblPr>
              <w:tblStyle w:val="22"/>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7"/>
              <w:gridCol w:w="2877"/>
              <w:gridCol w:w="2877"/>
            </w:tblGrid>
            <w:tr w14:paraId="6DA5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7" w:type="dxa"/>
                  <w:shd w:val="clear" w:color="auto" w:fill="auto"/>
                  <w:vAlign w:val="center"/>
                </w:tcPr>
                <w:p w14:paraId="09679911">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2877" w:type="dxa"/>
                  <w:shd w:val="clear" w:color="auto" w:fill="auto"/>
                  <w:vAlign w:val="center"/>
                </w:tcPr>
                <w:p w14:paraId="5B9F0DA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2877" w:type="dxa"/>
                  <w:shd w:val="clear" w:color="auto" w:fill="auto"/>
                  <w:vAlign w:val="center"/>
                </w:tcPr>
                <w:p w14:paraId="17C70472">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14:paraId="7ED0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7" w:type="dxa"/>
                  <w:shd w:val="clear" w:color="auto" w:fill="auto"/>
                  <w:vAlign w:val="center"/>
                </w:tcPr>
                <w:p w14:paraId="1198B2F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施工期排放标准[dB（A）]</w:t>
                  </w:r>
                </w:p>
              </w:tc>
              <w:tc>
                <w:tcPr>
                  <w:tcW w:w="2877" w:type="dxa"/>
                  <w:shd w:val="clear" w:color="auto" w:fill="auto"/>
                  <w:vAlign w:val="center"/>
                </w:tcPr>
                <w:p w14:paraId="2771A549">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2877" w:type="dxa"/>
                  <w:shd w:val="clear" w:color="auto" w:fill="auto"/>
                  <w:vAlign w:val="center"/>
                </w:tcPr>
                <w:p w14:paraId="7F16613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r w14:paraId="79E9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7" w:type="dxa"/>
                  <w:shd w:val="clear" w:color="auto" w:fill="auto"/>
                  <w:vAlign w:val="center"/>
                </w:tcPr>
                <w:p w14:paraId="2388BFB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营运期排放标准[dB（A）]</w:t>
                  </w:r>
                </w:p>
              </w:tc>
              <w:tc>
                <w:tcPr>
                  <w:tcW w:w="2877" w:type="dxa"/>
                  <w:shd w:val="clear" w:color="auto" w:fill="auto"/>
                  <w:vAlign w:val="center"/>
                </w:tcPr>
                <w:p w14:paraId="5A620B05">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2877" w:type="dxa"/>
                  <w:shd w:val="clear" w:color="auto" w:fill="auto"/>
                  <w:vAlign w:val="center"/>
                </w:tcPr>
                <w:p w14:paraId="6CFBD504">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r>
          </w:tbl>
          <w:p w14:paraId="4636E6B3">
            <w:pPr>
              <w:spacing w:line="360" w:lineRule="auto"/>
              <w:rPr>
                <w:rFonts w:hint="default" w:ascii="Times New Roman" w:hAnsi="Times New Roman" w:eastAsia="宋体" w:cs="Times New Roman"/>
                <w:color w:val="C00000"/>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固废</w:t>
            </w:r>
            <w:r>
              <w:rPr>
                <w:rFonts w:hint="default" w:ascii="Times New Roman" w:hAnsi="Times New Roman" w:cs="Times New Roman"/>
                <w:b/>
                <w:bCs/>
                <w:color w:val="auto"/>
                <w:sz w:val="24"/>
                <w:szCs w:val="24"/>
                <w:lang w:eastAsia="zh-CN"/>
              </w:rPr>
              <w:t>：</w:t>
            </w:r>
            <w:r>
              <w:rPr>
                <w:rFonts w:hint="default" w:ascii="Times New Roman" w:hAnsi="Times New Roman" w:eastAsia="宋体" w:cs="Times New Roman"/>
                <w:color w:val="auto"/>
                <w:sz w:val="24"/>
                <w:szCs w:val="24"/>
              </w:rPr>
              <w:t>执行《一般工业固废贮存、处理场污染物控制标准》(GB18599-2001)及《关于发布〈一般工业固体废物贮存、处置场污染控制标准〉（GB18599-2001）等3项国家污染物控制标准修改单的公告》。</w:t>
            </w:r>
          </w:p>
        </w:tc>
      </w:tr>
      <w:tr w14:paraId="59FFD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42" w:hRule="atLeast"/>
          <w:jc w:val="center"/>
        </w:trPr>
        <w:tc>
          <w:tcPr>
            <w:tcW w:w="544" w:type="dxa"/>
            <w:tcBorders>
              <w:top w:val="single" w:color="000000" w:sz="6" w:space="0"/>
              <w:left w:val="single" w:color="auto" w:sz="4" w:space="0"/>
              <w:bottom w:val="single" w:color="auto" w:sz="4" w:space="0"/>
              <w:right w:val="single" w:color="000000" w:sz="6" w:space="0"/>
            </w:tcBorders>
            <w:vAlign w:val="center"/>
          </w:tcPr>
          <w:p w14:paraId="7F7389CF">
            <w:pPr>
              <w:spacing w:line="360" w:lineRule="auto"/>
              <w:jc w:val="center"/>
              <w:rPr>
                <w:rFonts w:hint="default" w:ascii="Times New Roman" w:hAnsi="Times New Roman" w:eastAsia="宋体" w:cs="Times New Roman"/>
                <w:b/>
                <w:color w:val="C00000"/>
                <w:sz w:val="24"/>
                <w:szCs w:val="24"/>
              </w:rPr>
            </w:pPr>
            <w:r>
              <w:rPr>
                <w:rFonts w:hint="default" w:ascii="Times New Roman" w:hAnsi="Times New Roman" w:eastAsia="宋体" w:cs="Times New Roman"/>
                <w:b/>
                <w:color w:val="auto"/>
                <w:sz w:val="24"/>
                <w:szCs w:val="24"/>
              </w:rPr>
              <w:t>总量控制指标</w:t>
            </w:r>
          </w:p>
        </w:tc>
        <w:tc>
          <w:tcPr>
            <w:tcW w:w="9647" w:type="dxa"/>
            <w:tcBorders>
              <w:top w:val="single" w:color="000000" w:sz="6" w:space="0"/>
              <w:left w:val="single" w:color="auto" w:sz="4" w:space="0"/>
              <w:bottom w:val="single" w:color="auto" w:sz="4" w:space="0"/>
              <w:right w:val="single" w:color="000000" w:sz="6" w:space="0"/>
            </w:tcBorders>
            <w:vAlign w:val="top"/>
          </w:tcPr>
          <w:p w14:paraId="25F55176">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rPr>
              <w:t>根据工程分析，计算出本项目</w:t>
            </w:r>
            <w:r>
              <w:rPr>
                <w:rFonts w:hint="eastAsia" w:ascii="宋体" w:hAnsi="宋体" w:eastAsia="宋体" w:cs="宋体"/>
                <w:color w:val="auto"/>
                <w:kern w:val="0"/>
                <w:sz w:val="24"/>
                <w:lang w:val="en-US" w:eastAsia="zh-CN"/>
              </w:rPr>
              <w:t>建成后</w:t>
            </w:r>
            <w:r>
              <w:rPr>
                <w:rFonts w:hint="eastAsia" w:ascii="宋体" w:hAnsi="宋体" w:eastAsia="宋体" w:cs="宋体"/>
                <w:color w:val="auto"/>
                <w:kern w:val="0"/>
                <w:sz w:val="24"/>
              </w:rPr>
              <w:t>废水污染物年排放总量，提供给环保管理部门，作为制定该公司总量控制指标时的参考：</w:t>
            </w:r>
          </w:p>
          <w:p w14:paraId="1BD4CB29">
            <w:pPr>
              <w:keepNext w:val="0"/>
              <w:keepLines w:val="0"/>
              <w:suppressLineNumbers w:val="0"/>
              <w:autoSpaceDE w:val="0"/>
              <w:autoSpaceDN w:val="0"/>
              <w:adjustRightInd w:val="0"/>
              <w:spacing w:before="0" w:beforeAutospacing="0" w:after="0" w:afterAutospacing="0" w:line="360" w:lineRule="auto"/>
              <w:ind w:left="0" w:right="0" w:firstLine="477" w:firstLineChars="198"/>
              <w:rPr>
                <w:rFonts w:hint="eastAsia" w:ascii="宋体" w:hAnsi="宋体" w:eastAsia="宋体" w:cs="宋体"/>
                <w:color w:val="auto"/>
                <w:kern w:val="0"/>
                <w:sz w:val="24"/>
              </w:rPr>
            </w:pPr>
            <w:r>
              <w:rPr>
                <w:rFonts w:hint="eastAsia" w:ascii="宋体" w:hAnsi="宋体" w:eastAsia="宋体" w:cs="宋体"/>
                <w:b/>
                <w:bCs/>
                <w:color w:val="auto"/>
                <w:kern w:val="0"/>
                <w:sz w:val="24"/>
              </w:rPr>
              <w:t xml:space="preserve">1、废水 </w:t>
            </w:r>
            <w:r>
              <w:rPr>
                <w:rFonts w:hint="eastAsia" w:ascii="宋体" w:hAnsi="宋体" w:eastAsia="宋体" w:cs="宋体"/>
                <w:color w:val="auto"/>
                <w:kern w:val="0"/>
                <w:sz w:val="24"/>
              </w:rPr>
              <w:t xml:space="preserve"> </w:t>
            </w:r>
          </w:p>
          <w:p w14:paraId="581B0F2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rPr>
              <w:t>根据项目污染物排放特点，</w:t>
            </w:r>
            <w:r>
              <w:rPr>
                <w:rFonts w:hint="default" w:ascii="Times New Roman" w:hAnsi="Times New Roman" w:cs="Times New Roman"/>
                <w:bCs/>
                <w:color w:val="auto"/>
                <w:sz w:val="24"/>
                <w:lang w:val="en-US" w:eastAsia="zh-CN"/>
              </w:rPr>
              <w:t>项目生活污水经化粪池处理后由周边农户清掏用于农肥，</w:t>
            </w:r>
            <w:r>
              <w:rPr>
                <w:rFonts w:hint="eastAsia" w:cs="Times New Roman"/>
                <w:bCs/>
                <w:color w:val="auto"/>
                <w:sz w:val="24"/>
                <w:lang w:val="en-US" w:eastAsia="zh-CN"/>
              </w:rPr>
              <w:t>地面</w:t>
            </w:r>
            <w:r>
              <w:rPr>
                <w:rFonts w:hint="default" w:ascii="Times New Roman" w:hAnsi="Times New Roman" w:cs="Times New Roman"/>
                <w:bCs/>
                <w:color w:val="auto"/>
                <w:sz w:val="24"/>
                <w:lang w:val="en-US" w:eastAsia="zh-CN"/>
              </w:rPr>
              <w:t>冲洗废水经沉淀池沉淀后</w:t>
            </w:r>
            <w:r>
              <w:rPr>
                <w:rFonts w:hint="eastAsia" w:cs="Times New Roman"/>
                <w:bCs/>
                <w:color w:val="auto"/>
                <w:sz w:val="24"/>
                <w:lang w:val="en-US" w:eastAsia="zh-CN"/>
              </w:rPr>
              <w:t>回</w:t>
            </w:r>
            <w:r>
              <w:rPr>
                <w:rFonts w:hint="default" w:ascii="Times New Roman" w:hAnsi="Times New Roman" w:cs="Times New Roman"/>
                <w:bCs/>
                <w:color w:val="auto"/>
                <w:sz w:val="24"/>
                <w:lang w:val="en-US" w:eastAsia="zh-CN"/>
              </w:rPr>
              <w:t>用，不外排</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故不设水污染物总量控制指标。</w:t>
            </w:r>
          </w:p>
          <w:p w14:paraId="298F2321">
            <w:pPr>
              <w:keepNext w:val="0"/>
              <w:keepLines w:val="0"/>
              <w:suppressLineNumbers w:val="0"/>
              <w:autoSpaceDE w:val="0"/>
              <w:autoSpaceDN w:val="0"/>
              <w:adjustRightInd w:val="0"/>
              <w:spacing w:before="0" w:beforeAutospacing="0" w:after="0" w:afterAutospacing="0" w:line="360" w:lineRule="auto"/>
              <w:ind w:left="0" w:right="0" w:firstLine="477" w:firstLineChars="198"/>
              <w:rPr>
                <w:rFonts w:hint="default"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2、废气</w:t>
            </w:r>
          </w:p>
          <w:p w14:paraId="784D9DBB">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default" w:hAnsi="宋体"/>
                <w:color w:val="auto"/>
                <w:kern w:val="0"/>
                <w:sz w:val="24"/>
              </w:rPr>
            </w:pPr>
            <w:r>
              <w:rPr>
                <w:rFonts w:hint="default" w:hAnsi="宋体"/>
                <w:color w:val="auto"/>
                <w:kern w:val="0"/>
                <w:sz w:val="24"/>
              </w:rPr>
              <w:t xml:space="preserve">根据《建设项目主要污染物排放总量指标审核及管理暂行办法》（环发[2014]197 号，简称（《暂行方法》）在污染物排放总量指标审核中明确“火电、钢铁、水泥、造纸、印染行业建设项目所需替代的主要污染物排放总量指标采用绩效方法核定。其他行业依照国家或地方污染物排放标准及单位产品基准排水量（行业最高允许排水量）、烟气量等予以核定。”  </w:t>
            </w:r>
          </w:p>
          <w:p w14:paraId="6B200B26">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default" w:hAnsi="宋体"/>
                <w:color w:val="auto"/>
                <w:kern w:val="0"/>
                <w:sz w:val="24"/>
              </w:rPr>
            </w:pPr>
            <w:r>
              <w:rPr>
                <w:rFonts w:hint="default" w:hAnsi="宋体"/>
                <w:color w:val="auto"/>
                <w:kern w:val="0"/>
                <w:sz w:val="24"/>
              </w:rPr>
              <w:t>针对本项目废气排放特点，设置废气总量控制指标为</w:t>
            </w:r>
            <w:r>
              <w:rPr>
                <w:rFonts w:hint="eastAsia" w:hAnsi="宋体"/>
                <w:color w:val="auto"/>
                <w:kern w:val="0"/>
                <w:sz w:val="24"/>
                <w:lang w:val="en-US" w:eastAsia="zh-CN"/>
              </w:rPr>
              <w:t>颗粒物</w:t>
            </w:r>
            <w:r>
              <w:rPr>
                <w:rFonts w:hint="default" w:hAnsi="宋体"/>
                <w:color w:val="auto"/>
                <w:kern w:val="0"/>
                <w:sz w:val="24"/>
              </w:rPr>
              <w:t xml:space="preserve">。根据《暂行方法》）提出总量指标的计算方法，上述废气污染物核算应按照“国家或地方污染物排放标准及单位产品基准排水量（行业最高允许排水量）、烟气量等予以核定”。但是，由于本项目废气中有机废气实际排放量与按照标准核定量差异较大，因此，本项目废气总量指标中 </w:t>
            </w:r>
            <w:r>
              <w:rPr>
                <w:rFonts w:hint="eastAsia" w:hAnsi="宋体"/>
                <w:color w:val="auto"/>
                <w:kern w:val="0"/>
                <w:sz w:val="24"/>
                <w:lang w:val="en-US" w:eastAsia="zh-CN"/>
              </w:rPr>
              <w:t>颗粒物</w:t>
            </w:r>
            <w:r>
              <w:rPr>
                <w:rFonts w:hint="default" w:hAnsi="宋体"/>
                <w:color w:val="auto"/>
                <w:kern w:val="0"/>
                <w:sz w:val="24"/>
              </w:rPr>
              <w:t xml:space="preserve">按实际排放量进行核算。 </w:t>
            </w:r>
          </w:p>
          <w:p w14:paraId="7D815B22">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default" w:hAnsi="宋体"/>
                <w:color w:val="auto"/>
                <w:kern w:val="0"/>
                <w:sz w:val="24"/>
              </w:rPr>
            </w:pPr>
            <w:r>
              <w:rPr>
                <w:rFonts w:hint="default" w:hAnsi="宋体"/>
                <w:color w:val="auto"/>
                <w:kern w:val="0"/>
                <w:sz w:val="24"/>
              </w:rPr>
              <w:t xml:space="preserve">总量核算如下： </w:t>
            </w:r>
          </w:p>
          <w:p w14:paraId="240DC8F9">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eastAsia" w:ascii="Times New Roman" w:hAnsi="宋体" w:cs="Times New Roman"/>
                <w:color w:val="auto"/>
                <w:kern w:val="0"/>
                <w:sz w:val="24"/>
              </w:rPr>
            </w:pPr>
            <w:r>
              <w:rPr>
                <w:rFonts w:hint="eastAsia" w:hAnsi="宋体"/>
                <w:color w:val="auto"/>
                <w:kern w:val="0"/>
                <w:sz w:val="24"/>
                <w:lang w:val="en-US" w:eastAsia="zh-CN"/>
              </w:rPr>
              <w:t>颗粒物</w:t>
            </w:r>
            <w:r>
              <w:rPr>
                <w:rFonts w:hint="default" w:hAnsi="宋体"/>
                <w:color w:val="auto"/>
                <w:kern w:val="0"/>
                <w:sz w:val="24"/>
              </w:rPr>
              <w:t>：</w:t>
            </w:r>
            <w:r>
              <w:rPr>
                <w:rFonts w:hint="eastAsia" w:ascii="Times New Roman" w:hAnsi="宋体" w:cs="Times New Roman"/>
                <w:color w:val="auto"/>
                <w:kern w:val="0"/>
                <w:sz w:val="24"/>
                <w:lang w:val="en-US" w:eastAsia="zh-CN"/>
              </w:rPr>
              <w:t>0.000114</w:t>
            </w:r>
            <w:r>
              <w:rPr>
                <w:rFonts w:hint="default" w:ascii="Times New Roman" w:hAnsi="宋体" w:cs="Times New Roman"/>
                <w:color w:val="auto"/>
                <w:kern w:val="0"/>
                <w:sz w:val="24"/>
              </w:rPr>
              <w:t>t/a</w:t>
            </w:r>
            <w:r>
              <w:rPr>
                <w:rFonts w:hint="eastAsia" w:ascii="Times New Roman" w:hAnsi="宋体" w:cs="Times New Roman"/>
                <w:color w:val="auto"/>
                <w:kern w:val="0"/>
                <w:sz w:val="24"/>
                <w:lang w:val="en-US" w:eastAsia="zh-CN"/>
              </w:rPr>
              <w:t>+0.00912</w:t>
            </w:r>
            <w:r>
              <w:rPr>
                <w:rFonts w:hint="default" w:ascii="Times New Roman" w:hAnsi="宋体" w:cs="Times New Roman"/>
                <w:color w:val="auto"/>
                <w:kern w:val="0"/>
                <w:sz w:val="24"/>
              </w:rPr>
              <w:t>t/a</w:t>
            </w:r>
            <w:r>
              <w:rPr>
                <w:rFonts w:hint="eastAsia" w:ascii="Times New Roman" w:hAnsi="宋体" w:cs="Times New Roman"/>
                <w:color w:val="auto"/>
                <w:kern w:val="0"/>
                <w:sz w:val="24"/>
                <w:lang w:val="en-US" w:eastAsia="zh-CN"/>
              </w:rPr>
              <w:t>+0.00216</w:t>
            </w:r>
            <w:r>
              <w:rPr>
                <w:rFonts w:hint="default" w:ascii="Times New Roman" w:hAnsi="宋体" w:cs="Times New Roman"/>
                <w:color w:val="auto"/>
                <w:kern w:val="0"/>
                <w:sz w:val="24"/>
              </w:rPr>
              <w:t>t/a=</w:t>
            </w:r>
            <w:r>
              <w:rPr>
                <w:rFonts w:hint="eastAsia" w:ascii="Times New Roman" w:hAnsi="宋体" w:cs="Times New Roman"/>
                <w:color w:val="auto"/>
                <w:kern w:val="0"/>
                <w:sz w:val="24"/>
                <w:lang w:val="en-US" w:eastAsia="zh-CN"/>
              </w:rPr>
              <w:t>0.011394</w:t>
            </w:r>
            <w:r>
              <w:rPr>
                <w:rFonts w:hint="default" w:ascii="Times New Roman" w:hAnsi="宋体" w:cs="Times New Roman"/>
                <w:color w:val="auto"/>
                <w:kern w:val="0"/>
                <w:sz w:val="24"/>
              </w:rPr>
              <w:t>t/a</w:t>
            </w:r>
          </w:p>
          <w:p w14:paraId="15056E48">
            <w:pPr>
              <w:keepNext w:val="0"/>
              <w:keepLines w:val="0"/>
              <w:suppressLineNumbers w:val="0"/>
              <w:autoSpaceDE w:val="0"/>
              <w:autoSpaceDN w:val="0"/>
              <w:adjustRightInd w:val="0"/>
              <w:spacing w:before="0" w:beforeAutospacing="0" w:after="0" w:afterAutospacing="0" w:line="360" w:lineRule="auto"/>
              <w:ind w:left="0" w:right="0" w:firstLine="477" w:firstLineChars="198"/>
              <w:rPr>
                <w:rFonts w:hint="default" w:hAnsi="宋体"/>
                <w:b/>
                <w:bCs/>
                <w:color w:val="auto"/>
                <w:kern w:val="0"/>
                <w:sz w:val="24"/>
              </w:rPr>
            </w:pPr>
            <w:r>
              <w:rPr>
                <w:rFonts w:hint="eastAsia" w:ascii="宋体" w:hAnsi="宋体" w:eastAsia="宋体" w:cs="宋体"/>
                <w:b/>
                <w:bCs/>
                <w:color w:val="auto"/>
                <w:kern w:val="0"/>
                <w:sz w:val="24"/>
                <w:lang w:val="en-US" w:eastAsia="zh-CN"/>
              </w:rPr>
              <w:t>3</w:t>
            </w:r>
            <w:r>
              <w:rPr>
                <w:rFonts w:hint="eastAsia" w:ascii="宋体" w:hAnsi="宋体" w:eastAsia="宋体" w:cs="宋体"/>
                <w:b/>
                <w:bCs/>
                <w:color w:val="auto"/>
                <w:kern w:val="0"/>
                <w:sz w:val="24"/>
              </w:rPr>
              <w:t>、</w:t>
            </w:r>
            <w:r>
              <w:rPr>
                <w:rFonts w:hint="default" w:hAnsi="宋体"/>
                <w:b/>
                <w:bCs/>
                <w:color w:val="auto"/>
                <w:kern w:val="0"/>
                <w:sz w:val="24"/>
              </w:rPr>
              <w:t xml:space="preserve">项目总量控制指标汇总 </w:t>
            </w:r>
          </w:p>
          <w:p w14:paraId="797B834F">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eastAsia" w:ascii="宋体" w:hAnsi="宋体" w:eastAsia="宋体" w:cs="宋体"/>
                <w:color w:val="auto"/>
                <w:kern w:val="0"/>
                <w:sz w:val="24"/>
              </w:rPr>
            </w:pPr>
            <w:r>
              <w:rPr>
                <w:rFonts w:hint="default" w:hAnsi="宋体"/>
                <w:color w:val="auto"/>
                <w:kern w:val="0"/>
                <w:sz w:val="24"/>
              </w:rPr>
              <w:t>本项目废水、废气污染物总量控制指标汇总如下</w:t>
            </w:r>
            <w:r>
              <w:rPr>
                <w:rFonts w:hint="eastAsia" w:ascii="宋体" w:hAnsi="宋体" w:eastAsia="宋体" w:cs="宋体"/>
                <w:color w:val="auto"/>
                <w:kern w:val="0"/>
                <w:sz w:val="24"/>
              </w:rPr>
              <w:t xml:space="preserve">： </w:t>
            </w:r>
          </w:p>
          <w:p w14:paraId="32A704F7">
            <w:pPr>
              <w:pStyle w:val="2"/>
              <w:keepNext w:val="0"/>
              <w:keepLines w:val="0"/>
              <w:suppressLineNumbers w:val="0"/>
              <w:spacing w:before="0" w:beforeAutospacing="0" w:after="0" w:afterAutospacing="0" w:line="360" w:lineRule="auto"/>
              <w:ind w:left="0" w:right="0" w:firstLine="422" w:firstLineChars="200"/>
              <w:jc w:val="center"/>
              <w:rPr>
                <w:rFonts w:hint="eastAsia" w:hAnsi="Times New Roman"/>
                <w:b/>
                <w:bCs/>
                <w:sz w:val="21"/>
                <w:szCs w:val="21"/>
                <w:lang w:val="fr-FR"/>
              </w:rPr>
            </w:pPr>
            <w:r>
              <w:rPr>
                <w:rFonts w:hint="eastAsia" w:hAnsi="Times New Roman"/>
                <w:b/>
                <w:bCs/>
                <w:sz w:val="21"/>
                <w:szCs w:val="21"/>
                <w:lang w:val="fr-FR"/>
              </w:rPr>
              <w:t>表</w:t>
            </w:r>
            <w:r>
              <w:rPr>
                <w:rFonts w:hint="eastAsia"/>
                <w:b/>
                <w:bCs/>
                <w:sz w:val="21"/>
                <w:szCs w:val="21"/>
                <w:lang w:val="en-US" w:eastAsia="zh-CN"/>
              </w:rPr>
              <w:t>4</w:t>
            </w:r>
            <w:r>
              <w:rPr>
                <w:rFonts w:hint="eastAsia" w:hAnsi="Times New Roman"/>
                <w:b/>
                <w:bCs/>
                <w:sz w:val="21"/>
                <w:szCs w:val="21"/>
                <w:lang w:val="fr-FR"/>
              </w:rPr>
              <w:t>-</w:t>
            </w:r>
            <w:r>
              <w:rPr>
                <w:rFonts w:hint="eastAsia"/>
                <w:b/>
                <w:bCs/>
                <w:sz w:val="21"/>
                <w:szCs w:val="21"/>
                <w:lang w:val="en-US" w:eastAsia="zh-CN"/>
              </w:rPr>
              <w:t>8</w:t>
            </w:r>
            <w:r>
              <w:rPr>
                <w:rFonts w:hint="eastAsia" w:hAnsi="Times New Roman"/>
                <w:b/>
                <w:bCs/>
                <w:sz w:val="21"/>
                <w:szCs w:val="21"/>
                <w:lang w:val="fr-FR"/>
              </w:rPr>
              <w:t xml:space="preserve">  总量控制指标一览表</w:t>
            </w:r>
          </w:p>
          <w:tbl>
            <w:tblPr>
              <w:tblStyle w:val="22"/>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68"/>
              <w:gridCol w:w="2327"/>
              <w:gridCol w:w="4845"/>
            </w:tblGrid>
            <w:tr w14:paraId="1D0F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0" w:type="dxa"/>
                  <w:shd w:val="clear" w:color="auto" w:fill="auto"/>
                  <w:vAlign w:val="center"/>
                </w:tcPr>
                <w:p w14:paraId="0E33BC24">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序号</w:t>
                  </w:r>
                </w:p>
              </w:tc>
              <w:tc>
                <w:tcPr>
                  <w:tcW w:w="1368" w:type="dxa"/>
                  <w:vAlign w:val="center"/>
                </w:tcPr>
                <w:p w14:paraId="7955E215">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类别</w:t>
                  </w:r>
                </w:p>
              </w:tc>
              <w:tc>
                <w:tcPr>
                  <w:tcW w:w="2327" w:type="dxa"/>
                  <w:vAlign w:val="center"/>
                </w:tcPr>
                <w:p w14:paraId="64288BEA">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控制指标</w:t>
                  </w:r>
                </w:p>
              </w:tc>
              <w:tc>
                <w:tcPr>
                  <w:tcW w:w="4845" w:type="dxa"/>
                  <w:vAlign w:val="center"/>
                </w:tcPr>
                <w:p w14:paraId="6B3CA8A2">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总量控制</w:t>
                  </w:r>
                </w:p>
              </w:tc>
            </w:tr>
            <w:tr w14:paraId="4D42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shd w:val="clear" w:color="auto" w:fill="auto"/>
                  <w:vAlign w:val="center"/>
                </w:tcPr>
                <w:p w14:paraId="7D59CE30">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1</w:t>
                  </w:r>
                </w:p>
              </w:tc>
              <w:tc>
                <w:tcPr>
                  <w:tcW w:w="1368" w:type="dxa"/>
                  <w:vAlign w:val="center"/>
                </w:tcPr>
                <w:p w14:paraId="3A64DA78">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大气污染物</w:t>
                  </w:r>
                </w:p>
              </w:tc>
              <w:tc>
                <w:tcPr>
                  <w:tcW w:w="2327" w:type="dxa"/>
                  <w:vAlign w:val="center"/>
                </w:tcPr>
                <w:p w14:paraId="51F94EB7">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颗粒物</w:t>
                  </w:r>
                </w:p>
              </w:tc>
              <w:tc>
                <w:tcPr>
                  <w:tcW w:w="4845" w:type="dxa"/>
                  <w:vAlign w:val="center"/>
                </w:tcPr>
                <w:p w14:paraId="1B6998BE">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0.011394</w:t>
                  </w:r>
                  <w:r>
                    <w:rPr>
                      <w:rFonts w:hint="eastAsia"/>
                      <w:color w:val="auto"/>
                      <w:szCs w:val="21"/>
                    </w:rPr>
                    <w:t>t</w:t>
                  </w:r>
                  <w:r>
                    <w:rPr>
                      <w:rFonts w:hint="default"/>
                      <w:color w:val="auto"/>
                      <w:szCs w:val="21"/>
                    </w:rPr>
                    <w:t>/a</w:t>
                  </w:r>
                </w:p>
              </w:tc>
            </w:tr>
          </w:tbl>
          <w:p w14:paraId="2C21801C">
            <w:pPr>
              <w:spacing w:line="360" w:lineRule="auto"/>
              <w:ind w:firstLine="480" w:firstLineChars="200"/>
              <w:rPr>
                <w:rFonts w:hint="default" w:ascii="Times New Roman" w:hAnsi="Times New Roman" w:eastAsia="宋体" w:cs="Times New Roman"/>
                <w:color w:val="C00000"/>
                <w:sz w:val="24"/>
                <w:szCs w:val="24"/>
                <w:lang w:val="fr-FR"/>
              </w:rPr>
            </w:pPr>
          </w:p>
        </w:tc>
      </w:tr>
    </w:tbl>
    <w:p w14:paraId="0CE86216">
      <w:pPr>
        <w:spacing w:line="360" w:lineRule="auto"/>
        <w:ind w:firstLine="281" w:firstLineChars="100"/>
        <w:rPr>
          <w:rFonts w:hint="default" w:ascii="Times New Roman" w:hAnsi="Times New Roman" w:eastAsia="宋体" w:cs="Times New Roman"/>
          <w:b/>
          <w:color w:val="C00000"/>
          <w:sz w:val="28"/>
          <w:szCs w:val="28"/>
        </w:rPr>
      </w:pPr>
    </w:p>
    <w:p w14:paraId="718CB262">
      <w:pPr>
        <w:spacing w:line="360" w:lineRule="auto"/>
        <w:ind w:firstLine="281" w:firstLineChars="100"/>
        <w:rPr>
          <w:rFonts w:hint="default" w:ascii="Times New Roman" w:hAnsi="Times New Roman" w:eastAsia="宋体" w:cs="Times New Roman"/>
          <w:b/>
          <w:color w:val="C00000"/>
          <w:sz w:val="28"/>
          <w:szCs w:val="28"/>
        </w:rPr>
      </w:pPr>
    </w:p>
    <w:p w14:paraId="0B7FC04B">
      <w:pPr>
        <w:spacing w:line="360" w:lineRule="auto"/>
        <w:ind w:firstLine="281" w:firstLineChars="100"/>
        <w:rPr>
          <w:rFonts w:hint="default" w:ascii="Times New Roman" w:hAnsi="Times New Roman" w:eastAsia="宋体" w:cs="Times New Roman"/>
          <w:b/>
          <w:color w:val="C00000"/>
          <w:sz w:val="28"/>
          <w:szCs w:val="28"/>
        </w:rPr>
      </w:pPr>
    </w:p>
    <w:p w14:paraId="5017FE45">
      <w:pPr>
        <w:spacing w:line="360" w:lineRule="auto"/>
        <w:ind w:firstLine="281" w:firstLineChars="100"/>
        <w:rPr>
          <w:rFonts w:hint="default" w:ascii="Times New Roman" w:hAnsi="Times New Roman" w:eastAsia="宋体" w:cs="Times New Roman"/>
          <w:b/>
          <w:color w:val="C00000"/>
          <w:sz w:val="28"/>
          <w:szCs w:val="28"/>
        </w:rPr>
      </w:pPr>
    </w:p>
    <w:p w14:paraId="44246B65">
      <w:pPr>
        <w:spacing w:line="360" w:lineRule="auto"/>
        <w:ind w:firstLine="281" w:firstLineChars="100"/>
        <w:rPr>
          <w:rFonts w:hint="default" w:ascii="Times New Roman" w:hAnsi="Times New Roman" w:eastAsia="宋体" w:cs="Times New Roman"/>
          <w:b/>
          <w:color w:val="C00000"/>
          <w:sz w:val="28"/>
          <w:szCs w:val="28"/>
        </w:rPr>
      </w:pPr>
    </w:p>
    <w:p w14:paraId="405E3763">
      <w:pPr>
        <w:spacing w:line="360" w:lineRule="auto"/>
        <w:ind w:firstLine="281" w:firstLineChars="100"/>
        <w:rPr>
          <w:rFonts w:hint="default" w:ascii="Times New Roman" w:hAnsi="Times New Roman" w:eastAsia="宋体" w:cs="Times New Roman"/>
          <w:b/>
          <w:color w:val="C00000"/>
          <w:sz w:val="28"/>
          <w:szCs w:val="28"/>
        </w:rPr>
      </w:pPr>
    </w:p>
    <w:p w14:paraId="792A14BC">
      <w:pPr>
        <w:spacing w:line="360" w:lineRule="auto"/>
        <w:ind w:firstLine="281" w:firstLineChars="100"/>
        <w:rPr>
          <w:rFonts w:hint="default" w:ascii="Times New Roman" w:hAnsi="Times New Roman" w:eastAsia="宋体" w:cs="Times New Roman"/>
          <w:b/>
          <w:color w:val="C00000"/>
          <w:sz w:val="28"/>
          <w:szCs w:val="28"/>
        </w:rPr>
      </w:pPr>
    </w:p>
    <w:p w14:paraId="328AC05B">
      <w:pPr>
        <w:spacing w:line="360" w:lineRule="auto"/>
        <w:ind w:firstLine="281" w:firstLineChars="100"/>
        <w:rPr>
          <w:rFonts w:hint="default" w:ascii="Times New Roman" w:hAnsi="Times New Roman" w:eastAsia="宋体" w:cs="Times New Roman"/>
          <w:b/>
          <w:color w:val="C00000"/>
          <w:sz w:val="28"/>
          <w:szCs w:val="28"/>
        </w:rPr>
      </w:pPr>
    </w:p>
    <w:p w14:paraId="13F36561">
      <w:pPr>
        <w:spacing w:line="360" w:lineRule="auto"/>
        <w:ind w:firstLine="281" w:firstLineChars="100"/>
        <w:outlineLvl w:val="0"/>
        <w:rPr>
          <w:rFonts w:hint="default" w:ascii="Times New Roman" w:hAnsi="Times New Roman" w:eastAsia="宋体" w:cs="Times New Roman"/>
          <w:b/>
          <w:color w:val="auto"/>
          <w:sz w:val="28"/>
          <w:szCs w:val="28"/>
        </w:rPr>
      </w:pPr>
    </w:p>
    <w:p w14:paraId="496AE4F5">
      <w:pPr>
        <w:spacing w:line="360" w:lineRule="auto"/>
        <w:ind w:firstLine="281" w:firstLineChars="100"/>
        <w:outlineLvl w:val="0"/>
        <w:rPr>
          <w:rFonts w:hint="default" w:ascii="Times New Roman" w:hAnsi="Times New Roman" w:eastAsia="宋体" w:cs="Times New Roman"/>
          <w:b/>
          <w:color w:val="auto"/>
          <w:sz w:val="28"/>
          <w:szCs w:val="28"/>
        </w:rPr>
      </w:pPr>
    </w:p>
    <w:p w14:paraId="0140E265">
      <w:pPr>
        <w:spacing w:line="360" w:lineRule="auto"/>
        <w:ind w:firstLine="281" w:firstLineChars="100"/>
        <w:outlineLvl w:val="0"/>
        <w:rPr>
          <w:rFonts w:hint="default" w:ascii="Times New Roman" w:hAnsi="Times New Roman" w:eastAsia="宋体" w:cs="Times New Roman"/>
          <w:b/>
          <w:color w:val="auto"/>
          <w:sz w:val="28"/>
          <w:szCs w:val="28"/>
        </w:rPr>
      </w:pPr>
    </w:p>
    <w:p w14:paraId="309C0CDD">
      <w:pPr>
        <w:spacing w:line="360" w:lineRule="auto"/>
        <w:ind w:firstLine="281" w:firstLineChars="100"/>
        <w:outlineLvl w:val="0"/>
        <w:rPr>
          <w:rFonts w:hint="default" w:ascii="Times New Roman" w:hAnsi="Times New Roman" w:eastAsia="宋体" w:cs="Times New Roman"/>
          <w:b/>
          <w:color w:val="auto"/>
          <w:sz w:val="28"/>
          <w:szCs w:val="28"/>
        </w:rPr>
      </w:pPr>
    </w:p>
    <w:p w14:paraId="4B01320D">
      <w:pPr>
        <w:spacing w:line="360" w:lineRule="auto"/>
        <w:ind w:firstLine="281" w:firstLineChars="100"/>
        <w:outlineLvl w:val="0"/>
        <w:rPr>
          <w:rFonts w:hint="default" w:ascii="Times New Roman" w:hAnsi="Times New Roman" w:eastAsia="宋体" w:cs="Times New Roman"/>
          <w:b/>
          <w:color w:val="auto"/>
          <w:sz w:val="28"/>
          <w:szCs w:val="28"/>
        </w:rPr>
      </w:pPr>
    </w:p>
    <w:p w14:paraId="4397096F">
      <w:pPr>
        <w:spacing w:line="360" w:lineRule="auto"/>
        <w:ind w:firstLine="281" w:firstLineChars="100"/>
        <w:outlineLvl w:val="0"/>
        <w:rPr>
          <w:rFonts w:hint="default" w:ascii="Times New Roman" w:hAnsi="Times New Roman" w:eastAsia="宋体" w:cs="Times New Roman"/>
          <w:b/>
          <w:color w:val="auto"/>
          <w:sz w:val="28"/>
          <w:szCs w:val="28"/>
        </w:rPr>
      </w:pPr>
    </w:p>
    <w:p w14:paraId="3655300B">
      <w:pPr>
        <w:spacing w:line="360" w:lineRule="auto"/>
        <w:ind w:firstLine="281" w:firstLineChars="100"/>
        <w:outlineLvl w:val="0"/>
        <w:rPr>
          <w:rFonts w:hint="default" w:ascii="Times New Roman" w:hAnsi="Times New Roman" w:eastAsia="宋体" w:cs="Times New Roman"/>
          <w:b/>
          <w:color w:val="auto"/>
          <w:sz w:val="28"/>
          <w:szCs w:val="28"/>
        </w:rPr>
      </w:pPr>
    </w:p>
    <w:p w14:paraId="24FA5C62">
      <w:pPr>
        <w:spacing w:line="360" w:lineRule="auto"/>
        <w:ind w:firstLine="281" w:firstLineChars="100"/>
        <w:outlineLvl w:val="0"/>
        <w:rPr>
          <w:rFonts w:hint="default" w:ascii="Times New Roman" w:hAnsi="Times New Roman" w:eastAsia="宋体" w:cs="Times New Roman"/>
          <w:b/>
          <w:color w:val="auto"/>
          <w:sz w:val="28"/>
          <w:szCs w:val="28"/>
        </w:rPr>
      </w:pPr>
    </w:p>
    <w:p w14:paraId="64921CC6">
      <w:pPr>
        <w:spacing w:line="360" w:lineRule="auto"/>
        <w:ind w:firstLine="281" w:firstLineChars="100"/>
        <w:outlineLvl w:val="0"/>
        <w:rPr>
          <w:rFonts w:hint="default" w:ascii="Times New Roman" w:hAnsi="Times New Roman" w:eastAsia="宋体" w:cs="Times New Roman"/>
          <w:b/>
          <w:color w:val="auto"/>
          <w:sz w:val="28"/>
          <w:szCs w:val="28"/>
        </w:rPr>
      </w:pPr>
    </w:p>
    <w:p w14:paraId="49ADBEA0">
      <w:pPr>
        <w:spacing w:line="360" w:lineRule="auto"/>
        <w:ind w:firstLine="281" w:firstLineChars="100"/>
        <w:outlineLvl w:val="0"/>
        <w:rPr>
          <w:rFonts w:hint="default" w:ascii="Times New Roman" w:hAnsi="Times New Roman" w:eastAsia="宋体" w:cs="Times New Roman"/>
          <w:b/>
          <w:color w:val="auto"/>
          <w:sz w:val="28"/>
          <w:szCs w:val="28"/>
        </w:rPr>
      </w:pPr>
    </w:p>
    <w:p w14:paraId="2FADB098">
      <w:pPr>
        <w:spacing w:line="360" w:lineRule="auto"/>
        <w:ind w:firstLine="281" w:firstLineChars="100"/>
        <w:outlineLvl w:val="0"/>
        <w:rPr>
          <w:rFonts w:hint="default" w:ascii="Times New Roman" w:hAnsi="Times New Roman" w:eastAsia="宋体" w:cs="Times New Roman"/>
          <w:b/>
          <w:color w:val="auto"/>
          <w:sz w:val="28"/>
          <w:szCs w:val="28"/>
        </w:rPr>
      </w:pPr>
    </w:p>
    <w:p w14:paraId="7A15082D">
      <w:pPr>
        <w:spacing w:line="360" w:lineRule="auto"/>
        <w:ind w:firstLine="281" w:firstLineChars="100"/>
        <w:outlineLvl w:val="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 xml:space="preserve">建设项目工程分析                                           </w:t>
      </w:r>
      <w:r>
        <w:rPr>
          <w:rFonts w:hint="default" w:ascii="Times New Roman" w:hAnsi="Times New Roman" w:eastAsia="宋体" w:cs="Times New Roman"/>
          <w:b/>
          <w:color w:val="auto"/>
          <w:sz w:val="28"/>
          <w:szCs w:val="28"/>
          <w:lang w:val="en-US" w:eastAsia="zh-CN"/>
        </w:rPr>
        <w:t xml:space="preserve"> </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（表五）</w:t>
      </w:r>
    </w:p>
    <w:tbl>
      <w:tblPr>
        <w:tblStyle w:val="22"/>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4"/>
      </w:tblGrid>
      <w:tr w14:paraId="00C3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3" w:hRule="atLeast"/>
          <w:jc w:val="center"/>
        </w:trPr>
        <w:tc>
          <w:tcPr>
            <w:tcW w:w="10194" w:type="dxa"/>
            <w:shd w:val="clear" w:color="auto" w:fill="auto"/>
            <w:vAlign w:val="center"/>
          </w:tcPr>
          <w:p w14:paraId="7B822730">
            <w:pPr>
              <w:spacing w:line="360" w:lineRule="auto"/>
              <w:jc w:val="left"/>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eastAsia="zh-CN"/>
              </w:rPr>
              <w:t>一</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eastAsia="zh-CN"/>
              </w:rPr>
              <w:t>施工期</w:t>
            </w:r>
            <w:r>
              <w:rPr>
                <w:rFonts w:hint="default" w:ascii="Times New Roman" w:hAnsi="Times New Roman" w:eastAsia="宋体" w:cs="Times New Roman"/>
                <w:b/>
                <w:bCs/>
                <w:color w:val="auto"/>
                <w:sz w:val="28"/>
                <w:szCs w:val="28"/>
              </w:rPr>
              <w:t>工程分析</w:t>
            </w:r>
          </w:p>
          <w:p w14:paraId="052C7EA5">
            <w:pPr>
              <w:spacing w:line="360" w:lineRule="auto"/>
              <w:rPr>
                <w:rFonts w:hint="eastAsia" w:ascii="宋体" w:hAnsi="宋体" w:eastAsia="宋体" w:cs="宋体"/>
                <w:color w:val="auto"/>
                <w:sz w:val="24"/>
              </w:rPr>
            </w:pPr>
            <w:r>
              <w:rPr>
                <w:rFonts w:hint="eastAsia" w:ascii="宋体" w:hAnsi="宋体" w:eastAsia="宋体" w:cs="宋体"/>
                <w:color w:val="auto"/>
                <w:sz w:val="24"/>
              </w:rPr>
              <w:t>（一）施工期工艺流程和产污情况</w:t>
            </w:r>
          </w:p>
          <w:p w14:paraId="69043773">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本项目位于蓬溪县蓬南镇长石村4社，项目所在地原为蝉茧加工企业，建设单位通过拍卖获得该土地所有权，项目所在地现土地已经全部硬化，且有3F办公楼一栋。建设单位将依托此楼做为办公楼使用。</w:t>
            </w:r>
          </w:p>
          <w:p w14:paraId="336C4136">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lang w:val="en-US" w:eastAsia="zh-CN"/>
              </w:rPr>
              <w:t>本项目</w:t>
            </w:r>
            <w:r>
              <w:rPr>
                <w:rFonts w:hint="eastAsia" w:ascii="宋体" w:hAnsi="宋体" w:eastAsia="宋体" w:cs="宋体"/>
                <w:color w:val="auto"/>
                <w:sz w:val="24"/>
                <w:szCs w:val="24"/>
              </w:rPr>
              <w:t>施工期主要涉及基础工程、主体工程、装饰工程、安装工程、工程验收等工序，建设过程中将产生噪声、扬尘、废气、固体废物、施工废水和生活污水，其排放量随工期和施工强度不同而有所变化。</w:t>
            </w:r>
          </w:p>
          <w:p w14:paraId="131792DA">
            <w:pPr>
              <w:ind w:firstLine="480"/>
              <w:jc w:val="center"/>
              <w:rPr>
                <w:rFonts w:hint="eastAsia" w:ascii="宋体" w:hAnsi="宋体" w:eastAsia="宋体" w:cs="宋体"/>
                <w:color w:val="auto"/>
              </w:rPr>
            </w:pPr>
            <w:r>
              <w:rPr>
                <w:rFonts w:hint="eastAsia" w:eastAsia="楷体_GB2312"/>
                <w:lang w:eastAsia="zh-CN"/>
              </w:rPr>
              <w:drawing>
                <wp:inline distT="0" distB="0" distL="114300" distR="114300">
                  <wp:extent cx="5334000" cy="1313180"/>
                  <wp:effectExtent l="0" t="0" r="0" b="1270"/>
                  <wp:docPr id="111" name="图片 1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图片1"/>
                          <pic:cNvPicPr>
                            <a:picLocks noChangeAspect="1"/>
                          </pic:cNvPicPr>
                        </pic:nvPicPr>
                        <pic:blipFill>
                          <a:blip r:embed="rId14"/>
                          <a:stretch>
                            <a:fillRect/>
                          </a:stretch>
                        </pic:blipFill>
                        <pic:spPr>
                          <a:xfrm>
                            <a:off x="0" y="0"/>
                            <a:ext cx="5334000" cy="1313180"/>
                          </a:xfrm>
                          <a:prstGeom prst="rect">
                            <a:avLst/>
                          </a:prstGeom>
                        </pic:spPr>
                      </pic:pic>
                    </a:graphicData>
                  </a:graphic>
                </wp:inline>
              </w:drawing>
            </w:r>
          </w:p>
          <w:p w14:paraId="38200486">
            <w:pPr>
              <w:pStyle w:val="49"/>
              <w:numPr>
                <w:ilvl w:val="0"/>
                <w:numId w:val="0"/>
              </w:numPr>
              <w:rPr>
                <w:rFonts w:hint="eastAsia" w:ascii="宋体" w:hAnsi="宋体" w:eastAsia="宋体" w:cs="宋体"/>
                <w:b/>
                <w:bCs/>
                <w:color w:val="auto"/>
                <w:sz w:val="21"/>
                <w:szCs w:val="21"/>
              </w:rPr>
            </w:pPr>
          </w:p>
          <w:p w14:paraId="0BDBCA06">
            <w:pPr>
              <w:pStyle w:val="49"/>
              <w:numPr>
                <w:ilvl w:val="0"/>
                <w:numId w:val="0"/>
              </w:numPr>
              <w:rPr>
                <w:rFonts w:hint="eastAsia" w:ascii="宋体" w:hAnsi="宋体" w:eastAsia="宋体" w:cs="宋体"/>
                <w:b/>
                <w:bCs/>
                <w:color w:val="auto"/>
                <w:sz w:val="21"/>
                <w:szCs w:val="21"/>
              </w:rPr>
            </w:pPr>
            <w:r>
              <w:rPr>
                <w:rFonts w:hint="eastAsia" w:ascii="宋体" w:hAnsi="宋体" w:eastAsia="宋体" w:cs="宋体"/>
                <w:b/>
                <w:bCs/>
                <w:color w:val="auto"/>
                <w:sz w:val="21"/>
                <w:szCs w:val="21"/>
              </w:rPr>
              <w:t>图5-1  施工期工艺流程及产污环节</w:t>
            </w:r>
          </w:p>
          <w:p w14:paraId="7A778210">
            <w:pPr>
              <w:spacing w:line="360" w:lineRule="auto"/>
              <w:ind w:firstLine="435"/>
              <w:rPr>
                <w:rFonts w:hint="eastAsia" w:ascii="宋体" w:hAnsi="宋体" w:eastAsia="宋体" w:cs="宋体"/>
                <w:b/>
                <w:color w:val="auto"/>
                <w:sz w:val="24"/>
                <w:szCs w:val="24"/>
              </w:rPr>
            </w:pPr>
            <w:r>
              <w:rPr>
                <w:rFonts w:hint="eastAsia" w:ascii="宋体" w:hAnsi="宋体" w:eastAsia="宋体" w:cs="宋体"/>
                <w:b/>
                <w:color w:val="auto"/>
                <w:sz w:val="24"/>
                <w:szCs w:val="24"/>
              </w:rPr>
              <w:t>主要污染物：</w:t>
            </w:r>
          </w:p>
          <w:p w14:paraId="5582DA9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1、废气：</w:t>
            </w:r>
          </w:p>
          <w:p w14:paraId="122142C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土石方装卸、散装水泥作业、运输时产生的扬尘，排放的主要污染物为TSP。</w:t>
            </w:r>
          </w:p>
          <w:p w14:paraId="58395FE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各类燃油动力机械施工作业时，会排出各类燃油废气，排放的主要污染物为 CO、NO</w:t>
            </w:r>
            <w:r>
              <w:rPr>
                <w:rFonts w:hint="eastAsia" w:ascii="宋体" w:hAnsi="宋体" w:eastAsia="宋体" w:cs="宋体"/>
                <w:color w:val="auto"/>
                <w:sz w:val="24"/>
                <w:szCs w:val="24"/>
                <w:vertAlign w:val="subscript"/>
              </w:rPr>
              <w:t>X</w:t>
            </w:r>
            <w:r>
              <w:rPr>
                <w:rFonts w:hint="eastAsia" w:ascii="宋体" w:hAnsi="宋体" w:eastAsia="宋体" w:cs="宋体"/>
                <w:color w:val="auto"/>
                <w:sz w:val="24"/>
                <w:szCs w:val="24"/>
              </w:rPr>
              <w:t>、SO</w:t>
            </w:r>
            <w:r>
              <w:rPr>
                <w:rFonts w:hint="eastAsia" w:ascii="宋体" w:hAnsi="宋体" w:eastAsia="宋体" w:cs="宋体"/>
                <w:color w:val="auto"/>
                <w:sz w:val="24"/>
                <w:szCs w:val="24"/>
                <w:vertAlign w:val="subscript"/>
              </w:rPr>
              <w:t>2</w:t>
            </w:r>
            <w:r>
              <w:rPr>
                <w:rFonts w:hint="eastAsia" w:ascii="宋体" w:hAnsi="宋体" w:eastAsia="宋体" w:cs="宋体"/>
                <w:color w:val="auto"/>
                <w:sz w:val="24"/>
                <w:szCs w:val="24"/>
              </w:rPr>
              <w:t>、烟尘。</w:t>
            </w:r>
          </w:p>
          <w:p w14:paraId="729F484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喷涂油漆、涂料等装饰材料时产生含苯系物的废气。</w:t>
            </w:r>
          </w:p>
          <w:p w14:paraId="353A78B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2、废水：</w:t>
            </w:r>
          </w:p>
          <w:p w14:paraId="15BDBC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(1)施工人员产生的生活污水，主要污染物为 BOD</w:t>
            </w:r>
            <w:r>
              <w:rPr>
                <w:rFonts w:hint="eastAsia" w:ascii="宋体" w:hAnsi="宋体" w:eastAsia="宋体" w:cs="宋体"/>
                <w:color w:val="auto"/>
                <w:sz w:val="24"/>
                <w:szCs w:val="24"/>
                <w:vertAlign w:val="subscript"/>
              </w:rPr>
              <w:t>5</w:t>
            </w:r>
            <w:r>
              <w:rPr>
                <w:rFonts w:hint="eastAsia" w:ascii="宋体" w:hAnsi="宋体" w:eastAsia="宋体" w:cs="宋体"/>
                <w:color w:val="auto"/>
                <w:sz w:val="24"/>
                <w:szCs w:val="24"/>
              </w:rPr>
              <w:t>、COD、SS。(2)运输车辆冲洗水、混凝土工程的灰浆，主要污染物为 SS。</w:t>
            </w:r>
          </w:p>
          <w:p w14:paraId="32E6445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3、噪声：各类施工机械和运输车辆等施工作业时产生噪声。</w:t>
            </w:r>
          </w:p>
          <w:p w14:paraId="42B1C8C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4、固废：主要是工人生活垃圾，及基础工程施工时挖掘的土方和建筑垃圾。</w:t>
            </w:r>
          </w:p>
          <w:p w14:paraId="1C153F21">
            <w:pPr>
              <w:spacing w:line="360" w:lineRule="auto"/>
              <w:rPr>
                <w:rFonts w:hint="eastAsia" w:ascii="宋体" w:hAnsi="宋体" w:eastAsia="宋体" w:cs="宋体"/>
                <w:bCs/>
                <w:color w:val="auto"/>
                <w:sz w:val="24"/>
                <w:szCs w:val="24"/>
              </w:rPr>
            </w:pPr>
            <w:r>
              <w:rPr>
                <w:rFonts w:hint="eastAsia" w:ascii="宋体" w:hAnsi="宋体" w:eastAsia="宋体" w:cs="宋体"/>
                <w:color w:val="auto"/>
                <w:sz w:val="24"/>
              </w:rPr>
              <w:t>（二）施工期</w:t>
            </w:r>
            <w:r>
              <w:rPr>
                <w:rFonts w:hint="eastAsia" w:ascii="宋体" w:hAnsi="宋体" w:eastAsia="宋体" w:cs="宋体"/>
                <w:bCs/>
                <w:color w:val="auto"/>
                <w:sz w:val="24"/>
                <w:szCs w:val="24"/>
              </w:rPr>
              <w:t>污染物的排放及治理措施分析</w:t>
            </w:r>
          </w:p>
          <w:p w14:paraId="19D043DF">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1、大气污染物</w:t>
            </w:r>
          </w:p>
          <w:p w14:paraId="434BDD4A">
            <w:pPr>
              <w:spacing w:line="360" w:lineRule="auto"/>
              <w:ind w:firstLine="361" w:firstLineChars="150"/>
              <w:rPr>
                <w:rFonts w:hint="eastAsia" w:ascii="宋体" w:hAnsi="宋体" w:eastAsia="宋体" w:cs="宋体"/>
                <w:b/>
                <w:color w:val="auto"/>
                <w:sz w:val="24"/>
                <w:szCs w:val="24"/>
              </w:rPr>
            </w:pPr>
            <w:r>
              <w:rPr>
                <w:rFonts w:hint="eastAsia" w:ascii="宋体" w:hAnsi="宋体" w:eastAsia="宋体" w:cs="宋体"/>
                <w:b/>
                <w:color w:val="auto"/>
                <w:sz w:val="24"/>
                <w:szCs w:val="24"/>
              </w:rPr>
              <w:t>（1）施工扬尘</w:t>
            </w:r>
          </w:p>
          <w:p w14:paraId="6A87920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厂房改造阶段，产生扬尘的作业主要有钻孔等过程，其作业点位于室内且相对集中，扩散性较差，若不采取有效控制措施，会对周围环境产生一定影响。为此，环评要求施工单位按照《防治城市扬尘污染技术规范》（HJ/T393-2007）有关要求，采取以下扬尘防治措施：</w:t>
            </w:r>
          </w:p>
          <w:p w14:paraId="39DB37C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①施工单位应制定合理的施工方案，严格做到文明施工，定期对地面洒水，并对撒落在地面的渣土及时清除，清理阶段做到先洒水后清扫，避免产生扬尘。</w:t>
            </w:r>
          </w:p>
          <w:p w14:paraId="18DEF15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施工车辆实施限速管理，运输车辆做到卸（装）货即走，禁止带泥作业，主要运输道路需定期洒水抑尘。运输车辆严禁超载行驶，必须采取密闭运输，装卸作业时必须采取有效防护措施，不得遗撒、泄漏、违规倾倒；运输时应选择对周围环境影响较小的运输路线，避开城镇居民集中区。</w:t>
            </w:r>
          </w:p>
          <w:p w14:paraId="1EE34E2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③装修改造过程中钻孔等易产生扬尘的施工作业时，须采取湿法作业，做到先洒水后作业。</w:t>
            </w:r>
          </w:p>
          <w:p w14:paraId="203F83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④禁止在风天进行渣土、装修材料等运输作业；禁止设置材料露天堆放点，装修材料及渣土应及时清运，不能及时清运的应临时暂存于屋内，并对使用防尘布覆盖。</w:t>
            </w:r>
          </w:p>
          <w:p w14:paraId="07742FE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⑤风速大于4m/s时应停止施工。</w:t>
            </w:r>
          </w:p>
          <w:p w14:paraId="557ED66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同时，施工单位必需严格按照《四川省人民政府办公厅关于加强灰霾污染防治的通知》（川办发〔2013〕32号）和《四川省灰霾污染防治办法》中的相关要求加强施工场地扬尘的控制，全面督查建筑工地现场管理“六必须”、“六不准”的执行情况。</w:t>
            </w:r>
          </w:p>
          <w:p w14:paraId="320DC2B0">
            <w:pPr>
              <w:spacing w:line="360" w:lineRule="auto"/>
              <w:ind w:firstLine="361" w:firstLineChars="150"/>
              <w:rPr>
                <w:rFonts w:hint="eastAsia" w:ascii="宋体" w:hAnsi="宋体" w:eastAsia="宋体" w:cs="宋体"/>
                <w:b/>
                <w:color w:val="auto"/>
                <w:sz w:val="24"/>
                <w:szCs w:val="24"/>
              </w:rPr>
            </w:pPr>
            <w:r>
              <w:rPr>
                <w:rFonts w:hint="eastAsia" w:ascii="宋体" w:hAnsi="宋体" w:eastAsia="宋体" w:cs="宋体"/>
                <w:b/>
                <w:color w:val="auto"/>
                <w:sz w:val="24"/>
                <w:szCs w:val="24"/>
              </w:rPr>
              <w:t>（2）装修废气</w:t>
            </w:r>
          </w:p>
          <w:p w14:paraId="6DF2A4A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装修废气中主要污染物为装修涂料挥发产生，该废气的排放属无组织排放，由于装修阶段的装修废气排放周期短，且装修面积较少、作业点分散，故装修期间应加强通风换气。环评要求采用优质环保的装修材料，使用无污染性废气产生的材料、涂料，减少废气中有害物质的排放。</w:t>
            </w:r>
          </w:p>
          <w:p w14:paraId="54339D1F">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2、水污染物</w:t>
            </w:r>
          </w:p>
          <w:p w14:paraId="6BF0DAD0">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本项目不涉及土建工程，施工期废水主要为施工人员生活污水，施工人员预计约</w:t>
            </w:r>
            <w:r>
              <w:rPr>
                <w:rFonts w:hint="eastAsia" w:ascii="宋体" w:hAnsi="宋体" w:eastAsia="宋体" w:cs="宋体"/>
                <w:color w:val="auto"/>
                <w:sz w:val="24"/>
                <w:lang w:val="en-US" w:eastAsia="zh-CN"/>
              </w:rPr>
              <w:t>10</w:t>
            </w:r>
            <w:r>
              <w:rPr>
                <w:rFonts w:hint="eastAsia" w:ascii="宋体" w:hAnsi="宋体" w:eastAsia="宋体" w:cs="宋体"/>
                <w:color w:val="auto"/>
                <w:sz w:val="24"/>
              </w:rPr>
              <w:t>人，施工人员生活用水量按50L/人•d，生活污水产生系数取0.8，则施工期生活污水产生量为0.</w:t>
            </w:r>
            <w:r>
              <w:rPr>
                <w:rFonts w:hint="eastAsia" w:ascii="宋体" w:hAnsi="宋体" w:eastAsia="宋体" w:cs="宋体"/>
                <w:color w:val="auto"/>
                <w:sz w:val="24"/>
                <w:lang w:val="en-US" w:eastAsia="zh-CN"/>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sz w:val="24"/>
              </w:rPr>
              <w:t>/d，生活污水经预处理池处理后</w:t>
            </w:r>
            <w:r>
              <w:rPr>
                <w:rFonts w:hint="eastAsia" w:ascii="宋体" w:hAnsi="宋体" w:eastAsia="宋体" w:cs="宋体"/>
                <w:color w:val="auto"/>
                <w:sz w:val="24"/>
                <w:lang w:val="en-US" w:eastAsia="zh-CN"/>
              </w:rPr>
              <w:t>用于周边农田施肥</w:t>
            </w:r>
            <w:r>
              <w:rPr>
                <w:rFonts w:hint="eastAsia" w:ascii="宋体" w:hAnsi="宋体" w:eastAsia="宋体" w:cs="宋体"/>
                <w:color w:val="auto"/>
                <w:sz w:val="24"/>
              </w:rPr>
              <w:t>。</w:t>
            </w:r>
          </w:p>
          <w:p w14:paraId="4D0684E2">
            <w:pPr>
              <w:spacing w:line="360" w:lineRule="auto"/>
              <w:ind w:firstLine="482" w:firstLineChars="200"/>
              <w:outlineLvl w:val="3"/>
              <w:rPr>
                <w:rFonts w:hint="eastAsia" w:ascii="宋体" w:hAnsi="宋体" w:eastAsia="宋体" w:cs="宋体"/>
                <w:b/>
                <w:color w:val="auto"/>
                <w:sz w:val="24"/>
              </w:rPr>
            </w:pPr>
            <w:r>
              <w:rPr>
                <w:rFonts w:hint="eastAsia" w:ascii="宋体" w:hAnsi="宋体" w:eastAsia="宋体" w:cs="宋体"/>
                <w:b/>
                <w:color w:val="auto"/>
                <w:sz w:val="24"/>
              </w:rPr>
              <w:t>3、噪声</w:t>
            </w:r>
          </w:p>
          <w:p w14:paraId="14A3B373">
            <w:pPr>
              <w:spacing w:line="360" w:lineRule="auto"/>
              <w:ind w:firstLine="361" w:firstLineChars="150"/>
              <w:rPr>
                <w:rFonts w:hint="eastAsia" w:ascii="宋体" w:hAnsi="宋体" w:eastAsia="宋体" w:cs="宋体"/>
                <w:b/>
                <w:color w:val="auto"/>
                <w:sz w:val="24"/>
                <w:szCs w:val="24"/>
              </w:rPr>
            </w:pPr>
            <w:r>
              <w:rPr>
                <w:rFonts w:hint="eastAsia" w:ascii="宋体" w:hAnsi="宋体" w:eastAsia="宋体" w:cs="宋体"/>
                <w:b/>
                <w:color w:val="auto"/>
                <w:sz w:val="24"/>
                <w:szCs w:val="24"/>
              </w:rPr>
              <w:t>（1）施工噪声</w:t>
            </w:r>
          </w:p>
          <w:p w14:paraId="7532BE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施工期装修过程使用的机械（如电钻、手工钻等）噪声值在75dB（A）以上，将对厂区办公及外环境带来一定的影响。为实现施工噪声达标排放，本环评要求施工期采取以下噪声防治措施：</w:t>
            </w:r>
          </w:p>
          <w:p w14:paraId="07E2433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①选用低噪设备，定期对设备进行检修，触地设备合理布局并采取基础减振措施，降低噪声的排放。</w:t>
            </w:r>
          </w:p>
          <w:p w14:paraId="25A5105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②严格做到文明施工，装卸、搬运材料等严禁抛掷，做到轻拿轻放；材料运输车辆进场要专人指挥，场内运输车辆实施限速、禁止鸣笛。</w:t>
            </w:r>
          </w:p>
          <w:p w14:paraId="5D985E0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③合理安排施工时间，加快施工进度，缩短施工周期。</w:t>
            </w:r>
          </w:p>
          <w:p w14:paraId="74D69CE3">
            <w:pPr>
              <w:spacing w:line="360" w:lineRule="auto"/>
              <w:ind w:firstLine="361" w:firstLineChars="150"/>
              <w:rPr>
                <w:rFonts w:hint="eastAsia" w:ascii="宋体" w:hAnsi="宋体" w:eastAsia="宋体" w:cs="宋体"/>
                <w:b/>
                <w:color w:val="auto"/>
                <w:sz w:val="24"/>
                <w:szCs w:val="24"/>
              </w:rPr>
            </w:pPr>
            <w:r>
              <w:rPr>
                <w:rFonts w:hint="eastAsia" w:ascii="宋体" w:hAnsi="宋体" w:eastAsia="宋体" w:cs="宋体"/>
                <w:b/>
                <w:color w:val="auto"/>
                <w:sz w:val="24"/>
                <w:szCs w:val="24"/>
              </w:rPr>
              <w:t>（2）设备调试噪声</w:t>
            </w:r>
          </w:p>
          <w:p w14:paraId="49ADB86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施工期设备调试阶段由于调试时间短，且设备几乎位于厂房内部，底部均进行基础减振处理，因此可实现达标排放。</w:t>
            </w:r>
          </w:p>
          <w:p w14:paraId="66C27532">
            <w:pPr>
              <w:spacing w:line="360" w:lineRule="auto"/>
              <w:ind w:firstLine="472" w:firstLineChars="196"/>
              <w:outlineLvl w:val="3"/>
              <w:rPr>
                <w:rFonts w:hint="eastAsia" w:ascii="宋体" w:hAnsi="宋体" w:eastAsia="宋体" w:cs="宋体"/>
                <w:b/>
                <w:color w:val="auto"/>
                <w:sz w:val="24"/>
                <w:szCs w:val="24"/>
              </w:rPr>
            </w:pPr>
            <w:r>
              <w:rPr>
                <w:rFonts w:hint="eastAsia" w:ascii="宋体" w:hAnsi="宋体" w:eastAsia="宋体" w:cs="宋体"/>
                <w:b/>
                <w:color w:val="auto"/>
                <w:sz w:val="24"/>
                <w:szCs w:val="24"/>
              </w:rPr>
              <w:t>4、固体废物</w:t>
            </w:r>
          </w:p>
          <w:p w14:paraId="306C81E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根据现场踏勘，本项目为净地开发。项目场平工程已基本完成</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并且已全部硬化，办公楼依托原单位办公楼</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因此施工过程中无弃土等土石方产生</w:t>
            </w:r>
            <w:r>
              <w:rPr>
                <w:rFonts w:hint="default" w:ascii="Times New Roman" w:hAnsi="Times New Roman" w:cs="Times New Roman"/>
                <w:color w:val="auto"/>
                <w:sz w:val="24"/>
                <w:szCs w:val="24"/>
              </w:rPr>
              <w:t>。</w:t>
            </w:r>
          </w:p>
          <w:p w14:paraId="76B3EE0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产生的固体废弃物主要包括建筑废弃材料和施工人员产生的生活垃圾等。施工生产的废料首先应考虑废料的回收利用，一般情况下建筑材料废弃物有废弃钢材、木材等，其损耗量约占使用量的5～8%，且大多可回收，不会出现丢弃现象；对钢筋、钢板、木材等</w:t>
            </w:r>
            <w:r>
              <w:rPr>
                <w:rFonts w:hint="default" w:ascii="Times New Roman" w:hAnsi="Times New Roman" w:cs="Times New Roman"/>
                <w:color w:val="auto"/>
                <w:sz w:val="24"/>
                <w:lang w:eastAsia="zh-CN"/>
              </w:rPr>
              <w:t>边</w:t>
            </w:r>
            <w:r>
              <w:rPr>
                <w:rFonts w:hint="default" w:ascii="Times New Roman" w:hAnsi="Times New Roman" w:cs="Times New Roman"/>
                <w:color w:val="auto"/>
                <w:sz w:val="24"/>
              </w:rPr>
              <w:t>角料可分类回收，交废物收购站处理；对建筑垃圾，如混凝土废料、含砖、石、砂的杂土</w:t>
            </w:r>
            <w:r>
              <w:rPr>
                <w:rFonts w:hint="default" w:ascii="Times New Roman" w:hAnsi="Times New Roman" w:cs="Times New Roman"/>
                <w:color w:val="auto"/>
                <w:sz w:val="24"/>
                <w:lang w:eastAsia="zh-CN"/>
              </w:rPr>
              <w:t>和开挖后的</w:t>
            </w:r>
            <w:r>
              <w:rPr>
                <w:rFonts w:hint="eastAsia" w:cs="Times New Roman"/>
                <w:color w:val="auto"/>
                <w:sz w:val="24"/>
                <w:lang w:val="en-US" w:eastAsia="zh-CN"/>
              </w:rPr>
              <w:t>土石</w:t>
            </w:r>
            <w:r>
              <w:rPr>
                <w:rFonts w:hint="default" w:ascii="Times New Roman" w:hAnsi="Times New Roman" w:cs="Times New Roman"/>
                <w:color w:val="auto"/>
                <w:sz w:val="24"/>
              </w:rPr>
              <w:t>应集中堆放，定时清运，</w:t>
            </w:r>
            <w:r>
              <w:rPr>
                <w:rFonts w:hint="default" w:ascii="Times New Roman" w:hAnsi="Times New Roman" w:cs="Times New Roman"/>
                <w:color w:val="auto"/>
                <w:sz w:val="24"/>
                <w:lang w:eastAsia="zh-CN"/>
              </w:rPr>
              <w:t>建筑垃圾</w:t>
            </w:r>
            <w:r>
              <w:rPr>
                <w:rFonts w:hint="default" w:ascii="Times New Roman" w:hAnsi="Times New Roman" w:cs="Times New Roman"/>
                <w:color w:val="auto"/>
                <w:sz w:val="24"/>
              </w:rPr>
              <w:t>送当地管理部门指定的建筑废渣专用堆放场，以免影响施工和环境卫生</w:t>
            </w:r>
          </w:p>
          <w:p w14:paraId="0E86F58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本项目施工人员约</w:t>
            </w:r>
            <w:r>
              <w:rPr>
                <w:rFonts w:hint="eastAsia" w:ascii="宋体" w:hAnsi="宋体" w:eastAsia="宋体" w:cs="宋体"/>
                <w:color w:val="auto"/>
                <w:sz w:val="24"/>
                <w:lang w:val="en-US" w:eastAsia="zh-CN"/>
              </w:rPr>
              <w:t>10</w:t>
            </w:r>
            <w:r>
              <w:rPr>
                <w:rFonts w:hint="eastAsia" w:ascii="宋体" w:hAnsi="宋体" w:eastAsia="宋体" w:cs="宋体"/>
                <w:color w:val="auto"/>
                <w:sz w:val="24"/>
              </w:rPr>
              <w:t>人，每人产生生活垃圾量为0.2kg/d，则每天产生的垃圾量为</w:t>
            </w:r>
            <w:r>
              <w:rPr>
                <w:rFonts w:hint="eastAsia" w:ascii="宋体" w:hAnsi="宋体" w:eastAsia="宋体" w:cs="宋体"/>
                <w:color w:val="auto"/>
                <w:sz w:val="24"/>
                <w:lang w:val="en-US" w:eastAsia="zh-CN"/>
              </w:rPr>
              <w:t>2</w:t>
            </w:r>
            <w:r>
              <w:rPr>
                <w:rFonts w:hint="eastAsia" w:ascii="宋体" w:hAnsi="宋体" w:eastAsia="宋体" w:cs="宋体"/>
                <w:color w:val="auto"/>
                <w:sz w:val="24"/>
              </w:rPr>
              <w:t>kg/d，生活垃圾经袋装收集后，由环卫部门统一运送到垃圾处理场集中处理。</w:t>
            </w:r>
          </w:p>
          <w:p w14:paraId="35153887">
            <w:pPr>
              <w:spacing w:line="360" w:lineRule="auto"/>
              <w:ind w:firstLine="480" w:firstLineChars="200"/>
              <w:rPr>
                <w:rFonts w:hint="default" w:ascii="宋体" w:hAnsi="宋体" w:eastAsia="宋体" w:cs="宋体"/>
                <w:color w:val="auto"/>
                <w:sz w:val="24"/>
              </w:rPr>
            </w:pPr>
            <w:r>
              <w:rPr>
                <w:rFonts w:hint="eastAsia" w:ascii="宋体" w:hAnsi="宋体" w:eastAsia="宋体" w:cs="宋体"/>
                <w:color w:val="auto"/>
                <w:sz w:val="24"/>
              </w:rPr>
              <w:t>综上所述，本项目施工期设备安装、设备调试所产生的噪声和固体废物须得到妥善处置，避免对项目所在区域造成负面影响。</w:t>
            </w:r>
          </w:p>
          <w:p w14:paraId="2CFBC9AC">
            <w:pPr>
              <w:adjustRightInd w:val="0"/>
              <w:snapToGrid w:val="0"/>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二、营运期工程分析</w:t>
            </w:r>
          </w:p>
          <w:p w14:paraId="04A9674B">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（一）营运期工艺流程</w:t>
            </w:r>
          </w:p>
          <w:p w14:paraId="08B80AA0">
            <w:pPr>
              <w:spacing w:line="360" w:lineRule="auto"/>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本项目产品为水泥制品及不锈钢制品</w:t>
            </w:r>
            <w:r>
              <w:rPr>
                <w:rFonts w:hint="eastAsia" w:ascii="宋体" w:hAnsi="宋体" w:cs="宋体"/>
                <w:color w:val="auto"/>
                <w:sz w:val="24"/>
                <w:lang w:val="en-US" w:eastAsia="zh-CN"/>
              </w:rPr>
              <w:t>，具体工艺流程见下图。</w:t>
            </w:r>
          </w:p>
          <w:p w14:paraId="52C654D9">
            <w:pPr>
              <w:spacing w:line="360" w:lineRule="auto"/>
              <w:ind w:firstLine="482" w:firstLineChars="200"/>
              <w:rPr>
                <w:rFonts w:hint="eastAsia" w:ascii="宋体" w:hAnsi="宋体" w:eastAsia="宋体" w:cs="宋体"/>
                <w:b/>
                <w:bCs/>
                <w:color w:val="auto"/>
                <w:sz w:val="24"/>
                <w:lang w:val="en-US" w:eastAsia="zh-CN"/>
              </w:rPr>
            </w:pPr>
            <w:r>
              <w:rPr>
                <w:rFonts w:hint="eastAsia" w:ascii="宋体" w:hAnsi="宋体" w:cs="宋体"/>
                <w:b/>
                <w:bCs/>
                <w:color w:val="auto"/>
                <w:sz w:val="24"/>
                <w:lang w:val="en-US" w:eastAsia="zh-CN"/>
              </w:rPr>
              <w:t>1、</w:t>
            </w:r>
            <w:r>
              <w:rPr>
                <w:rFonts w:hint="eastAsia" w:ascii="宋体" w:hAnsi="宋体" w:eastAsia="宋体" w:cs="宋体"/>
                <w:b/>
                <w:bCs/>
                <w:color w:val="auto"/>
                <w:sz w:val="24"/>
                <w:lang w:val="en-US" w:eastAsia="zh-CN"/>
              </w:rPr>
              <w:t>水泥制品</w:t>
            </w:r>
          </w:p>
          <w:p w14:paraId="1DE0F6F9">
            <w:pPr>
              <w:spacing w:line="360" w:lineRule="auto"/>
              <w:ind w:firstLine="480" w:firstLineChars="200"/>
              <w:rPr>
                <w:rFonts w:hint="default" w:ascii="宋体" w:hAnsi="宋体" w:eastAsia="宋体" w:cs="宋体"/>
                <w:color w:val="auto"/>
                <w:sz w:val="24"/>
              </w:rPr>
            </w:pPr>
          </w:p>
          <w:p w14:paraId="7CB29452">
            <w:pPr>
              <w:spacing w:line="360" w:lineRule="auto"/>
              <w:ind w:firstLine="480" w:firstLineChars="200"/>
              <w:rPr>
                <w:rFonts w:hint="default" w:ascii="宋体" w:hAnsi="宋体" w:eastAsia="宋体" w:cs="宋体"/>
                <w:color w:val="auto"/>
                <w:sz w:val="24"/>
                <w:lang w:eastAsia="zh-CN"/>
              </w:rPr>
            </w:pPr>
          </w:p>
          <w:p w14:paraId="042432AF">
            <w:pPr>
              <w:spacing w:line="360" w:lineRule="auto"/>
              <w:ind w:firstLine="480" w:firstLineChars="200"/>
              <w:rPr>
                <w:rFonts w:hint="default" w:ascii="宋体" w:hAnsi="宋体" w:eastAsia="宋体" w:cs="宋体"/>
                <w:color w:val="auto"/>
                <w:sz w:val="24"/>
                <w:lang w:eastAsia="zh-CN"/>
              </w:rPr>
            </w:pPr>
          </w:p>
          <w:p w14:paraId="08EFA49C">
            <w:pPr>
              <w:pStyle w:val="2"/>
              <w:rPr>
                <w:rFonts w:hint="default" w:ascii="宋体" w:hAnsi="宋体" w:eastAsia="宋体" w:cs="宋体"/>
                <w:color w:val="auto"/>
                <w:sz w:val="24"/>
                <w:lang w:eastAsia="zh-CN"/>
              </w:rPr>
            </w:pPr>
          </w:p>
          <w:p w14:paraId="780CFA84">
            <w:pPr>
              <w:pStyle w:val="2"/>
              <w:rPr>
                <w:rFonts w:hint="default" w:ascii="宋体" w:hAnsi="宋体" w:eastAsia="宋体" w:cs="宋体"/>
                <w:color w:val="auto"/>
                <w:sz w:val="24"/>
                <w:lang w:eastAsia="zh-CN"/>
              </w:rPr>
            </w:pPr>
          </w:p>
          <w:p w14:paraId="27409124">
            <w:pPr>
              <w:pStyle w:val="2"/>
              <w:rPr>
                <w:rFonts w:hint="default" w:ascii="宋体" w:hAnsi="宋体" w:eastAsia="宋体" w:cs="宋体"/>
                <w:color w:val="auto"/>
                <w:sz w:val="24"/>
                <w:lang w:eastAsia="zh-CN"/>
              </w:rPr>
            </w:pPr>
          </w:p>
          <w:p w14:paraId="3800D944">
            <w:pPr>
              <w:spacing w:line="360" w:lineRule="auto"/>
              <w:ind w:firstLine="480" w:firstLineChars="200"/>
              <w:rPr>
                <w:rFonts w:hint="default" w:ascii="宋体" w:hAnsi="宋体" w:eastAsia="宋体" w:cs="宋体"/>
                <w:color w:val="auto"/>
                <w:sz w:val="24"/>
                <w:lang w:eastAsia="zh-CN"/>
              </w:rPr>
            </w:pPr>
          </w:p>
          <w:p w14:paraId="6B497844">
            <w:pPr>
              <w:spacing w:line="360" w:lineRule="auto"/>
              <w:ind w:firstLine="480" w:firstLineChars="200"/>
              <w:rPr>
                <w:rFonts w:hint="default" w:ascii="宋体" w:hAnsi="宋体" w:eastAsia="宋体" w:cs="宋体"/>
                <w:color w:val="auto"/>
                <w:sz w:val="24"/>
                <w:lang w:eastAsia="zh-CN"/>
              </w:rPr>
            </w:pPr>
          </w:p>
          <w:p w14:paraId="39CD5074">
            <w:pPr>
              <w:pStyle w:val="3"/>
              <w:jc w:val="both"/>
              <w:rPr>
                <w:rFonts w:hint="default"/>
                <w:lang w:eastAsia="zh-CN"/>
              </w:rPr>
            </w:pPr>
            <w:r>
              <w:rPr>
                <w:rFonts w:ascii="宋体" w:hAnsi="宋体"/>
                <w:b/>
                <w:sz w:val="28"/>
                <w:szCs w:val="28"/>
              </w:rPr>
              <mc:AlternateContent>
                <mc:Choice Requires="wpg">
                  <w:drawing>
                    <wp:anchor distT="0" distB="0" distL="114300" distR="114300" simplePos="0" relativeHeight="251671552" behindDoc="0" locked="0" layoutInCell="1" allowOverlap="1">
                      <wp:simplePos x="0" y="0"/>
                      <wp:positionH relativeFrom="column">
                        <wp:posOffset>184785</wp:posOffset>
                      </wp:positionH>
                      <wp:positionV relativeFrom="paragraph">
                        <wp:posOffset>247650</wp:posOffset>
                      </wp:positionV>
                      <wp:extent cx="5977890" cy="4007485"/>
                      <wp:effectExtent l="0" t="0" r="0" b="0"/>
                      <wp:wrapNone/>
                      <wp:docPr id="51" name="组合 51"/>
                      <wp:cNvGraphicFramePr/>
                      <a:graphic xmlns:a="http://schemas.openxmlformats.org/drawingml/2006/main">
                        <a:graphicData uri="http://schemas.microsoft.com/office/word/2010/wordprocessingGroup">
                          <wpg:wgp>
                            <wpg:cNvGrpSpPr/>
                            <wpg:grpSpPr>
                              <a:xfrm>
                                <a:off x="0" y="0"/>
                                <a:ext cx="5977890" cy="4007485"/>
                                <a:chOff x="1201" y="2062"/>
                                <a:chExt cx="9414" cy="6311"/>
                              </a:xfrm>
                            </wpg:grpSpPr>
                            <wps:wsp>
                              <wps:cNvPr id="1" name="文本框 1"/>
                              <wps:cNvSpPr txBox="1"/>
                              <wps:spPr>
                                <a:xfrm>
                                  <a:off x="1201" y="4964"/>
                                  <a:ext cx="1503" cy="389"/>
                                </a:xfrm>
                                <a:prstGeom prst="rect">
                                  <a:avLst/>
                                </a:prstGeom>
                                <a:noFill/>
                                <a:ln w="15875">
                                  <a:noFill/>
                                </a:ln>
                              </wps:spPr>
                              <wps:txbx>
                                <w:txbxContent>
                                  <w:p w14:paraId="5A3F3168">
                                    <w:pPr>
                                      <w:ind w:firstLine="240" w:firstLineChars="100"/>
                                      <w:rPr>
                                        <w:sz w:val="24"/>
                                        <w:szCs w:val="24"/>
                                      </w:rPr>
                                    </w:pPr>
                                    <w:r>
                                      <w:rPr>
                                        <w:sz w:val="24"/>
                                        <w:szCs w:val="24"/>
                                      </w:rPr>
                                      <w:t>砂子、石子</w:t>
                                    </w:r>
                                  </w:p>
                                </w:txbxContent>
                              </wps:txbx>
                              <wps:bodyPr lIns="0" tIns="0" rIns="0" bIns="0" upright="1"/>
                            </wps:wsp>
                            <wps:wsp>
                              <wps:cNvPr id="65" name="文本框 2"/>
                              <wps:cNvSpPr txBox="1"/>
                              <wps:spPr>
                                <a:xfrm>
                                  <a:off x="3189" y="4951"/>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BA3F8B9">
                                    <w:pPr>
                                      <w:jc w:val="center"/>
                                      <w:rPr>
                                        <w:sz w:val="24"/>
                                        <w:szCs w:val="24"/>
                                      </w:rPr>
                                    </w:pPr>
                                    <w:r>
                                      <w:rPr>
                                        <w:sz w:val="24"/>
                                        <w:szCs w:val="24"/>
                                      </w:rPr>
                                      <w:t>计量称重</w:t>
                                    </w:r>
                                  </w:p>
                                </w:txbxContent>
                              </wps:txbx>
                              <wps:bodyPr lIns="0" tIns="0" rIns="0" bIns="0" upright="1"/>
                            </wps:wsp>
                            <wps:wsp>
                              <wps:cNvPr id="67" name="直接箭头连接符 3"/>
                              <wps:cNvCnPr/>
                              <wps:spPr>
                                <a:xfrm>
                                  <a:off x="2704" y="5151"/>
                                  <a:ext cx="510" cy="0"/>
                                </a:xfrm>
                                <a:prstGeom prst="straightConnector1">
                                  <a:avLst/>
                                </a:prstGeom>
                                <a:ln w="15875" cap="flat" cmpd="sng">
                                  <a:solidFill>
                                    <a:srgbClr val="000000"/>
                                  </a:solidFill>
                                  <a:prstDash val="solid"/>
                                  <a:headEnd type="none" w="med" len="med"/>
                                  <a:tailEnd type="triangle" w="med" len="med"/>
                                </a:ln>
                              </wps:spPr>
                              <wps:bodyPr/>
                            </wps:wsp>
                            <wps:wsp>
                              <wps:cNvPr id="69" name="直接箭头连接符 4"/>
                              <wps:cNvCnPr/>
                              <wps:spPr>
                                <a:xfrm>
                                  <a:off x="4256" y="5151"/>
                                  <a:ext cx="510" cy="0"/>
                                </a:xfrm>
                                <a:prstGeom prst="straightConnector1">
                                  <a:avLst/>
                                </a:prstGeom>
                                <a:ln w="15875" cap="flat" cmpd="sng">
                                  <a:solidFill>
                                    <a:srgbClr val="000000"/>
                                  </a:solidFill>
                                  <a:prstDash val="solid"/>
                                  <a:headEnd type="none" w="med" len="med"/>
                                  <a:tailEnd type="triangle" w="med" len="med"/>
                                </a:ln>
                              </wps:spPr>
                              <wps:bodyPr/>
                            </wps:wsp>
                            <wps:wsp>
                              <wps:cNvPr id="70" name="文本框 5"/>
                              <wps:cNvSpPr txBox="1"/>
                              <wps:spPr>
                                <a:xfrm>
                                  <a:off x="4766" y="4951"/>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CA21D92">
                                    <w:pPr>
                                      <w:jc w:val="center"/>
                                      <w:rPr>
                                        <w:sz w:val="24"/>
                                        <w:szCs w:val="24"/>
                                      </w:rPr>
                                    </w:pPr>
                                    <w:r>
                                      <w:rPr>
                                        <w:sz w:val="24"/>
                                        <w:szCs w:val="24"/>
                                      </w:rPr>
                                      <w:t>搅</w:t>
                                    </w:r>
                                    <w:r>
                                      <w:rPr>
                                        <w:rFonts w:hint="eastAsia"/>
                                        <w:sz w:val="24"/>
                                        <w:szCs w:val="24"/>
                                      </w:rPr>
                                      <w:t xml:space="preserve"> </w:t>
                                    </w:r>
                                    <w:r>
                                      <w:rPr>
                                        <w:sz w:val="24"/>
                                        <w:szCs w:val="24"/>
                                      </w:rPr>
                                      <w:t>拌</w:t>
                                    </w:r>
                                  </w:p>
                                </w:txbxContent>
                              </wps:txbx>
                              <wps:bodyPr lIns="0" tIns="0" rIns="0" bIns="0" upright="1"/>
                            </wps:wsp>
                            <wps:wsp>
                              <wps:cNvPr id="72" name="直接箭头连接符 6"/>
                              <wps:cNvCnPr/>
                              <wps:spPr>
                                <a:xfrm>
                                  <a:off x="5833" y="5151"/>
                                  <a:ext cx="510" cy="0"/>
                                </a:xfrm>
                                <a:prstGeom prst="straightConnector1">
                                  <a:avLst/>
                                </a:prstGeom>
                                <a:ln w="15875" cap="flat" cmpd="sng">
                                  <a:solidFill>
                                    <a:srgbClr val="000000"/>
                                  </a:solidFill>
                                  <a:prstDash val="solid"/>
                                  <a:headEnd type="none" w="med" len="med"/>
                                  <a:tailEnd type="triangle" w="med" len="med"/>
                                </a:ln>
                              </wps:spPr>
                              <wps:bodyPr/>
                            </wps:wsp>
                            <wps:wsp>
                              <wps:cNvPr id="73" name="文本框 7"/>
                              <wps:cNvSpPr txBox="1"/>
                              <wps:spPr>
                                <a:xfrm>
                                  <a:off x="6343" y="4795"/>
                                  <a:ext cx="2083" cy="708"/>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64B3F63">
                                    <w:pPr>
                                      <w:jc w:val="center"/>
                                      <w:rPr>
                                        <w:b w:val="0"/>
                                        <w:bCs w:val="0"/>
                                        <w:sz w:val="21"/>
                                        <w:szCs w:val="21"/>
                                      </w:rPr>
                                    </w:pPr>
                                    <w:r>
                                      <w:rPr>
                                        <w:b w:val="0"/>
                                        <w:bCs w:val="0"/>
                                        <w:sz w:val="21"/>
                                        <w:szCs w:val="21"/>
                                      </w:rPr>
                                      <w:t>将</w:t>
                                    </w:r>
                                    <w:r>
                                      <w:rPr>
                                        <w:rFonts w:hint="eastAsia"/>
                                        <w:b w:val="0"/>
                                        <w:bCs w:val="0"/>
                                        <w:sz w:val="21"/>
                                        <w:szCs w:val="21"/>
                                        <w:lang w:val="en-US" w:eastAsia="zh-CN"/>
                                      </w:rPr>
                                      <w:t>骨架和搅拌好的混凝土</w:t>
                                    </w:r>
                                    <w:r>
                                      <w:rPr>
                                        <w:b w:val="0"/>
                                        <w:bCs w:val="0"/>
                                        <w:sz w:val="21"/>
                                        <w:szCs w:val="21"/>
                                      </w:rPr>
                                      <w:t>放入模具中</w:t>
                                    </w:r>
                                  </w:p>
                                </w:txbxContent>
                              </wps:txbx>
                              <wps:bodyPr lIns="0" tIns="0" rIns="0" bIns="0" upright="1"/>
                            </wps:wsp>
                            <wps:wsp>
                              <wps:cNvPr id="8" name="直接箭头连接符 8"/>
                              <wps:cNvCnPr/>
                              <wps:spPr>
                                <a:xfrm>
                                  <a:off x="8426" y="5151"/>
                                  <a:ext cx="510" cy="0"/>
                                </a:xfrm>
                                <a:prstGeom prst="straightConnector1">
                                  <a:avLst/>
                                </a:prstGeom>
                                <a:ln w="15875" cap="flat" cmpd="sng">
                                  <a:solidFill>
                                    <a:srgbClr val="000000"/>
                                  </a:solidFill>
                                  <a:prstDash val="solid"/>
                                  <a:headEnd type="none" w="med" len="med"/>
                                  <a:tailEnd type="triangle" w="med" len="med"/>
                                </a:ln>
                              </wps:spPr>
                              <wps:bodyPr/>
                            </wps:wsp>
                            <wps:wsp>
                              <wps:cNvPr id="9" name="文本框 9"/>
                              <wps:cNvSpPr txBox="1"/>
                              <wps:spPr>
                                <a:xfrm>
                                  <a:off x="8936" y="4964"/>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4F7B27A9">
                                    <w:pPr>
                                      <w:jc w:val="center"/>
                                      <w:rPr>
                                        <w:rFonts w:hint="default" w:eastAsia="宋体"/>
                                        <w:sz w:val="24"/>
                                        <w:szCs w:val="24"/>
                                        <w:lang w:val="en-US" w:eastAsia="zh-CN"/>
                                      </w:rPr>
                                    </w:pPr>
                                    <w:r>
                                      <w:rPr>
                                        <w:rFonts w:hint="eastAsia"/>
                                        <w:sz w:val="24"/>
                                        <w:szCs w:val="24"/>
                                        <w:lang w:val="en-US" w:eastAsia="zh-CN"/>
                                      </w:rPr>
                                      <w:t>振动成型</w:t>
                                    </w:r>
                                  </w:p>
                                </w:txbxContent>
                              </wps:txbx>
                              <wps:bodyPr lIns="0" tIns="0" rIns="0" bIns="0" upright="1"/>
                            </wps:wsp>
                            <wps:wsp>
                              <wps:cNvPr id="74" name="直接箭头连接符 10"/>
                              <wps:cNvCnPr/>
                              <wps:spPr>
                                <a:xfrm>
                                  <a:off x="7387" y="4291"/>
                                  <a:ext cx="0" cy="510"/>
                                </a:xfrm>
                                <a:prstGeom prst="straightConnector1">
                                  <a:avLst/>
                                </a:prstGeom>
                                <a:ln w="15875" cap="flat" cmpd="sng">
                                  <a:solidFill>
                                    <a:srgbClr val="000000"/>
                                  </a:solidFill>
                                  <a:prstDash val="solid"/>
                                  <a:headEnd type="none" w="med" len="med"/>
                                  <a:tailEnd type="triangle" w="med" len="med"/>
                                </a:ln>
                              </wps:spPr>
                              <wps:bodyPr/>
                            </wps:wsp>
                            <wps:wsp>
                              <wps:cNvPr id="75" name="文本框 11"/>
                              <wps:cNvSpPr txBox="1"/>
                              <wps:spPr>
                                <a:xfrm>
                                  <a:off x="6715" y="3850"/>
                                  <a:ext cx="1356"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23B444A">
                                    <w:pPr>
                                      <w:jc w:val="center"/>
                                      <w:rPr>
                                        <w:sz w:val="24"/>
                                        <w:szCs w:val="24"/>
                                      </w:rPr>
                                    </w:pPr>
                                    <w:r>
                                      <w:rPr>
                                        <w:sz w:val="24"/>
                                        <w:szCs w:val="24"/>
                                      </w:rPr>
                                      <w:t>焊机焊接</w:t>
                                    </w:r>
                                  </w:p>
                                </w:txbxContent>
                              </wps:txbx>
                              <wps:bodyPr lIns="0" tIns="0" rIns="0" bIns="0" upright="1"/>
                            </wps:wsp>
                            <wps:wsp>
                              <wps:cNvPr id="76" name="直接箭头连接符 12"/>
                              <wps:cNvCnPr/>
                              <wps:spPr>
                                <a:xfrm>
                                  <a:off x="7387" y="3353"/>
                                  <a:ext cx="0" cy="510"/>
                                </a:xfrm>
                                <a:prstGeom prst="straightConnector1">
                                  <a:avLst/>
                                </a:prstGeom>
                                <a:ln w="15875" cap="flat" cmpd="sng">
                                  <a:solidFill>
                                    <a:srgbClr val="000000"/>
                                  </a:solidFill>
                                  <a:prstDash val="solid"/>
                                  <a:headEnd type="none" w="med" len="med"/>
                                  <a:tailEnd type="triangle" w="med" len="med"/>
                                </a:ln>
                              </wps:spPr>
                              <wps:bodyPr/>
                            </wps:wsp>
                            <wps:wsp>
                              <wps:cNvPr id="77" name="文本框 13"/>
                              <wps:cNvSpPr txBox="1"/>
                              <wps:spPr>
                                <a:xfrm>
                                  <a:off x="6715" y="2925"/>
                                  <a:ext cx="1356"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091754F">
                                    <w:pPr>
                                      <w:jc w:val="center"/>
                                      <w:rPr>
                                        <w:sz w:val="24"/>
                                        <w:szCs w:val="24"/>
                                      </w:rPr>
                                    </w:pPr>
                                    <w:r>
                                      <w:rPr>
                                        <w:sz w:val="24"/>
                                        <w:szCs w:val="24"/>
                                      </w:rPr>
                                      <w:t>切割机切割</w:t>
                                    </w:r>
                                  </w:p>
                                </w:txbxContent>
                              </wps:txbx>
                              <wps:bodyPr lIns="0" tIns="0" rIns="0" bIns="0" upright="1"/>
                            </wps:wsp>
                            <wps:wsp>
                              <wps:cNvPr id="14" name="直接箭头连接符 14"/>
                              <wps:cNvCnPr/>
                              <wps:spPr>
                                <a:xfrm>
                                  <a:off x="7387" y="2415"/>
                                  <a:ext cx="0" cy="510"/>
                                </a:xfrm>
                                <a:prstGeom prst="straightConnector1">
                                  <a:avLst/>
                                </a:prstGeom>
                                <a:ln w="15875" cap="flat" cmpd="sng">
                                  <a:solidFill>
                                    <a:srgbClr val="000000"/>
                                  </a:solidFill>
                                  <a:prstDash val="solid"/>
                                  <a:headEnd type="none" w="med" len="med"/>
                                  <a:tailEnd type="triangle" w="med" len="med"/>
                                </a:ln>
                              </wps:spPr>
                              <wps:bodyPr/>
                            </wps:wsp>
                            <wps:wsp>
                              <wps:cNvPr id="15" name="文本框 15"/>
                              <wps:cNvSpPr txBox="1"/>
                              <wps:spPr>
                                <a:xfrm>
                                  <a:off x="6882" y="2062"/>
                                  <a:ext cx="1503" cy="389"/>
                                </a:xfrm>
                                <a:prstGeom prst="rect">
                                  <a:avLst/>
                                </a:prstGeom>
                                <a:noFill/>
                                <a:ln w="15875">
                                  <a:noFill/>
                                </a:ln>
                              </wps:spPr>
                              <wps:txbx>
                                <w:txbxContent>
                                  <w:p w14:paraId="140A256D">
                                    <w:pPr>
                                      <w:ind w:firstLine="240" w:firstLineChars="100"/>
                                      <w:rPr>
                                        <w:sz w:val="24"/>
                                        <w:szCs w:val="24"/>
                                      </w:rPr>
                                    </w:pPr>
                                    <w:r>
                                      <w:rPr>
                                        <w:sz w:val="24"/>
                                        <w:szCs w:val="24"/>
                                      </w:rPr>
                                      <w:t>钢筋</w:t>
                                    </w:r>
                                  </w:p>
                                </w:txbxContent>
                              </wps:txbx>
                              <wps:bodyPr lIns="0" tIns="0" rIns="0" bIns="0" upright="1"/>
                            </wps:wsp>
                            <wps:wsp>
                              <wps:cNvPr id="16" name="直接箭头连接符 16"/>
                              <wps:cNvCnPr/>
                              <wps:spPr>
                                <a:xfrm>
                                  <a:off x="8071" y="3128"/>
                                  <a:ext cx="568" cy="0"/>
                                </a:xfrm>
                                <a:prstGeom prst="straightConnector1">
                                  <a:avLst/>
                                </a:prstGeom>
                                <a:ln w="15875" cap="flat" cmpd="sng">
                                  <a:solidFill>
                                    <a:srgbClr val="000000"/>
                                  </a:solidFill>
                                  <a:prstDash val="dashDot"/>
                                  <a:headEnd type="none" w="med" len="med"/>
                                  <a:tailEnd type="triangle" w="med" len="med"/>
                                </a:ln>
                              </wps:spPr>
                              <wps:bodyPr/>
                            </wps:wsp>
                            <wps:wsp>
                              <wps:cNvPr id="17" name="文本框 17"/>
                              <wps:cNvSpPr txBox="1"/>
                              <wps:spPr>
                                <a:xfrm>
                                  <a:off x="8431" y="2938"/>
                                  <a:ext cx="1503" cy="389"/>
                                </a:xfrm>
                                <a:prstGeom prst="rect">
                                  <a:avLst/>
                                </a:prstGeom>
                                <a:noFill/>
                                <a:ln w="15875">
                                  <a:noFill/>
                                </a:ln>
                              </wps:spPr>
                              <wps:txbx>
                                <w:txbxContent>
                                  <w:p w14:paraId="40A26DCA">
                                    <w:pPr>
                                      <w:ind w:firstLine="240" w:firstLineChars="100"/>
                                      <w:rPr>
                                        <w:sz w:val="24"/>
                                        <w:szCs w:val="24"/>
                                      </w:rPr>
                                    </w:pPr>
                                    <w:r>
                                      <w:rPr>
                                        <w:sz w:val="24"/>
                                        <w:szCs w:val="24"/>
                                      </w:rPr>
                                      <w:t>噪声、固废</w:t>
                                    </w:r>
                                  </w:p>
                                </w:txbxContent>
                              </wps:txbx>
                              <wps:bodyPr lIns="0" tIns="0" rIns="0" bIns="0" upright="1"/>
                            </wps:wsp>
                            <wps:wsp>
                              <wps:cNvPr id="18" name="直接箭头连接符 18"/>
                              <wps:cNvCnPr/>
                              <wps:spPr>
                                <a:xfrm>
                                  <a:off x="8071" y="4043"/>
                                  <a:ext cx="568" cy="0"/>
                                </a:xfrm>
                                <a:prstGeom prst="straightConnector1">
                                  <a:avLst/>
                                </a:prstGeom>
                                <a:ln w="15875" cap="flat" cmpd="sng">
                                  <a:solidFill>
                                    <a:srgbClr val="000000"/>
                                  </a:solidFill>
                                  <a:prstDash val="dashDot"/>
                                  <a:headEnd type="none" w="med" len="med"/>
                                  <a:tailEnd type="triangle" w="med" len="med"/>
                                </a:ln>
                              </wps:spPr>
                              <wps:bodyPr/>
                            </wps:wsp>
                            <wps:wsp>
                              <wps:cNvPr id="19" name="文本框 19"/>
                              <wps:cNvSpPr txBox="1"/>
                              <wps:spPr>
                                <a:xfrm>
                                  <a:off x="8574" y="3863"/>
                                  <a:ext cx="2041" cy="389"/>
                                </a:xfrm>
                                <a:prstGeom prst="rect">
                                  <a:avLst/>
                                </a:prstGeom>
                                <a:noFill/>
                                <a:ln w="15875">
                                  <a:noFill/>
                                </a:ln>
                              </wps:spPr>
                              <wps:txbx>
                                <w:txbxContent>
                                  <w:p w14:paraId="5A366C37">
                                    <w:pPr>
                                      <w:ind w:firstLine="240" w:firstLineChars="100"/>
                                      <w:rPr>
                                        <w:sz w:val="24"/>
                                        <w:szCs w:val="24"/>
                                      </w:rPr>
                                    </w:pPr>
                                    <w:r>
                                      <w:rPr>
                                        <w:sz w:val="24"/>
                                        <w:szCs w:val="24"/>
                                      </w:rPr>
                                      <w:t>噪声、固废、烟尘</w:t>
                                    </w:r>
                                  </w:p>
                                </w:txbxContent>
                              </wps:txbx>
                              <wps:bodyPr lIns="0" tIns="0" rIns="0" bIns="0" upright="1"/>
                            </wps:wsp>
                            <wps:wsp>
                              <wps:cNvPr id="20" name="直接箭头连接符 20"/>
                              <wps:cNvCnPr/>
                              <wps:spPr>
                                <a:xfrm>
                                  <a:off x="3719" y="5340"/>
                                  <a:ext cx="0" cy="510"/>
                                </a:xfrm>
                                <a:prstGeom prst="straightConnector1">
                                  <a:avLst/>
                                </a:prstGeom>
                                <a:ln w="15875" cap="flat" cmpd="sng">
                                  <a:solidFill>
                                    <a:srgbClr val="000000"/>
                                  </a:solidFill>
                                  <a:prstDash val="dashDot"/>
                                  <a:headEnd type="none" w="med" len="med"/>
                                  <a:tailEnd type="triangle" w="med" len="med"/>
                                </a:ln>
                              </wps:spPr>
                              <wps:bodyPr/>
                            </wps:wsp>
                            <wps:wsp>
                              <wps:cNvPr id="78" name="直接箭头连接符 21"/>
                              <wps:cNvCnPr/>
                              <wps:spPr>
                                <a:xfrm>
                                  <a:off x="5020" y="4441"/>
                                  <a:ext cx="0" cy="510"/>
                                </a:xfrm>
                                <a:prstGeom prst="straightConnector1">
                                  <a:avLst/>
                                </a:prstGeom>
                                <a:ln w="15875" cap="flat" cmpd="sng">
                                  <a:solidFill>
                                    <a:srgbClr val="000000"/>
                                  </a:solidFill>
                                  <a:prstDash val="solid"/>
                                  <a:headEnd type="none" w="med" len="med"/>
                                  <a:tailEnd type="triangle" w="med" len="med"/>
                                </a:ln>
                              </wps:spPr>
                              <wps:bodyPr/>
                            </wps:wsp>
                            <wps:wsp>
                              <wps:cNvPr id="22" name="直接箭头连接符 22"/>
                              <wps:cNvCnPr/>
                              <wps:spPr>
                                <a:xfrm>
                                  <a:off x="5571" y="4447"/>
                                  <a:ext cx="0" cy="510"/>
                                </a:xfrm>
                                <a:prstGeom prst="straightConnector1">
                                  <a:avLst/>
                                </a:prstGeom>
                                <a:ln w="15875" cap="flat" cmpd="sng">
                                  <a:solidFill>
                                    <a:srgbClr val="000000"/>
                                  </a:solidFill>
                                  <a:prstDash val="solid"/>
                                  <a:headEnd type="none" w="med" len="med"/>
                                  <a:tailEnd type="triangle" w="med" len="med"/>
                                </a:ln>
                              </wps:spPr>
                              <wps:bodyPr/>
                            </wps:wsp>
                            <wps:wsp>
                              <wps:cNvPr id="79" name="文本框 23"/>
                              <wps:cNvSpPr txBox="1"/>
                              <wps:spPr>
                                <a:xfrm>
                                  <a:off x="4672" y="4156"/>
                                  <a:ext cx="1503" cy="389"/>
                                </a:xfrm>
                                <a:prstGeom prst="rect">
                                  <a:avLst/>
                                </a:prstGeom>
                                <a:noFill/>
                                <a:ln w="15875">
                                  <a:noFill/>
                                </a:ln>
                              </wps:spPr>
                              <wps:txbx>
                                <w:txbxContent>
                                  <w:p w14:paraId="3DBD932A">
                                    <w:pPr>
                                      <w:ind w:firstLine="240" w:firstLineChars="100"/>
                                      <w:rPr>
                                        <w:sz w:val="24"/>
                                        <w:szCs w:val="24"/>
                                      </w:rPr>
                                    </w:pPr>
                                    <w:r>
                                      <w:rPr>
                                        <w:sz w:val="24"/>
                                        <w:szCs w:val="24"/>
                                      </w:rPr>
                                      <w:t>水</w:t>
                                    </w:r>
                                  </w:p>
                                </w:txbxContent>
                              </wps:txbx>
                              <wps:bodyPr lIns="0" tIns="0" rIns="0" bIns="0" upright="1"/>
                            </wps:wsp>
                            <wps:wsp>
                              <wps:cNvPr id="80" name="文本框 24"/>
                              <wps:cNvSpPr txBox="1"/>
                              <wps:spPr>
                                <a:xfrm>
                                  <a:off x="5108" y="4169"/>
                                  <a:ext cx="1503" cy="389"/>
                                </a:xfrm>
                                <a:prstGeom prst="rect">
                                  <a:avLst/>
                                </a:prstGeom>
                                <a:noFill/>
                                <a:ln w="15875">
                                  <a:noFill/>
                                </a:ln>
                              </wps:spPr>
                              <wps:txbx>
                                <w:txbxContent>
                                  <w:p w14:paraId="2939F0A7">
                                    <w:pPr>
                                      <w:ind w:firstLine="240" w:firstLineChars="100"/>
                                      <w:rPr>
                                        <w:sz w:val="24"/>
                                        <w:szCs w:val="24"/>
                                      </w:rPr>
                                    </w:pPr>
                                    <w:r>
                                      <w:rPr>
                                        <w:sz w:val="24"/>
                                        <w:szCs w:val="24"/>
                                      </w:rPr>
                                      <w:t>水泥</w:t>
                                    </w:r>
                                  </w:p>
                                </w:txbxContent>
                              </wps:txbx>
                              <wps:bodyPr lIns="0" tIns="0" rIns="0" bIns="0" upright="1"/>
                            </wps:wsp>
                            <wps:wsp>
                              <wps:cNvPr id="81" name="文本框 25"/>
                              <wps:cNvSpPr txBox="1"/>
                              <wps:spPr>
                                <a:xfrm>
                                  <a:off x="4122" y="5798"/>
                                  <a:ext cx="1503" cy="389"/>
                                </a:xfrm>
                                <a:prstGeom prst="rect">
                                  <a:avLst/>
                                </a:prstGeom>
                                <a:noFill/>
                                <a:ln w="15875">
                                  <a:noFill/>
                                </a:ln>
                              </wps:spPr>
                              <wps:txbx>
                                <w:txbxContent>
                                  <w:p w14:paraId="1BF10A1E">
                                    <w:pPr>
                                      <w:ind w:firstLine="240" w:firstLineChars="100"/>
                                      <w:rPr>
                                        <w:sz w:val="24"/>
                                        <w:szCs w:val="24"/>
                                      </w:rPr>
                                    </w:pPr>
                                    <w:r>
                                      <w:rPr>
                                        <w:sz w:val="24"/>
                                        <w:szCs w:val="24"/>
                                      </w:rPr>
                                      <w:t>噪声、粉尘</w:t>
                                    </w:r>
                                  </w:p>
                                </w:txbxContent>
                              </wps:txbx>
                              <wps:bodyPr lIns="0" tIns="0" rIns="0" bIns="0" upright="1"/>
                            </wps:wsp>
                            <wps:wsp>
                              <wps:cNvPr id="26" name="直接箭头连接符 26"/>
                              <wps:cNvCnPr/>
                              <wps:spPr>
                                <a:xfrm>
                                  <a:off x="5020" y="5353"/>
                                  <a:ext cx="0" cy="510"/>
                                </a:xfrm>
                                <a:prstGeom prst="straightConnector1">
                                  <a:avLst/>
                                </a:prstGeom>
                                <a:ln w="15875" cap="flat" cmpd="sng">
                                  <a:solidFill>
                                    <a:srgbClr val="000000"/>
                                  </a:solidFill>
                                  <a:prstDash val="dashDot"/>
                                  <a:headEnd type="none" w="med" len="med"/>
                                  <a:tailEnd type="triangle" w="med" len="med"/>
                                </a:ln>
                              </wps:spPr>
                              <wps:bodyPr/>
                            </wps:wsp>
                            <wps:wsp>
                              <wps:cNvPr id="27" name="文本框 27"/>
                              <wps:cNvSpPr txBox="1"/>
                              <wps:spPr>
                                <a:xfrm>
                                  <a:off x="2688" y="5811"/>
                                  <a:ext cx="1503" cy="389"/>
                                </a:xfrm>
                                <a:prstGeom prst="rect">
                                  <a:avLst/>
                                </a:prstGeom>
                                <a:noFill/>
                                <a:ln w="15875">
                                  <a:noFill/>
                                </a:ln>
                              </wps:spPr>
                              <wps:txbx>
                                <w:txbxContent>
                                  <w:p w14:paraId="15EC1ABA">
                                    <w:pPr>
                                      <w:ind w:firstLine="240" w:firstLineChars="100"/>
                                      <w:rPr>
                                        <w:sz w:val="24"/>
                                        <w:szCs w:val="24"/>
                                      </w:rPr>
                                    </w:pPr>
                                    <w:r>
                                      <w:rPr>
                                        <w:sz w:val="24"/>
                                        <w:szCs w:val="24"/>
                                      </w:rPr>
                                      <w:t>噪声、粉尘</w:t>
                                    </w:r>
                                  </w:p>
                                </w:txbxContent>
                              </wps:txbx>
                              <wps:bodyPr lIns="0" tIns="0" rIns="0" bIns="0" upright="1"/>
                            </wps:wsp>
                            <wps:wsp>
                              <wps:cNvPr id="30" name="直接箭头连接符 30"/>
                              <wps:cNvCnPr/>
                              <wps:spPr>
                                <a:xfrm>
                                  <a:off x="9713" y="5353"/>
                                  <a:ext cx="0" cy="1701"/>
                                </a:xfrm>
                                <a:prstGeom prst="straightConnector1">
                                  <a:avLst/>
                                </a:prstGeom>
                                <a:ln w="15875" cap="flat" cmpd="sng">
                                  <a:solidFill>
                                    <a:srgbClr val="000000"/>
                                  </a:solidFill>
                                  <a:prstDash val="solid"/>
                                  <a:headEnd type="none" w="med" len="med"/>
                                  <a:tailEnd type="triangle" w="med" len="med"/>
                                </a:ln>
                              </wps:spPr>
                              <wps:bodyPr/>
                            </wps:wsp>
                            <wps:wsp>
                              <wps:cNvPr id="31" name="文本框 31"/>
                              <wps:cNvSpPr txBox="1"/>
                              <wps:spPr>
                                <a:xfrm>
                                  <a:off x="8949" y="7054"/>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CDDA4E1">
                                    <w:pPr>
                                      <w:jc w:val="center"/>
                                      <w:rPr>
                                        <w:sz w:val="24"/>
                                        <w:szCs w:val="24"/>
                                      </w:rPr>
                                    </w:pPr>
                                    <w:r>
                                      <w:rPr>
                                        <w:sz w:val="24"/>
                                        <w:szCs w:val="24"/>
                                      </w:rPr>
                                      <w:t>翻转脱模</w:t>
                                    </w:r>
                                  </w:p>
                                  <w:p w14:paraId="7C99B9D0"/>
                                </w:txbxContent>
                              </wps:txbx>
                              <wps:bodyPr lIns="0" tIns="0" rIns="0" bIns="0" upright="1"/>
                            </wps:wsp>
                            <wps:wsp>
                              <wps:cNvPr id="32" name="直接箭头连接符 32"/>
                              <wps:cNvCnPr/>
                              <wps:spPr>
                                <a:xfrm>
                                  <a:off x="8439" y="7256"/>
                                  <a:ext cx="510" cy="0"/>
                                </a:xfrm>
                                <a:prstGeom prst="straightConnector1">
                                  <a:avLst/>
                                </a:prstGeom>
                                <a:ln w="15875" cap="flat" cmpd="sng">
                                  <a:solidFill>
                                    <a:srgbClr val="000000"/>
                                  </a:solidFill>
                                  <a:prstDash val="solid"/>
                                  <a:headEnd type="triangle" w="med" len="med"/>
                                  <a:tailEnd type="none" w="med" len="med"/>
                                </a:ln>
                              </wps:spPr>
                              <wps:bodyPr/>
                            </wps:wsp>
                            <wps:wsp>
                              <wps:cNvPr id="82" name="文本框 33"/>
                              <wps:cNvSpPr txBox="1"/>
                              <wps:spPr>
                                <a:xfrm>
                                  <a:off x="7372" y="7067"/>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21A140C6">
                                    <w:pPr>
                                      <w:jc w:val="center"/>
                                      <w:rPr>
                                        <w:sz w:val="24"/>
                                        <w:szCs w:val="24"/>
                                      </w:rPr>
                                    </w:pPr>
                                    <w:r>
                                      <w:rPr>
                                        <w:rFonts w:hint="eastAsia"/>
                                        <w:sz w:val="24"/>
                                        <w:szCs w:val="24"/>
                                        <w:lang w:val="en-US" w:eastAsia="zh-CN"/>
                                      </w:rPr>
                                      <w:t>推</w:t>
                                    </w:r>
                                    <w:r>
                                      <w:rPr>
                                        <w:rFonts w:hint="eastAsia"/>
                                        <w:sz w:val="24"/>
                                        <w:szCs w:val="24"/>
                                      </w:rPr>
                                      <w:t xml:space="preserve"> </w:t>
                                    </w:r>
                                    <w:r>
                                      <w:rPr>
                                        <w:sz w:val="24"/>
                                        <w:szCs w:val="24"/>
                                      </w:rPr>
                                      <w:t>板</w:t>
                                    </w:r>
                                  </w:p>
                                  <w:p w14:paraId="782C3767"/>
                                </w:txbxContent>
                              </wps:txbx>
                              <wps:bodyPr lIns="0" tIns="0" rIns="0" bIns="0" upright="1"/>
                            </wps:wsp>
                            <wps:wsp>
                              <wps:cNvPr id="34" name="直接箭头连接符 34"/>
                              <wps:cNvCnPr/>
                              <wps:spPr>
                                <a:xfrm>
                                  <a:off x="6862" y="7256"/>
                                  <a:ext cx="510" cy="0"/>
                                </a:xfrm>
                                <a:prstGeom prst="straightConnector1">
                                  <a:avLst/>
                                </a:prstGeom>
                                <a:ln w="15875" cap="flat" cmpd="sng">
                                  <a:solidFill>
                                    <a:srgbClr val="000000"/>
                                  </a:solidFill>
                                  <a:prstDash val="solid"/>
                                  <a:headEnd type="triangle" w="med" len="med"/>
                                  <a:tailEnd type="none" w="med" len="med"/>
                                </a:ln>
                              </wps:spPr>
                              <wps:bodyPr/>
                            </wps:wsp>
                            <wps:wsp>
                              <wps:cNvPr id="35" name="文本框 35"/>
                              <wps:cNvSpPr txBox="1"/>
                              <wps:spPr>
                                <a:xfrm>
                                  <a:off x="5795" y="7067"/>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FE1A9F2">
                                    <w:pPr>
                                      <w:jc w:val="center"/>
                                      <w:rPr>
                                        <w:sz w:val="24"/>
                                        <w:szCs w:val="24"/>
                                      </w:rPr>
                                    </w:pPr>
                                    <w:r>
                                      <w:rPr>
                                        <w:sz w:val="24"/>
                                        <w:szCs w:val="24"/>
                                      </w:rPr>
                                      <w:t>码</w:t>
                                    </w:r>
                                    <w:r>
                                      <w:rPr>
                                        <w:rFonts w:hint="eastAsia"/>
                                        <w:sz w:val="24"/>
                                        <w:szCs w:val="24"/>
                                      </w:rPr>
                                      <w:t xml:space="preserve"> </w:t>
                                    </w:r>
                                    <w:r>
                                      <w:rPr>
                                        <w:sz w:val="24"/>
                                        <w:szCs w:val="24"/>
                                      </w:rPr>
                                      <w:t>垛</w:t>
                                    </w:r>
                                  </w:p>
                                  <w:p w14:paraId="7CDC1C17">
                                    <w:pPr>
                                      <w:rPr>
                                        <w:rFonts w:hint="eastAsia" w:eastAsia="宋体"/>
                                        <w:lang w:val="en-US" w:eastAsia="zh-CN"/>
                                      </w:rPr>
                                    </w:pPr>
                                    <w:r>
                                      <w:rPr>
                                        <w:rFonts w:hint="eastAsia"/>
                                        <w:lang w:val="en-US" w:eastAsia="zh-CN"/>
                                      </w:rPr>
                                      <w:t>v</w:t>
                                    </w:r>
                                  </w:p>
                                </w:txbxContent>
                              </wps:txbx>
                              <wps:bodyPr lIns="0" tIns="0" rIns="0" bIns="0" upright="1"/>
                            </wps:wsp>
                            <wps:wsp>
                              <wps:cNvPr id="83" name="直接箭头连接符 38"/>
                              <wps:cNvCnPr/>
                              <wps:spPr>
                                <a:xfrm>
                                  <a:off x="5269" y="7256"/>
                                  <a:ext cx="510" cy="0"/>
                                </a:xfrm>
                                <a:prstGeom prst="straightConnector1">
                                  <a:avLst/>
                                </a:prstGeom>
                                <a:ln w="15875" cap="flat" cmpd="sng">
                                  <a:solidFill>
                                    <a:srgbClr val="000000"/>
                                  </a:solidFill>
                                  <a:prstDash val="solid"/>
                                  <a:headEnd type="triangle" w="med" len="med"/>
                                  <a:tailEnd type="none" w="med" len="med"/>
                                </a:ln>
                              </wps:spPr>
                              <wps:bodyPr/>
                            </wps:wsp>
                            <wps:wsp>
                              <wps:cNvPr id="39" name="文本框 39"/>
                              <wps:cNvSpPr txBox="1"/>
                              <wps:spPr>
                                <a:xfrm>
                                  <a:off x="4202" y="7054"/>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0ABB57AC">
                                    <w:pPr>
                                      <w:jc w:val="center"/>
                                      <w:rPr>
                                        <w:sz w:val="24"/>
                                        <w:szCs w:val="24"/>
                                      </w:rPr>
                                    </w:pPr>
                                    <w:r>
                                      <w:rPr>
                                        <w:sz w:val="24"/>
                                        <w:szCs w:val="24"/>
                                      </w:rPr>
                                      <w:t>养护</w:t>
                                    </w:r>
                                  </w:p>
                                </w:txbxContent>
                              </wps:txbx>
                              <wps:bodyPr lIns="0" tIns="0" rIns="0" bIns="0" upright="1"/>
                            </wps:wsp>
                            <wps:wsp>
                              <wps:cNvPr id="84" name="直接箭头连接符 40"/>
                              <wps:cNvCnPr/>
                              <wps:spPr>
                                <a:xfrm>
                                  <a:off x="3676" y="7256"/>
                                  <a:ext cx="510" cy="0"/>
                                </a:xfrm>
                                <a:prstGeom prst="straightConnector1">
                                  <a:avLst/>
                                </a:prstGeom>
                                <a:ln w="15875" cap="flat" cmpd="sng">
                                  <a:solidFill>
                                    <a:srgbClr val="000000"/>
                                  </a:solidFill>
                                  <a:prstDash val="solid"/>
                                  <a:headEnd type="triangle" w="med" len="med"/>
                                  <a:tailEnd type="none" w="med" len="med"/>
                                </a:ln>
                              </wps:spPr>
                              <wps:bodyPr/>
                            </wps:wsp>
                            <wps:wsp>
                              <wps:cNvPr id="85" name="文本框 41"/>
                              <wps:cNvSpPr txBox="1"/>
                              <wps:spPr>
                                <a:xfrm>
                                  <a:off x="2969" y="7112"/>
                                  <a:ext cx="798" cy="389"/>
                                </a:xfrm>
                                <a:prstGeom prst="rect">
                                  <a:avLst/>
                                </a:prstGeom>
                                <a:noFill/>
                                <a:ln w="15875">
                                  <a:noFill/>
                                </a:ln>
                              </wps:spPr>
                              <wps:txbx>
                                <w:txbxContent>
                                  <w:p w14:paraId="2772CD10">
                                    <w:pPr>
                                      <w:ind w:firstLine="240" w:firstLineChars="100"/>
                                      <w:rPr>
                                        <w:sz w:val="24"/>
                                        <w:szCs w:val="24"/>
                                      </w:rPr>
                                    </w:pPr>
                                    <w:r>
                                      <w:rPr>
                                        <w:sz w:val="24"/>
                                        <w:szCs w:val="24"/>
                                      </w:rPr>
                                      <w:t>成品</w:t>
                                    </w:r>
                                  </w:p>
                                </w:txbxContent>
                              </wps:txbx>
                              <wps:bodyPr lIns="0" tIns="0" rIns="0" bIns="0" upright="1"/>
                            </wps:wsp>
                            <wps:wsp>
                              <wps:cNvPr id="86" name="直接箭头连接符 42"/>
                              <wps:cNvCnPr/>
                              <wps:spPr>
                                <a:xfrm>
                                  <a:off x="4761" y="7443"/>
                                  <a:ext cx="0" cy="510"/>
                                </a:xfrm>
                                <a:prstGeom prst="straightConnector1">
                                  <a:avLst/>
                                </a:prstGeom>
                                <a:ln w="15875" cap="flat" cmpd="sng">
                                  <a:solidFill>
                                    <a:srgbClr val="000000"/>
                                  </a:solidFill>
                                  <a:prstDash val="solid"/>
                                  <a:headEnd type="triangle" w="med" len="med"/>
                                  <a:tailEnd type="none" w="med" len="med"/>
                                </a:ln>
                              </wps:spPr>
                              <wps:bodyPr/>
                            </wps:wsp>
                            <wps:wsp>
                              <wps:cNvPr id="87" name="文本框 43"/>
                              <wps:cNvSpPr txBox="1"/>
                              <wps:spPr>
                                <a:xfrm>
                                  <a:off x="4211" y="7984"/>
                                  <a:ext cx="1105" cy="389"/>
                                </a:xfrm>
                                <a:prstGeom prst="rect">
                                  <a:avLst/>
                                </a:prstGeom>
                                <a:noFill/>
                                <a:ln w="15875">
                                  <a:noFill/>
                                </a:ln>
                              </wps:spPr>
                              <wps:txbx>
                                <w:txbxContent>
                                  <w:p w14:paraId="2907BCAD">
                                    <w:pPr>
                                      <w:jc w:val="center"/>
                                      <w:rPr>
                                        <w:rFonts w:hint="eastAsia" w:eastAsia="宋体"/>
                                        <w:sz w:val="24"/>
                                        <w:szCs w:val="24"/>
                                        <w:lang w:val="en-US" w:eastAsia="zh-CN"/>
                                      </w:rPr>
                                    </w:pPr>
                                    <w:r>
                                      <w:rPr>
                                        <w:rFonts w:hint="eastAsia"/>
                                        <w:sz w:val="24"/>
                                        <w:szCs w:val="24"/>
                                        <w:lang w:val="en-US" w:eastAsia="zh-CN"/>
                                      </w:rPr>
                                      <w:t>水</w:t>
                                    </w:r>
                                  </w:p>
                                </w:txbxContent>
                              </wps:txbx>
                              <wps:bodyPr lIns="0" tIns="0" rIns="0" bIns="0" upright="1"/>
                            </wps:wsp>
                            <wps:wsp>
                              <wps:cNvPr id="49" name="直接箭头连接符 49"/>
                              <wps:cNvCnPr/>
                              <wps:spPr>
                                <a:xfrm>
                                  <a:off x="9190" y="5353"/>
                                  <a:ext cx="0" cy="510"/>
                                </a:xfrm>
                                <a:prstGeom prst="straightConnector1">
                                  <a:avLst/>
                                </a:prstGeom>
                                <a:ln w="15875" cap="flat" cmpd="sng">
                                  <a:solidFill>
                                    <a:srgbClr val="000000"/>
                                  </a:solidFill>
                                  <a:prstDash val="dashDot"/>
                                  <a:headEnd type="none" w="med" len="med"/>
                                  <a:tailEnd type="triangle" w="med" len="med"/>
                                </a:ln>
                              </wps:spPr>
                              <wps:bodyPr/>
                            </wps:wsp>
                            <wps:wsp>
                              <wps:cNvPr id="50" name="文本框 50"/>
                              <wps:cNvSpPr txBox="1"/>
                              <wps:spPr>
                                <a:xfrm>
                                  <a:off x="8708" y="5838"/>
                                  <a:ext cx="865" cy="389"/>
                                </a:xfrm>
                                <a:prstGeom prst="rect">
                                  <a:avLst/>
                                </a:prstGeom>
                                <a:noFill/>
                                <a:ln w="15875">
                                  <a:noFill/>
                                </a:ln>
                              </wps:spPr>
                              <wps:txbx>
                                <w:txbxContent>
                                  <w:p w14:paraId="325B7A18">
                                    <w:pPr>
                                      <w:ind w:firstLine="240" w:firstLineChars="100"/>
                                      <w:rPr>
                                        <w:sz w:val="24"/>
                                        <w:szCs w:val="24"/>
                                      </w:rPr>
                                    </w:pPr>
                                    <w:r>
                                      <w:rPr>
                                        <w:sz w:val="24"/>
                                        <w:szCs w:val="24"/>
                                      </w:rPr>
                                      <w:t>噪声</w:t>
                                    </w:r>
                                  </w:p>
                                </w:txbxContent>
                              </wps:txbx>
                              <wps:bodyPr lIns="0" tIns="0" rIns="0" bIns="0" upright="1"/>
                            </wps:wsp>
                          </wpg:wgp>
                        </a:graphicData>
                      </a:graphic>
                    </wp:anchor>
                  </w:drawing>
                </mc:Choice>
                <mc:Fallback>
                  <w:pict>
                    <v:group id="_x0000_s1026" o:spid="_x0000_s1026" o:spt="203" style="position:absolute;left:0pt;margin-left:14.55pt;margin-top:19.5pt;height:315.55pt;width:470.7pt;z-index:251671552;mso-width-relative:page;mso-height-relative:page;" coordorigin="1201,2062" coordsize="9414,6311" o:gfxdata="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">
                      <o:lock v:ext="edit" aspectratio="f"/>
                      <v:shape id="_x0000_s1026" o:spid="_x0000_s1026" o:spt="202" type="#_x0000_t202" style="position:absolute;left:1201;top:4964;height:389;width:1503;" filled="f" stroked="f" coordsize="21600,21600" o:gfxdata="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fEw+5AAAA2gAA&#10;AA8AAAAAAAAAAQAgAAAAIgAAAGRycy9kb3ducmV2LnhtbFBLAQIUABQAAAAIAIdO4kAzLwWeOwAA&#10;ADkAAAAQAAAAAAAAAAEAIAAAAAgBAABkcnMvc2hhcGV4bWwueG1sUEsFBgAAAAAGAAYAWwEAALID&#10;AAAAAA==&#10;">
                        <v:fill on="f" focussize="0,0"/>
                        <v:stroke on="f" weight="1.25pt"/>
                        <v:imagedata o:title=""/>
                        <o:lock v:ext="edit" aspectratio="f"/>
                        <v:textbox inset="0mm,0mm,0mm,0mm">
                          <w:txbxContent>
                            <w:p w14:paraId="5A3F3168">
                              <w:pPr>
                                <w:ind w:firstLine="240" w:firstLineChars="100"/>
                                <w:rPr>
                                  <w:sz w:val="24"/>
                                  <w:szCs w:val="24"/>
                                </w:rPr>
                              </w:pPr>
                              <w:r>
                                <w:rPr>
                                  <w:sz w:val="24"/>
                                  <w:szCs w:val="24"/>
                                </w:rPr>
                                <w:t>砂子、石子</w:t>
                              </w:r>
                            </w:p>
                          </w:txbxContent>
                        </v:textbox>
                      </v:shape>
                      <v:shape id="文本框 2" o:spid="_x0000_s1026" o:spt="202" type="#_x0000_t202" style="position:absolute;left:3189;top:4951;height:389;width:1067;" fillcolor="#FFFFFF" filled="t" stroked="t" coordsize="21600,21600" o:gfxdata="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lPML4A&#10;AADb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1.25pt" color="#000000" joinstyle="miter"/>
                        <v:imagedata o:title=""/>
                        <o:lock v:ext="edit" aspectratio="f"/>
                        <v:textbox inset="0mm,0mm,0mm,0mm">
                          <w:txbxContent>
                            <w:p w14:paraId="3BA3F8B9">
                              <w:pPr>
                                <w:jc w:val="center"/>
                                <w:rPr>
                                  <w:sz w:val="24"/>
                                  <w:szCs w:val="24"/>
                                </w:rPr>
                              </w:pPr>
                              <w:r>
                                <w:rPr>
                                  <w:sz w:val="24"/>
                                  <w:szCs w:val="24"/>
                                </w:rPr>
                                <w:t>计量称重</w:t>
                              </w:r>
                            </w:p>
                          </w:txbxContent>
                        </v:textbox>
                      </v:shape>
                      <v:shape id="直接箭头连接符 3" o:spid="_x0000_s1026" o:spt="32" type="#_x0000_t32" style="position:absolute;left:2704;top:5151;height:0;width:510;" filled="f" stroked="t" coordsize="21600,21600" o:gfxdata="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Sf6L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直接箭头连接符 4" o:spid="_x0000_s1026" o:spt="32" type="#_x0000_t32" style="position:absolute;left:4256;top:5151;height:0;width:510;" filled="f" stroked="t" coordsize="21600,21600" o:gfxdata="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euA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文本框 5" o:spid="_x0000_s1026" o:spt="202" type="#_x0000_t202" style="position:absolute;left:4766;top:4951;height:389;width:1067;" fillcolor="#FFFFFF" filled="t" stroked="t" coordsize="21600,21600" o:gfxdata="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XenW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000000" joinstyle="miter"/>
                        <v:imagedata o:title=""/>
                        <o:lock v:ext="edit" aspectratio="f"/>
                        <v:textbox inset="0mm,0mm,0mm,0mm">
                          <w:txbxContent>
                            <w:p w14:paraId="5CA21D92">
                              <w:pPr>
                                <w:jc w:val="center"/>
                                <w:rPr>
                                  <w:sz w:val="24"/>
                                  <w:szCs w:val="24"/>
                                </w:rPr>
                              </w:pPr>
                              <w:r>
                                <w:rPr>
                                  <w:sz w:val="24"/>
                                  <w:szCs w:val="24"/>
                                </w:rPr>
                                <w:t>搅</w:t>
                              </w:r>
                              <w:r>
                                <w:rPr>
                                  <w:rFonts w:hint="eastAsia"/>
                                  <w:sz w:val="24"/>
                                  <w:szCs w:val="24"/>
                                </w:rPr>
                                <w:t xml:space="preserve"> </w:t>
                              </w:r>
                              <w:r>
                                <w:rPr>
                                  <w:sz w:val="24"/>
                                  <w:szCs w:val="24"/>
                                </w:rPr>
                                <w:t>拌</w:t>
                              </w:r>
                            </w:p>
                          </w:txbxContent>
                        </v:textbox>
                      </v:shape>
                      <v:shape id="直接箭头连接符 6" o:spid="_x0000_s1026" o:spt="32" type="#_x0000_t32" style="position:absolute;left:5833;top:5151;height:0;width:510;" filled="f" stroked="t" coordsize="21600,21600" o:gfxdata="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qqt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文本框 7" o:spid="_x0000_s1026" o:spt="202" type="#_x0000_t202" style="position:absolute;left:6343;top:4795;height:708;width:2083;" fillcolor="#FFFFFF" filled="t" stroked="t" coordsize="21600,21600" o:gfxdata="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F5AK/&#10;AAAA2w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inset="0mm,0mm,0mm,0mm">
                          <w:txbxContent>
                            <w:p w14:paraId="164B3F63">
                              <w:pPr>
                                <w:jc w:val="center"/>
                                <w:rPr>
                                  <w:b w:val="0"/>
                                  <w:bCs w:val="0"/>
                                  <w:sz w:val="21"/>
                                  <w:szCs w:val="21"/>
                                </w:rPr>
                              </w:pPr>
                              <w:r>
                                <w:rPr>
                                  <w:b w:val="0"/>
                                  <w:bCs w:val="0"/>
                                  <w:sz w:val="21"/>
                                  <w:szCs w:val="21"/>
                                </w:rPr>
                                <w:t>将</w:t>
                              </w:r>
                              <w:r>
                                <w:rPr>
                                  <w:rFonts w:hint="eastAsia"/>
                                  <w:b w:val="0"/>
                                  <w:bCs w:val="0"/>
                                  <w:sz w:val="21"/>
                                  <w:szCs w:val="21"/>
                                  <w:lang w:val="en-US" w:eastAsia="zh-CN"/>
                                </w:rPr>
                                <w:t>骨架和搅拌好的混凝土</w:t>
                              </w:r>
                              <w:r>
                                <w:rPr>
                                  <w:b w:val="0"/>
                                  <w:bCs w:val="0"/>
                                  <w:sz w:val="21"/>
                                  <w:szCs w:val="21"/>
                                </w:rPr>
                                <w:t>放入模具中</w:t>
                              </w:r>
                            </w:p>
                          </w:txbxContent>
                        </v:textbox>
                      </v:shape>
                      <v:shape id="_x0000_s1026" o:spid="_x0000_s1026" o:spt="32" type="#_x0000_t32" style="position:absolute;left:8426;top:5151;height:0;width:510;" filled="f" stroked="t" coordsize="21600,21600" o:gfxdata="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GzW1LgAAADaAAAA&#10;DwAAAAAAAAABACAAAAAiAAAAZHJzL2Rvd25yZXYueG1sUEsBAhQAFAAAAAgAh07iQDMvBZ47AAAA&#10;OQAAABAAAAAAAAAAAQAgAAAABwEAAGRycy9zaGFwZXhtbC54bWxQSwUGAAAAAAYABgBbAQAAsQMA&#10;AAAA&#10;">
                        <v:fill on="f" focussize="0,0"/>
                        <v:stroke weight="1.25pt" color="#000000" joinstyle="round" endarrow="block"/>
                        <v:imagedata o:title=""/>
                        <o:lock v:ext="edit" aspectratio="f"/>
                      </v:shape>
                      <v:shape id="_x0000_s1026" o:spid="_x0000_s1026" o:spt="202" type="#_x0000_t202" style="position:absolute;left:8936;top:4964;height:389;width:1067;" fillcolor="#FFFFFF" filled="t" stroked="t" coordsize="21600,21600" o:gfxdata="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qnKvQAA&#10;ANo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4F7B27A9">
                              <w:pPr>
                                <w:jc w:val="center"/>
                                <w:rPr>
                                  <w:rFonts w:hint="default" w:eastAsia="宋体"/>
                                  <w:sz w:val="24"/>
                                  <w:szCs w:val="24"/>
                                  <w:lang w:val="en-US" w:eastAsia="zh-CN"/>
                                </w:rPr>
                              </w:pPr>
                              <w:r>
                                <w:rPr>
                                  <w:rFonts w:hint="eastAsia"/>
                                  <w:sz w:val="24"/>
                                  <w:szCs w:val="24"/>
                                  <w:lang w:val="en-US" w:eastAsia="zh-CN"/>
                                </w:rPr>
                                <w:t>振动成型</w:t>
                              </w:r>
                            </w:p>
                          </w:txbxContent>
                        </v:textbox>
                      </v:shape>
                      <v:shape id="直接箭头连接符 10" o:spid="_x0000_s1026" o:spt="32" type="#_x0000_t32" style="position:absolute;left:7387;top:4291;height:510;width:0;" filled="f" stroked="t" coordsize="21600,21600" o:gfxdata="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XQ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文本框 11" o:spid="_x0000_s1026" o:spt="202" type="#_x0000_t202" style="position:absolute;left:6715;top:3850;height:389;width:1356;" fillcolor="#FFFFFF" filled="t" stroked="t" coordsize="21600,21600" o:gfxdata="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g2e2/&#10;AAAA2w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inset="0mm,0mm,0mm,0mm">
                          <w:txbxContent>
                            <w:p w14:paraId="523B444A">
                              <w:pPr>
                                <w:jc w:val="center"/>
                                <w:rPr>
                                  <w:sz w:val="24"/>
                                  <w:szCs w:val="24"/>
                                </w:rPr>
                              </w:pPr>
                              <w:r>
                                <w:rPr>
                                  <w:sz w:val="24"/>
                                  <w:szCs w:val="24"/>
                                </w:rPr>
                                <w:t>焊机焊接</w:t>
                              </w:r>
                            </w:p>
                          </w:txbxContent>
                        </v:textbox>
                      </v:shape>
                      <v:shape id="直接箭头连接符 12" o:spid="_x0000_s1026" o:spt="32" type="#_x0000_t32" style="position:absolute;left:7387;top:3353;height:510;width:0;" filled="f" stroked="t" coordsize="21600,21600" o:gfxdata="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Gsr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文本框 13" o:spid="_x0000_s1026" o:spt="202" type="#_x0000_t202" style="position:absolute;left:6715;top:2925;height:389;width:1356;" fillcolor="#FFFFFF" filled="t" stroked="t" coordsize="21600,21600" o:gfxdata="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7iAb4A&#10;AADb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1.25pt" color="#000000" joinstyle="miter"/>
                        <v:imagedata o:title=""/>
                        <o:lock v:ext="edit" aspectratio="f"/>
                        <v:textbox inset="0mm,0mm,0mm,0mm">
                          <w:txbxContent>
                            <w:p w14:paraId="5091754F">
                              <w:pPr>
                                <w:jc w:val="center"/>
                                <w:rPr>
                                  <w:sz w:val="24"/>
                                  <w:szCs w:val="24"/>
                                </w:rPr>
                              </w:pPr>
                              <w:r>
                                <w:rPr>
                                  <w:sz w:val="24"/>
                                  <w:szCs w:val="24"/>
                                </w:rPr>
                                <w:t>切割机切割</w:t>
                              </w:r>
                            </w:p>
                          </w:txbxContent>
                        </v:textbox>
                      </v:shape>
                      <v:shape id="_x0000_s1026" o:spid="_x0000_s1026" o:spt="32" type="#_x0000_t32" style="position:absolute;left:7387;top:2415;height:510;width:0;" filled="f" stroked="t" coordsize="21600,21600" o:gfxdata="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By4r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_x0000_s1026" o:spid="_x0000_s1026" o:spt="202" type="#_x0000_t202" style="position:absolute;left:6882;top:2062;height:389;width:1503;" filled="f" stroked="f" coordsize="21600,21600" o:gfxdata="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MyVdugAAANsA&#10;AAAPAAAAAAAAAAEAIAAAACIAAABkcnMvZG93bnJldi54bWxQSwECFAAUAAAACACHTuJAMy8FnjsA&#10;AAA5AAAAEAAAAAAAAAABACAAAAAJAQAAZHJzL3NoYXBleG1sLnhtbFBLBQYAAAAABgAGAFsBAACz&#10;AwAAAAA=&#10;">
                        <v:fill on="f" focussize="0,0"/>
                        <v:stroke on="f" weight="1.25pt"/>
                        <v:imagedata o:title=""/>
                        <o:lock v:ext="edit" aspectratio="f"/>
                        <v:textbox inset="0mm,0mm,0mm,0mm">
                          <w:txbxContent>
                            <w:p w14:paraId="140A256D">
                              <w:pPr>
                                <w:ind w:firstLine="240" w:firstLineChars="100"/>
                                <w:rPr>
                                  <w:sz w:val="24"/>
                                  <w:szCs w:val="24"/>
                                </w:rPr>
                              </w:pPr>
                              <w:r>
                                <w:rPr>
                                  <w:sz w:val="24"/>
                                  <w:szCs w:val="24"/>
                                </w:rPr>
                                <w:t>钢筋</w:t>
                              </w:r>
                            </w:p>
                          </w:txbxContent>
                        </v:textbox>
                      </v:shape>
                      <v:shape id="_x0000_s1026" o:spid="_x0000_s1026" o:spt="32" type="#_x0000_t32" style="position:absolute;left:8071;top:3128;height:0;width:568;" filled="f" stroked="t" coordsize="21600,21600" o:gfxdata="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etJugAAANsA&#10;AAAPAAAAAAAAAAEAIAAAACIAAABkcnMvZG93bnJldi54bWxQSwECFAAUAAAACACHTuJAMy8FnjsA&#10;AAA5AAAAEAAAAAAAAAABACAAAAAJAQAAZHJzL3NoYXBleG1sLnhtbFBLBQYAAAAABgAGAFsBAACz&#10;AwAAAAA=&#10;">
                        <v:fill on="f" focussize="0,0"/>
                        <v:stroke weight="1.25pt" color="#000000" joinstyle="round" dashstyle="dashDot" endarrow="block"/>
                        <v:imagedata o:title=""/>
                        <o:lock v:ext="edit" aspectratio="f"/>
                      </v:shape>
                      <v:shape id="_x0000_s1026" o:spid="_x0000_s1026" o:spt="202" type="#_x0000_t202" style="position:absolute;left:8431;top:2938;height:389;width:1503;" filled="f" stroked="f" coordsize="21600,21600" o:gfxdata="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0esbsAAADb&#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w:txbxContent>
                            <w:p w14:paraId="40A26DCA">
                              <w:pPr>
                                <w:ind w:firstLine="240" w:firstLineChars="100"/>
                                <w:rPr>
                                  <w:sz w:val="24"/>
                                  <w:szCs w:val="24"/>
                                </w:rPr>
                              </w:pPr>
                              <w:r>
                                <w:rPr>
                                  <w:sz w:val="24"/>
                                  <w:szCs w:val="24"/>
                                </w:rPr>
                                <w:t>噪声、固废</w:t>
                              </w:r>
                            </w:p>
                          </w:txbxContent>
                        </v:textbox>
                      </v:shape>
                      <v:shape id="_x0000_s1026" o:spid="_x0000_s1026" o:spt="32" type="#_x0000_t32" style="position:absolute;left:8071;top:4043;height:0;width:568;" filled="f" stroked="t" coordsize="21600,21600" o:gfxdata="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raoL4A&#10;AADbAAAADwAAAAAAAAABACAAAAAiAAAAZHJzL2Rvd25yZXYueG1sUEsBAhQAFAAAAAgAh07iQDMv&#10;BZ47AAAAOQAAABAAAAAAAAAAAQAgAAAADQEAAGRycy9zaGFwZXhtbC54bWxQSwUGAAAAAAYABgBb&#10;AQAAtwMAAAAA&#10;">
                        <v:fill on="f" focussize="0,0"/>
                        <v:stroke weight="1.25pt" color="#000000" joinstyle="round" dashstyle="dashDot" endarrow="block"/>
                        <v:imagedata o:title=""/>
                        <o:lock v:ext="edit" aspectratio="f"/>
                      </v:shape>
                      <v:shape id="_x0000_s1026" o:spid="_x0000_s1026" o:spt="202" type="#_x0000_t202" style="position:absolute;left:8574;top:3863;height:389;width:2041;" filled="f" stroked="f" coordsize="21600,21600" o:gfxdata="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4vWLsAAADb&#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w:txbxContent>
                            <w:p w14:paraId="5A366C37">
                              <w:pPr>
                                <w:ind w:firstLine="240" w:firstLineChars="100"/>
                                <w:rPr>
                                  <w:sz w:val="24"/>
                                  <w:szCs w:val="24"/>
                                </w:rPr>
                              </w:pPr>
                              <w:r>
                                <w:rPr>
                                  <w:sz w:val="24"/>
                                  <w:szCs w:val="24"/>
                                </w:rPr>
                                <w:t>噪声、固废、烟尘</w:t>
                              </w:r>
                            </w:p>
                          </w:txbxContent>
                        </v:textbox>
                      </v:shape>
                      <v:shape id="_x0000_s1026" o:spid="_x0000_s1026" o:spt="32" type="#_x0000_t32" style="position:absolute;left:3719;top:5340;height:510;width:0;" filled="f" stroked="t" coordsize="21600,21600" o:gfxdata="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AcG7sAAADb&#10;AAAADwAAAAAAAAABACAAAAAiAAAAZHJzL2Rvd25yZXYueG1sUEsBAhQAFAAAAAgAh07iQDMvBZ47&#10;AAAAOQAAABAAAAAAAAAAAQAgAAAACgEAAGRycy9zaGFwZXhtbC54bWxQSwUGAAAAAAYABgBbAQAA&#10;tAMAAAAA&#10;">
                        <v:fill on="f" focussize="0,0"/>
                        <v:stroke weight="1.25pt" color="#000000" joinstyle="round" dashstyle="dashDot" endarrow="block"/>
                        <v:imagedata o:title=""/>
                        <o:lock v:ext="edit" aspectratio="f"/>
                      </v:shape>
                      <v:shape id="直接箭头连接符 21" o:spid="_x0000_s1026" o:spt="32" type="#_x0000_t32" style="position:absolute;left:5020;top:4441;height:510;width:0;" filled="f" stroked="t" coordsize="21600,21600" o:gfxdata="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KdR7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_x0000_s1026" o:spid="_x0000_s1026" o:spt="32" type="#_x0000_t32" style="position:absolute;left:5571;top:4447;height:510;width:0;" filled="f" stroked="t" coordsize="21600,21600" o:gfxdata="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YWw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文本框 23" o:spid="_x0000_s1026" o:spt="202" type="#_x0000_t202" style="position:absolute;left:4672;top:4156;height:389;width:1503;" filled="f" stroked="f" coordsize="21600,21600" o:gfxdata="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HK+L4A&#10;AADbAAAADwAAAAAAAAABACAAAAAiAAAAZHJzL2Rvd25yZXYueG1sUEsBAhQAFAAAAAgAh07iQDMv&#10;BZ47AAAAOQAAABAAAAAAAAAAAQAgAAAADQEAAGRycy9zaGFwZXhtbC54bWxQSwUGAAAAAAYABgBb&#10;AQAAtwMAAAAA&#10;">
                        <v:fill on="f" focussize="0,0"/>
                        <v:stroke on="f" weight="1.25pt"/>
                        <v:imagedata o:title=""/>
                        <o:lock v:ext="edit" aspectratio="f"/>
                        <v:textbox inset="0mm,0mm,0mm,0mm">
                          <w:txbxContent>
                            <w:p w14:paraId="3DBD932A">
                              <w:pPr>
                                <w:ind w:firstLine="240" w:firstLineChars="100"/>
                                <w:rPr>
                                  <w:sz w:val="24"/>
                                  <w:szCs w:val="24"/>
                                </w:rPr>
                              </w:pPr>
                              <w:r>
                                <w:rPr>
                                  <w:sz w:val="24"/>
                                  <w:szCs w:val="24"/>
                                </w:rPr>
                                <w:t>水</w:t>
                              </w:r>
                            </w:p>
                          </w:txbxContent>
                        </v:textbox>
                      </v:shape>
                      <v:shape id="文本框 24" o:spid="_x0000_s1026" o:spt="202" type="#_x0000_t202" style="position:absolute;left:5108;top:4169;height:389;width:1503;" filled="f" stroked="f" coordsize="21600,21600" o:gfxdata="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OE0K5AAAA2wAA&#10;AA8AAAAAAAAAAQAgAAAAIgAAAGRycy9kb3ducmV2LnhtbFBLAQIUABQAAAAIAIdO4kAzLwWeOwAA&#10;ADkAAAAQAAAAAAAAAAEAIAAAAAgBAABkcnMvc2hhcGV4bWwueG1sUEsFBgAAAAAGAAYAWwEAALID&#10;AAAAAA==&#10;">
                        <v:fill on="f" focussize="0,0"/>
                        <v:stroke on="f" weight="1.25pt"/>
                        <v:imagedata o:title=""/>
                        <o:lock v:ext="edit" aspectratio="f"/>
                        <v:textbox inset="0mm,0mm,0mm,0mm">
                          <w:txbxContent>
                            <w:p w14:paraId="2939F0A7">
                              <w:pPr>
                                <w:ind w:firstLine="240" w:firstLineChars="100"/>
                                <w:rPr>
                                  <w:sz w:val="24"/>
                                  <w:szCs w:val="24"/>
                                </w:rPr>
                              </w:pPr>
                              <w:r>
                                <w:rPr>
                                  <w:sz w:val="24"/>
                                  <w:szCs w:val="24"/>
                                </w:rPr>
                                <w:t>水泥</w:t>
                              </w:r>
                            </w:p>
                          </w:txbxContent>
                        </v:textbox>
                      </v:shape>
                      <v:shape id="文本框 25" o:spid="_x0000_s1026" o:spt="202" type="#_x0000_t202" style="position:absolute;left:4122;top:5798;height:389;width:1503;" filled="f" stroked="f" coordsize="21600,21600" o:gfxdata="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ArbZ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0mm,0mm,0mm,0mm">
                          <w:txbxContent>
                            <w:p w14:paraId="1BF10A1E">
                              <w:pPr>
                                <w:ind w:firstLine="240" w:firstLineChars="100"/>
                                <w:rPr>
                                  <w:sz w:val="24"/>
                                  <w:szCs w:val="24"/>
                                </w:rPr>
                              </w:pPr>
                              <w:r>
                                <w:rPr>
                                  <w:sz w:val="24"/>
                                  <w:szCs w:val="24"/>
                                </w:rPr>
                                <w:t>噪声、粉尘</w:t>
                              </w:r>
                            </w:p>
                          </w:txbxContent>
                        </v:textbox>
                      </v:shape>
                      <v:shape id="_x0000_s1026" o:spid="_x0000_s1026" o:spt="32" type="#_x0000_t32" style="position:absolute;left:5020;top:5353;height:510;width:0;" filled="f" stroked="t" coordsize="21600,21600" o:gfxdata="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SH0vQAA&#10;ANsAAAAPAAAAAAAAAAEAIAAAACIAAABkcnMvZG93bnJldi54bWxQSwECFAAUAAAACACHTuJAMy8F&#10;njsAAAA5AAAAEAAAAAAAAAABACAAAAAMAQAAZHJzL3NoYXBleG1sLnhtbFBLBQYAAAAABgAGAFsB&#10;AAC2AwAAAAA=&#10;">
                        <v:fill on="f" focussize="0,0"/>
                        <v:stroke weight="1.25pt" color="#000000" joinstyle="round" dashstyle="dashDot" endarrow="block"/>
                        <v:imagedata o:title=""/>
                        <o:lock v:ext="edit" aspectratio="f"/>
                      </v:shape>
                      <v:shape id="_x0000_s1026" o:spid="_x0000_s1026" o:spt="202" type="#_x0000_t202" style="position:absolute;left:2688;top:5811;height:389;width:1503;" filled="f" stroked="f" coordsize="21600,21600" o:gfxdata="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dQM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0mm,0mm,0mm,0mm">
                          <w:txbxContent>
                            <w:p w14:paraId="15EC1ABA">
                              <w:pPr>
                                <w:ind w:firstLine="240" w:firstLineChars="100"/>
                                <w:rPr>
                                  <w:sz w:val="24"/>
                                  <w:szCs w:val="24"/>
                                </w:rPr>
                              </w:pPr>
                              <w:r>
                                <w:rPr>
                                  <w:sz w:val="24"/>
                                  <w:szCs w:val="24"/>
                                </w:rPr>
                                <w:t>噪声、粉尘</w:t>
                              </w:r>
                            </w:p>
                          </w:txbxContent>
                        </v:textbox>
                      </v:shape>
                      <v:shape id="_x0000_s1026" o:spid="_x0000_s1026" o:spt="32" type="#_x0000_t32" style="position:absolute;left:9713;top:5353;height:1701;width:0;" filled="f" stroked="t" coordsize="21600,21600" o:gfxdata="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PiiB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shape>
                      <v:shape id="_x0000_s1026" o:spid="_x0000_s1026" o:spt="202" type="#_x0000_t202" style="position:absolute;left:8949;top:7054;height:389;width:1067;" fillcolor="#FFFFFF" filled="t" stroked="t" coordsize="21600,21600" o:gfxdata="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FmLr4A&#10;AADb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1.25pt" color="#000000" joinstyle="miter"/>
                        <v:imagedata o:title=""/>
                        <o:lock v:ext="edit" aspectratio="f"/>
                        <v:textbox inset="0mm,0mm,0mm,0mm">
                          <w:txbxContent>
                            <w:p w14:paraId="3CDDA4E1">
                              <w:pPr>
                                <w:jc w:val="center"/>
                                <w:rPr>
                                  <w:sz w:val="24"/>
                                  <w:szCs w:val="24"/>
                                </w:rPr>
                              </w:pPr>
                              <w:r>
                                <w:rPr>
                                  <w:sz w:val="24"/>
                                  <w:szCs w:val="24"/>
                                </w:rPr>
                                <w:t>翻转脱模</w:t>
                              </w:r>
                            </w:p>
                            <w:p w14:paraId="7C99B9D0"/>
                          </w:txbxContent>
                        </v:textbox>
                      </v:shape>
                      <v:shape id="_x0000_s1026" o:spid="_x0000_s1026" o:spt="32" type="#_x0000_t32" style="position:absolute;left:8439;top:7256;height:0;width:510;" filled="f" stroked="t" coordsize="21600,21600" o:gfxdata="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rH2K8AAAA&#10;2wAAAA8AAAAAAAAAAQAgAAAAIgAAAGRycy9kb3ducmV2LnhtbFBLAQIUABQAAAAIAIdO4kAzLwWe&#10;OwAAADkAAAAQAAAAAAAAAAEAIAAAAAsBAABkcnMvc2hhcGV4bWwueG1sUEsFBgAAAAAGAAYAWwEA&#10;ALUDAAAAAA==&#10;">
                        <v:fill on="f" focussize="0,0"/>
                        <v:stroke weight="1.25pt" color="#000000" joinstyle="round" startarrow="block"/>
                        <v:imagedata o:title=""/>
                        <o:lock v:ext="edit" aspectratio="f"/>
                      </v:shape>
                      <v:shape id="文本框 33" o:spid="_x0000_s1026" o:spt="202" type="#_x0000_t202" style="position:absolute;left:7372;top:7067;height:389;width:1067;" fillcolor="#FFFFFF" filled="t" stroked="t" coordsize="21600,21600" o:gfxdata="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DG+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21A140C6">
                              <w:pPr>
                                <w:jc w:val="center"/>
                                <w:rPr>
                                  <w:sz w:val="24"/>
                                  <w:szCs w:val="24"/>
                                </w:rPr>
                              </w:pPr>
                              <w:r>
                                <w:rPr>
                                  <w:rFonts w:hint="eastAsia"/>
                                  <w:sz w:val="24"/>
                                  <w:szCs w:val="24"/>
                                  <w:lang w:val="en-US" w:eastAsia="zh-CN"/>
                                </w:rPr>
                                <w:t>推</w:t>
                              </w:r>
                              <w:r>
                                <w:rPr>
                                  <w:rFonts w:hint="eastAsia"/>
                                  <w:sz w:val="24"/>
                                  <w:szCs w:val="24"/>
                                </w:rPr>
                                <w:t xml:space="preserve"> </w:t>
                              </w:r>
                              <w:r>
                                <w:rPr>
                                  <w:sz w:val="24"/>
                                  <w:szCs w:val="24"/>
                                </w:rPr>
                                <w:t>板</w:t>
                              </w:r>
                            </w:p>
                            <w:p w14:paraId="782C3767"/>
                          </w:txbxContent>
                        </v:textbox>
                      </v:shape>
                      <v:shape id="_x0000_s1026" o:spid="_x0000_s1026" o:spt="32" type="#_x0000_t32" style="position:absolute;left:6862;top:7256;height:0;width:510;" filled="f" stroked="t" coordsize="21600,21600" o:gfxdata="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jiKNvQAA&#10;ANsAAAAPAAAAAAAAAAEAIAAAACIAAABkcnMvZG93bnJldi54bWxQSwECFAAUAAAACACHTuJAMy8F&#10;njsAAAA5AAAAEAAAAAAAAAABACAAAAAMAQAAZHJzL3NoYXBleG1sLnhtbFBLBQYAAAAABgAGAFsB&#10;AAC2AwAAAAA=&#10;">
                        <v:fill on="f" focussize="0,0"/>
                        <v:stroke weight="1.25pt" color="#000000" joinstyle="round" startarrow="block"/>
                        <v:imagedata o:title=""/>
                        <o:lock v:ext="edit" aspectratio="f"/>
                      </v:shape>
                      <v:shape id="_x0000_s1026" o:spid="_x0000_s1026" o:spt="202" type="#_x0000_t202" style="position:absolute;left:5795;top:7067;height:389;width:1067;" fillcolor="#FFFFFF" filled="t" stroked="t" coordsize="21600,21600" o:gfxdata="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KYC2/&#10;AAAA2w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inset="0mm,0mm,0mm,0mm">
                          <w:txbxContent>
                            <w:p w14:paraId="1FE1A9F2">
                              <w:pPr>
                                <w:jc w:val="center"/>
                                <w:rPr>
                                  <w:sz w:val="24"/>
                                  <w:szCs w:val="24"/>
                                </w:rPr>
                              </w:pPr>
                              <w:r>
                                <w:rPr>
                                  <w:sz w:val="24"/>
                                  <w:szCs w:val="24"/>
                                </w:rPr>
                                <w:t>码</w:t>
                              </w:r>
                              <w:r>
                                <w:rPr>
                                  <w:rFonts w:hint="eastAsia"/>
                                  <w:sz w:val="24"/>
                                  <w:szCs w:val="24"/>
                                </w:rPr>
                                <w:t xml:space="preserve"> </w:t>
                              </w:r>
                              <w:r>
                                <w:rPr>
                                  <w:sz w:val="24"/>
                                  <w:szCs w:val="24"/>
                                </w:rPr>
                                <w:t>垛</w:t>
                              </w:r>
                            </w:p>
                            <w:p w14:paraId="7CDC1C17">
                              <w:pPr>
                                <w:rPr>
                                  <w:rFonts w:hint="eastAsia" w:eastAsia="宋体"/>
                                  <w:lang w:val="en-US" w:eastAsia="zh-CN"/>
                                </w:rPr>
                              </w:pPr>
                              <w:r>
                                <w:rPr>
                                  <w:rFonts w:hint="eastAsia"/>
                                  <w:lang w:val="en-US" w:eastAsia="zh-CN"/>
                                </w:rPr>
                                <w:t>v</w:t>
                              </w:r>
                            </w:p>
                          </w:txbxContent>
                        </v:textbox>
                      </v:shape>
                      <v:shape id="直接箭头连接符 38" o:spid="_x0000_s1026" o:spt="32" type="#_x0000_t32" style="position:absolute;left:5269;top:7256;height:0;width:510;" filled="f" stroked="t" coordsize="21600,21600" o:gfxdata="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68AAAA&#10;2wAAAA8AAAAAAAAAAQAgAAAAIgAAAGRycy9kb3ducmV2LnhtbFBLAQIUABQAAAAIAIdO4kAzLwWe&#10;OwAAADkAAAAQAAAAAAAAAAEAIAAAAAsBAABkcnMvc2hhcGV4bWwueG1sUEsFBgAAAAAGAAYAWwEA&#10;ALUDAAAAAA==&#10;">
                        <v:fill on="f" focussize="0,0"/>
                        <v:stroke weight="1.25pt" color="#000000" joinstyle="round" startarrow="block"/>
                        <v:imagedata o:title=""/>
                        <o:lock v:ext="edit" aspectratio="f"/>
                      </v:shape>
                      <v:shape id="_x0000_s1026" o:spid="_x0000_s1026" o:spt="202" type="#_x0000_t202" style="position:absolute;left:4202;top:7054;height:389;width:1067;" fillcolor="#FFFFFF" filled="t" stroked="t" coordsize="21600,21600" o:gfxdata="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Haii/&#10;AAAA2w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inset="0mm,0mm,0mm,0mm">
                          <w:txbxContent>
                            <w:p w14:paraId="0ABB57AC">
                              <w:pPr>
                                <w:jc w:val="center"/>
                                <w:rPr>
                                  <w:sz w:val="24"/>
                                  <w:szCs w:val="24"/>
                                </w:rPr>
                              </w:pPr>
                              <w:r>
                                <w:rPr>
                                  <w:sz w:val="24"/>
                                  <w:szCs w:val="24"/>
                                </w:rPr>
                                <w:t>养护</w:t>
                              </w:r>
                            </w:p>
                          </w:txbxContent>
                        </v:textbox>
                      </v:shape>
                      <v:shape id="直接箭头连接符 40" o:spid="_x0000_s1026" o:spt="32" type="#_x0000_t32" style="position:absolute;left:3676;top:7256;height:0;width:510;" filled="f" stroked="t" coordsize="21600,21600" o:gfxdata="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x62q8AAAA&#10;2wAAAA8AAAAAAAAAAQAgAAAAIgAAAGRycy9kb3ducmV2LnhtbFBLAQIUABQAAAAIAIdO4kAzLwWe&#10;OwAAADkAAAAQAAAAAAAAAAEAIAAAAAsBAABkcnMvc2hhcGV4bWwueG1sUEsFBgAAAAAGAAYAWwEA&#10;ALUDAAAAAA==&#10;">
                        <v:fill on="f" focussize="0,0"/>
                        <v:stroke weight="1.25pt" color="#000000" joinstyle="round" startarrow="block"/>
                        <v:imagedata o:title=""/>
                        <o:lock v:ext="edit" aspectratio="f"/>
                      </v:shape>
                      <v:shape id="文本框 41" o:spid="_x0000_s1026" o:spt="202" type="#_x0000_t202" style="position:absolute;left:2969;top:7112;height:389;width:798;" filled="f" stroked="f" coordsize="21600,21600" o:gfxdata="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bDa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0mm,0mm,0mm,0mm">
                          <w:txbxContent>
                            <w:p w14:paraId="2772CD10">
                              <w:pPr>
                                <w:ind w:firstLine="240" w:firstLineChars="100"/>
                                <w:rPr>
                                  <w:sz w:val="24"/>
                                  <w:szCs w:val="24"/>
                                </w:rPr>
                              </w:pPr>
                              <w:r>
                                <w:rPr>
                                  <w:sz w:val="24"/>
                                  <w:szCs w:val="24"/>
                                </w:rPr>
                                <w:t>成品</w:t>
                              </w:r>
                            </w:p>
                          </w:txbxContent>
                        </v:textbox>
                      </v:shape>
                      <v:shape id="直接箭头连接符 42" o:spid="_x0000_s1026" o:spt="32" type="#_x0000_t32" style="position:absolute;left:4761;top:7443;height:510;width:0;" filled="f" stroked="t" coordsize="21600,21600" o:gfxdata="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QhrsAAADb&#10;AAAADwAAAAAAAAABACAAAAAiAAAAZHJzL2Rvd25yZXYueG1sUEsBAhQAFAAAAAgAh07iQDMvBZ47&#10;AAAAOQAAABAAAAAAAAAAAQAgAAAACgEAAGRycy9zaGFwZXhtbC54bWxQSwUGAAAAAAYABgBbAQAA&#10;tAMAAAAA&#10;">
                        <v:fill on="f" focussize="0,0"/>
                        <v:stroke weight="1.25pt" color="#000000" joinstyle="round" startarrow="block"/>
                        <v:imagedata o:title=""/>
                        <o:lock v:ext="edit" aspectratio="f"/>
                      </v:shape>
                      <v:shape id="文本框 43" o:spid="_x0000_s1026" o:spt="202" type="#_x0000_t202" style="position:absolute;left:4211;top:7984;height:389;width:1105;" filled="f" stroked="f" coordsize="21600,21600" o:gfxdata="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4s2vQAA&#10;ANsAAAAPAAAAAAAAAAEAIAAAACIAAABkcnMvZG93bnJldi54bWxQSwECFAAUAAAACACHTuJAMy8F&#10;njsAAAA5AAAAEAAAAAAAAAABACAAAAAMAQAAZHJzL3NoYXBleG1sLnhtbFBLBQYAAAAABgAGAFsB&#10;AAC2AwAAAAA=&#10;">
                        <v:fill on="f" focussize="0,0"/>
                        <v:stroke on="f" weight="1.25pt"/>
                        <v:imagedata o:title=""/>
                        <o:lock v:ext="edit" aspectratio="f"/>
                        <v:textbox inset="0mm,0mm,0mm,0mm">
                          <w:txbxContent>
                            <w:p w14:paraId="2907BCAD">
                              <w:pPr>
                                <w:jc w:val="center"/>
                                <w:rPr>
                                  <w:rFonts w:hint="eastAsia" w:eastAsia="宋体"/>
                                  <w:sz w:val="24"/>
                                  <w:szCs w:val="24"/>
                                  <w:lang w:val="en-US" w:eastAsia="zh-CN"/>
                                </w:rPr>
                              </w:pPr>
                              <w:r>
                                <w:rPr>
                                  <w:rFonts w:hint="eastAsia"/>
                                  <w:sz w:val="24"/>
                                  <w:szCs w:val="24"/>
                                  <w:lang w:val="en-US" w:eastAsia="zh-CN"/>
                                </w:rPr>
                                <w:t>水</w:t>
                              </w:r>
                            </w:p>
                          </w:txbxContent>
                        </v:textbox>
                      </v:shape>
                      <v:shape id="_x0000_s1026" o:spid="_x0000_s1026" o:spt="32" type="#_x0000_t32" style="position:absolute;left:9190;top:5353;height:510;width:0;" filled="f" stroked="t" coordsize="21600,21600" o:gfxdata="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VAmvQAA&#10;ANsAAAAPAAAAAAAAAAEAIAAAACIAAABkcnMvZG93bnJldi54bWxQSwECFAAUAAAACACHTuJAMy8F&#10;njsAAAA5AAAAEAAAAAAAAAABACAAAAAMAQAAZHJzL3NoYXBleG1sLnhtbFBLBQYAAAAABgAGAFsB&#10;AAC2AwAAAAA=&#10;">
                        <v:fill on="f" focussize="0,0"/>
                        <v:stroke weight="1.25pt" color="#000000" joinstyle="round" dashstyle="dashDot" endarrow="block"/>
                        <v:imagedata o:title=""/>
                        <o:lock v:ext="edit" aspectratio="f"/>
                      </v:shape>
                      <v:shape id="_x0000_s1026" o:spid="_x0000_s1026" o:spt="202" type="#_x0000_t202" style="position:absolute;left:8708;top:5838;height:389;width:865;" filled="f" stroked="f" coordsize="21600,21600" o:gfxdata="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Lj8FugAAANsA&#10;AAAPAAAAAAAAAAEAIAAAACIAAABkcnMvZG93bnJldi54bWxQSwECFAAUAAAACACHTuJAMy8FnjsA&#10;AAA5AAAAEAAAAAAAAAABACAAAAAJAQAAZHJzL3NoYXBleG1sLnhtbFBLBQYAAAAABgAGAFsBAACz&#10;AwAAAAA=&#10;">
                        <v:fill on="f" focussize="0,0"/>
                        <v:stroke on="f" weight="1.25pt"/>
                        <v:imagedata o:title=""/>
                        <o:lock v:ext="edit" aspectratio="f"/>
                        <v:textbox inset="0mm,0mm,0mm,0mm">
                          <w:txbxContent>
                            <w:p w14:paraId="325B7A18">
                              <w:pPr>
                                <w:ind w:firstLine="240" w:firstLineChars="100"/>
                                <w:rPr>
                                  <w:sz w:val="24"/>
                                  <w:szCs w:val="24"/>
                                </w:rPr>
                              </w:pPr>
                              <w:r>
                                <w:rPr>
                                  <w:sz w:val="24"/>
                                  <w:szCs w:val="24"/>
                                </w:rPr>
                                <w:t>噪声</w:t>
                              </w:r>
                            </w:p>
                          </w:txbxContent>
                        </v:textbox>
                      </v:shape>
                    </v:group>
                  </w:pict>
                </mc:Fallback>
              </mc:AlternateContent>
            </w:r>
          </w:p>
          <w:p w14:paraId="6510CDB7">
            <w:pPr>
              <w:spacing w:line="360" w:lineRule="auto"/>
              <w:rPr>
                <w:rFonts w:hint="default" w:ascii="Times New Roman" w:hAnsi="Times New Roman" w:eastAsia="宋体" w:cs="Times New Roman"/>
                <w:b/>
                <w:color w:val="C00000"/>
                <w:kern w:val="24"/>
                <w:sz w:val="24"/>
                <w:szCs w:val="20"/>
                <w:lang w:eastAsia="zh-CN"/>
              </w:rPr>
            </w:pPr>
          </w:p>
          <w:p w14:paraId="03248E0A">
            <w:pPr>
              <w:spacing w:line="360" w:lineRule="auto"/>
              <w:rPr>
                <w:rFonts w:hint="default" w:ascii="Times New Roman" w:hAnsi="Times New Roman" w:eastAsia="宋体" w:cs="Times New Roman"/>
                <w:b/>
                <w:color w:val="C00000"/>
                <w:kern w:val="24"/>
                <w:sz w:val="24"/>
                <w:szCs w:val="20"/>
                <w:lang w:eastAsia="zh-CN"/>
              </w:rPr>
            </w:pPr>
          </w:p>
          <w:p w14:paraId="5D6301A2">
            <w:pPr>
              <w:spacing w:line="360" w:lineRule="auto"/>
              <w:ind w:firstLine="480"/>
              <w:rPr>
                <w:rFonts w:hint="default" w:ascii="Times New Roman" w:hAnsi="Times New Roman" w:eastAsia="宋体" w:cs="Times New Roman"/>
                <w:b/>
                <w:color w:val="C00000"/>
                <w:kern w:val="24"/>
                <w:sz w:val="24"/>
                <w:szCs w:val="20"/>
                <w:lang w:eastAsia="zh-CN"/>
              </w:rPr>
            </w:pPr>
          </w:p>
          <w:p w14:paraId="79FDA393">
            <w:pPr>
              <w:spacing w:line="360" w:lineRule="auto"/>
              <w:ind w:firstLine="480"/>
              <w:rPr>
                <w:rFonts w:hint="default" w:ascii="Times New Roman" w:hAnsi="Times New Roman" w:eastAsia="宋体" w:cs="Times New Roman"/>
                <w:b/>
                <w:color w:val="C00000"/>
                <w:kern w:val="24"/>
                <w:sz w:val="24"/>
                <w:szCs w:val="20"/>
                <w:lang w:eastAsia="zh-CN"/>
              </w:rPr>
            </w:pPr>
          </w:p>
          <w:p w14:paraId="5754B4AC">
            <w:pPr>
              <w:spacing w:line="360" w:lineRule="auto"/>
              <w:jc w:val="center"/>
              <w:rPr>
                <w:rFonts w:hint="default" w:ascii="Times New Roman" w:hAnsi="Times New Roman" w:eastAsia="宋体" w:cs="Times New Roman"/>
                <w:b/>
                <w:bCs/>
                <w:color w:val="C00000"/>
                <w:szCs w:val="21"/>
              </w:rPr>
            </w:pPr>
          </w:p>
          <w:p w14:paraId="5A5485E1">
            <w:pPr>
              <w:spacing w:line="360" w:lineRule="auto"/>
              <w:jc w:val="center"/>
              <w:rPr>
                <w:rFonts w:hint="default" w:ascii="Times New Roman" w:hAnsi="Times New Roman" w:eastAsia="宋体" w:cs="Times New Roman"/>
                <w:b/>
                <w:bCs/>
                <w:color w:val="C00000"/>
                <w:szCs w:val="21"/>
              </w:rPr>
            </w:pPr>
          </w:p>
          <w:p w14:paraId="50E28A7B">
            <w:pPr>
              <w:spacing w:line="360" w:lineRule="auto"/>
              <w:jc w:val="center"/>
              <w:rPr>
                <w:rFonts w:hint="default" w:ascii="Times New Roman" w:hAnsi="Times New Roman" w:eastAsia="宋体" w:cs="Times New Roman"/>
                <w:b/>
                <w:bCs/>
                <w:color w:val="C00000"/>
                <w:szCs w:val="21"/>
              </w:rPr>
            </w:pPr>
          </w:p>
          <w:p w14:paraId="065EB399">
            <w:pPr>
              <w:spacing w:line="360" w:lineRule="auto"/>
              <w:jc w:val="center"/>
              <w:rPr>
                <w:rFonts w:hint="default" w:ascii="Times New Roman" w:hAnsi="Times New Roman" w:eastAsia="宋体" w:cs="Times New Roman"/>
                <w:b/>
                <w:bCs/>
                <w:color w:val="C00000"/>
                <w:szCs w:val="21"/>
              </w:rPr>
            </w:pPr>
          </w:p>
          <w:p w14:paraId="766F967E">
            <w:pPr>
              <w:spacing w:line="360" w:lineRule="auto"/>
              <w:jc w:val="center"/>
              <w:rPr>
                <w:rFonts w:hint="default" w:ascii="Times New Roman" w:hAnsi="Times New Roman" w:eastAsia="宋体" w:cs="Times New Roman"/>
                <w:b/>
                <w:bCs/>
                <w:color w:val="C00000"/>
                <w:szCs w:val="21"/>
              </w:rPr>
            </w:pPr>
          </w:p>
          <w:p w14:paraId="0E046FDC">
            <w:pPr>
              <w:spacing w:line="360" w:lineRule="auto"/>
              <w:jc w:val="center"/>
              <w:rPr>
                <w:rFonts w:hint="default" w:ascii="Times New Roman" w:hAnsi="Times New Roman" w:eastAsia="宋体" w:cs="Times New Roman"/>
                <w:b/>
                <w:bCs/>
                <w:color w:val="C00000"/>
                <w:szCs w:val="21"/>
              </w:rPr>
            </w:pPr>
          </w:p>
          <w:p w14:paraId="3F8EB814">
            <w:pPr>
              <w:spacing w:line="360" w:lineRule="auto"/>
              <w:jc w:val="center"/>
              <w:rPr>
                <w:rFonts w:hint="default" w:ascii="Times New Roman" w:hAnsi="Times New Roman" w:eastAsia="宋体" w:cs="Times New Roman"/>
                <w:b/>
                <w:bCs/>
                <w:color w:val="C00000"/>
                <w:szCs w:val="21"/>
              </w:rPr>
            </w:pPr>
          </w:p>
          <w:p w14:paraId="5480DF20">
            <w:pPr>
              <w:spacing w:line="360" w:lineRule="auto"/>
              <w:jc w:val="center"/>
              <w:rPr>
                <w:rFonts w:hint="default" w:ascii="Times New Roman" w:hAnsi="Times New Roman" w:eastAsia="宋体" w:cs="Times New Roman"/>
                <w:b/>
                <w:bCs/>
                <w:color w:val="C00000"/>
                <w:szCs w:val="21"/>
              </w:rPr>
            </w:pPr>
          </w:p>
          <w:p w14:paraId="7CB2E3DF">
            <w:pPr>
              <w:spacing w:line="360" w:lineRule="auto"/>
              <w:jc w:val="center"/>
              <w:rPr>
                <w:rFonts w:hint="default" w:ascii="Times New Roman" w:hAnsi="Times New Roman" w:eastAsia="宋体" w:cs="Times New Roman"/>
                <w:b/>
                <w:bCs/>
                <w:color w:val="C00000"/>
                <w:szCs w:val="21"/>
              </w:rPr>
            </w:pPr>
          </w:p>
          <w:p w14:paraId="448452DB">
            <w:pPr>
              <w:spacing w:line="360" w:lineRule="auto"/>
              <w:jc w:val="center"/>
              <w:rPr>
                <w:rFonts w:hint="default" w:ascii="Times New Roman" w:hAnsi="Times New Roman" w:eastAsia="宋体" w:cs="Times New Roman"/>
                <w:color w:val="C00000"/>
                <w:szCs w:val="21"/>
              </w:rPr>
            </w:pPr>
            <w:r>
              <w:rPr>
                <w:rFonts w:hint="default" w:ascii="Times New Roman" w:hAnsi="Times New Roman" w:eastAsia="宋体" w:cs="Times New Roman"/>
                <w:b/>
                <w:bCs/>
                <w:color w:val="auto"/>
                <w:szCs w:val="21"/>
              </w:rPr>
              <w:t>图5-</w:t>
            </w:r>
            <w:r>
              <w:rPr>
                <w:rFonts w:hint="eastAsia" w:cs="Times New Roman"/>
                <w:b/>
                <w:bCs/>
                <w:color w:val="auto"/>
                <w:szCs w:val="21"/>
                <w:lang w:val="en-US" w:eastAsia="zh-CN"/>
              </w:rPr>
              <w:t>2</w:t>
            </w:r>
            <w:r>
              <w:rPr>
                <w:rFonts w:hint="default" w:ascii="Times New Roman" w:hAnsi="Times New Roman" w:eastAsia="宋体" w:cs="Times New Roman"/>
                <w:b/>
                <w:bCs/>
                <w:color w:val="C00000"/>
                <w:szCs w:val="21"/>
              </w:rPr>
              <w:t xml:space="preserve">  </w:t>
            </w:r>
            <w:r>
              <w:rPr>
                <w:rFonts w:hint="eastAsia"/>
                <w:b/>
                <w:bCs/>
                <w:lang w:val="en-US" w:eastAsia="zh-CN"/>
              </w:rPr>
              <w:t>栓结构制品</w:t>
            </w:r>
            <w:r>
              <w:rPr>
                <w:rFonts w:hint="eastAsia"/>
                <w:b/>
                <w:bCs/>
              </w:rPr>
              <w:t>生产工艺流程及产排污环节图</w:t>
            </w:r>
          </w:p>
          <w:p w14:paraId="061A6C31">
            <w:pPr>
              <w:spacing w:line="360" w:lineRule="auto"/>
              <w:ind w:firstLine="480"/>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栓结构制品</w:t>
            </w:r>
            <w:r>
              <w:rPr>
                <w:rFonts w:hint="default" w:ascii="Times New Roman" w:hAnsi="Times New Roman" w:eastAsia="宋体" w:cs="Times New Roman"/>
                <w:b/>
                <w:color w:val="auto"/>
                <w:sz w:val="24"/>
                <w:szCs w:val="24"/>
              </w:rPr>
              <w:t>主要工序简述：</w:t>
            </w:r>
          </w:p>
          <w:p w14:paraId="528D9696">
            <w:pPr>
              <w:adjustRightInd/>
              <w:spacing w:line="360" w:lineRule="auto"/>
              <w:ind w:firstLine="480" w:firstLineChars="200"/>
              <w:contextualSpacing/>
              <w:rPr>
                <w:rFonts w:hint="eastAsia"/>
                <w:bCs/>
                <w:sz w:val="24"/>
              </w:rPr>
            </w:pPr>
            <w:r>
              <w:rPr>
                <w:rFonts w:hint="eastAsia"/>
                <w:bCs/>
                <w:sz w:val="24"/>
              </w:rPr>
              <w:t>在本项目生产过程中，原料为砂子、石子、水泥、水，其中砂子与石子存放在全封闭的原料库内，水泥储存在水泥罐内，水储存在水罐内。生产所用原料按一定比例进入搅拌机进行搅拌。</w:t>
            </w:r>
          </w:p>
          <w:p w14:paraId="1EA96F76">
            <w:pPr>
              <w:adjustRightInd/>
              <w:spacing w:line="360" w:lineRule="auto"/>
              <w:ind w:firstLine="480" w:firstLineChars="200"/>
              <w:contextualSpacing/>
              <w:rPr>
                <w:rFonts w:hint="eastAsia"/>
                <w:bCs/>
                <w:sz w:val="24"/>
              </w:rPr>
            </w:pPr>
            <w:r>
              <w:rPr>
                <w:rFonts w:hint="eastAsia"/>
                <w:bCs/>
                <w:sz w:val="24"/>
              </w:rPr>
              <w:t>砂子与石子由装载机从原料库进料口送入装配机，通过配料机电子称重系统计量，然后进入配料仓混合后经配料机出料口落入搅拌机提升料斗，提升料斗沿滑道升至搅拌机顶部进料口将料斗内砂子与石子倾倒入搅拌机；水泥由水泥罐卸料进入搅拌机，水泥罐卸料时首先打开锥体底部的手动卸料阀，然后通过水泥输送装置（螺旋输送机）将水泥输送进入搅拌机；水由水罐通过连接水管进入搅拌机。</w:t>
            </w:r>
          </w:p>
          <w:p w14:paraId="78F61647">
            <w:pPr>
              <w:spacing w:line="360" w:lineRule="auto"/>
              <w:ind w:firstLine="480"/>
              <w:rPr>
                <w:rFonts w:hint="default" w:ascii="Times New Roman" w:hAnsi="Times New Roman" w:cs="Times New Roman"/>
                <w:bCs/>
                <w:sz w:val="24"/>
              </w:rPr>
            </w:pPr>
            <w:r>
              <w:rPr>
                <w:rFonts w:hint="eastAsia"/>
                <w:bCs/>
                <w:sz w:val="24"/>
              </w:rPr>
              <w:t>经搅拌机搅拌后，</w:t>
            </w:r>
            <w:r>
              <w:rPr>
                <w:rFonts w:hint="eastAsia"/>
                <w:bCs/>
                <w:sz w:val="24"/>
                <w:lang w:val="en-US" w:eastAsia="zh-CN"/>
              </w:rPr>
              <w:t>先将加工好的钢筋骨架放入到模具中，再</w:t>
            </w:r>
            <w:r>
              <w:rPr>
                <w:rFonts w:hint="eastAsia"/>
                <w:bCs/>
                <w:sz w:val="24"/>
              </w:rPr>
              <w:t>将搅拌的混合料传送带至模具中</w:t>
            </w:r>
            <w:r>
              <w:rPr>
                <w:rFonts w:hint="eastAsia"/>
                <w:bCs/>
                <w:sz w:val="24"/>
                <w:lang w:eastAsia="zh-CN"/>
              </w:rPr>
              <w:t>，</w:t>
            </w:r>
            <w:r>
              <w:rPr>
                <w:rFonts w:hint="eastAsia"/>
                <w:bCs/>
                <w:sz w:val="24"/>
              </w:rPr>
              <w:t>再经高频振动成型，经全自动旋转抹光，处理面光滑、无棱角后，自动翻转吊具翻转，脱模至托板上，然后输送系统的运扳机进行</w:t>
            </w:r>
            <w:r>
              <w:rPr>
                <w:rFonts w:hint="eastAsia"/>
                <w:bCs/>
                <w:sz w:val="24"/>
                <w:lang w:val="en-US" w:eastAsia="zh-CN"/>
              </w:rPr>
              <w:t>推送并进行</w:t>
            </w:r>
            <w:r>
              <w:rPr>
                <w:rFonts w:hint="eastAsia"/>
                <w:bCs/>
                <w:sz w:val="24"/>
              </w:rPr>
              <w:t>码垛，后经叉车运输至成品养护区。</w:t>
            </w:r>
            <w:r>
              <w:rPr>
                <w:rFonts w:hint="eastAsia" w:ascii="Times New Roman" w:hAnsi="Times New Roman" w:cs="Times New Roman"/>
                <w:bCs/>
                <w:sz w:val="24"/>
              </w:rPr>
              <w:t>三天内进行喷</w:t>
            </w:r>
            <w:r>
              <w:rPr>
                <w:rFonts w:hint="eastAsia" w:ascii="Times New Roman" w:hAnsi="Times New Roman" w:cs="Times New Roman"/>
                <w:bCs/>
                <w:sz w:val="24"/>
                <w:lang w:val="en-US" w:eastAsia="zh-CN"/>
              </w:rPr>
              <w:t>水</w:t>
            </w:r>
            <w:r>
              <w:rPr>
                <w:rFonts w:hint="eastAsia" w:ascii="Times New Roman" w:hAnsi="Times New Roman" w:cs="Times New Roman"/>
                <w:bCs/>
                <w:sz w:val="24"/>
              </w:rPr>
              <w:t>养护，养护后即为成品</w:t>
            </w:r>
            <w:r>
              <w:rPr>
                <w:rFonts w:hint="eastAsia" w:ascii="Times New Roman" w:hAnsi="Times New Roman" w:cs="Times New Roman"/>
                <w:bCs/>
                <w:sz w:val="24"/>
                <w:lang w:eastAsia="zh-CN"/>
              </w:rPr>
              <w:t>，</w:t>
            </w:r>
            <w:r>
              <w:rPr>
                <w:rFonts w:hint="eastAsia" w:ascii="Times New Roman" w:hAnsi="Times New Roman" w:cs="Times New Roman"/>
                <w:bCs/>
                <w:sz w:val="24"/>
              </w:rPr>
              <w:t>即可外售。</w:t>
            </w:r>
          </w:p>
          <w:p w14:paraId="7D012955">
            <w:pPr>
              <w:adjustRightInd/>
              <w:spacing w:line="360" w:lineRule="auto"/>
              <w:ind w:firstLine="482" w:firstLineChars="200"/>
              <w:contextualSpacing/>
              <w:rPr>
                <w:rFonts w:hint="eastAsia"/>
                <w:b/>
                <w:bCs/>
                <w:sz w:val="24"/>
              </w:rPr>
            </w:pPr>
            <w:r>
              <w:rPr>
                <w:rFonts w:hint="eastAsia"/>
                <w:b/>
                <w:bCs/>
                <w:sz w:val="24"/>
              </w:rPr>
              <w:t>水泥罐工作原理</w:t>
            </w:r>
          </w:p>
          <w:p w14:paraId="592F64EE">
            <w:pPr>
              <w:adjustRightInd/>
              <w:spacing w:line="360" w:lineRule="auto"/>
              <w:ind w:firstLine="480" w:firstLineChars="200"/>
              <w:contextualSpacing/>
              <w:rPr>
                <w:rFonts w:hint="eastAsia"/>
                <w:bCs/>
                <w:sz w:val="24"/>
              </w:rPr>
            </w:pPr>
            <w:r>
              <w:rPr>
                <w:rFonts w:hint="eastAsia"/>
                <w:bCs/>
                <w:sz w:val="24"/>
              </w:rPr>
              <w:t>水泥罐的组成有：仓体钢结构部分、爬梯、护栏、上料管、除尘器、压力安全阀、高低料位计、卸料阀等。</w:t>
            </w:r>
          </w:p>
          <w:p w14:paraId="473B6458">
            <w:pPr>
              <w:adjustRightInd/>
              <w:spacing w:line="360" w:lineRule="auto"/>
              <w:ind w:firstLine="480" w:firstLineChars="200"/>
              <w:contextualSpacing/>
              <w:rPr>
                <w:rFonts w:hint="eastAsia"/>
                <w:bCs/>
                <w:sz w:val="24"/>
              </w:rPr>
            </w:pPr>
            <w:r>
              <w:rPr>
                <w:rFonts w:hint="eastAsia"/>
                <w:bCs/>
                <w:sz w:val="24"/>
              </w:rPr>
              <w:t>破拱装置、料位装置的说明：</w:t>
            </w:r>
          </w:p>
          <w:p w14:paraId="44DC1BE7">
            <w:pPr>
              <w:adjustRightInd/>
              <w:spacing w:line="360" w:lineRule="auto"/>
              <w:ind w:firstLine="480" w:firstLineChars="200"/>
              <w:contextualSpacing/>
              <w:rPr>
                <w:rFonts w:hint="eastAsia"/>
                <w:bCs/>
                <w:sz w:val="24"/>
              </w:rPr>
            </w:pPr>
            <w:r>
              <w:rPr>
                <w:rFonts w:hint="eastAsia"/>
                <w:bCs/>
                <w:sz w:val="24"/>
              </w:rPr>
              <w:t>①破拱装置：水泥仓下锥部装有吹气破拱装置，利用位于气控箱内小型电磁换向阀控制压缩空气的释放进行水泥的破拱，避免粉料堆积，造成堵塞。</w:t>
            </w:r>
          </w:p>
          <w:p w14:paraId="4D03AE72">
            <w:pPr>
              <w:adjustRightInd/>
              <w:spacing w:line="360" w:lineRule="auto"/>
              <w:ind w:firstLine="480" w:firstLineChars="200"/>
              <w:contextualSpacing/>
              <w:rPr>
                <w:rFonts w:hint="eastAsia"/>
                <w:bCs/>
                <w:sz w:val="24"/>
              </w:rPr>
            </w:pPr>
            <w:r>
              <w:rPr>
                <w:rFonts w:hint="eastAsia"/>
                <w:bCs/>
                <w:sz w:val="24"/>
              </w:rPr>
              <w:t>②料位装置：水泥仓料位装置可感知仓体内物料的储存高度。</w:t>
            </w:r>
          </w:p>
          <w:p w14:paraId="09D306D7">
            <w:pPr>
              <w:spacing w:line="360" w:lineRule="auto"/>
              <w:ind w:firstLine="480"/>
              <w:rPr>
                <w:rFonts w:hint="eastAsia" w:eastAsia="宋体" w:cs="Times New Roman"/>
                <w:b/>
                <w:bCs/>
                <w:color w:val="auto"/>
                <w:sz w:val="24"/>
                <w:lang w:val="en-US" w:eastAsia="zh-CN"/>
              </w:rPr>
            </w:pPr>
            <w:r>
              <w:rPr>
                <w:rFonts w:hint="eastAsia"/>
                <w:bCs/>
                <w:sz w:val="24"/>
              </w:rPr>
              <w:t>水泥罐车给水泥罐输送水泥时，将散装水泥车的输送管道与水泥罐的进料管路相接，通过散装水泥车的气体压力将罐内水泥输送至水泥罐内。在往储料仓内输送水泥的过程中，操作人员要不间断的按动除尘器振动电机的按钮，抖落附着在除尘器布袋上的水泥，防止堵死布袋，发生爆仓。当需要放料时，首先打开锥体底部的手动卸料阀，然后通过水泥输送装置（螺旋输送机）将水泥输送出去。在放料的过程中，如果出现“起拱” 现象，就及时按动破拱装置电磁阀的按钮，进行吹气，消除“起拱”进行送料，保证水泥供应顺畅。当水泥输送装置（螺旋输送机）出现故障时，首先关闭锥体底部的手动卸料阀，防止水泥外溢</w:t>
            </w:r>
            <w:r>
              <w:rPr>
                <w:rFonts w:hint="eastAsia"/>
                <w:bCs/>
                <w:sz w:val="24"/>
                <w:lang w:eastAsia="zh-CN"/>
              </w:rPr>
              <w:t>。</w:t>
            </w:r>
          </w:p>
          <w:p w14:paraId="2A6D844F">
            <w:pPr>
              <w:adjustRightInd/>
              <w:spacing w:line="360" w:lineRule="auto"/>
              <w:ind w:firstLine="482" w:firstLineChars="200"/>
              <w:contextualSpacing/>
              <w:rPr>
                <w:rFonts w:hint="eastAsia"/>
                <w:b/>
                <w:bCs/>
                <w:sz w:val="24"/>
              </w:rPr>
            </w:pPr>
            <w:r>
              <w:rPr>
                <w:rFonts w:hint="eastAsia"/>
                <w:b/>
                <w:bCs/>
                <w:sz w:val="24"/>
              </w:rPr>
              <w:t>成型工艺介绍</w:t>
            </w:r>
          </w:p>
          <w:p w14:paraId="6FC29AFC">
            <w:pPr>
              <w:spacing w:line="360" w:lineRule="auto"/>
              <w:ind w:firstLine="480"/>
              <w:rPr>
                <w:rFonts w:hint="eastAsia" w:eastAsia="宋体" w:cs="Times New Roman"/>
                <w:b/>
                <w:bCs/>
                <w:color w:val="auto"/>
                <w:sz w:val="24"/>
                <w:lang w:val="en-US" w:eastAsia="zh-CN"/>
              </w:rPr>
            </w:pPr>
            <w:r>
              <w:rPr>
                <w:rFonts w:hint="eastAsia"/>
                <w:bCs/>
                <w:sz w:val="24"/>
              </w:rPr>
              <w:t>振动成型工艺是整个生产工艺过程中的重要环节，是成品质量的保证和基础。成型系统采用高频振动电机，震动频率高，激振力大，振幅小，辐射范围大，砼物料的流动性，可塑性增加，成品质密度提高，成型快，脱模快，经过自然养护后，成品可以</w:t>
            </w:r>
            <w:r>
              <w:rPr>
                <w:rFonts w:hint="eastAsia"/>
                <w:bCs/>
                <w:sz w:val="24"/>
                <w:lang w:val="en-US" w:eastAsia="zh-CN"/>
              </w:rPr>
              <w:t>达到</w:t>
            </w:r>
            <w:r>
              <w:rPr>
                <w:rFonts w:hint="eastAsia"/>
                <w:bCs/>
                <w:sz w:val="24"/>
              </w:rPr>
              <w:t>砼35-砼40标准，相对于常规的塑料模具及普通钢模具制造的成品，使用年限久，耐磨度好，为广大养殖户特别是大型养殖场节约了很大的资金</w:t>
            </w:r>
            <w:r>
              <w:rPr>
                <w:rFonts w:hint="eastAsia"/>
                <w:bCs/>
                <w:sz w:val="24"/>
                <w:lang w:eastAsia="zh-CN"/>
              </w:rPr>
              <w:t>。</w:t>
            </w:r>
          </w:p>
          <w:p w14:paraId="23FFF861">
            <w:pPr>
              <w:spacing w:line="360" w:lineRule="auto"/>
              <w:ind w:firstLine="480"/>
              <w:rPr>
                <w:rFonts w:hint="default" w:ascii="Times New Roman" w:hAnsi="Times New Roman" w:eastAsia="宋体" w:cs="Times New Roman"/>
                <w:b/>
                <w:bCs/>
                <w:color w:val="C00000"/>
                <w:sz w:val="24"/>
              </w:rPr>
            </w:pPr>
            <w:r>
              <w:rPr>
                <w:rFonts w:hint="eastAsia" w:cs="Times New Roman"/>
                <w:b/>
                <w:bCs/>
                <w:color w:val="auto"/>
                <w:sz w:val="24"/>
                <w:lang w:val="en-US" w:eastAsia="zh-CN"/>
              </w:rPr>
              <w:t>2、</w:t>
            </w:r>
            <w:r>
              <w:rPr>
                <w:rFonts w:hint="eastAsia" w:ascii="宋体" w:hAnsi="宋体" w:eastAsia="宋体" w:cs="宋体"/>
                <w:b/>
                <w:bCs/>
                <w:color w:val="auto"/>
                <w:sz w:val="24"/>
                <w:lang w:val="en-US" w:eastAsia="zh-CN"/>
              </w:rPr>
              <w:t>不锈钢制品</w:t>
            </w:r>
          </w:p>
          <w:p w14:paraId="579F589A">
            <w:pPr>
              <w:spacing w:line="360" w:lineRule="auto"/>
              <w:ind w:firstLine="480"/>
              <w:rPr>
                <w:rFonts w:hint="default" w:ascii="Times New Roman" w:hAnsi="Times New Roman" w:eastAsia="宋体" w:cs="Times New Roman"/>
                <w:b/>
                <w:bCs/>
                <w:color w:val="C00000"/>
                <w:sz w:val="24"/>
              </w:rPr>
            </w:pPr>
            <w:r>
              <w:rPr>
                <w:sz w:val="28"/>
              </w:rPr>
              <mc:AlternateContent>
                <mc:Choice Requires="wpg">
                  <w:drawing>
                    <wp:anchor distT="0" distB="0" distL="114300" distR="114300" simplePos="0" relativeHeight="251672576" behindDoc="0" locked="0" layoutInCell="1" allowOverlap="1">
                      <wp:simplePos x="0" y="0"/>
                      <wp:positionH relativeFrom="column">
                        <wp:posOffset>544195</wp:posOffset>
                      </wp:positionH>
                      <wp:positionV relativeFrom="paragraph">
                        <wp:posOffset>23495</wp:posOffset>
                      </wp:positionV>
                      <wp:extent cx="5140960" cy="3383915"/>
                      <wp:effectExtent l="0" t="0" r="0" b="26035"/>
                      <wp:wrapNone/>
                      <wp:docPr id="204" name="组合 204"/>
                      <wp:cNvGraphicFramePr/>
                      <a:graphic xmlns:a="http://schemas.openxmlformats.org/drawingml/2006/main">
                        <a:graphicData uri="http://schemas.microsoft.com/office/word/2010/wordprocessingGroup">
                          <wpg:wgp>
                            <wpg:cNvGrpSpPr/>
                            <wpg:grpSpPr>
                              <a:xfrm>
                                <a:off x="0" y="0"/>
                                <a:ext cx="5140960" cy="3383915"/>
                                <a:chOff x="7998" y="703734"/>
                                <a:chExt cx="8096" cy="5820"/>
                              </a:xfrm>
                            </wpg:grpSpPr>
                            <wpg:grpSp>
                              <wpg:cNvPr id="201" name="组合 201"/>
                              <wpg:cNvGrpSpPr/>
                              <wpg:grpSpPr>
                                <a:xfrm>
                                  <a:off x="10480" y="703734"/>
                                  <a:ext cx="5615" cy="5820"/>
                                  <a:chOff x="10466" y="703734"/>
                                  <a:chExt cx="5615" cy="5820"/>
                                </a:xfrm>
                              </wpg:grpSpPr>
                              <wps:wsp>
                                <wps:cNvPr id="194" name="文本框 17"/>
                                <wps:cNvSpPr txBox="1"/>
                                <wps:spPr>
                                  <a:xfrm>
                                    <a:off x="12707" y="706360"/>
                                    <a:ext cx="3374" cy="389"/>
                                  </a:xfrm>
                                  <a:prstGeom prst="rect">
                                    <a:avLst/>
                                  </a:prstGeom>
                                  <a:noFill/>
                                  <a:ln w="15875">
                                    <a:noFill/>
                                  </a:ln>
                                </wps:spPr>
                                <wps:txbx>
                                  <w:txbxContent>
                                    <w:p w14:paraId="492D1A24">
                                      <w:pPr>
                                        <w:pStyle w:val="27"/>
                                        <w:rPr>
                                          <w:rFonts w:hint="default"/>
                                          <w:lang w:val="en-US" w:eastAsia="zh-CN"/>
                                        </w:rPr>
                                      </w:pPr>
                                      <w:r>
                                        <w:rPr>
                                          <w:sz w:val="24"/>
                                          <w:szCs w:val="24"/>
                                        </w:rPr>
                                        <w:t>噪声、</w:t>
                                      </w:r>
                                      <w:r>
                                        <w:rPr>
                                          <w:rFonts w:hint="eastAsia" w:hAnsi="Times New Roman" w:cs="Times New Roman"/>
                                          <w:sz w:val="24"/>
                                          <w:szCs w:val="24"/>
                                        </w:rPr>
                                        <w:t>废焊丝、</w:t>
                                      </w:r>
                                      <w:r>
                                        <w:rPr>
                                          <w:rFonts w:hAnsi="Times New Roman" w:cs="Times New Roman"/>
                                          <w:sz w:val="24"/>
                                          <w:szCs w:val="24"/>
                                        </w:rPr>
                                        <w:t>焊（熔）渣</w:t>
                                      </w:r>
                                    </w:p>
                                    <w:p w14:paraId="61E60B8C">
                                      <w:pPr>
                                        <w:ind w:firstLine="240" w:firstLineChars="100"/>
                                        <w:rPr>
                                          <w:rFonts w:hint="default" w:eastAsia="宋体"/>
                                          <w:sz w:val="24"/>
                                          <w:szCs w:val="24"/>
                                          <w:lang w:val="en-US" w:eastAsia="zh-CN"/>
                                        </w:rPr>
                                      </w:pPr>
                                      <w:r>
                                        <w:rPr>
                                          <w:rFonts w:hint="eastAsia"/>
                                          <w:sz w:val="24"/>
                                          <w:szCs w:val="24"/>
                                          <w:lang w:val="en-US" w:eastAsia="zh-CN"/>
                                        </w:rPr>
                                        <w:t xml:space="preserve"> </w:t>
                                      </w:r>
                                    </w:p>
                                  </w:txbxContent>
                                </wps:txbx>
                                <wps:bodyPr lIns="0" tIns="0" rIns="0" bIns="0" upright="1"/>
                              </wps:wsp>
                              <wpg:grpSp>
                                <wpg:cNvPr id="200" name="组合 200"/>
                                <wpg:cNvGrpSpPr/>
                                <wpg:grpSpPr>
                                  <a:xfrm>
                                    <a:off x="10466" y="703734"/>
                                    <a:ext cx="4425" cy="5820"/>
                                    <a:chOff x="11542" y="704013"/>
                                    <a:chExt cx="4425" cy="5820"/>
                                  </a:xfrm>
                                </wpg:grpSpPr>
                                <wpg:grpSp>
                                  <wpg:cNvPr id="187" name="组合 187"/>
                                  <wpg:cNvGrpSpPr/>
                                  <wpg:grpSpPr>
                                    <a:xfrm>
                                      <a:off x="11542" y="704013"/>
                                      <a:ext cx="4425" cy="5820"/>
                                      <a:chOff x="11542" y="703960"/>
                                      <a:chExt cx="4425" cy="5820"/>
                                    </a:xfrm>
                                  </wpg:grpSpPr>
                                  <wpg:grpSp>
                                    <wpg:cNvPr id="144" name="组合 144"/>
                                    <wpg:cNvGrpSpPr/>
                                    <wpg:grpSpPr>
                                      <a:xfrm>
                                        <a:off x="11542" y="703960"/>
                                        <a:ext cx="4425" cy="5820"/>
                                        <a:chOff x="5303" y="2129"/>
                                        <a:chExt cx="4425" cy="5820"/>
                                      </a:xfrm>
                                    </wpg:grpSpPr>
                                    <wps:wsp>
                                      <wps:cNvPr id="149" name="文本框 5"/>
                                      <wps:cNvSpPr txBox="1"/>
                                      <wps:spPr>
                                        <a:xfrm>
                                          <a:off x="5496" y="4766"/>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0F9FEE83">
                                            <w:pPr>
                                              <w:jc w:val="center"/>
                                              <w:rPr>
                                                <w:rFonts w:hint="eastAsia" w:eastAsia="宋体"/>
                                                <w:sz w:val="24"/>
                                                <w:szCs w:val="24"/>
                                                <w:lang w:val="en-US" w:eastAsia="zh-CN"/>
                                              </w:rPr>
                                            </w:pPr>
                                            <w:r>
                                              <w:rPr>
                                                <w:rFonts w:hint="eastAsia"/>
                                                <w:sz w:val="24"/>
                                                <w:szCs w:val="24"/>
                                                <w:lang w:val="en-US" w:eastAsia="zh-CN"/>
                                              </w:rPr>
                                              <w:t>焊接</w:t>
                                            </w:r>
                                          </w:p>
                                        </w:txbxContent>
                                      </wps:txbx>
                                      <wps:bodyPr lIns="0" tIns="0" rIns="0" bIns="0" upright="1"/>
                                    </wps:wsp>
                                    <wps:wsp>
                                      <wps:cNvPr id="153" name="文本框 9"/>
                                      <wps:cNvSpPr txBox="1"/>
                                      <wps:spPr>
                                        <a:xfrm>
                                          <a:off x="5499" y="5721"/>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71C4C95F">
                                            <w:pPr>
                                              <w:jc w:val="both"/>
                                              <w:rPr>
                                                <w:rFonts w:hint="default" w:eastAsia="宋体"/>
                                                <w:sz w:val="24"/>
                                                <w:szCs w:val="24"/>
                                                <w:lang w:val="en-US" w:eastAsia="zh-CN"/>
                                              </w:rPr>
                                            </w:pPr>
                                            <w:r>
                                              <w:rPr>
                                                <w:rFonts w:hint="eastAsia"/>
                                                <w:sz w:val="24"/>
                                                <w:szCs w:val="24"/>
                                                <w:lang w:val="en-US" w:eastAsia="zh-CN"/>
                                              </w:rPr>
                                              <w:t>组装成型</w:t>
                                            </w:r>
                                          </w:p>
                                        </w:txbxContent>
                                      </wps:txbx>
                                      <wps:bodyPr lIns="0" tIns="0" rIns="0" bIns="0" upright="1"/>
                                    </wps:wsp>
                                    <wps:wsp>
                                      <wps:cNvPr id="155" name="文本框 11"/>
                                      <wps:cNvSpPr txBox="1"/>
                                      <wps:spPr>
                                        <a:xfrm>
                                          <a:off x="5361" y="3810"/>
                                          <a:ext cx="1356"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7628959">
                                            <w:pPr>
                                              <w:jc w:val="center"/>
                                              <w:rPr>
                                                <w:rFonts w:hint="default" w:eastAsia="宋体"/>
                                                <w:sz w:val="24"/>
                                                <w:szCs w:val="24"/>
                                                <w:lang w:val="en-US" w:eastAsia="zh-CN"/>
                                              </w:rPr>
                                            </w:pPr>
                                            <w:r>
                                              <w:rPr>
                                                <w:rFonts w:hint="eastAsia"/>
                                                <w:sz w:val="24"/>
                                                <w:szCs w:val="24"/>
                                                <w:lang w:val="en-US" w:eastAsia="zh-CN"/>
                                              </w:rPr>
                                              <w:t>折弯机折弯</w:t>
                                            </w:r>
                                          </w:p>
                                        </w:txbxContent>
                                      </wps:txbx>
                                      <wps:bodyPr lIns="0" tIns="0" rIns="0" bIns="0" upright="1"/>
                                    </wps:wsp>
                                    <wps:wsp>
                                      <wps:cNvPr id="157" name="文本框 13"/>
                                      <wps:cNvSpPr txBox="1"/>
                                      <wps:spPr>
                                        <a:xfrm>
                                          <a:off x="5374" y="2938"/>
                                          <a:ext cx="1356"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072AF0AF">
                                            <w:pPr>
                                              <w:jc w:val="center"/>
                                              <w:rPr>
                                                <w:rFonts w:hint="default" w:eastAsia="宋体"/>
                                                <w:sz w:val="24"/>
                                                <w:szCs w:val="24"/>
                                                <w:lang w:val="en-US" w:eastAsia="zh-CN"/>
                                              </w:rPr>
                                            </w:pPr>
                                            <w:r>
                                              <w:rPr>
                                                <w:rFonts w:hint="eastAsia"/>
                                                <w:sz w:val="24"/>
                                                <w:szCs w:val="24"/>
                                                <w:lang w:val="en-US" w:eastAsia="zh-CN"/>
                                              </w:rPr>
                                              <w:t>剪板机剪板</w:t>
                                            </w:r>
                                          </w:p>
                                        </w:txbxContent>
                                      </wps:txbx>
                                      <wps:bodyPr lIns="0" tIns="0" rIns="0" bIns="0" upright="1"/>
                                    </wps:wsp>
                                    <wps:wsp>
                                      <wps:cNvPr id="159" name="文本框 15"/>
                                      <wps:cNvSpPr txBox="1"/>
                                      <wps:spPr>
                                        <a:xfrm>
                                          <a:off x="5303" y="2129"/>
                                          <a:ext cx="1503" cy="389"/>
                                        </a:xfrm>
                                        <a:prstGeom prst="rect">
                                          <a:avLst/>
                                        </a:prstGeom>
                                        <a:noFill/>
                                        <a:ln w="15875">
                                          <a:noFill/>
                                        </a:ln>
                                      </wps:spPr>
                                      <wps:txbx>
                                        <w:txbxContent>
                                          <w:p w14:paraId="28318635">
                                            <w:pPr>
                                              <w:ind w:firstLine="240" w:firstLineChars="100"/>
                                              <w:rPr>
                                                <w:rFonts w:hint="eastAsia" w:eastAsia="宋体"/>
                                                <w:sz w:val="24"/>
                                                <w:szCs w:val="24"/>
                                                <w:lang w:val="en-US" w:eastAsia="zh-CN"/>
                                              </w:rPr>
                                            </w:pPr>
                                            <w:r>
                                              <w:rPr>
                                                <w:rFonts w:hint="eastAsia"/>
                                                <w:sz w:val="24"/>
                                                <w:szCs w:val="24"/>
                                                <w:lang w:val="en-US" w:eastAsia="zh-CN"/>
                                              </w:rPr>
                                              <w:t>不锈钢板</w:t>
                                            </w:r>
                                          </w:p>
                                        </w:txbxContent>
                                      </wps:txbx>
                                      <wps:bodyPr lIns="0" tIns="0" rIns="0" bIns="0" upright="1"/>
                                    </wps:wsp>
                                    <wps:wsp>
                                      <wps:cNvPr id="160" name="直接箭头连接符 16"/>
                                      <wps:cNvCnPr>
                                        <a:stCxn id="157" idx="3"/>
                                        <a:endCxn id="161" idx="1"/>
                                      </wps:cNvCnPr>
                                      <wps:spPr>
                                        <a:xfrm>
                                          <a:off x="6730" y="3133"/>
                                          <a:ext cx="771" cy="13"/>
                                        </a:xfrm>
                                        <a:prstGeom prst="straightConnector1">
                                          <a:avLst/>
                                        </a:prstGeom>
                                        <a:ln w="15875" cap="flat" cmpd="sng">
                                          <a:solidFill>
                                            <a:srgbClr val="000000"/>
                                          </a:solidFill>
                                          <a:prstDash val="dashDot"/>
                                          <a:headEnd type="none" w="med" len="med"/>
                                          <a:tailEnd type="triangle" w="med" len="med"/>
                                        </a:ln>
                                      </wps:spPr>
                                      <wps:bodyPr/>
                                    </wps:wsp>
                                    <wps:wsp>
                                      <wps:cNvPr id="161" name="文本框 17"/>
                                      <wps:cNvSpPr txBox="1"/>
                                      <wps:spPr>
                                        <a:xfrm>
                                          <a:off x="7501" y="2951"/>
                                          <a:ext cx="2046" cy="389"/>
                                        </a:xfrm>
                                        <a:prstGeom prst="rect">
                                          <a:avLst/>
                                        </a:prstGeom>
                                        <a:noFill/>
                                        <a:ln w="15875">
                                          <a:noFill/>
                                        </a:ln>
                                      </wps:spPr>
                                      <wps:txbx>
                                        <w:txbxContent>
                                          <w:p w14:paraId="5750AD4C">
                                            <w:pPr>
                                              <w:ind w:firstLine="240" w:firstLineChars="100"/>
                                              <w:rPr>
                                                <w:rFonts w:hint="default" w:eastAsia="宋体"/>
                                                <w:sz w:val="24"/>
                                                <w:szCs w:val="24"/>
                                                <w:lang w:val="en-US" w:eastAsia="zh-CN"/>
                                              </w:rPr>
                                            </w:pPr>
                                            <w:r>
                                              <w:rPr>
                                                <w:sz w:val="24"/>
                                                <w:szCs w:val="24"/>
                                              </w:rPr>
                                              <w:t>噪声、</w:t>
                                            </w:r>
                                            <w:r>
                                              <w:rPr>
                                                <w:rFonts w:hint="eastAsia"/>
                                                <w:sz w:val="24"/>
                                                <w:szCs w:val="24"/>
                                                <w:lang w:val="en-US" w:eastAsia="zh-CN"/>
                                              </w:rPr>
                                              <w:t>废边角料</w:t>
                                            </w:r>
                                          </w:p>
                                        </w:txbxContent>
                                      </wps:txbx>
                                      <wps:bodyPr lIns="0" tIns="0" rIns="0" bIns="0" upright="1"/>
                                    </wps:wsp>
                                    <wps:wsp>
                                      <wps:cNvPr id="162" name="直接箭头连接符 18"/>
                                      <wps:cNvCnPr>
                                        <a:stCxn id="155" idx="3"/>
                                        <a:endCxn id="163" idx="1"/>
                                      </wps:cNvCnPr>
                                      <wps:spPr>
                                        <a:xfrm>
                                          <a:off x="6717" y="4005"/>
                                          <a:ext cx="848" cy="0"/>
                                        </a:xfrm>
                                        <a:prstGeom prst="straightConnector1">
                                          <a:avLst/>
                                        </a:prstGeom>
                                        <a:ln w="15875" cap="flat" cmpd="sng">
                                          <a:solidFill>
                                            <a:srgbClr val="000000"/>
                                          </a:solidFill>
                                          <a:prstDash val="dashDot"/>
                                          <a:headEnd type="none" w="med" len="med"/>
                                          <a:tailEnd type="triangle" w="med" len="med"/>
                                        </a:ln>
                                      </wps:spPr>
                                      <wps:bodyPr/>
                                    </wps:wsp>
                                    <wps:wsp>
                                      <wps:cNvPr id="163" name="文本框 19"/>
                                      <wps:cNvSpPr txBox="1"/>
                                      <wps:spPr>
                                        <a:xfrm>
                                          <a:off x="7565" y="3810"/>
                                          <a:ext cx="1363" cy="389"/>
                                        </a:xfrm>
                                        <a:prstGeom prst="rect">
                                          <a:avLst/>
                                        </a:prstGeom>
                                        <a:noFill/>
                                        <a:ln w="15875">
                                          <a:noFill/>
                                        </a:ln>
                                      </wps:spPr>
                                      <wps:txbx>
                                        <w:txbxContent>
                                          <w:p w14:paraId="1EE66EAE">
                                            <w:pPr>
                                              <w:ind w:firstLine="240" w:firstLineChars="100"/>
                                              <w:rPr>
                                                <w:rFonts w:hint="default" w:eastAsia="宋体"/>
                                                <w:sz w:val="24"/>
                                                <w:szCs w:val="24"/>
                                                <w:lang w:val="en-US" w:eastAsia="zh-CN"/>
                                              </w:rPr>
                                            </w:pPr>
                                            <w:r>
                                              <w:rPr>
                                                <w:rFonts w:hint="eastAsia"/>
                                                <w:sz w:val="24"/>
                                                <w:szCs w:val="24"/>
                                                <w:lang w:val="en-US" w:eastAsia="zh-CN"/>
                                              </w:rPr>
                                              <w:t>噪声</w:t>
                                            </w:r>
                                          </w:p>
                                        </w:txbxContent>
                                      </wps:txbx>
                                      <wps:bodyPr lIns="0" tIns="0" rIns="0" bIns="0" upright="1"/>
                                    </wps:wsp>
                                    <wps:wsp>
                                      <wps:cNvPr id="177" name="文本框 35"/>
                                      <wps:cNvSpPr txBox="1"/>
                                      <wps:spPr>
                                        <a:xfrm>
                                          <a:off x="5503" y="6684"/>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7000B95">
                                            <w:pPr>
                                              <w:jc w:val="center"/>
                                              <w:rPr>
                                                <w:rFonts w:hint="eastAsia" w:eastAsia="宋体"/>
                                                <w:lang w:val="en-US" w:eastAsia="zh-CN"/>
                                              </w:rPr>
                                            </w:pPr>
                                            <w:r>
                                              <w:rPr>
                                                <w:rFonts w:hint="eastAsia"/>
                                                <w:sz w:val="24"/>
                                                <w:szCs w:val="24"/>
                                                <w:lang w:val="en-US" w:eastAsia="zh-CN"/>
                                              </w:rPr>
                                              <w:t>检验</w:t>
                                            </w:r>
                                          </w:p>
                                        </w:txbxContent>
                                      </wps:txbx>
                                      <wps:bodyPr lIns="0" tIns="0" rIns="0" bIns="0" upright="1"/>
                                    </wps:wsp>
                                    <wps:wsp>
                                      <wps:cNvPr id="179" name="文本框 39"/>
                                      <wps:cNvSpPr txBox="1"/>
                                      <wps:spPr>
                                        <a:xfrm>
                                          <a:off x="5503" y="7560"/>
                                          <a:ext cx="1067" cy="389"/>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BF246AA">
                                            <w:pPr>
                                              <w:jc w:val="center"/>
                                              <w:rPr>
                                                <w:rFonts w:hint="eastAsia" w:eastAsia="宋体"/>
                                                <w:sz w:val="24"/>
                                                <w:szCs w:val="24"/>
                                                <w:lang w:val="en-US" w:eastAsia="zh-CN"/>
                                              </w:rPr>
                                            </w:pPr>
                                            <w:r>
                                              <w:rPr>
                                                <w:rFonts w:hint="eastAsia"/>
                                                <w:sz w:val="24"/>
                                                <w:szCs w:val="24"/>
                                                <w:lang w:val="en-US" w:eastAsia="zh-CN"/>
                                              </w:rPr>
                                              <w:t>出库</w:t>
                                            </w:r>
                                          </w:p>
                                        </w:txbxContent>
                                      </wps:txbx>
                                      <wps:bodyPr lIns="0" tIns="0" rIns="0" bIns="0" upright="1"/>
                                    </wps:wsp>
                                    <wps:wsp>
                                      <wps:cNvPr id="184" name="直接箭头连接符 49"/>
                                      <wps:cNvCnPr>
                                        <a:stCxn id="149" idx="3"/>
                                        <a:endCxn id="194" idx="1"/>
                                      </wps:cNvCnPr>
                                      <wps:spPr>
                                        <a:xfrm flipV="1">
                                          <a:off x="6563" y="4950"/>
                                          <a:ext cx="981" cy="11"/>
                                        </a:xfrm>
                                        <a:prstGeom prst="straightConnector1">
                                          <a:avLst/>
                                        </a:prstGeom>
                                        <a:ln w="15875" cap="flat" cmpd="sng">
                                          <a:solidFill>
                                            <a:srgbClr val="000000"/>
                                          </a:solidFill>
                                          <a:prstDash val="dashDot"/>
                                          <a:headEnd type="none" w="med" len="med"/>
                                          <a:tailEnd type="triangle" w="med" len="med"/>
                                        </a:ln>
                                      </wps:spPr>
                                      <wps:bodyPr/>
                                    </wps:wsp>
                                    <wps:wsp>
                                      <wps:cNvPr id="185" name="文本框 50"/>
                                      <wps:cNvSpPr txBox="1"/>
                                      <wps:spPr>
                                        <a:xfrm>
                                          <a:off x="7655" y="5721"/>
                                          <a:ext cx="2073" cy="389"/>
                                        </a:xfrm>
                                        <a:prstGeom prst="rect">
                                          <a:avLst/>
                                        </a:prstGeom>
                                        <a:noFill/>
                                        <a:ln w="15875">
                                          <a:noFill/>
                                        </a:ln>
                                      </wps:spPr>
                                      <wps:txbx>
                                        <w:txbxContent>
                                          <w:p w14:paraId="6F93980D">
                                            <w:pPr>
                                              <w:ind w:firstLine="240" w:firstLineChars="100"/>
                                              <w:rPr>
                                                <w:sz w:val="24"/>
                                                <w:szCs w:val="24"/>
                                              </w:rPr>
                                            </w:pPr>
                                            <w:r>
                                              <w:rPr>
                                                <w:sz w:val="24"/>
                                                <w:szCs w:val="24"/>
                                              </w:rPr>
                                              <w:t>噪声</w:t>
                                            </w:r>
                                          </w:p>
                                        </w:txbxContent>
                                      </wps:txbx>
                                      <wps:bodyPr lIns="0" tIns="0" rIns="0" bIns="0" upright="1"/>
                                    </wps:wsp>
                                  </wpg:grpSp>
                                  <wps:wsp>
                                    <wps:cNvPr id="186" name="直接箭头连接符 186"/>
                                    <wps:cNvCnPr>
                                      <a:stCxn id="159" idx="2"/>
                                      <a:endCxn id="157" idx="0"/>
                                    </wps:cNvCnPr>
                                    <wps:spPr>
                                      <a:xfrm flipH="1">
                                        <a:off x="12291" y="704349"/>
                                        <a:ext cx="3" cy="4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88" name="直接箭头连接符 188"/>
                                  <wps:cNvCnPr>
                                    <a:stCxn id="157" idx="2"/>
                                    <a:endCxn id="155" idx="0"/>
                                  </wps:cNvCnPr>
                                  <wps:spPr>
                                    <a:xfrm flipH="1">
                                      <a:off x="12278" y="705211"/>
                                      <a:ext cx="13" cy="48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9" name="直接箭头连接符 189"/>
                                  <wps:cNvCnPr>
                                    <a:stCxn id="155" idx="2"/>
                                    <a:endCxn id="149" idx="0"/>
                                  </wps:cNvCnPr>
                                  <wps:spPr>
                                    <a:xfrm flipH="1">
                                      <a:off x="12269" y="706083"/>
                                      <a:ext cx="9" cy="5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0" name="直接箭头连接符 190"/>
                                  <wps:cNvCnPr>
                                    <a:stCxn id="149" idx="2"/>
                                    <a:endCxn id="153" idx="0"/>
                                  </wps:cNvCnPr>
                                  <wps:spPr>
                                    <a:xfrm>
                                      <a:off x="12269" y="707039"/>
                                      <a:ext cx="3" cy="56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1" name="直接箭头连接符 191"/>
                                  <wps:cNvCnPr>
                                    <a:stCxn id="153" idx="2"/>
                                    <a:endCxn id="177" idx="0"/>
                                  </wps:cNvCnPr>
                                  <wps:spPr>
                                    <a:xfrm>
                                      <a:off x="12272" y="707994"/>
                                      <a:ext cx="4" cy="57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2" name="直接箭头连接符 192"/>
                                  <wps:cNvCnPr>
                                    <a:stCxn id="177" idx="2"/>
                                    <a:endCxn id="179" idx="0"/>
                                  </wps:cNvCnPr>
                                  <wps:spPr>
                                    <a:xfrm>
                                      <a:off x="12276" y="708957"/>
                                      <a:ext cx="0" cy="48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7" name="直接箭头连接符 49"/>
                                  <wps:cNvCnPr>
                                    <a:stCxn id="153" idx="3"/>
                                    <a:endCxn id="185" idx="1"/>
                                  </wps:cNvCnPr>
                                  <wps:spPr>
                                    <a:xfrm>
                                      <a:off x="12805" y="707800"/>
                                      <a:ext cx="1089" cy="0"/>
                                    </a:xfrm>
                                    <a:prstGeom prst="straightConnector1">
                                      <a:avLst/>
                                    </a:prstGeom>
                                    <a:ln w="15875" cap="flat" cmpd="sng">
                                      <a:solidFill>
                                        <a:srgbClr val="000000"/>
                                      </a:solidFill>
                                      <a:prstDash val="dashDot"/>
                                      <a:headEnd type="none" w="med" len="med"/>
                                      <a:tailEnd type="triangle" w="med" len="med"/>
                                    </a:ln>
                                  </wps:spPr>
                                  <wps:bodyPr/>
                                </wps:wsp>
                              </wpg:grpSp>
                            </wpg:grpSp>
                            <wps:wsp>
                              <wps:cNvPr id="202" name="文本框 15"/>
                              <wps:cNvSpPr txBox="1"/>
                              <wps:spPr>
                                <a:xfrm>
                                  <a:off x="7998" y="707331"/>
                                  <a:ext cx="1822" cy="389"/>
                                </a:xfrm>
                                <a:prstGeom prst="rect">
                                  <a:avLst/>
                                </a:prstGeom>
                                <a:noFill/>
                                <a:ln w="15875">
                                  <a:noFill/>
                                </a:ln>
                              </wps:spPr>
                              <wps:txbx>
                                <w:txbxContent>
                                  <w:p w14:paraId="43B40D72">
                                    <w:pPr>
                                      <w:ind w:firstLine="240" w:firstLineChars="100"/>
                                      <w:rPr>
                                        <w:rFonts w:hint="default" w:eastAsia="宋体"/>
                                        <w:sz w:val="24"/>
                                        <w:szCs w:val="24"/>
                                        <w:lang w:val="en-US" w:eastAsia="zh-CN"/>
                                      </w:rPr>
                                    </w:pPr>
                                    <w:r>
                                      <w:rPr>
                                        <w:rFonts w:hint="eastAsia"/>
                                        <w:sz w:val="24"/>
                                        <w:szCs w:val="24"/>
                                        <w:lang w:val="en-US" w:eastAsia="zh-CN"/>
                                      </w:rPr>
                                      <w:t>其他外购配件</w:t>
                                    </w:r>
                                  </w:p>
                                </w:txbxContent>
                              </wps:txbx>
                              <wps:bodyPr lIns="0" tIns="0" rIns="0" bIns="0" upright="1"/>
                            </wps:wsp>
                            <wps:wsp>
                              <wps:cNvPr id="203" name="直接箭头连接符 203"/>
                              <wps:cNvCnPr>
                                <a:stCxn id="202" idx="3"/>
                                <a:endCxn id="153" idx="1"/>
                              </wps:cNvCnPr>
                              <wps:spPr>
                                <a:xfrm flipV="1">
                                  <a:off x="9820" y="707521"/>
                                  <a:ext cx="856"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2.85pt;margin-top:1.85pt;height:266.45pt;width:404.8pt;z-index:251672576;mso-width-relative:page;mso-height-relative:page;" coordorigin="7998,703734" coordsize="8096,5820" o:gfxdata="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">
                      <o:lock v:ext="edit" aspectratio="f"/>
                      <v:group id="_x0000_s1026" o:spid="_x0000_s1026" o:spt="203" style="position:absolute;left:10480;top:703734;height:5820;width:5615;" coordorigin="10466,703734" coordsize="5615,5820"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文本框 17" o:spid="_x0000_s1026" o:spt="202" type="#_x0000_t202" style="position:absolute;left:12707;top:706360;height:389;width:3374;" filled="f" stroked="f" coordsize="21600,21600" o:gfxdata="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ta2+8AAAA&#10;3AAAAA8AAAAAAAAAAQAgAAAAIgAAAGRycy9kb3ducmV2LnhtbFBLAQIUABQAAAAIAIdO4kAzLwWe&#10;OwAAADkAAAAQAAAAAAAAAAEAIAAAAAsBAABkcnMvc2hhcGV4bWwueG1sUEsFBgAAAAAGAAYAWwEA&#10;ALUDAAAAAA==&#10;">
                          <v:fill on="f" focussize="0,0"/>
                          <v:stroke on="f" weight="1.25pt"/>
                          <v:imagedata o:title=""/>
                          <o:lock v:ext="edit" aspectratio="f"/>
                          <v:textbox inset="0mm,0mm,0mm,0mm">
                            <w:txbxContent>
                              <w:p w14:paraId="492D1A24">
                                <w:pPr>
                                  <w:pStyle w:val="27"/>
                                  <w:rPr>
                                    <w:rFonts w:hint="default"/>
                                    <w:lang w:val="en-US" w:eastAsia="zh-CN"/>
                                  </w:rPr>
                                </w:pPr>
                                <w:r>
                                  <w:rPr>
                                    <w:sz w:val="24"/>
                                    <w:szCs w:val="24"/>
                                  </w:rPr>
                                  <w:t>噪声、</w:t>
                                </w:r>
                                <w:r>
                                  <w:rPr>
                                    <w:rFonts w:hint="eastAsia" w:hAnsi="Times New Roman" w:cs="Times New Roman"/>
                                    <w:sz w:val="24"/>
                                    <w:szCs w:val="24"/>
                                  </w:rPr>
                                  <w:t>废焊丝、</w:t>
                                </w:r>
                                <w:r>
                                  <w:rPr>
                                    <w:rFonts w:hAnsi="Times New Roman" w:cs="Times New Roman"/>
                                    <w:sz w:val="24"/>
                                    <w:szCs w:val="24"/>
                                  </w:rPr>
                                  <w:t>焊（熔）渣</w:t>
                                </w:r>
                              </w:p>
                              <w:p w14:paraId="61E60B8C">
                                <w:pPr>
                                  <w:ind w:firstLine="240" w:firstLineChars="100"/>
                                  <w:rPr>
                                    <w:rFonts w:hint="default" w:eastAsia="宋体"/>
                                    <w:sz w:val="24"/>
                                    <w:szCs w:val="24"/>
                                    <w:lang w:val="en-US" w:eastAsia="zh-CN"/>
                                  </w:rPr>
                                </w:pPr>
                                <w:r>
                                  <w:rPr>
                                    <w:rFonts w:hint="eastAsia"/>
                                    <w:sz w:val="24"/>
                                    <w:szCs w:val="24"/>
                                    <w:lang w:val="en-US" w:eastAsia="zh-CN"/>
                                  </w:rPr>
                                  <w:t xml:space="preserve"> </w:t>
                                </w:r>
                              </w:p>
                            </w:txbxContent>
                          </v:textbox>
                        </v:shape>
                        <v:group id="_x0000_s1026" o:spid="_x0000_s1026" o:spt="203" style="position:absolute;left:10466;top:703734;height:5820;width:4425;" coordorigin="11542,704013" coordsize="4425,5820"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1542;top:704013;height:5820;width:4425;" coordorigin="11542,703960" coordsize="4425,582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1542;top:703960;height:5820;width:4425;" coordorigin="5303,2129" coordsize="4425,5820"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文本框 5" o:spid="_x0000_s1026" o:spt="202" type="#_x0000_t202" style="position:absolute;left:5496;top:4766;height:389;width:1067;" fillcolor="#FFFFFF" filled="t" stroked="t" coordsize="21600,21600" o:gfxdata="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7V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0F9FEE83">
                                      <w:pPr>
                                        <w:jc w:val="center"/>
                                        <w:rPr>
                                          <w:rFonts w:hint="eastAsia" w:eastAsia="宋体"/>
                                          <w:sz w:val="24"/>
                                          <w:szCs w:val="24"/>
                                          <w:lang w:val="en-US" w:eastAsia="zh-CN"/>
                                        </w:rPr>
                                      </w:pPr>
                                      <w:r>
                                        <w:rPr>
                                          <w:rFonts w:hint="eastAsia"/>
                                          <w:sz w:val="24"/>
                                          <w:szCs w:val="24"/>
                                          <w:lang w:val="en-US" w:eastAsia="zh-CN"/>
                                        </w:rPr>
                                        <w:t>焊接</w:t>
                                      </w:r>
                                    </w:p>
                                  </w:txbxContent>
                                </v:textbox>
                              </v:shape>
                              <v:shape id="文本框 9" o:spid="_x0000_s1026" o:spt="202" type="#_x0000_t202" style="position:absolute;left:5499;top:5721;height:389;width:1067;" fillcolor="#FFFFFF" filled="t" stroked="t" coordsize="21600,21600" o:gfxdata="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i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71C4C95F">
                                      <w:pPr>
                                        <w:jc w:val="both"/>
                                        <w:rPr>
                                          <w:rFonts w:hint="default" w:eastAsia="宋体"/>
                                          <w:sz w:val="24"/>
                                          <w:szCs w:val="24"/>
                                          <w:lang w:val="en-US" w:eastAsia="zh-CN"/>
                                        </w:rPr>
                                      </w:pPr>
                                      <w:r>
                                        <w:rPr>
                                          <w:rFonts w:hint="eastAsia"/>
                                          <w:sz w:val="24"/>
                                          <w:szCs w:val="24"/>
                                          <w:lang w:val="en-US" w:eastAsia="zh-CN"/>
                                        </w:rPr>
                                        <w:t>组装成型</w:t>
                                      </w:r>
                                    </w:p>
                                  </w:txbxContent>
                                </v:textbox>
                              </v:shape>
                              <v:shape id="文本框 11" o:spid="_x0000_s1026" o:spt="202" type="#_x0000_t202" style="position:absolute;left:5361;top:3810;height:389;width:1356;" fillcolor="#FFFFFF" filled="t" stroked="t" coordsize="21600,21600" o:gfxdata="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WIN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57628959">
                                      <w:pPr>
                                        <w:jc w:val="center"/>
                                        <w:rPr>
                                          <w:rFonts w:hint="default" w:eastAsia="宋体"/>
                                          <w:sz w:val="24"/>
                                          <w:szCs w:val="24"/>
                                          <w:lang w:val="en-US" w:eastAsia="zh-CN"/>
                                        </w:rPr>
                                      </w:pPr>
                                      <w:r>
                                        <w:rPr>
                                          <w:rFonts w:hint="eastAsia"/>
                                          <w:sz w:val="24"/>
                                          <w:szCs w:val="24"/>
                                          <w:lang w:val="en-US" w:eastAsia="zh-CN"/>
                                        </w:rPr>
                                        <w:t>折弯机折弯</w:t>
                                      </w:r>
                                    </w:p>
                                  </w:txbxContent>
                                </v:textbox>
                              </v:shape>
                              <v:shape id="文本框 13" o:spid="_x0000_s1026" o:spt="202" type="#_x0000_t202" style="position:absolute;left:5374;top:2938;height:389;width:1356;" fillcolor="#FFFFFF" filled="t" stroked="t" coordsize="21600,21600" o:gfxdata="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1nh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072AF0AF">
                                      <w:pPr>
                                        <w:jc w:val="center"/>
                                        <w:rPr>
                                          <w:rFonts w:hint="default" w:eastAsia="宋体"/>
                                          <w:sz w:val="24"/>
                                          <w:szCs w:val="24"/>
                                          <w:lang w:val="en-US" w:eastAsia="zh-CN"/>
                                        </w:rPr>
                                      </w:pPr>
                                      <w:r>
                                        <w:rPr>
                                          <w:rFonts w:hint="eastAsia"/>
                                          <w:sz w:val="24"/>
                                          <w:szCs w:val="24"/>
                                          <w:lang w:val="en-US" w:eastAsia="zh-CN"/>
                                        </w:rPr>
                                        <w:t>剪板机剪板</w:t>
                                      </w:r>
                                    </w:p>
                                  </w:txbxContent>
                                </v:textbox>
                              </v:shape>
                              <v:shape id="文本框 15" o:spid="_x0000_s1026" o:spt="202" type="#_x0000_t202" style="position:absolute;left:5303;top:2129;height:389;width:1503;" filled="f" stroked="f" coordsize="21600,21600" o:gfxdata="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Vfmu8AAAA&#10;3AAAAA8AAAAAAAAAAQAgAAAAIgAAAGRycy9kb3ducmV2LnhtbFBLAQIUABQAAAAIAIdO4kAzLwWe&#10;OwAAADkAAAAQAAAAAAAAAAEAIAAAAAsBAABkcnMvc2hhcGV4bWwueG1sUEsFBgAAAAAGAAYAWwEA&#10;ALUDAAAAAA==&#10;">
                                <v:fill on="f" focussize="0,0"/>
                                <v:stroke on="f" weight="1.25pt"/>
                                <v:imagedata o:title=""/>
                                <o:lock v:ext="edit" aspectratio="f"/>
                                <v:textbox inset="0mm,0mm,0mm,0mm">
                                  <w:txbxContent>
                                    <w:p w14:paraId="28318635">
                                      <w:pPr>
                                        <w:ind w:firstLine="240" w:firstLineChars="100"/>
                                        <w:rPr>
                                          <w:rFonts w:hint="eastAsia" w:eastAsia="宋体"/>
                                          <w:sz w:val="24"/>
                                          <w:szCs w:val="24"/>
                                          <w:lang w:val="en-US" w:eastAsia="zh-CN"/>
                                        </w:rPr>
                                      </w:pPr>
                                      <w:r>
                                        <w:rPr>
                                          <w:rFonts w:hint="eastAsia"/>
                                          <w:sz w:val="24"/>
                                          <w:szCs w:val="24"/>
                                          <w:lang w:val="en-US" w:eastAsia="zh-CN"/>
                                        </w:rPr>
                                        <w:t>不锈钢板</w:t>
                                      </w:r>
                                    </w:p>
                                  </w:txbxContent>
                                </v:textbox>
                              </v:shape>
                              <v:shape id="直接箭头连接符 16" o:spid="_x0000_s1026" o:spt="32" type="#_x0000_t32" style="position:absolute;left:6730;top:3133;height:13;width:771;" filled="f" stroked="t" coordsize="21600,21600" o:gfxdata="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19b4A&#10;AADcAAAADwAAAAAAAAABACAAAAAiAAAAZHJzL2Rvd25yZXYueG1sUEsBAhQAFAAAAAgAh07iQDMv&#10;BZ47AAAAOQAAABAAAAAAAAAAAQAgAAAADQEAAGRycy9zaGFwZXhtbC54bWxQSwUGAAAAAAYABgBb&#10;AQAAtwMAAAAA&#10;">
                                <v:fill on="f" focussize="0,0"/>
                                <v:stroke weight="1.25pt" color="#000000" joinstyle="round" dashstyle="dashDot" endarrow="block"/>
                                <v:imagedata o:title=""/>
                                <o:lock v:ext="edit" aspectratio="f"/>
                              </v:shape>
                              <v:shape id="文本框 17" o:spid="_x0000_s1026" o:spt="202" type="#_x0000_t202" style="position:absolute;left:7501;top:2951;height:389;width:2046;" filled="f" stroked="f" coordsize="21600,21600" o:gfxdata="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40LsAAADc&#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w:txbxContent>
                                    <w:p w14:paraId="5750AD4C">
                                      <w:pPr>
                                        <w:ind w:firstLine="240" w:firstLineChars="100"/>
                                        <w:rPr>
                                          <w:rFonts w:hint="default" w:eastAsia="宋体"/>
                                          <w:sz w:val="24"/>
                                          <w:szCs w:val="24"/>
                                          <w:lang w:val="en-US" w:eastAsia="zh-CN"/>
                                        </w:rPr>
                                      </w:pPr>
                                      <w:r>
                                        <w:rPr>
                                          <w:sz w:val="24"/>
                                          <w:szCs w:val="24"/>
                                        </w:rPr>
                                        <w:t>噪声、</w:t>
                                      </w:r>
                                      <w:r>
                                        <w:rPr>
                                          <w:rFonts w:hint="eastAsia"/>
                                          <w:sz w:val="24"/>
                                          <w:szCs w:val="24"/>
                                          <w:lang w:val="en-US" w:eastAsia="zh-CN"/>
                                        </w:rPr>
                                        <w:t>废边角料</w:t>
                                      </w:r>
                                    </w:p>
                                  </w:txbxContent>
                                </v:textbox>
                              </v:shape>
                              <v:shape id="直接箭头连接符 18" o:spid="_x0000_s1026" o:spt="32" type="#_x0000_t32" style="position:absolute;left:6717;top:4005;height:0;width:848;" filled="f" stroked="t" coordsize="21600,21600" o:gfxdata="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1OGbsAAADc&#10;AAAADwAAAAAAAAABACAAAAAiAAAAZHJzL2Rvd25yZXYueG1sUEsBAhQAFAAAAAgAh07iQDMvBZ47&#10;AAAAOQAAABAAAAAAAAAAAQAgAAAACgEAAGRycy9zaGFwZXhtbC54bWxQSwUGAAAAAAYABgBbAQAA&#10;tAMAAAAA&#10;">
                                <v:fill on="f" focussize="0,0"/>
                                <v:stroke weight="1.25pt" color="#000000" joinstyle="round" dashstyle="dashDot" endarrow="block"/>
                                <v:imagedata o:title=""/>
                                <o:lock v:ext="edit" aspectratio="f"/>
                              </v:shape>
                              <v:shape id="文本框 19" o:spid="_x0000_s1026" o:spt="202" type="#_x0000_t202" style="position:absolute;left:7565;top:3810;height:389;width:1363;" filled="f" stroked="f" coordsize="21600,21600" o:gfxdata="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GDPLsAAADc&#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w:txbxContent>
                                    <w:p w14:paraId="1EE66EAE">
                                      <w:pPr>
                                        <w:ind w:firstLine="240" w:firstLineChars="100"/>
                                        <w:rPr>
                                          <w:rFonts w:hint="default" w:eastAsia="宋体"/>
                                          <w:sz w:val="24"/>
                                          <w:szCs w:val="24"/>
                                          <w:lang w:val="en-US" w:eastAsia="zh-CN"/>
                                        </w:rPr>
                                      </w:pPr>
                                      <w:r>
                                        <w:rPr>
                                          <w:rFonts w:hint="eastAsia"/>
                                          <w:sz w:val="24"/>
                                          <w:szCs w:val="24"/>
                                          <w:lang w:val="en-US" w:eastAsia="zh-CN"/>
                                        </w:rPr>
                                        <w:t>噪声</w:t>
                                      </w:r>
                                    </w:p>
                                  </w:txbxContent>
                                </v:textbox>
                              </v:shape>
                              <v:shape id="文本框 35" o:spid="_x0000_s1026" o:spt="202" type="#_x0000_t202" style="position:absolute;left:5503;top:6684;height:389;width:1067;" fillcolor="#FFFFFF" filled="t" stroked="t" coordsize="21600,21600" o:gfxdata="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gWB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57000B95">
                                      <w:pPr>
                                        <w:jc w:val="center"/>
                                        <w:rPr>
                                          <w:rFonts w:hint="eastAsia" w:eastAsia="宋体"/>
                                          <w:lang w:val="en-US" w:eastAsia="zh-CN"/>
                                        </w:rPr>
                                      </w:pPr>
                                      <w:r>
                                        <w:rPr>
                                          <w:rFonts w:hint="eastAsia"/>
                                          <w:sz w:val="24"/>
                                          <w:szCs w:val="24"/>
                                          <w:lang w:val="en-US" w:eastAsia="zh-CN"/>
                                        </w:rPr>
                                        <w:t>检验</w:t>
                                      </w:r>
                                    </w:p>
                                  </w:txbxContent>
                                </v:textbox>
                              </v:shape>
                              <v:shape id="文本框 39" o:spid="_x0000_s1026" o:spt="202" type="#_x0000_t202" style="position:absolute;left:5503;top:7560;height:389;width:1067;" fillcolor="#FFFFFF" filled="t" stroked="t" coordsize="21600,21600" o:gfxdata="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TRo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inset="0mm,0mm,0mm,0mm">
                                  <w:txbxContent>
                                    <w:p w14:paraId="3BF246AA">
                                      <w:pPr>
                                        <w:jc w:val="center"/>
                                        <w:rPr>
                                          <w:rFonts w:hint="eastAsia" w:eastAsia="宋体"/>
                                          <w:sz w:val="24"/>
                                          <w:szCs w:val="24"/>
                                          <w:lang w:val="en-US" w:eastAsia="zh-CN"/>
                                        </w:rPr>
                                      </w:pPr>
                                      <w:r>
                                        <w:rPr>
                                          <w:rFonts w:hint="eastAsia"/>
                                          <w:sz w:val="24"/>
                                          <w:szCs w:val="24"/>
                                          <w:lang w:val="en-US" w:eastAsia="zh-CN"/>
                                        </w:rPr>
                                        <w:t>出库</w:t>
                                      </w:r>
                                    </w:p>
                                  </w:txbxContent>
                                </v:textbox>
                              </v:shape>
                              <v:shape id="直接箭头连接符 49" o:spid="_x0000_s1026" o:spt="32" type="#_x0000_t32" style="position:absolute;left:6563;top:4950;flip:y;height:11;width:981;" filled="f" stroked="t" coordsize="21600,21600" o:gfxdata="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heFdtwAAANwAAAAP&#10;AAAAAAAAAAEAIAAAACIAAABkcnMvZG93bnJldi54bWxQSwECFAAUAAAACACHTuJAMy8FnjsAAAA5&#10;AAAAEAAAAAAAAAABACAAAAAGAQAAZHJzL3NoYXBleG1sLnhtbFBLBQYAAAAABgAGAFsBAACwAwAA&#10;AAA=&#10;">
                                <v:fill on="f" focussize="0,0"/>
                                <v:stroke weight="1.25pt" color="#000000" joinstyle="round" dashstyle="dashDot" endarrow="block"/>
                                <v:imagedata o:title=""/>
                                <o:lock v:ext="edit" aspectratio="f"/>
                              </v:shape>
                              <v:shape id="文本框 50" o:spid="_x0000_s1026" o:spt="202" type="#_x0000_t202" style="position:absolute;left:7655;top:5721;height:389;width:2073;" filled="f" stroked="f" coordsize="21600,21600" o:gfxdata="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hYKbsAAADc&#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w:txbxContent>
                                    <w:p w14:paraId="6F93980D">
                                      <w:pPr>
                                        <w:ind w:firstLine="240" w:firstLineChars="100"/>
                                        <w:rPr>
                                          <w:sz w:val="24"/>
                                          <w:szCs w:val="24"/>
                                        </w:rPr>
                                      </w:pPr>
                                      <w:r>
                                        <w:rPr>
                                          <w:sz w:val="24"/>
                                          <w:szCs w:val="24"/>
                                        </w:rPr>
                                        <w:t>噪声</w:t>
                                      </w:r>
                                    </w:p>
                                  </w:txbxContent>
                                </v:textbox>
                              </v:shape>
                            </v:group>
                            <v:shape id="_x0000_s1026" o:spid="_x0000_s1026" o:spt="32" type="#_x0000_t32" style="position:absolute;left:12291;top:704349;flip:x;height:420;width:3;" filled="f" stroked="t" coordsize="21600,21600" o:gfxdata="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Gjr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shape id="_x0000_s1026" o:spid="_x0000_s1026" o:spt="32" type="#_x0000_t32" style="position:absolute;left:12278;top:705211;flip:x;height:483;width:13;" filled="f" stroked="t" coordsize="21600,21600" o:gfxdata="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W/V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2269;top:706083;flip:x;height:567;width:9;" filled="f" stroked="t" coordsize="21600,21600" o:gfxdata="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kaz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2269;top:707039;height:566;width:3;" filled="f" stroked="t" coordsize="21600,21600" o:gfxdata="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r18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12272;top:707994;height:574;width:4;" filled="f" stroked="t" coordsize="21600,21600" o:gfxdata="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YY5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2276;top:708957;height:487;width:0;" filled="f" stroked="t" coordsize="21600,21600" o:gfxdata="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SGk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49" o:spid="_x0000_s1026" o:spt="32" type="#_x0000_t32" style="position:absolute;left:12805;top:707800;height:0;width:1089;" filled="f" stroked="t" coordsize="21600,21600" o:gfxdata="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naa8AAAA&#10;3AAAAA8AAAAAAAAAAQAgAAAAIgAAAGRycy9kb3ducmV2LnhtbFBLAQIUABQAAAAIAIdO4kAzLwWe&#10;OwAAADkAAAAQAAAAAAAAAAEAIAAAAAsBAABkcnMvc2hhcGV4bWwueG1sUEsFBgAAAAAGAAYAWwEA&#10;ALUDAAAAAA==&#10;">
                            <v:fill on="f" focussize="0,0"/>
                            <v:stroke weight="1.25pt" color="#000000" joinstyle="round" dashstyle="dashDot" endarrow="block"/>
                            <v:imagedata o:title=""/>
                            <o:lock v:ext="edit" aspectratio="f"/>
                          </v:shape>
                        </v:group>
                      </v:group>
                      <v:shape id="文本框 15" o:spid="_x0000_s1026" o:spt="202" type="#_x0000_t202" style="position:absolute;left:7998;top:707331;height:389;width:1822;" filled="f" stroked="f" coordsize="21600,21600" o:gfxdata="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eie74A&#10;AADcAAAADwAAAAAAAAABACAAAAAiAAAAZHJzL2Rvd25yZXYueG1sUEsBAhQAFAAAAAgAh07iQDMv&#10;BZ47AAAAOQAAABAAAAAAAAAAAQAgAAAADQEAAGRycy9zaGFwZXhtbC54bWxQSwUGAAAAAAYABgBb&#10;AQAAtwMAAAAA&#10;">
                        <v:fill on="f" focussize="0,0"/>
                        <v:stroke on="f" weight="1.25pt"/>
                        <v:imagedata o:title=""/>
                        <o:lock v:ext="edit" aspectratio="f"/>
                        <v:textbox inset="0mm,0mm,0mm,0mm">
                          <w:txbxContent>
                            <w:p w14:paraId="43B40D72">
                              <w:pPr>
                                <w:ind w:firstLine="240" w:firstLineChars="100"/>
                                <w:rPr>
                                  <w:rFonts w:hint="default" w:eastAsia="宋体"/>
                                  <w:sz w:val="24"/>
                                  <w:szCs w:val="24"/>
                                  <w:lang w:val="en-US" w:eastAsia="zh-CN"/>
                                </w:rPr>
                              </w:pPr>
                              <w:r>
                                <w:rPr>
                                  <w:rFonts w:hint="eastAsia"/>
                                  <w:sz w:val="24"/>
                                  <w:szCs w:val="24"/>
                                  <w:lang w:val="en-US" w:eastAsia="zh-CN"/>
                                </w:rPr>
                                <w:t>其他外购配件</w:t>
                              </w:r>
                            </w:p>
                          </w:txbxContent>
                        </v:textbox>
                      </v:shape>
                      <v:shape id="_x0000_s1026" o:spid="_x0000_s1026" o:spt="32" type="#_x0000_t32" style="position:absolute;left:9820;top:707521;flip:y;height:5;width:856;" filled="f" stroked="t" coordsize="21600,21600" o:gfxdata="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dPA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w:pict>
                </mc:Fallback>
              </mc:AlternateContent>
            </w:r>
          </w:p>
          <w:p w14:paraId="3026DEFC">
            <w:pPr>
              <w:spacing w:line="360" w:lineRule="auto"/>
              <w:ind w:firstLine="480"/>
              <w:rPr>
                <w:rFonts w:hint="default" w:ascii="Times New Roman" w:hAnsi="Times New Roman" w:eastAsia="宋体" w:cs="Times New Roman"/>
                <w:b/>
                <w:bCs/>
                <w:color w:val="C00000"/>
                <w:sz w:val="24"/>
              </w:rPr>
            </w:pPr>
          </w:p>
          <w:p w14:paraId="320407F7">
            <w:pPr>
              <w:spacing w:line="360" w:lineRule="auto"/>
              <w:ind w:firstLine="480"/>
              <w:rPr>
                <w:rFonts w:hint="default" w:ascii="Times New Roman" w:hAnsi="Times New Roman" w:eastAsia="宋体" w:cs="Times New Roman"/>
                <w:b/>
                <w:bCs/>
                <w:color w:val="C00000"/>
                <w:sz w:val="24"/>
              </w:rPr>
            </w:pPr>
          </w:p>
          <w:p w14:paraId="5B15B517">
            <w:pPr>
              <w:spacing w:line="360" w:lineRule="auto"/>
              <w:ind w:firstLine="480"/>
              <w:rPr>
                <w:rFonts w:hint="default" w:ascii="Times New Roman" w:hAnsi="Times New Roman" w:eastAsia="宋体" w:cs="Times New Roman"/>
                <w:b/>
                <w:bCs/>
                <w:color w:val="C00000"/>
                <w:sz w:val="24"/>
              </w:rPr>
            </w:pPr>
          </w:p>
          <w:p w14:paraId="50EBDF30">
            <w:pPr>
              <w:spacing w:line="360" w:lineRule="auto"/>
              <w:ind w:firstLine="480"/>
              <w:rPr>
                <w:rFonts w:hint="default" w:ascii="Times New Roman" w:hAnsi="Times New Roman" w:eastAsia="宋体" w:cs="Times New Roman"/>
                <w:b/>
                <w:bCs/>
                <w:color w:val="C00000"/>
                <w:sz w:val="24"/>
              </w:rPr>
            </w:pPr>
          </w:p>
          <w:p w14:paraId="49E6FB47">
            <w:pPr>
              <w:spacing w:line="360" w:lineRule="auto"/>
              <w:ind w:firstLine="480"/>
              <w:rPr>
                <w:rFonts w:hint="default" w:ascii="Times New Roman" w:hAnsi="Times New Roman" w:eastAsia="宋体" w:cs="Times New Roman"/>
                <w:b/>
                <w:bCs/>
                <w:color w:val="C00000"/>
                <w:sz w:val="24"/>
              </w:rPr>
            </w:pPr>
          </w:p>
          <w:p w14:paraId="2FA68BBE">
            <w:pPr>
              <w:spacing w:line="360" w:lineRule="auto"/>
              <w:ind w:firstLine="480"/>
              <w:rPr>
                <w:rFonts w:hint="default" w:ascii="Times New Roman" w:hAnsi="Times New Roman" w:eastAsia="宋体" w:cs="Times New Roman"/>
                <w:b/>
                <w:bCs/>
                <w:color w:val="C00000"/>
                <w:sz w:val="24"/>
              </w:rPr>
            </w:pPr>
          </w:p>
          <w:p w14:paraId="2DDB4975">
            <w:pPr>
              <w:spacing w:line="360" w:lineRule="auto"/>
              <w:ind w:firstLine="480"/>
              <w:rPr>
                <w:rFonts w:hint="default" w:ascii="Times New Roman" w:hAnsi="Times New Roman" w:eastAsia="宋体" w:cs="Times New Roman"/>
                <w:b/>
                <w:bCs/>
                <w:color w:val="C00000"/>
                <w:sz w:val="24"/>
              </w:rPr>
            </w:pPr>
          </w:p>
          <w:p w14:paraId="597F8F5B">
            <w:pPr>
              <w:spacing w:line="360" w:lineRule="auto"/>
              <w:ind w:firstLine="480"/>
              <w:rPr>
                <w:rFonts w:hint="default" w:ascii="Times New Roman" w:hAnsi="Times New Roman" w:eastAsia="宋体" w:cs="Times New Roman"/>
                <w:b/>
                <w:bCs/>
                <w:color w:val="C00000"/>
                <w:sz w:val="24"/>
              </w:rPr>
            </w:pPr>
          </w:p>
          <w:p w14:paraId="059D3C56">
            <w:pPr>
              <w:spacing w:line="360" w:lineRule="auto"/>
              <w:ind w:firstLine="480"/>
              <w:rPr>
                <w:rFonts w:hint="default" w:ascii="Times New Roman" w:hAnsi="Times New Roman" w:eastAsia="宋体" w:cs="Times New Roman"/>
                <w:b/>
                <w:bCs/>
                <w:color w:val="C00000"/>
                <w:sz w:val="24"/>
              </w:rPr>
            </w:pPr>
          </w:p>
          <w:p w14:paraId="4416B778">
            <w:pPr>
              <w:spacing w:line="360" w:lineRule="auto"/>
              <w:ind w:firstLine="480"/>
              <w:rPr>
                <w:rFonts w:hint="default" w:ascii="Times New Roman" w:hAnsi="Times New Roman" w:eastAsia="宋体" w:cs="Times New Roman"/>
                <w:b/>
                <w:bCs/>
                <w:color w:val="C00000"/>
                <w:sz w:val="24"/>
              </w:rPr>
            </w:pPr>
          </w:p>
          <w:p w14:paraId="5DF7E894">
            <w:pPr>
              <w:spacing w:line="360" w:lineRule="auto"/>
              <w:ind w:firstLine="480"/>
              <w:rPr>
                <w:rFonts w:hint="default" w:ascii="Times New Roman" w:hAnsi="Times New Roman" w:eastAsia="宋体" w:cs="Times New Roman"/>
                <w:b/>
                <w:bCs/>
                <w:color w:val="C00000"/>
                <w:sz w:val="24"/>
              </w:rPr>
            </w:pPr>
          </w:p>
          <w:p w14:paraId="176DD242">
            <w:pPr>
              <w:spacing w:line="360" w:lineRule="auto"/>
              <w:jc w:val="center"/>
              <w:rPr>
                <w:rFonts w:hint="default" w:ascii="Times New Roman" w:hAnsi="Times New Roman" w:eastAsia="宋体" w:cs="Times New Roman"/>
                <w:color w:val="C00000"/>
                <w:szCs w:val="21"/>
              </w:rPr>
            </w:pPr>
            <w:r>
              <w:rPr>
                <w:rFonts w:hint="default" w:ascii="Times New Roman" w:hAnsi="Times New Roman" w:eastAsia="宋体" w:cs="Times New Roman"/>
                <w:b/>
                <w:bCs/>
                <w:color w:val="auto"/>
                <w:szCs w:val="21"/>
              </w:rPr>
              <w:t>图5-</w:t>
            </w:r>
            <w:r>
              <w:rPr>
                <w:rFonts w:hint="eastAsia" w:ascii="Times New Roman" w:hAnsi="Times New Roman" w:cs="Times New Roman"/>
                <w:b/>
                <w:bCs/>
                <w:color w:val="auto"/>
                <w:szCs w:val="21"/>
                <w:lang w:val="en-US" w:eastAsia="zh-CN"/>
              </w:rPr>
              <w:t>3</w:t>
            </w:r>
            <w:r>
              <w:rPr>
                <w:rFonts w:hint="default" w:ascii="Times New Roman" w:hAnsi="Times New Roman" w:eastAsia="宋体" w:cs="Times New Roman"/>
                <w:b/>
                <w:bCs/>
                <w:color w:val="C00000"/>
                <w:szCs w:val="21"/>
              </w:rPr>
              <w:t xml:space="preserve">  </w:t>
            </w:r>
            <w:r>
              <w:rPr>
                <w:rFonts w:hint="eastAsia"/>
                <w:b/>
                <w:bCs/>
                <w:lang w:val="en-US" w:eastAsia="zh-CN"/>
              </w:rPr>
              <w:t>不锈钢制品</w:t>
            </w:r>
            <w:r>
              <w:rPr>
                <w:rFonts w:hint="eastAsia"/>
                <w:b/>
                <w:bCs/>
              </w:rPr>
              <w:t>生产工艺流程及产排污环节图</w:t>
            </w:r>
          </w:p>
          <w:p w14:paraId="1C80ECBF">
            <w:pPr>
              <w:spacing w:line="360" w:lineRule="auto"/>
              <w:ind w:firstLine="480"/>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不锈钢制品</w:t>
            </w:r>
            <w:r>
              <w:rPr>
                <w:rFonts w:hint="default" w:ascii="Times New Roman" w:hAnsi="Times New Roman" w:eastAsia="宋体" w:cs="Times New Roman"/>
                <w:b/>
                <w:color w:val="auto"/>
                <w:sz w:val="24"/>
                <w:szCs w:val="24"/>
              </w:rPr>
              <w:t>主要工序简述：</w:t>
            </w:r>
          </w:p>
          <w:p w14:paraId="7719D58E">
            <w:pPr>
              <w:adjustRightInd/>
              <w:spacing w:line="360" w:lineRule="auto"/>
              <w:ind w:firstLine="480" w:firstLineChars="200"/>
              <w:contextualSpacing/>
              <w:rPr>
                <w:rFonts w:hint="eastAsia"/>
                <w:bCs/>
                <w:sz w:val="24"/>
                <w:lang w:val="en-US" w:eastAsia="zh-CN"/>
              </w:rPr>
            </w:pPr>
            <w:r>
              <w:rPr>
                <w:rFonts w:hint="eastAsia"/>
                <w:bCs/>
                <w:sz w:val="24"/>
              </w:rPr>
              <w:t>在本项目生产</w:t>
            </w:r>
            <w:r>
              <w:rPr>
                <w:rFonts w:hint="eastAsia"/>
                <w:bCs/>
                <w:sz w:val="24"/>
                <w:lang w:val="en-US" w:eastAsia="zh-CN"/>
              </w:rPr>
              <w:t>不锈钢制品</w:t>
            </w:r>
            <w:r>
              <w:rPr>
                <w:rFonts w:hint="eastAsia"/>
                <w:bCs/>
                <w:sz w:val="24"/>
              </w:rPr>
              <w:t>过程中，原料为</w:t>
            </w:r>
            <w:r>
              <w:rPr>
                <w:rFonts w:hint="eastAsia"/>
                <w:bCs/>
                <w:sz w:val="24"/>
                <w:lang w:val="en-US" w:eastAsia="zh-CN"/>
              </w:rPr>
              <w:t>不锈钢板</w:t>
            </w:r>
            <w:r>
              <w:rPr>
                <w:rFonts w:hint="eastAsia"/>
                <w:bCs/>
                <w:sz w:val="24"/>
              </w:rPr>
              <w:t>，</w:t>
            </w:r>
            <w:r>
              <w:rPr>
                <w:rFonts w:hint="eastAsia"/>
                <w:bCs/>
                <w:sz w:val="24"/>
                <w:lang w:val="en-US" w:eastAsia="zh-CN"/>
              </w:rPr>
              <w:t>通过剪切、折弯、焊接等工序制作成各种半成品，人工通过与其他外购配件组织成不锈钢料槽，经过检验合格后，即可外售。</w:t>
            </w:r>
          </w:p>
          <w:p w14:paraId="575DFBED">
            <w:pPr>
              <w:spacing w:line="360" w:lineRule="auto"/>
              <w:ind w:firstLine="480"/>
              <w:rPr>
                <w:rFonts w:hint="default" w:ascii="Times New Roman" w:hAnsi="Times New Roman" w:eastAsia="宋体" w:cs="Times New Roman"/>
                <w:b/>
                <w:bCs/>
                <w:color w:val="C00000"/>
                <w:sz w:val="24"/>
              </w:rPr>
            </w:pPr>
            <w:r>
              <w:rPr>
                <w:rFonts w:hint="eastAsia"/>
                <w:bCs/>
                <w:sz w:val="24"/>
                <w:lang w:val="en-US" w:eastAsia="zh-CN"/>
              </w:rPr>
              <w:t>整个生产过程中产生噪声、固废等。</w:t>
            </w:r>
            <w:r>
              <w:rPr>
                <w:rFonts w:hint="eastAsia" w:cs="Times New Roman"/>
                <w:color w:val="auto"/>
                <w:sz w:val="24"/>
                <w:szCs w:val="24"/>
                <w:lang w:val="en-US" w:eastAsia="zh-CN"/>
              </w:rPr>
              <w:t>生活用水、搅拌用水、</w:t>
            </w:r>
            <w:r>
              <w:rPr>
                <w:rFonts w:hint="eastAsia"/>
                <w:sz w:val="24"/>
                <w:szCs w:val="24"/>
              </w:rPr>
              <w:t>洗车平台用水</w:t>
            </w:r>
            <w:r>
              <w:rPr>
                <w:rFonts w:hint="eastAsia" w:cs="Times New Roman"/>
                <w:color w:val="auto"/>
                <w:sz w:val="24"/>
                <w:szCs w:val="24"/>
                <w:lang w:val="en-US" w:eastAsia="zh-CN"/>
              </w:rPr>
              <w:t>、作业区地面冲洗用水、养护用水、</w:t>
            </w:r>
            <w:r>
              <w:rPr>
                <w:rFonts w:hint="default" w:ascii="Times New Roman" w:hAnsi="Times New Roman" w:cs="Times New Roman"/>
                <w:color w:val="auto"/>
                <w:sz w:val="24"/>
                <w:szCs w:val="24"/>
                <w:lang w:eastAsia="zh-CN"/>
              </w:rPr>
              <w:t>喷淋系统用水</w:t>
            </w:r>
            <w:r>
              <w:rPr>
                <w:rFonts w:hint="eastAsia" w:cs="Times New Roman"/>
                <w:color w:val="auto"/>
                <w:sz w:val="24"/>
                <w:szCs w:val="24"/>
                <w:lang w:eastAsia="zh-CN"/>
              </w:rPr>
              <w:t>、</w:t>
            </w:r>
            <w:r>
              <w:rPr>
                <w:rFonts w:hint="eastAsia" w:cs="Times New Roman"/>
                <w:color w:val="auto"/>
                <w:sz w:val="24"/>
                <w:szCs w:val="24"/>
                <w:lang w:val="en-US" w:eastAsia="zh-CN"/>
              </w:rPr>
              <w:t>厂区降尘用水和绿化用水</w:t>
            </w:r>
          </w:p>
          <w:p w14:paraId="67F0D708">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（二）营运期产污情况</w:t>
            </w:r>
          </w:p>
          <w:p w14:paraId="07CDE3E2">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通过对本项目营运期工程分析以及原辅材料的分析，结合本项目生产特点，确定本项目营运期主要污染物见表5-1。</w:t>
            </w:r>
          </w:p>
          <w:p w14:paraId="3F9009FE">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表5-</w:t>
            </w:r>
            <w:r>
              <w:rPr>
                <w:rFonts w:hint="default" w:ascii="Times New Roman" w:hAnsi="Times New Roman" w:eastAsia="宋体" w:cs="Times New Roman"/>
                <w:b/>
                <w:bCs/>
                <w:color w:val="auto"/>
                <w:szCs w:val="21"/>
                <w:lang w:val="en-US" w:eastAsia="zh-CN"/>
              </w:rPr>
              <w:t>1</w:t>
            </w:r>
            <w:r>
              <w:rPr>
                <w:rFonts w:hint="default" w:ascii="Times New Roman" w:hAnsi="Times New Roman" w:eastAsia="宋体" w:cs="Times New Roman"/>
                <w:b/>
                <w:bCs/>
                <w:color w:val="auto"/>
                <w:szCs w:val="21"/>
              </w:rPr>
              <w:t xml:space="preserve">  主要产污环节及产污情况</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7"/>
              <w:gridCol w:w="3531"/>
              <w:gridCol w:w="2297"/>
              <w:gridCol w:w="2002"/>
            </w:tblGrid>
            <w:tr w14:paraId="32BF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blHeader/>
                <w:jc w:val="center"/>
              </w:trPr>
              <w:tc>
                <w:tcPr>
                  <w:tcW w:w="1131" w:type="dxa"/>
                  <w:shd w:val="clear" w:color="auto" w:fill="auto"/>
                  <w:vAlign w:val="center"/>
                </w:tcPr>
                <w:p w14:paraId="1B88E8AD">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产污位置</w:t>
                  </w:r>
                </w:p>
              </w:tc>
              <w:tc>
                <w:tcPr>
                  <w:tcW w:w="677" w:type="dxa"/>
                  <w:shd w:val="clear" w:color="auto" w:fill="auto"/>
                  <w:vAlign w:val="center"/>
                </w:tcPr>
                <w:p w14:paraId="6789053A">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3531" w:type="dxa"/>
                  <w:shd w:val="clear" w:color="auto" w:fill="auto"/>
                  <w:vAlign w:val="center"/>
                </w:tcPr>
                <w:p w14:paraId="5075835B">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产污</w:t>
                  </w:r>
                  <w:r>
                    <w:rPr>
                      <w:rFonts w:hint="default" w:ascii="Times New Roman" w:hAnsi="Times New Roman" w:eastAsia="宋体" w:cs="Times New Roman"/>
                      <w:color w:val="auto"/>
                      <w:szCs w:val="21"/>
                    </w:rPr>
                    <w:t>工序</w:t>
                  </w:r>
                </w:p>
              </w:tc>
              <w:tc>
                <w:tcPr>
                  <w:tcW w:w="2297" w:type="dxa"/>
                  <w:shd w:val="clear" w:color="auto" w:fill="auto"/>
                  <w:vAlign w:val="center"/>
                </w:tcPr>
                <w:p w14:paraId="7435A4CF">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主要污染物名称</w:t>
                  </w:r>
                </w:p>
              </w:tc>
              <w:tc>
                <w:tcPr>
                  <w:tcW w:w="2002" w:type="dxa"/>
                  <w:shd w:val="clear" w:color="auto" w:fill="auto"/>
                  <w:vAlign w:val="center"/>
                </w:tcPr>
                <w:p w14:paraId="0BE5CCEF">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主要污染因子或废物类别</w:t>
                  </w:r>
                </w:p>
              </w:tc>
            </w:tr>
            <w:tr w14:paraId="25B1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084F7A32">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原料堆场</w:t>
                  </w:r>
                </w:p>
              </w:tc>
              <w:tc>
                <w:tcPr>
                  <w:tcW w:w="677" w:type="dxa"/>
                  <w:vMerge w:val="restart"/>
                  <w:shd w:val="clear" w:color="auto" w:fill="auto"/>
                  <w:vAlign w:val="center"/>
                </w:tcPr>
                <w:p w14:paraId="4B27353C">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3531" w:type="dxa"/>
                  <w:shd w:val="clear" w:color="auto" w:fill="auto"/>
                  <w:vAlign w:val="center"/>
                </w:tcPr>
                <w:p w14:paraId="786270A3">
                  <w:pPr>
                    <w:spacing w:line="240" w:lineRule="auto"/>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砂石原料</w:t>
                  </w:r>
                  <w:r>
                    <w:rPr>
                      <w:rFonts w:hint="default" w:ascii="Times New Roman" w:hAnsi="Times New Roman" w:cs="Times New Roman"/>
                      <w:color w:val="auto"/>
                      <w:szCs w:val="21"/>
                      <w:lang w:eastAsia="zh-CN"/>
                    </w:rPr>
                    <w:t>堆存过程中产生的粉尘</w:t>
                  </w:r>
                </w:p>
              </w:tc>
              <w:tc>
                <w:tcPr>
                  <w:tcW w:w="2297" w:type="dxa"/>
                  <w:shd w:val="clear" w:color="auto" w:fill="auto"/>
                  <w:vAlign w:val="center"/>
                </w:tcPr>
                <w:p w14:paraId="5638E5BB">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2002" w:type="dxa"/>
                  <w:shd w:val="clear" w:color="auto" w:fill="auto"/>
                  <w:vAlign w:val="center"/>
                </w:tcPr>
                <w:p w14:paraId="15A21ADF">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r>
            <w:tr w14:paraId="3B2F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65825F23">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水泥筒仓</w:t>
                  </w:r>
                </w:p>
              </w:tc>
              <w:tc>
                <w:tcPr>
                  <w:tcW w:w="677" w:type="dxa"/>
                  <w:vMerge w:val="continue"/>
                  <w:shd w:val="clear" w:color="auto" w:fill="auto"/>
                  <w:vAlign w:val="center"/>
                </w:tcPr>
                <w:p w14:paraId="2B832391">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6AD62BFA">
                  <w:pPr>
                    <w:spacing w:line="240" w:lineRule="auto"/>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水泥筒仓产生的粉尘</w:t>
                  </w:r>
                </w:p>
              </w:tc>
              <w:tc>
                <w:tcPr>
                  <w:tcW w:w="2297" w:type="dxa"/>
                  <w:shd w:val="clear" w:color="auto" w:fill="auto"/>
                  <w:vAlign w:val="center"/>
                </w:tcPr>
                <w:p w14:paraId="27EF230D">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粉尘</w:t>
                  </w:r>
                </w:p>
              </w:tc>
              <w:tc>
                <w:tcPr>
                  <w:tcW w:w="2002" w:type="dxa"/>
                  <w:shd w:val="clear" w:color="auto" w:fill="auto"/>
                  <w:vAlign w:val="center"/>
                </w:tcPr>
                <w:p w14:paraId="54D934B0">
                  <w:pPr>
                    <w:spacing w:line="240" w:lineRule="auto"/>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颗粒物</w:t>
                  </w:r>
                </w:p>
              </w:tc>
            </w:tr>
            <w:tr w14:paraId="705C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47B1AC5F">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生产车间</w:t>
                  </w:r>
                </w:p>
              </w:tc>
              <w:tc>
                <w:tcPr>
                  <w:tcW w:w="677" w:type="dxa"/>
                  <w:vMerge w:val="continue"/>
                  <w:shd w:val="clear" w:color="auto" w:fill="auto"/>
                  <w:vAlign w:val="center"/>
                </w:tcPr>
                <w:p w14:paraId="1FC50F55">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5101D52F">
                  <w:pPr>
                    <w:spacing w:line="240" w:lineRule="auto"/>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物料输送</w:t>
                  </w:r>
                  <w:r>
                    <w:rPr>
                      <w:rFonts w:hint="default" w:ascii="Times New Roman" w:hAnsi="Times New Roman" w:cs="Times New Roman"/>
                      <w:color w:val="auto"/>
                      <w:szCs w:val="21"/>
                      <w:lang w:eastAsia="zh-CN"/>
                    </w:rPr>
                    <w:t>环节转运产生的粉尘</w:t>
                  </w:r>
                </w:p>
              </w:tc>
              <w:tc>
                <w:tcPr>
                  <w:tcW w:w="2297" w:type="dxa"/>
                  <w:shd w:val="clear" w:color="auto" w:fill="auto"/>
                  <w:vAlign w:val="center"/>
                </w:tcPr>
                <w:p w14:paraId="27F3B3F1">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粉尘</w:t>
                  </w:r>
                </w:p>
              </w:tc>
              <w:tc>
                <w:tcPr>
                  <w:tcW w:w="2002" w:type="dxa"/>
                  <w:shd w:val="clear" w:color="auto" w:fill="auto"/>
                  <w:vAlign w:val="center"/>
                </w:tcPr>
                <w:p w14:paraId="32CB53FD">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r>
            <w:tr w14:paraId="2643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28BD24EB">
                  <w:pPr>
                    <w:spacing w:line="240" w:lineRule="auto"/>
                    <w:jc w:val="center"/>
                    <w:rPr>
                      <w:rFonts w:hint="default" w:ascii="Times New Roman" w:hAnsi="Times New Roman" w:eastAsia="宋体" w:cs="Times New Roman"/>
                      <w:color w:val="auto"/>
                      <w:szCs w:val="21"/>
                    </w:rPr>
                  </w:pPr>
                  <w:r>
                    <w:rPr>
                      <w:rFonts w:hint="eastAsia" w:cs="Times New Roman"/>
                      <w:color w:val="auto"/>
                      <w:szCs w:val="21"/>
                      <w:lang w:val="en-US" w:eastAsia="zh-CN"/>
                    </w:rPr>
                    <w:t>生产车间</w:t>
                  </w:r>
                </w:p>
              </w:tc>
              <w:tc>
                <w:tcPr>
                  <w:tcW w:w="677" w:type="dxa"/>
                  <w:vMerge w:val="continue"/>
                  <w:shd w:val="clear" w:color="auto" w:fill="auto"/>
                  <w:vAlign w:val="center"/>
                </w:tcPr>
                <w:p w14:paraId="30936363">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2EB666EC">
                  <w:pPr>
                    <w:spacing w:line="240" w:lineRule="auto"/>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搅拌机落料、搅拌过程中产生的粉尘</w:t>
                  </w:r>
                </w:p>
              </w:tc>
              <w:tc>
                <w:tcPr>
                  <w:tcW w:w="2297" w:type="dxa"/>
                  <w:shd w:val="clear" w:color="auto" w:fill="auto"/>
                  <w:vAlign w:val="center"/>
                </w:tcPr>
                <w:p w14:paraId="64599811">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粉尘</w:t>
                  </w:r>
                </w:p>
              </w:tc>
              <w:tc>
                <w:tcPr>
                  <w:tcW w:w="2002" w:type="dxa"/>
                  <w:shd w:val="clear" w:color="auto" w:fill="auto"/>
                  <w:vAlign w:val="center"/>
                </w:tcPr>
                <w:p w14:paraId="564B4DA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r>
            <w:tr w14:paraId="4719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77054C95">
                  <w:pPr>
                    <w:spacing w:line="240" w:lineRule="auto"/>
                    <w:jc w:val="center"/>
                    <w:rPr>
                      <w:rFonts w:hint="eastAsia" w:cs="Times New Roman"/>
                      <w:color w:val="auto"/>
                      <w:szCs w:val="21"/>
                      <w:lang w:val="en-US" w:eastAsia="zh-CN"/>
                    </w:rPr>
                  </w:pPr>
                  <w:r>
                    <w:rPr>
                      <w:rFonts w:hint="eastAsia" w:cs="Times New Roman"/>
                      <w:color w:val="auto"/>
                      <w:szCs w:val="21"/>
                      <w:lang w:val="en-US" w:eastAsia="zh-CN"/>
                    </w:rPr>
                    <w:t>生产车间</w:t>
                  </w:r>
                </w:p>
              </w:tc>
              <w:tc>
                <w:tcPr>
                  <w:tcW w:w="677" w:type="dxa"/>
                  <w:vMerge w:val="continue"/>
                  <w:shd w:val="clear" w:color="auto" w:fill="auto"/>
                  <w:vAlign w:val="center"/>
                </w:tcPr>
                <w:p w14:paraId="7BB8625A">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718BBEC7">
                  <w:pPr>
                    <w:spacing w:line="240" w:lineRule="auto"/>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钢筋焊接过程中产生的烟尘</w:t>
                  </w:r>
                </w:p>
              </w:tc>
              <w:tc>
                <w:tcPr>
                  <w:tcW w:w="2297" w:type="dxa"/>
                  <w:shd w:val="clear" w:color="auto" w:fill="auto"/>
                  <w:vAlign w:val="center"/>
                </w:tcPr>
                <w:p w14:paraId="29C06355">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烟尘</w:t>
                  </w:r>
                </w:p>
              </w:tc>
              <w:tc>
                <w:tcPr>
                  <w:tcW w:w="2002" w:type="dxa"/>
                  <w:shd w:val="clear" w:color="auto" w:fill="auto"/>
                  <w:vAlign w:val="center"/>
                </w:tcPr>
                <w:p w14:paraId="48CABDDE">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r>
            <w:tr w14:paraId="24BA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5C05917A">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厂区道路</w:t>
                  </w:r>
                </w:p>
              </w:tc>
              <w:tc>
                <w:tcPr>
                  <w:tcW w:w="677" w:type="dxa"/>
                  <w:vMerge w:val="continue"/>
                  <w:shd w:val="clear" w:color="auto" w:fill="auto"/>
                  <w:vAlign w:val="center"/>
                </w:tcPr>
                <w:p w14:paraId="3D4EDD30">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7A7A9549">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道路运输</w:t>
                  </w:r>
                </w:p>
              </w:tc>
              <w:tc>
                <w:tcPr>
                  <w:tcW w:w="2297" w:type="dxa"/>
                  <w:shd w:val="clear" w:color="auto" w:fill="auto"/>
                  <w:vAlign w:val="center"/>
                </w:tcPr>
                <w:p w14:paraId="73A53635">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扬尘</w:t>
                  </w:r>
                </w:p>
              </w:tc>
              <w:tc>
                <w:tcPr>
                  <w:tcW w:w="2002" w:type="dxa"/>
                  <w:shd w:val="clear" w:color="auto" w:fill="auto"/>
                  <w:vAlign w:val="center"/>
                </w:tcPr>
                <w:p w14:paraId="0FAB8AD7">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r>
            <w:tr w14:paraId="5168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18AAE138">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厂区道路</w:t>
                  </w:r>
                </w:p>
              </w:tc>
              <w:tc>
                <w:tcPr>
                  <w:tcW w:w="677" w:type="dxa"/>
                  <w:vMerge w:val="continue"/>
                  <w:shd w:val="clear" w:color="auto" w:fill="auto"/>
                  <w:vAlign w:val="center"/>
                </w:tcPr>
                <w:p w14:paraId="4CC224AD">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20007F73">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车辆运行</w:t>
                  </w:r>
                </w:p>
              </w:tc>
              <w:tc>
                <w:tcPr>
                  <w:tcW w:w="2297" w:type="dxa"/>
                  <w:shd w:val="clear" w:color="auto" w:fill="auto"/>
                  <w:vAlign w:val="center"/>
                </w:tcPr>
                <w:p w14:paraId="15A7CDCB">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汽车尾气</w:t>
                  </w:r>
                </w:p>
              </w:tc>
              <w:tc>
                <w:tcPr>
                  <w:tcW w:w="2002" w:type="dxa"/>
                  <w:shd w:val="clear" w:color="auto" w:fill="auto"/>
                  <w:vAlign w:val="center"/>
                </w:tcPr>
                <w:p w14:paraId="73A539B0">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 CO、NO</w:t>
                  </w:r>
                  <w:r>
                    <w:rPr>
                      <w:rFonts w:hint="default" w:ascii="Times New Roman" w:hAnsi="Times New Roman" w:cs="Times New Roman"/>
                      <w:color w:val="auto"/>
                      <w:szCs w:val="21"/>
                      <w:vertAlign w:val="subscript"/>
                      <w:lang w:val="en-US" w:eastAsia="zh-CN"/>
                    </w:rPr>
                    <w:t>x</w:t>
                  </w:r>
                  <w:r>
                    <w:rPr>
                      <w:rFonts w:hint="default" w:ascii="Times New Roman" w:hAnsi="Times New Roman" w:cs="Times New Roman"/>
                      <w:color w:val="auto"/>
                      <w:szCs w:val="21"/>
                      <w:lang w:val="en-US" w:eastAsia="zh-CN"/>
                    </w:rPr>
                    <w:t>、HC</w:t>
                  </w:r>
                </w:p>
              </w:tc>
            </w:tr>
            <w:tr w14:paraId="18B7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26E59F33">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员工生活</w:t>
                  </w:r>
                </w:p>
              </w:tc>
              <w:tc>
                <w:tcPr>
                  <w:tcW w:w="677" w:type="dxa"/>
                  <w:vMerge w:val="restart"/>
                  <w:shd w:val="clear" w:color="auto" w:fill="auto"/>
                  <w:vAlign w:val="center"/>
                </w:tcPr>
                <w:p w14:paraId="6F92604B">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3531" w:type="dxa"/>
                  <w:shd w:val="clear" w:color="auto" w:fill="auto"/>
                  <w:vAlign w:val="center"/>
                </w:tcPr>
                <w:p w14:paraId="09271125">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生产及办公人员</w:t>
                  </w:r>
                </w:p>
              </w:tc>
              <w:tc>
                <w:tcPr>
                  <w:tcW w:w="2297" w:type="dxa"/>
                  <w:shd w:val="clear" w:color="auto" w:fill="auto"/>
                  <w:vAlign w:val="center"/>
                </w:tcPr>
                <w:p w14:paraId="27358B91">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2002" w:type="dxa"/>
                  <w:shd w:val="clear" w:color="auto" w:fill="auto"/>
                  <w:vAlign w:val="center"/>
                </w:tcPr>
                <w:p w14:paraId="1DB0E6A1">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14:paraId="0D36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406C99CF">
                  <w:pPr>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作业区</w:t>
                  </w:r>
                </w:p>
              </w:tc>
              <w:tc>
                <w:tcPr>
                  <w:tcW w:w="677" w:type="dxa"/>
                  <w:vMerge w:val="continue"/>
                  <w:shd w:val="clear" w:color="auto" w:fill="auto"/>
                  <w:vAlign w:val="center"/>
                </w:tcPr>
                <w:p w14:paraId="2AEB79D8">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273F87F3">
                  <w:pPr>
                    <w:spacing w:line="240" w:lineRule="auto"/>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混凝土作业区地面冲洗废水</w:t>
                  </w:r>
                </w:p>
              </w:tc>
              <w:tc>
                <w:tcPr>
                  <w:tcW w:w="2297" w:type="dxa"/>
                  <w:shd w:val="clear" w:color="auto" w:fill="auto"/>
                  <w:vAlign w:val="center"/>
                </w:tcPr>
                <w:p w14:paraId="2947711C">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地面冲洗废水</w:t>
                  </w:r>
                </w:p>
              </w:tc>
              <w:tc>
                <w:tcPr>
                  <w:tcW w:w="2002" w:type="dxa"/>
                  <w:vMerge w:val="restart"/>
                  <w:shd w:val="clear" w:color="auto" w:fill="auto"/>
                  <w:vAlign w:val="center"/>
                </w:tcPr>
                <w:p w14:paraId="07A31BF3">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SS</w:t>
                  </w:r>
                </w:p>
              </w:tc>
            </w:tr>
            <w:tr w14:paraId="258C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10779EFA">
                  <w:pPr>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洗车平台</w:t>
                  </w:r>
                </w:p>
              </w:tc>
              <w:tc>
                <w:tcPr>
                  <w:tcW w:w="677" w:type="dxa"/>
                  <w:vMerge w:val="continue"/>
                  <w:shd w:val="clear" w:color="auto" w:fill="auto"/>
                  <w:vAlign w:val="center"/>
                </w:tcPr>
                <w:p w14:paraId="703DE824">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118F5149">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车辆轮胎清洗废水</w:t>
                  </w:r>
                </w:p>
              </w:tc>
              <w:tc>
                <w:tcPr>
                  <w:tcW w:w="2297" w:type="dxa"/>
                  <w:shd w:val="clear" w:color="auto" w:fill="auto"/>
                  <w:vAlign w:val="center"/>
                </w:tcPr>
                <w:p w14:paraId="7D108971">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车辆冲洗废水</w:t>
                  </w:r>
                </w:p>
              </w:tc>
              <w:tc>
                <w:tcPr>
                  <w:tcW w:w="2002" w:type="dxa"/>
                  <w:vMerge w:val="continue"/>
                  <w:shd w:val="clear" w:color="auto" w:fill="auto"/>
                  <w:vAlign w:val="center"/>
                </w:tcPr>
                <w:p w14:paraId="68810AD0">
                  <w:pPr>
                    <w:spacing w:line="240" w:lineRule="auto"/>
                    <w:jc w:val="center"/>
                    <w:rPr>
                      <w:rFonts w:hint="default" w:ascii="Times New Roman" w:hAnsi="Times New Roman" w:eastAsia="宋体" w:cs="Times New Roman"/>
                      <w:color w:val="auto"/>
                      <w:szCs w:val="21"/>
                      <w:lang w:val="en-US" w:eastAsia="zh-CN"/>
                    </w:rPr>
                  </w:pPr>
                </w:p>
              </w:tc>
            </w:tr>
            <w:tr w14:paraId="4F56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500AD885">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厂区内</w:t>
                  </w:r>
                </w:p>
              </w:tc>
              <w:tc>
                <w:tcPr>
                  <w:tcW w:w="677" w:type="dxa"/>
                  <w:shd w:val="clear" w:color="auto" w:fill="auto"/>
                  <w:vAlign w:val="center"/>
                </w:tcPr>
                <w:p w14:paraId="5459855C">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3531" w:type="dxa"/>
                  <w:shd w:val="clear" w:color="auto" w:fill="auto"/>
                  <w:vAlign w:val="center"/>
                </w:tcPr>
                <w:p w14:paraId="239467D5">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生产设备</w:t>
                  </w:r>
                </w:p>
              </w:tc>
              <w:tc>
                <w:tcPr>
                  <w:tcW w:w="2297" w:type="dxa"/>
                  <w:shd w:val="clear" w:color="auto" w:fill="auto"/>
                  <w:vAlign w:val="center"/>
                </w:tcPr>
                <w:p w14:paraId="3223A329">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设备噪声</w:t>
                  </w:r>
                </w:p>
              </w:tc>
              <w:tc>
                <w:tcPr>
                  <w:tcW w:w="2002" w:type="dxa"/>
                  <w:shd w:val="clear" w:color="auto" w:fill="auto"/>
                  <w:vAlign w:val="center"/>
                </w:tcPr>
                <w:p w14:paraId="55DB0A2A">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w:t>
                  </w:r>
                </w:p>
              </w:tc>
            </w:tr>
            <w:tr w14:paraId="140F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216A11E8">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厂区内</w:t>
                  </w:r>
                </w:p>
              </w:tc>
              <w:tc>
                <w:tcPr>
                  <w:tcW w:w="677" w:type="dxa"/>
                  <w:vMerge w:val="restart"/>
                  <w:shd w:val="clear" w:color="auto" w:fill="auto"/>
                  <w:vAlign w:val="center"/>
                </w:tcPr>
                <w:p w14:paraId="71D900D2">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p w14:paraId="2EC56238">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废物</w:t>
                  </w:r>
                </w:p>
              </w:tc>
              <w:tc>
                <w:tcPr>
                  <w:tcW w:w="3531" w:type="dxa"/>
                  <w:shd w:val="clear" w:color="auto" w:fill="auto"/>
                  <w:vAlign w:val="center"/>
                </w:tcPr>
                <w:p w14:paraId="3907F673">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各工序</w:t>
                  </w:r>
                </w:p>
              </w:tc>
              <w:tc>
                <w:tcPr>
                  <w:tcW w:w="2297" w:type="dxa"/>
                  <w:shd w:val="clear" w:color="auto" w:fill="auto"/>
                  <w:vAlign w:val="center"/>
                </w:tcPr>
                <w:p w14:paraId="151736F3">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收尘灰（粉尘）</w:t>
                  </w:r>
                </w:p>
              </w:tc>
              <w:tc>
                <w:tcPr>
                  <w:tcW w:w="2002" w:type="dxa"/>
                  <w:vMerge w:val="restart"/>
                  <w:shd w:val="clear" w:color="auto" w:fill="auto"/>
                  <w:vAlign w:val="center"/>
                </w:tcPr>
                <w:p w14:paraId="16B7834D">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一般废物</w:t>
                  </w:r>
                </w:p>
              </w:tc>
            </w:tr>
            <w:tr w14:paraId="2261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4C6B3A29">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车辆冲洗</w:t>
                  </w:r>
                </w:p>
              </w:tc>
              <w:tc>
                <w:tcPr>
                  <w:tcW w:w="677" w:type="dxa"/>
                  <w:vMerge w:val="continue"/>
                  <w:shd w:val="clear" w:color="auto" w:fill="auto"/>
                  <w:vAlign w:val="center"/>
                </w:tcPr>
                <w:p w14:paraId="4395631B">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1FCC6830">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沉淀池</w:t>
                  </w:r>
                </w:p>
              </w:tc>
              <w:tc>
                <w:tcPr>
                  <w:tcW w:w="2297" w:type="dxa"/>
                  <w:shd w:val="clear" w:color="auto" w:fill="auto"/>
                  <w:vAlign w:val="center"/>
                </w:tcPr>
                <w:p w14:paraId="05812DA6">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泥沙</w:t>
                  </w:r>
                </w:p>
              </w:tc>
              <w:tc>
                <w:tcPr>
                  <w:tcW w:w="2002" w:type="dxa"/>
                  <w:vMerge w:val="continue"/>
                  <w:shd w:val="clear" w:color="auto" w:fill="auto"/>
                  <w:vAlign w:val="center"/>
                </w:tcPr>
                <w:p w14:paraId="1CC17D72">
                  <w:pPr>
                    <w:spacing w:line="240" w:lineRule="auto"/>
                    <w:jc w:val="center"/>
                    <w:rPr>
                      <w:rFonts w:hint="default" w:ascii="Times New Roman" w:hAnsi="Times New Roman" w:eastAsia="宋体" w:cs="Times New Roman"/>
                      <w:color w:val="auto"/>
                      <w:szCs w:val="21"/>
                    </w:rPr>
                  </w:pPr>
                </w:p>
              </w:tc>
            </w:tr>
            <w:tr w14:paraId="54B7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68D99B2A">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员工生活</w:t>
                  </w:r>
                </w:p>
              </w:tc>
              <w:tc>
                <w:tcPr>
                  <w:tcW w:w="677" w:type="dxa"/>
                  <w:vMerge w:val="continue"/>
                  <w:shd w:val="clear" w:color="auto" w:fill="auto"/>
                  <w:vAlign w:val="center"/>
                </w:tcPr>
                <w:p w14:paraId="4A052C1D">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22A0BA16">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生产及办公人员</w:t>
                  </w:r>
                </w:p>
              </w:tc>
              <w:tc>
                <w:tcPr>
                  <w:tcW w:w="2297" w:type="dxa"/>
                  <w:shd w:val="clear" w:color="auto" w:fill="auto"/>
                  <w:vAlign w:val="center"/>
                </w:tcPr>
                <w:p w14:paraId="3797E4F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生活垃圾</w:t>
                  </w:r>
                </w:p>
              </w:tc>
              <w:tc>
                <w:tcPr>
                  <w:tcW w:w="2002" w:type="dxa"/>
                  <w:vMerge w:val="continue"/>
                  <w:shd w:val="clear" w:color="auto" w:fill="auto"/>
                  <w:vAlign w:val="center"/>
                </w:tcPr>
                <w:p w14:paraId="382768B3">
                  <w:pPr>
                    <w:spacing w:line="240" w:lineRule="auto"/>
                    <w:jc w:val="center"/>
                    <w:rPr>
                      <w:rFonts w:hint="default" w:ascii="Times New Roman" w:hAnsi="Times New Roman" w:eastAsia="宋体" w:cs="Times New Roman"/>
                      <w:color w:val="auto"/>
                      <w:szCs w:val="21"/>
                    </w:rPr>
                  </w:pPr>
                </w:p>
              </w:tc>
            </w:tr>
            <w:tr w14:paraId="4660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51A39C48">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生产车间</w:t>
                  </w:r>
                </w:p>
              </w:tc>
              <w:tc>
                <w:tcPr>
                  <w:tcW w:w="677" w:type="dxa"/>
                  <w:vMerge w:val="continue"/>
                  <w:shd w:val="clear" w:color="auto" w:fill="auto"/>
                  <w:vAlign w:val="center"/>
                </w:tcPr>
                <w:p w14:paraId="4FE6C8F9">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2AD4DBE4">
                  <w:pPr>
                    <w:spacing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焊接</w:t>
                  </w:r>
                </w:p>
              </w:tc>
              <w:tc>
                <w:tcPr>
                  <w:tcW w:w="2297" w:type="dxa"/>
                  <w:shd w:val="clear" w:color="auto" w:fill="auto"/>
                  <w:vAlign w:val="center"/>
                </w:tcPr>
                <w:p w14:paraId="793CE019">
                  <w:pPr>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废焊丝、</w:t>
                  </w:r>
                  <w:r>
                    <w:rPr>
                      <w:rFonts w:hint="default" w:ascii="Times New Roman" w:hAnsi="Times New Roman" w:cs="Times New Roman"/>
                      <w:color w:val="auto"/>
                      <w:szCs w:val="21"/>
                      <w:lang w:val="en-US" w:eastAsia="zh-CN"/>
                    </w:rPr>
                    <w:t>焊（熔）渣</w:t>
                  </w:r>
                </w:p>
              </w:tc>
              <w:tc>
                <w:tcPr>
                  <w:tcW w:w="2002" w:type="dxa"/>
                  <w:vMerge w:val="continue"/>
                  <w:shd w:val="clear" w:color="auto" w:fill="auto"/>
                  <w:vAlign w:val="center"/>
                </w:tcPr>
                <w:p w14:paraId="0DCA0074">
                  <w:pPr>
                    <w:spacing w:line="240" w:lineRule="auto"/>
                    <w:jc w:val="center"/>
                    <w:rPr>
                      <w:rFonts w:hint="default" w:ascii="Times New Roman" w:hAnsi="Times New Roman" w:eastAsia="宋体" w:cs="Times New Roman"/>
                      <w:color w:val="auto"/>
                      <w:szCs w:val="21"/>
                    </w:rPr>
                  </w:pPr>
                </w:p>
              </w:tc>
            </w:tr>
            <w:tr w14:paraId="1E72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26A43C26">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生产车间</w:t>
                  </w:r>
                </w:p>
              </w:tc>
              <w:tc>
                <w:tcPr>
                  <w:tcW w:w="677" w:type="dxa"/>
                  <w:vMerge w:val="continue"/>
                  <w:shd w:val="clear" w:color="auto" w:fill="auto"/>
                  <w:vAlign w:val="center"/>
                </w:tcPr>
                <w:p w14:paraId="00622CBE">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31A43A44">
                  <w:pPr>
                    <w:spacing w:line="240" w:lineRule="auto"/>
                    <w:jc w:val="center"/>
                    <w:rPr>
                      <w:rFonts w:hint="default" w:ascii="Times New Roman" w:hAnsi="Times New Roman" w:eastAsia="宋体" w:cs="Times New Roman"/>
                      <w:color w:val="auto"/>
                      <w:szCs w:val="21"/>
                    </w:rPr>
                  </w:pPr>
                  <w:r>
                    <w:rPr>
                      <w:rFonts w:hint="eastAsia" w:cs="Times New Roman"/>
                      <w:color w:val="auto"/>
                      <w:szCs w:val="21"/>
                      <w:lang w:val="en-US" w:eastAsia="zh-CN"/>
                    </w:rPr>
                    <w:t>切割、剪切</w:t>
                  </w:r>
                </w:p>
              </w:tc>
              <w:tc>
                <w:tcPr>
                  <w:tcW w:w="2297" w:type="dxa"/>
                  <w:shd w:val="clear" w:color="auto" w:fill="auto"/>
                  <w:vAlign w:val="center"/>
                </w:tcPr>
                <w:p w14:paraId="3B8C0C79">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钢筋头、不锈钢边角料</w:t>
                  </w:r>
                </w:p>
              </w:tc>
              <w:tc>
                <w:tcPr>
                  <w:tcW w:w="2002" w:type="dxa"/>
                  <w:vMerge w:val="continue"/>
                  <w:shd w:val="clear" w:color="auto" w:fill="auto"/>
                  <w:vAlign w:val="center"/>
                </w:tcPr>
                <w:p w14:paraId="1267916B">
                  <w:pPr>
                    <w:spacing w:line="240" w:lineRule="auto"/>
                    <w:jc w:val="center"/>
                    <w:rPr>
                      <w:rFonts w:hint="default" w:ascii="Times New Roman" w:hAnsi="Times New Roman" w:eastAsia="宋体" w:cs="Times New Roman"/>
                      <w:color w:val="auto"/>
                      <w:szCs w:val="21"/>
                    </w:rPr>
                  </w:pPr>
                </w:p>
              </w:tc>
            </w:tr>
            <w:tr w14:paraId="562D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499F240B">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生产车间</w:t>
                  </w:r>
                </w:p>
              </w:tc>
              <w:tc>
                <w:tcPr>
                  <w:tcW w:w="677" w:type="dxa"/>
                  <w:vMerge w:val="continue"/>
                  <w:shd w:val="clear" w:color="auto" w:fill="auto"/>
                  <w:vAlign w:val="center"/>
                </w:tcPr>
                <w:p w14:paraId="6BA22066">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6720B14E">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设备维修</w:t>
                  </w:r>
                </w:p>
              </w:tc>
              <w:tc>
                <w:tcPr>
                  <w:tcW w:w="2297" w:type="dxa"/>
                  <w:shd w:val="clear" w:color="auto" w:fill="auto"/>
                  <w:vAlign w:val="center"/>
                </w:tcPr>
                <w:p w14:paraId="3ACB5F7C">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废机油</w:t>
                  </w:r>
                </w:p>
              </w:tc>
              <w:tc>
                <w:tcPr>
                  <w:tcW w:w="2002" w:type="dxa"/>
                  <w:vMerge w:val="restart"/>
                  <w:shd w:val="clear" w:color="auto" w:fill="auto"/>
                  <w:vAlign w:val="center"/>
                </w:tcPr>
                <w:p w14:paraId="58E41ABE">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危险废物</w:t>
                  </w:r>
                </w:p>
              </w:tc>
            </w:tr>
            <w:tr w14:paraId="3D80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31" w:type="dxa"/>
                  <w:shd w:val="clear" w:color="auto" w:fill="auto"/>
                  <w:vAlign w:val="center"/>
                </w:tcPr>
                <w:p w14:paraId="5A93B747">
                  <w:pPr>
                    <w:spacing w:line="240" w:lineRule="auto"/>
                    <w:jc w:val="center"/>
                    <w:rPr>
                      <w:rFonts w:hint="eastAsia" w:cs="Times New Roman"/>
                      <w:color w:val="auto"/>
                      <w:szCs w:val="21"/>
                      <w:lang w:val="en-US" w:eastAsia="zh-CN"/>
                    </w:rPr>
                  </w:pPr>
                  <w:r>
                    <w:rPr>
                      <w:rFonts w:hint="eastAsia" w:cs="Times New Roman"/>
                      <w:color w:val="auto"/>
                      <w:szCs w:val="21"/>
                      <w:lang w:val="en-US" w:eastAsia="zh-CN"/>
                    </w:rPr>
                    <w:t>生产车间</w:t>
                  </w:r>
                </w:p>
              </w:tc>
              <w:tc>
                <w:tcPr>
                  <w:tcW w:w="677" w:type="dxa"/>
                  <w:vMerge w:val="continue"/>
                  <w:shd w:val="clear" w:color="auto" w:fill="auto"/>
                  <w:vAlign w:val="center"/>
                </w:tcPr>
                <w:p w14:paraId="6B98374E">
                  <w:pPr>
                    <w:spacing w:line="240" w:lineRule="auto"/>
                    <w:jc w:val="center"/>
                    <w:rPr>
                      <w:rFonts w:hint="default" w:ascii="Times New Roman" w:hAnsi="Times New Roman" w:eastAsia="宋体" w:cs="Times New Roman"/>
                      <w:color w:val="auto"/>
                      <w:szCs w:val="21"/>
                    </w:rPr>
                  </w:pPr>
                </w:p>
              </w:tc>
              <w:tc>
                <w:tcPr>
                  <w:tcW w:w="3531" w:type="dxa"/>
                  <w:shd w:val="clear" w:color="auto" w:fill="auto"/>
                  <w:vAlign w:val="center"/>
                </w:tcPr>
                <w:p w14:paraId="60F23FBD">
                  <w:pPr>
                    <w:spacing w:line="240" w:lineRule="auto"/>
                    <w:jc w:val="center"/>
                    <w:rPr>
                      <w:rFonts w:hint="eastAsia" w:cs="Times New Roman"/>
                      <w:color w:val="auto"/>
                      <w:szCs w:val="21"/>
                      <w:lang w:val="en-US" w:eastAsia="zh-CN"/>
                    </w:rPr>
                  </w:pPr>
                  <w:r>
                    <w:rPr>
                      <w:rFonts w:hint="eastAsia" w:cs="Times New Roman"/>
                      <w:color w:val="auto"/>
                      <w:szCs w:val="21"/>
                      <w:lang w:val="en-US" w:eastAsia="zh-CN"/>
                    </w:rPr>
                    <w:t>设备维修</w:t>
                  </w:r>
                </w:p>
              </w:tc>
              <w:tc>
                <w:tcPr>
                  <w:tcW w:w="2297" w:type="dxa"/>
                  <w:shd w:val="clear" w:color="auto" w:fill="auto"/>
                  <w:vAlign w:val="center"/>
                </w:tcPr>
                <w:p w14:paraId="4ED717E0">
                  <w:pPr>
                    <w:spacing w:line="240" w:lineRule="auto"/>
                    <w:jc w:val="center"/>
                    <w:rPr>
                      <w:rFonts w:hint="eastAsia" w:cs="Times New Roman"/>
                      <w:color w:val="auto"/>
                      <w:szCs w:val="21"/>
                      <w:lang w:val="en-US" w:eastAsia="zh-CN"/>
                    </w:rPr>
                  </w:pPr>
                  <w:r>
                    <w:rPr>
                      <w:rFonts w:hint="eastAsia" w:ascii="Times New Roman" w:hAnsi="Times New Roman" w:cs="Times New Roman"/>
                      <w:color w:val="auto"/>
                      <w:sz w:val="21"/>
                      <w:szCs w:val="21"/>
                      <w:lang w:val="en-US" w:eastAsia="zh-CN"/>
                    </w:rPr>
                    <w:t>含油抹布手套</w:t>
                  </w:r>
                </w:p>
              </w:tc>
              <w:tc>
                <w:tcPr>
                  <w:tcW w:w="2002" w:type="dxa"/>
                  <w:vMerge w:val="continue"/>
                  <w:shd w:val="clear" w:color="auto" w:fill="auto"/>
                  <w:vAlign w:val="center"/>
                </w:tcPr>
                <w:p w14:paraId="73CBBED2">
                  <w:pPr>
                    <w:spacing w:line="240" w:lineRule="auto"/>
                    <w:jc w:val="center"/>
                    <w:rPr>
                      <w:rFonts w:hint="eastAsia" w:cs="Times New Roman"/>
                      <w:color w:val="auto"/>
                      <w:szCs w:val="21"/>
                      <w:lang w:val="en-US" w:eastAsia="zh-CN"/>
                    </w:rPr>
                  </w:pPr>
                </w:p>
              </w:tc>
            </w:tr>
          </w:tbl>
          <w:p w14:paraId="3F2B2AB5">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（三）水平衡</w:t>
            </w:r>
          </w:p>
          <w:p w14:paraId="4A47CD04">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szCs w:val="24"/>
              </w:rPr>
              <w:t>1、</w:t>
            </w:r>
            <w:r>
              <w:rPr>
                <w:rFonts w:hint="default" w:ascii="Times New Roman" w:hAnsi="Times New Roman" w:cs="Times New Roman"/>
                <w:color w:val="auto"/>
                <w:sz w:val="24"/>
                <w:lang w:val="en-US" w:eastAsia="zh-CN"/>
              </w:rPr>
              <w:t>水平衡</w:t>
            </w:r>
          </w:p>
          <w:p w14:paraId="2F288431">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本项目水平衡图如下所示：</w:t>
            </w:r>
          </w:p>
          <w:p w14:paraId="70744AFA">
            <w:pPr>
              <w:spacing w:line="360" w:lineRule="auto"/>
              <w:jc w:val="center"/>
              <w:rPr>
                <w:rFonts w:hint="default" w:ascii="Times New Roman" w:hAnsi="Times New Roman" w:cs="Times New Roman"/>
                <w:b/>
                <w:bCs/>
                <w:color w:val="C00000"/>
                <w:sz w:val="21"/>
                <w:szCs w:val="21"/>
                <w:lang w:val="en-US" w:eastAsia="zh-CN"/>
              </w:rPr>
            </w:pPr>
          </w:p>
          <w:p w14:paraId="3160D6B1">
            <w:pPr>
              <w:spacing w:line="360" w:lineRule="auto"/>
              <w:jc w:val="center"/>
              <w:rPr>
                <w:rFonts w:hint="default" w:ascii="Times New Roman" w:hAnsi="Times New Roman" w:cs="Times New Roman"/>
                <w:b/>
                <w:bCs/>
                <w:color w:val="C00000"/>
                <w:sz w:val="21"/>
                <w:szCs w:val="21"/>
                <w:lang w:val="en-US" w:eastAsia="zh-CN"/>
              </w:rPr>
            </w:pPr>
          </w:p>
          <w:p w14:paraId="41ED879E">
            <w:pPr>
              <w:spacing w:line="360" w:lineRule="auto"/>
              <w:jc w:val="both"/>
              <w:rPr>
                <w:rFonts w:hint="default" w:ascii="Times New Roman" w:hAnsi="Times New Roman" w:cs="Times New Roman"/>
                <w:b/>
                <w:bCs/>
                <w:color w:val="C00000"/>
                <w:sz w:val="21"/>
                <w:szCs w:val="21"/>
                <w:lang w:val="en-US" w:eastAsia="zh-CN"/>
              </w:rPr>
            </w:pPr>
          </w:p>
          <w:p w14:paraId="49CB3DDF">
            <w:pPr>
              <w:pStyle w:val="27"/>
              <w:rPr>
                <w:rFonts w:hint="default"/>
                <w:lang w:val="en-US" w:eastAsia="zh-CN"/>
              </w:rPr>
            </w:pPr>
          </w:p>
          <w:p w14:paraId="5A1A9B90">
            <w:pPr>
              <w:spacing w:line="360" w:lineRule="auto"/>
              <w:jc w:val="center"/>
              <w:rPr>
                <w:rFonts w:hint="default" w:ascii="Times New Roman" w:hAnsi="Times New Roman" w:cs="Times New Roman"/>
                <w:b/>
                <w:bCs/>
                <w:color w:val="C00000"/>
                <w:sz w:val="21"/>
                <w:szCs w:val="21"/>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401320</wp:posOffset>
                      </wp:positionH>
                      <wp:positionV relativeFrom="paragraph">
                        <wp:posOffset>88265</wp:posOffset>
                      </wp:positionV>
                      <wp:extent cx="5500370" cy="6499860"/>
                      <wp:effectExtent l="0" t="0" r="24130" b="15240"/>
                      <wp:wrapNone/>
                      <wp:docPr id="274" name="组合 274"/>
                      <wp:cNvGraphicFramePr/>
                      <a:graphic xmlns:a="http://schemas.openxmlformats.org/drawingml/2006/main">
                        <a:graphicData uri="http://schemas.microsoft.com/office/word/2010/wordprocessingGroup">
                          <wpg:wgp>
                            <wpg:cNvGrpSpPr/>
                            <wpg:grpSpPr>
                              <a:xfrm>
                                <a:off x="0" y="0"/>
                                <a:ext cx="5500370" cy="6499860"/>
                                <a:chOff x="1879" y="738237"/>
                                <a:chExt cx="8662" cy="10236"/>
                              </a:xfrm>
                            </wpg:grpSpPr>
                            <wpg:grpSp>
                              <wpg:cNvPr id="224" name="组合 224"/>
                              <wpg:cNvGrpSpPr/>
                              <wpg:grpSpPr>
                                <a:xfrm>
                                  <a:off x="1879" y="738237"/>
                                  <a:ext cx="8663" cy="10236"/>
                                  <a:chOff x="2178" y="2516"/>
                                  <a:chExt cx="8663" cy="10236"/>
                                </a:xfrm>
                              </wpg:grpSpPr>
                              <wps:wsp>
                                <wps:cNvPr id="225" name="矩形 13"/>
                                <wps:cNvSpPr/>
                                <wps:spPr>
                                  <a:xfrm>
                                    <a:off x="4208" y="4478"/>
                                    <a:ext cx="2068"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55341B">
                                      <w:pPr>
                                        <w:jc w:val="center"/>
                                        <w:rPr>
                                          <w:rFonts w:hint="default" w:eastAsia="宋体"/>
                                          <w:sz w:val="18"/>
                                          <w:szCs w:val="18"/>
                                          <w:lang w:val="en-US" w:eastAsia="zh-CN"/>
                                        </w:rPr>
                                      </w:pPr>
                                      <w:r>
                                        <w:rPr>
                                          <w:rFonts w:hint="eastAsia"/>
                                          <w:sz w:val="18"/>
                                          <w:szCs w:val="18"/>
                                          <w:lang w:val="en-US" w:eastAsia="zh-CN"/>
                                        </w:rPr>
                                        <w:t>搅拌用水（3700）</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26" name="组合 31"/>
                                <wpg:cNvGrpSpPr/>
                                <wpg:grpSpPr>
                                  <a:xfrm>
                                    <a:off x="2178" y="2516"/>
                                    <a:ext cx="8663" cy="10236"/>
                                    <a:chOff x="2191" y="2503"/>
                                    <a:chExt cx="8663" cy="10236"/>
                                  </a:xfrm>
                                </wpg:grpSpPr>
                                <wps:wsp>
                                  <wps:cNvPr id="165" name="矩形 165"/>
                                  <wps:cNvSpPr/>
                                  <wps:spPr>
                                    <a:xfrm>
                                      <a:off x="7549" y="4522"/>
                                      <a:ext cx="1039" cy="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99BF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进入产品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矩形 172"/>
                                  <wps:cNvSpPr/>
                                  <wps:spPr>
                                    <a:xfrm>
                                      <a:off x="6718" y="7185"/>
                                      <a:ext cx="88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72836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446.25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 name="直接箭头连接符 168"/>
                                  <wps:cNvCnPr>
                                    <a:stCxn id="42" idx="3"/>
                                  </wps:cNvCnPr>
                                  <wps:spPr>
                                    <a:xfrm>
                                      <a:off x="6237" y="7572"/>
                                      <a:ext cx="1753"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7" name="矩形 76"/>
                                  <wps:cNvSpPr/>
                                  <wps:spPr>
                                    <a:xfrm>
                                      <a:off x="3240" y="4297"/>
                                      <a:ext cx="983"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3194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3140.75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矩形 79"/>
                                  <wps:cNvSpPr/>
                                  <wps:spPr>
                                    <a:xfrm>
                                      <a:off x="3371" y="7171"/>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C9F6A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0" name="矩形 78"/>
                                  <wps:cNvSpPr/>
                                  <wps:spPr>
                                    <a:xfrm>
                                      <a:off x="3342" y="5714"/>
                                      <a:ext cx="808"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1356C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60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4173" y="3182"/>
                                      <a:ext cx="1974"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7DB08E">
                                        <w:pPr>
                                          <w:jc w:val="center"/>
                                          <w:rPr>
                                            <w:rFonts w:hint="default" w:eastAsia="宋体"/>
                                            <w:sz w:val="18"/>
                                            <w:szCs w:val="18"/>
                                            <w:lang w:val="en-US" w:eastAsia="zh-CN"/>
                                          </w:rPr>
                                        </w:pPr>
                                        <w:r>
                                          <w:rPr>
                                            <w:rFonts w:hint="eastAsia"/>
                                            <w:sz w:val="18"/>
                                            <w:szCs w:val="18"/>
                                            <w:lang w:val="en-US" w:eastAsia="zh-CN"/>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矩形 12"/>
                                  <wps:cNvSpPr/>
                                  <wps:spPr>
                                    <a:xfrm>
                                      <a:off x="9329" y="3206"/>
                                      <a:ext cx="1525"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54B07A">
                                        <w:pPr>
                                          <w:jc w:val="center"/>
                                          <w:rPr>
                                            <w:rFonts w:hint="default" w:eastAsia="宋体"/>
                                            <w:sz w:val="18"/>
                                            <w:szCs w:val="18"/>
                                            <w:lang w:val="en-US" w:eastAsia="zh-CN"/>
                                          </w:rPr>
                                        </w:pPr>
                                        <w:r>
                                          <w:rPr>
                                            <w:rFonts w:hint="eastAsia"/>
                                            <w:sz w:val="18"/>
                                            <w:szCs w:val="18"/>
                                            <w:lang w:val="en-US" w:eastAsia="zh-CN"/>
                                          </w:rPr>
                                          <w:t>周边农田施肥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6766" y="3191"/>
                                      <a:ext cx="1725"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DFC3D8">
                                        <w:pPr>
                                          <w:jc w:val="center"/>
                                          <w:rPr>
                                            <w:rFonts w:hint="default" w:eastAsia="宋体"/>
                                            <w:sz w:val="18"/>
                                            <w:szCs w:val="18"/>
                                            <w:lang w:val="en-US" w:eastAsia="zh-CN"/>
                                          </w:rPr>
                                        </w:pPr>
                                        <w:r>
                                          <w:rPr>
                                            <w:rFonts w:hint="eastAsia"/>
                                            <w:sz w:val="18"/>
                                            <w:szCs w:val="18"/>
                                            <w:lang w:val="en-US" w:eastAsia="zh-CN"/>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矩形 37"/>
                                  <wps:cNvSpPr/>
                                  <wps:spPr>
                                    <a:xfrm>
                                      <a:off x="5040" y="11753"/>
                                      <a:ext cx="1063"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4695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损耗36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3" name="矩形 20"/>
                                  <wps:cNvSpPr/>
                                  <wps:spPr>
                                    <a:xfrm>
                                      <a:off x="3360" y="3032"/>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0602A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 name="矩形 32"/>
                                  <wps:cNvSpPr/>
                                  <wps:spPr>
                                    <a:xfrm>
                                      <a:off x="6130" y="3011"/>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1DEC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 name="矩形 34"/>
                                  <wps:cNvSpPr/>
                                  <wps:spPr>
                                    <a:xfrm>
                                      <a:off x="5002" y="2503"/>
                                      <a:ext cx="1263"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51A46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矩形 26"/>
                                  <wps:cNvSpPr/>
                                  <wps:spPr>
                                    <a:xfrm>
                                      <a:off x="8550" y="3059"/>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BEE4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4236" y="5895"/>
                                      <a:ext cx="2262"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8AC5A5">
                                        <w:pPr>
                                          <w:jc w:val="center"/>
                                          <w:rPr>
                                            <w:rFonts w:hint="default" w:eastAsia="宋体"/>
                                            <w:sz w:val="18"/>
                                            <w:szCs w:val="18"/>
                                            <w:lang w:val="en-US" w:eastAsia="zh-CN"/>
                                          </w:rPr>
                                        </w:pPr>
                                        <w:r>
                                          <w:rPr>
                                            <w:rFonts w:hint="eastAsia"/>
                                            <w:sz w:val="18"/>
                                            <w:szCs w:val="18"/>
                                            <w:lang w:val="en-US" w:eastAsia="zh-CN"/>
                                          </w:rPr>
                                          <w:t>运输车辆轮胎清洗用水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4251" y="7341"/>
                                      <a:ext cx="1986"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8D494D">
                                        <w:pPr>
                                          <w:jc w:val="center"/>
                                          <w:rPr>
                                            <w:rFonts w:hint="default" w:eastAsia="宋体"/>
                                            <w:sz w:val="18"/>
                                            <w:szCs w:val="18"/>
                                            <w:lang w:val="en-US" w:eastAsia="zh-CN"/>
                                          </w:rPr>
                                        </w:pPr>
                                        <w:r>
                                          <w:rPr>
                                            <w:rFonts w:hint="eastAsia"/>
                                            <w:sz w:val="18"/>
                                            <w:szCs w:val="18"/>
                                            <w:lang w:val="en-US" w:eastAsia="zh-CN"/>
                                          </w:rPr>
                                          <w:t>作业区地面冲洗用水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肘形连接符 44"/>
                                  <wps:cNvCnPr>
                                    <a:stCxn id="10" idx="1"/>
                                    <a:endCxn id="245" idx="1"/>
                                  </wps:cNvCnPr>
                                  <wps:spPr>
                                    <a:xfrm rot="10800000" flipH="1" flipV="1">
                                      <a:off x="4173" y="3413"/>
                                      <a:ext cx="86" cy="9095"/>
                                    </a:xfrm>
                                    <a:prstGeom prst="bentConnector3">
                                      <a:avLst>
                                        <a:gd name="adj1" fmla="val -1068604"/>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38" name="组合 47"/>
                                  <wpg:cNvGrpSpPr/>
                                  <wpg:grpSpPr>
                                    <a:xfrm rot="0">
                                      <a:off x="2191" y="7316"/>
                                      <a:ext cx="1072" cy="745"/>
                                      <a:chOff x="6793" y="742221"/>
                                      <a:chExt cx="1510" cy="1140"/>
                                    </a:xfrm>
                                  </wpg:grpSpPr>
                                  <wps:wsp>
                                    <wps:cNvPr id="45" name="矩形 45"/>
                                    <wps:cNvSpPr/>
                                    <wps:spPr>
                                      <a:xfrm>
                                        <a:off x="6793" y="742221"/>
                                        <a:ext cx="1510" cy="11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09F8DB">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4421.75新鲜</w:t>
                                          </w:r>
                                          <w:r>
                                            <w:rPr>
                                              <w:rFonts w:hint="eastAsia" w:ascii="Times New Roman" w:hAnsi="Times New Roman" w:cs="Times New Roman"/>
                                              <w:color w:val="auto"/>
                                              <w:sz w:val="18"/>
                                              <w:szCs w:val="18"/>
                                              <w:lang w:val="en-US" w:eastAsia="zh-CN"/>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直接连接符 46"/>
                                    <wps:cNvCnPr>
                                      <a:stCxn id="45" idx="1"/>
                                      <a:endCxn id="45" idx="3"/>
                                    </wps:cNvCnPr>
                                    <wps:spPr>
                                      <a:xfrm>
                                        <a:off x="6793" y="742792"/>
                                        <a:ext cx="1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9" name="直接箭头连接符 50"/>
                                  <wps:cNvCnPr>
                                    <a:stCxn id="13" idx="1"/>
                                  </wps:cNvCnPr>
                                  <wps:spPr>
                                    <a:xfrm flipH="1" flipV="1">
                                      <a:off x="3280" y="4708"/>
                                      <a:ext cx="928" cy="1"/>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53" name="直接箭头连接符 53"/>
                                  <wps:cNvCnPr>
                                    <a:stCxn id="41" idx="1"/>
                                  </wps:cNvCnPr>
                                  <wps:spPr>
                                    <a:xfrm flipH="1" flipV="1">
                                      <a:off x="3256" y="6121"/>
                                      <a:ext cx="980" cy="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a:stCxn id="42" idx="1"/>
                                  </wps:cNvCnPr>
                                  <wps:spPr>
                                    <a:xfrm flipH="1">
                                      <a:off x="3245" y="7559"/>
                                      <a:ext cx="1006" cy="4"/>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55" name="曲线连接符 55"/>
                                  <wps:cNvCnPr>
                                    <a:stCxn id="245" idx="0"/>
                                    <a:endCxn id="37" idx="2"/>
                                  </wps:cNvCnPr>
                                  <wps:spPr>
                                    <a:xfrm rot="16200000">
                                      <a:off x="5200" y="11905"/>
                                      <a:ext cx="187" cy="558"/>
                                    </a:xfrm>
                                    <a:prstGeom prst="curvedConnector3">
                                      <a:avLst>
                                        <a:gd name="adj1" fmla="val 5000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 name="矩形 60"/>
                                  <wps:cNvSpPr/>
                                  <wps:spPr>
                                    <a:xfrm>
                                      <a:off x="5229" y="6691"/>
                                      <a:ext cx="1151"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F11A8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损耗78.75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5211" y="5220"/>
                                      <a:ext cx="1151"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E4DA19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损耗60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曲线连接符 59"/>
                                  <wps:cNvCnPr>
                                    <a:stCxn id="41" idx="0"/>
                                    <a:endCxn id="58" idx="2"/>
                                  </wps:cNvCnPr>
                                  <wps:spPr>
                                    <a:xfrm rot="16200000">
                                      <a:off x="5408" y="5516"/>
                                      <a:ext cx="338" cy="420"/>
                                    </a:xfrm>
                                    <a:prstGeom prst="curvedConnector3">
                                      <a:avLst>
                                        <a:gd name="adj1" fmla="val 5000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曲线连接符 62"/>
                                  <wps:cNvCnPr>
                                    <a:stCxn id="42" idx="0"/>
                                    <a:endCxn id="60" idx="2"/>
                                  </wps:cNvCnPr>
                                  <wps:spPr>
                                    <a:xfrm rot="16200000">
                                      <a:off x="5368" y="6891"/>
                                      <a:ext cx="313" cy="561"/>
                                    </a:xfrm>
                                    <a:prstGeom prst="curvedConnector3">
                                      <a:avLst>
                                        <a:gd name="adj1" fmla="val 4984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2" name="直接箭头连接符 66"/>
                                  <wps:cNvCnPr>
                                    <a:stCxn id="10" idx="3"/>
                                    <a:endCxn id="11" idx="1"/>
                                  </wps:cNvCnPr>
                                  <wps:spPr>
                                    <a:xfrm>
                                      <a:off x="6147" y="3413"/>
                                      <a:ext cx="619"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3" name="直接箭头连接符 67"/>
                                  <wps:cNvCnPr>
                                    <a:stCxn id="11" idx="3"/>
                                    <a:endCxn id="12" idx="1"/>
                                  </wps:cNvCnPr>
                                  <wps:spPr>
                                    <a:xfrm>
                                      <a:off x="8491" y="3422"/>
                                      <a:ext cx="838" cy="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4" name="曲线连接符 69"/>
                                  <wps:cNvCnPr>
                                    <a:stCxn id="10" idx="0"/>
                                    <a:endCxn id="34" idx="2"/>
                                  </wps:cNvCnPr>
                                  <wps:spPr>
                                    <a:xfrm rot="16200000">
                                      <a:off x="5226" y="2774"/>
                                      <a:ext cx="342" cy="474"/>
                                    </a:xfrm>
                                    <a:prstGeom prst="curvedConnector3">
                                      <a:avLst>
                                        <a:gd name="adj1" fmla="val 5000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5" name="矩形 1"/>
                                  <wps:cNvSpPr/>
                                  <wps:spPr>
                                    <a:xfrm>
                                      <a:off x="4259" y="12277"/>
                                      <a:ext cx="1510"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9F1886">
                                        <w:pPr>
                                          <w:jc w:val="center"/>
                                          <w:rPr>
                                            <w:rFonts w:hint="default" w:eastAsia="宋体"/>
                                            <w:sz w:val="18"/>
                                            <w:szCs w:val="18"/>
                                            <w:lang w:val="en-US" w:eastAsia="zh-CN"/>
                                          </w:rPr>
                                        </w:pPr>
                                        <w:r>
                                          <w:rPr>
                                            <w:rFonts w:hint="eastAsia"/>
                                            <w:sz w:val="18"/>
                                            <w:szCs w:val="18"/>
                                            <w:lang w:val="en-US" w:eastAsia="zh-CN"/>
                                          </w:rPr>
                                          <w:t>绿化用水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6" name="矩形 2"/>
                                  <wps:cNvSpPr/>
                                  <wps:spPr>
                                    <a:xfrm>
                                      <a:off x="4187" y="8888"/>
                                      <a:ext cx="2328"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463FC4">
                                        <w:pPr>
                                          <w:jc w:val="center"/>
                                          <w:rPr>
                                            <w:rFonts w:hint="default" w:eastAsia="宋体"/>
                                            <w:sz w:val="18"/>
                                            <w:szCs w:val="18"/>
                                            <w:lang w:val="en-US" w:eastAsia="zh-CN"/>
                                          </w:rPr>
                                        </w:pPr>
                                        <w:r>
                                          <w:rPr>
                                            <w:rFonts w:hint="eastAsia"/>
                                            <w:sz w:val="18"/>
                                            <w:szCs w:val="18"/>
                                            <w:lang w:val="en-US" w:eastAsia="zh-CN"/>
                                          </w:rPr>
                                          <w:t>洒水抑尘用水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7" name="矩形 3"/>
                                  <wps:cNvSpPr/>
                                  <wps:spPr>
                                    <a:xfrm>
                                      <a:off x="3342" y="8745"/>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1E09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8" name="矩形 4"/>
                                  <wps:cNvSpPr/>
                                  <wps:spPr>
                                    <a:xfrm>
                                      <a:off x="3350" y="9990"/>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386CD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180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0" name="直接箭头连接符 7"/>
                                  <wps:cNvCnPr>
                                    <a:stCxn id="2" idx="1"/>
                                  </wps:cNvCnPr>
                                  <wps:spPr>
                                    <a:xfrm flipH="1">
                                      <a:off x="3259" y="9119"/>
                                      <a:ext cx="928" cy="0"/>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51" name="直接箭头连接符 8"/>
                                  <wps:cNvCnPr>
                                    <a:stCxn id="13" idx="3"/>
                                    <a:endCxn id="165" idx="1"/>
                                  </wps:cNvCnPr>
                                  <wps:spPr>
                                    <a:xfrm>
                                      <a:off x="6276" y="4709"/>
                                      <a:ext cx="1273" cy="1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2" name="矩形 9"/>
                                  <wps:cNvSpPr/>
                                  <wps:spPr>
                                    <a:xfrm>
                                      <a:off x="8004" y="7265"/>
                                      <a:ext cx="958" cy="5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7E29E4">
                                        <w:pPr>
                                          <w:jc w:val="center"/>
                                          <w:rPr>
                                            <w:rFonts w:hint="default" w:eastAsia="宋体"/>
                                            <w:lang w:val="en-US" w:eastAsia="zh-CN"/>
                                          </w:rPr>
                                        </w:pPr>
                                        <w:r>
                                          <w:rPr>
                                            <w:rFonts w:hint="eastAsia"/>
                                            <w:lang w:val="en-US" w:eastAsia="zh-CN"/>
                                          </w:rPr>
                                          <w:t>沉淀池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16"/>
                                  <wps:cNvSpPr/>
                                  <wps:spPr>
                                    <a:xfrm>
                                      <a:off x="5521" y="8187"/>
                                      <a:ext cx="1151"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0E37E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损耗240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曲线连接符 15"/>
                                  <wps:cNvCnPr/>
                                  <wps:spPr>
                                    <a:xfrm rot="16200000">
                                      <a:off x="5542" y="8333"/>
                                      <a:ext cx="364" cy="746"/>
                                    </a:xfrm>
                                    <a:prstGeom prst="curvedConnector3">
                                      <a:avLst>
                                        <a:gd name="adj1" fmla="val 5000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4" name="肘形连接符 18"/>
                                  <wps:cNvCnPr>
                                    <a:stCxn id="252" idx="3"/>
                                    <a:endCxn id="225" idx="0"/>
                                  </wps:cNvCnPr>
                                  <wps:spPr>
                                    <a:xfrm flipH="1" flipV="1">
                                      <a:off x="5255" y="4465"/>
                                      <a:ext cx="3707" cy="3089"/>
                                    </a:xfrm>
                                    <a:prstGeom prst="bentConnector4">
                                      <a:avLst>
                                        <a:gd name="adj1" fmla="val -29107"/>
                                        <a:gd name="adj2" fmla="val 112140"/>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5" name="矩形 19"/>
                                  <wps:cNvSpPr/>
                                  <wps:spPr>
                                    <a:xfrm>
                                      <a:off x="9049" y="7187"/>
                                      <a:ext cx="808"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D2AC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446.25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6" name="直接箭头连接符 25"/>
                                  <wps:cNvCnPr/>
                                  <wps:spPr>
                                    <a:xfrm flipH="1">
                                      <a:off x="3254" y="10414"/>
                                      <a:ext cx="970" cy="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57" name="矩形 23"/>
                                  <wps:cNvSpPr/>
                                  <wps:spPr>
                                    <a:xfrm>
                                      <a:off x="5584" y="9508"/>
                                      <a:ext cx="1151"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180B4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损耗27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8" name="曲线连接符 22"/>
                                  <wps:cNvCnPr/>
                                  <wps:spPr>
                                    <a:xfrm rot="16200000">
                                      <a:off x="5605" y="9628"/>
                                      <a:ext cx="338" cy="772"/>
                                    </a:xfrm>
                                    <a:prstGeom prst="curvedConnector3">
                                      <a:avLst>
                                        <a:gd name="adj1" fmla="val 5000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矩形 27"/>
                                  <wps:cNvSpPr/>
                                  <wps:spPr>
                                    <a:xfrm>
                                      <a:off x="3426" y="12122"/>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E825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矩形 29"/>
                                  <wps:cNvSpPr/>
                                  <wps:spPr>
                                    <a:xfrm>
                                      <a:off x="7858" y="9999"/>
                                      <a:ext cx="904"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2C734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0" name="矩形 24"/>
                                  <wps:cNvSpPr/>
                                  <wps:spPr>
                                    <a:xfrm>
                                      <a:off x="4224" y="10183"/>
                                      <a:ext cx="2328"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7C52C5">
                                        <w:pPr>
                                          <w:jc w:val="center"/>
                                          <w:rPr>
                                            <w:rFonts w:hint="default" w:eastAsia="宋体"/>
                                            <w:sz w:val="18"/>
                                            <w:szCs w:val="18"/>
                                            <w:lang w:val="en-US" w:eastAsia="zh-CN"/>
                                          </w:rPr>
                                        </w:pPr>
                                        <w:r>
                                          <w:rPr>
                                            <w:rFonts w:hint="eastAsia"/>
                                            <w:sz w:val="18"/>
                                            <w:szCs w:val="18"/>
                                            <w:lang w:val="en-US" w:eastAsia="zh-CN"/>
                                          </w:rPr>
                                          <w:t>堆场防尘用水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 name="肘形连接符 28"/>
                                  <wps:cNvCnPr>
                                    <a:stCxn id="260" idx="3"/>
                                  </wps:cNvCnPr>
                                  <wps:spPr>
                                    <a:xfrm flipV="1">
                                      <a:off x="6552" y="7560"/>
                                      <a:ext cx="3490" cy="2854"/>
                                    </a:xfrm>
                                    <a:prstGeom prst="bentConnector3">
                                      <a:avLst>
                                        <a:gd name="adj1" fmla="val 100200"/>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2" name="矩形 30"/>
                                  <wps:cNvSpPr/>
                                  <wps:spPr>
                                    <a:xfrm>
                                      <a:off x="7066" y="3724"/>
                                      <a:ext cx="931"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C73D3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559.25</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69" name="矩形 4"/>
                              <wps:cNvSpPr/>
                              <wps:spPr>
                                <a:xfrm>
                                  <a:off x="3105" y="746787"/>
                                  <a:ext cx="700"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52C5E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0" name="直接箭头连接符 25"/>
                              <wps:cNvCnPr/>
                              <wps:spPr>
                                <a:xfrm flipH="1">
                                  <a:off x="2983" y="747171"/>
                                  <a:ext cx="970" cy="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71" name="矩形 23"/>
                              <wps:cNvSpPr/>
                              <wps:spPr>
                                <a:xfrm>
                                  <a:off x="5260" y="746384"/>
                                  <a:ext cx="1151" cy="3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2B254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损耗150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2" name="曲线连接符 22"/>
                              <wps:cNvCnPr>
                                <a:stCxn id="273" idx="0"/>
                                <a:endCxn id="271" idx="2"/>
                              </wps:cNvCnPr>
                              <wps:spPr>
                                <a:xfrm rot="16200000">
                                  <a:off x="5360" y="746465"/>
                                  <a:ext cx="220" cy="732"/>
                                </a:xfrm>
                                <a:prstGeom prst="curvedConnector3">
                                  <a:avLst>
                                    <a:gd name="adj1" fmla="val 50000"/>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3" name="矩形 24"/>
                              <wps:cNvSpPr/>
                              <wps:spPr>
                                <a:xfrm>
                                  <a:off x="3940" y="746941"/>
                                  <a:ext cx="2328" cy="46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C5589B">
                                    <w:pPr>
                                      <w:jc w:val="center"/>
                                      <w:rPr>
                                        <w:rFonts w:hint="default" w:eastAsia="宋体"/>
                                        <w:sz w:val="18"/>
                                        <w:szCs w:val="18"/>
                                        <w:lang w:val="en-US" w:eastAsia="zh-CN"/>
                                      </w:rPr>
                                    </w:pPr>
                                    <w:r>
                                      <w:rPr>
                                        <w:rFonts w:hint="eastAsia"/>
                                        <w:sz w:val="18"/>
                                        <w:szCs w:val="18"/>
                                        <w:lang w:val="en-US" w:eastAsia="zh-CN"/>
                                      </w:rPr>
                                      <w:t>养护用水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6pt;margin-top:6.95pt;height:511.8pt;width:433.1pt;z-index:251673600;mso-width-relative:page;mso-height-relative:page;" coordorigin="1879,738237" coordsize="8662,10236" o:gfxdata="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">
                      <o:lock v:ext="edit" aspectratio="f"/>
                      <v:group id="_x0000_s1026" o:spid="_x0000_s1026" o:spt="203" style="position:absolute;left:1879;top:738237;height:10236;width:8663;" coordorigin="2178,2516" coordsize="8663,10236"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rect id="矩形 13" o:spid="_x0000_s1026" o:spt="1" style="position:absolute;left:4208;top:4478;height:462;width:2068;v-text-anchor:middle;" filled="f" stroked="t" coordsize="21600,21600" o:gfxdata="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kNM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2755341B">
                                <w:pPr>
                                  <w:jc w:val="center"/>
                                  <w:rPr>
                                    <w:rFonts w:hint="default" w:eastAsia="宋体"/>
                                    <w:sz w:val="18"/>
                                    <w:szCs w:val="18"/>
                                    <w:lang w:val="en-US" w:eastAsia="zh-CN"/>
                                  </w:rPr>
                                </w:pPr>
                                <w:r>
                                  <w:rPr>
                                    <w:rFonts w:hint="eastAsia"/>
                                    <w:sz w:val="18"/>
                                    <w:szCs w:val="18"/>
                                    <w:lang w:val="en-US" w:eastAsia="zh-CN"/>
                                  </w:rPr>
                                  <w:t>搅拌用水（3700）</w:t>
                                </w:r>
                              </w:p>
                            </w:txbxContent>
                          </v:textbox>
                        </v:rect>
                        <v:group id="组合 31" o:spid="_x0000_s1026" o:spt="203" style="position:absolute;left:2178;top:2516;height:10236;width:8663;" coordorigin="2191,2503" coordsize="8663,10236"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549;top:4522;height:400;width:1039;v-text-anchor:middle;" filled="f" stroked="f" coordsize="21600,21600" o:gfxdata="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YTI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0799BF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进入产品</w:t>
                                  </w:r>
                                </w:p>
                              </w:txbxContent>
                            </v:textbox>
                          </v:rect>
                          <v:rect id="_x0000_s1026" o:spid="_x0000_s1026" o:spt="1" style="position:absolute;left:6718;top:7185;height:337;width:880;v-text-anchor:middle;" filled="f" stroked="f" coordsize="21600,21600" o:gfxdata="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Ydir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5872836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446.25</w:t>
                                  </w:r>
                                </w:p>
                              </w:txbxContent>
                            </v:textbox>
                          </v:rect>
                          <v:shape id="_x0000_s1026" o:spid="_x0000_s1026" o:spt="32" type="#_x0000_t32" style="position:absolute;left:6237;top:7572;height:9;width:1753;" filled="f" stroked="t" coordsize="21600,21600" o:gfxdata="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6cFd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rect id="矩形 76" o:spid="_x0000_s1026" o:spt="1" style="position:absolute;left:3240;top:4297;height:337;width:983;v-text-anchor:middle;" filled="f" stroked="f" coordsize="21600,21600" o:gfxdata="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38HO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453194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3140.75</w:t>
                                  </w:r>
                                </w:p>
                              </w:txbxContent>
                            </v:textbox>
                          </v:rect>
                          <v:rect id="矩形 79" o:spid="_x0000_s1026" o:spt="1" style="position:absolute;left:3371;top:7171;height:337;width:700;v-text-anchor:middle;" filled="f" stroked="f" coordsize="21600,21600" o:gfxdata="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JMGa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BC9F6A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525</w:t>
                                  </w:r>
                                </w:p>
                              </w:txbxContent>
                            </v:textbox>
                          </v:rect>
                          <v:rect id="矩形 78" o:spid="_x0000_s1026" o:spt="1" style="position:absolute;left:3342;top:5714;height:337;width:808;v-text-anchor:middle;" filled="f" stroked="f" coordsize="21600,21600" o:gfxdata="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x/7a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091356C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60</w:t>
                                  </w:r>
                                </w:p>
                              </w:txbxContent>
                            </v:textbox>
                          </v:rect>
                          <v:rect id="_x0000_s1026" o:spid="_x0000_s1026" o:spt="1" style="position:absolute;left:4173;top:3182;height:462;width:1974;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4F7DB08E">
                                  <w:pPr>
                                    <w:jc w:val="center"/>
                                    <w:rPr>
                                      <w:rFonts w:hint="default" w:eastAsia="宋体"/>
                                      <w:sz w:val="18"/>
                                      <w:szCs w:val="18"/>
                                      <w:lang w:val="en-US" w:eastAsia="zh-CN"/>
                                    </w:rPr>
                                  </w:pPr>
                                  <w:r>
                                    <w:rPr>
                                      <w:rFonts w:hint="eastAsia"/>
                                      <w:sz w:val="18"/>
                                      <w:szCs w:val="18"/>
                                      <w:lang w:val="en-US" w:eastAsia="zh-CN"/>
                                    </w:rPr>
                                    <w:t>生活用水</w:t>
                                  </w:r>
                                </w:p>
                              </w:txbxContent>
                            </v:textbox>
                          </v:rect>
                          <v:rect id="矩形 12" o:spid="_x0000_s1026" o:spt="1" style="position:absolute;left:9329;top:3206;height:462;width:1525;v-text-anchor:middle;" filled="f" stroked="t" coordsize="21600,21600" o:gfxdata="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Dm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1254B07A">
                                  <w:pPr>
                                    <w:jc w:val="center"/>
                                    <w:rPr>
                                      <w:rFonts w:hint="default" w:eastAsia="宋体"/>
                                      <w:sz w:val="18"/>
                                      <w:szCs w:val="18"/>
                                      <w:lang w:val="en-US" w:eastAsia="zh-CN"/>
                                    </w:rPr>
                                  </w:pPr>
                                  <w:r>
                                    <w:rPr>
                                      <w:rFonts w:hint="eastAsia"/>
                                      <w:sz w:val="18"/>
                                      <w:szCs w:val="18"/>
                                      <w:lang w:val="en-US" w:eastAsia="zh-CN"/>
                                    </w:rPr>
                                    <w:t>周边农田施肥</w:t>
                                  </w:r>
                                </w:p>
                              </w:txbxContent>
                            </v:textbox>
                          </v:rect>
                          <v:rect id="_x0000_s1026" o:spid="_x0000_s1026" o:spt="1" style="position:absolute;left:6766;top:3191;height:462;width:1725;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14:paraId="76DFC3D8">
                                  <w:pPr>
                                    <w:jc w:val="center"/>
                                    <w:rPr>
                                      <w:rFonts w:hint="default" w:eastAsia="宋体"/>
                                      <w:sz w:val="18"/>
                                      <w:szCs w:val="18"/>
                                      <w:lang w:val="en-US" w:eastAsia="zh-CN"/>
                                    </w:rPr>
                                  </w:pPr>
                                  <w:r>
                                    <w:rPr>
                                      <w:rFonts w:hint="eastAsia"/>
                                      <w:sz w:val="18"/>
                                      <w:szCs w:val="18"/>
                                      <w:lang w:val="en-US" w:eastAsia="zh-CN"/>
                                    </w:rPr>
                                    <w:t>化粪池</w:t>
                                  </w:r>
                                </w:p>
                              </w:txbxContent>
                            </v:textbox>
                          </v:rect>
                          <v:rect id="_x0000_s1026" o:spid="_x0000_s1026" o:spt="1" style="position:absolute;left:5040;top:11753;height:337;width:1063;v-text-anchor:middle;" filled="f" stroked="f" coordsize="21600,21600" o:gfxdata="UEsDBAoAAAAAAIdO4kAAAAAAAAAAAAAAAAAEAAAAZHJzL1BLAwQUAAAACACHTuJAx7uDc7sAAADb&#10;AAAADwAAAGRycy9kb3ducmV2LnhtbEWPQWsCMRSE74X+h/AK3mpWh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uDc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364695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损耗36</w:t>
                                  </w:r>
                                </w:p>
                              </w:txbxContent>
                            </v:textbox>
                          </v:rect>
                          <v:rect id="矩形 20" o:spid="_x0000_s1026" o:spt="1" style="position:absolute;left:3360;top:3032;height:337;width:700;v-text-anchor:middle;" filled="f" stroked="f" coordsize="21600,21600" o:gfxdata="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WC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50602A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w:t>
                                  </w:r>
                                </w:p>
                              </w:txbxContent>
                            </v:textbox>
                          </v:rect>
                          <v:rect id="矩形 32" o:spid="_x0000_s1026" o:spt="1" style="position:absolute;left:6130;top:3011;height:337;width:700;v-text-anchor:middle;" filled="f" stroked="f" coordsize="21600,21600" o:gfxdata="UEsDBAoAAAAAAIdO4kAAAAAAAAAAAAAAAAAEAAAAZHJzL1BLAwQUAAAACACHTuJAhPz42b0AAADc&#10;AAAADwAAAGRycy9kb3ducmV2LnhtbEWPzWrDMBCE74W8g9hCb42cpIT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jZ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E1DEC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72</w:t>
                                  </w:r>
                                </w:p>
                              </w:txbxContent>
                            </v:textbox>
                          </v:rect>
                          <v:rect id="矩形 34" o:spid="_x0000_s1026" o:spt="1" style="position:absolute;left:5002;top:2503;height:337;width:1263;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051A46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损耗18</w:t>
                                  </w:r>
                                </w:p>
                              </w:txbxContent>
                            </v:textbox>
                          </v:rect>
                          <v:rect id="矩形 26" o:spid="_x0000_s1026" o:spt="1" style="position:absolute;left:8550;top:3059;height:337;width:700;v-text-anchor:middle;" filled="f" stroked="f" coordsize="21600,21600" o:gfxdata="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iwzW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08BEE4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72</w:t>
                                  </w:r>
                                </w:p>
                              </w:txbxContent>
                            </v:textbox>
                          </v:rect>
                          <v:rect id="_x0000_s1026" o:spid="_x0000_s1026" o:spt="1" style="position:absolute;left:4236;top:5895;height:462;width:2262;v-text-anchor:middle;" filled="f" stroked="t" coordsize="21600,21600" o:gfxdata="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xS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7A8AC5A5">
                                  <w:pPr>
                                    <w:jc w:val="center"/>
                                    <w:rPr>
                                      <w:rFonts w:hint="default" w:eastAsia="宋体"/>
                                      <w:sz w:val="18"/>
                                      <w:szCs w:val="18"/>
                                      <w:lang w:val="en-US" w:eastAsia="zh-CN"/>
                                    </w:rPr>
                                  </w:pPr>
                                  <w:r>
                                    <w:rPr>
                                      <w:rFonts w:hint="eastAsia"/>
                                      <w:sz w:val="18"/>
                                      <w:szCs w:val="18"/>
                                      <w:lang w:val="en-US" w:eastAsia="zh-CN"/>
                                    </w:rPr>
                                    <w:t>运输车辆轮胎清洗用水</w:t>
                                  </w:r>
                                </w:p>
                              </w:txbxContent>
                            </v:textbox>
                          </v:rect>
                          <v:rect id="_x0000_s1026" o:spid="_x0000_s1026" o:spt="1" style="position:absolute;left:4251;top:7341;height:462;width:1986;v-text-anchor:middle;" filled="f" stroked="t" coordsize="21600,21600" o:gfxdata="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Yrs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368D494D">
                                  <w:pPr>
                                    <w:jc w:val="center"/>
                                    <w:rPr>
                                      <w:rFonts w:hint="default" w:eastAsia="宋体"/>
                                      <w:sz w:val="18"/>
                                      <w:szCs w:val="18"/>
                                      <w:lang w:val="en-US" w:eastAsia="zh-CN"/>
                                    </w:rPr>
                                  </w:pPr>
                                  <w:r>
                                    <w:rPr>
                                      <w:rFonts w:hint="eastAsia"/>
                                      <w:sz w:val="18"/>
                                      <w:szCs w:val="18"/>
                                      <w:lang w:val="en-US" w:eastAsia="zh-CN"/>
                                    </w:rPr>
                                    <w:t>作业区地面冲洗用水</w:t>
                                  </w:r>
                                </w:p>
                              </w:txbxContent>
                            </v:textbox>
                          </v:rect>
                          <v:shape id="_x0000_s1026" o:spid="_x0000_s1026" o:spt="34" type="#_x0000_t34" style="position:absolute;left:4173;top:3413;flip:x y;height:9095;width:86;rotation:11796480f;" filled="f" stroked="t" coordsize="21600,21600" o:gfxdata="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jIjS8AAAA&#10;2wAAAA8AAAAAAAAAAQAgAAAAIgAAAGRycy9kb3ducmV2LnhtbFBLAQIUABQAAAAIAIdO4kAzLwWe&#10;OwAAADkAAAAQAAAAAAAAAAEAIAAAAAsBAABkcnMvc2hhcGV4bWwueG1sUEsFBgAAAAAGAAYAWwEA&#10;ALUDAAAAAA==&#10;" adj="-230818">
                            <v:fill on="f" focussize="0,0"/>
                            <v:stroke weight="0.5pt" color="#000000 [3213]" miterlimit="8" joinstyle="miter" startarrow="block" endarrow="block"/>
                            <v:imagedata o:title=""/>
                            <o:lock v:ext="edit" aspectratio="f"/>
                          </v:shape>
                          <v:group id="组合 47" o:spid="_x0000_s1026" o:spt="203" style="position:absolute;left:2191;top:7316;height:745;width:1072;" coordorigin="6793,742221" coordsize="1510,1140"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rect id="_x0000_s1026" o:spid="_x0000_s1026" o:spt="1" style="position:absolute;left:6793;top:742221;height:1140;width:1510;v-text-anchor:middle;" filled="f" stroked="f" coordsize="21600,21600" o:gfxdata="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PL4r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4D09F8DB">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4421.75新鲜</w:t>
                                    </w:r>
                                    <w:r>
                                      <w:rPr>
                                        <w:rFonts w:hint="eastAsia" w:ascii="Times New Roman" w:hAnsi="Times New Roman" w:cs="Times New Roman"/>
                                        <w:color w:val="auto"/>
                                        <w:sz w:val="18"/>
                                        <w:szCs w:val="18"/>
                                        <w:lang w:val="en-US" w:eastAsia="zh-CN"/>
                                      </w:rPr>
                                      <w:t>水</w:t>
                                    </w:r>
                                  </w:p>
                                </w:txbxContent>
                              </v:textbox>
                            </v:rect>
                            <v:line id="_x0000_s1026" o:spid="_x0000_s1026" o:spt="20" style="position:absolute;left:6793;top:742792;height:0;width:1510;" filled="f" stroked="t" coordsize="21600,21600" o:gfxdata="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QhW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直接箭头连接符 50" o:spid="_x0000_s1026" o:spt="32" type="#_x0000_t32" style="position:absolute;left:3280;top:4708;flip:x y;height:1;width:928;" filled="f" stroked="t" coordsize="21600,21600" o:gfxdata="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bvxD&#10;wAAAANwAAAAPAAAAAAAAAAEAIAAAACIAAABkcnMvZG93bnJldi54bWxQSwECFAAUAAAACACHTuJA&#10;My8FnjsAAAA5AAAAEAAAAAAAAAABACAAAAAPAQAAZHJzL3NoYXBleG1sLnhtbFBLBQYAAAAABgAG&#10;AFsBAAC5AwAAAAA=&#10;">
                            <v:fill on="f" focussize="0,0"/>
                            <v:stroke weight="0.5pt" color="#000000 [3213]" miterlimit="8" joinstyle="miter" startarrow="block"/>
                            <v:imagedata o:title=""/>
                            <o:lock v:ext="edit" aspectratio="f"/>
                          </v:shape>
                          <v:shape id="_x0000_s1026" o:spid="_x0000_s1026" o:spt="32" type="#_x0000_t32" style="position:absolute;left:3256;top:6121;flip:x y;height:5;width:980;" filled="f" stroked="t" coordsize="21600,21600" o:gfxdata="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B1aC/&#10;AAAA2wAAAA8AAAAAAAAAAQAgAAAAIgAAAGRycy9kb3ducmV2LnhtbFBLAQIUABQAAAAIAIdO4kAz&#10;LwWeOwAAADkAAAAQAAAAAAAAAAEAIAAAAA4BAABkcnMvc2hhcGV4bWwueG1sUEsFBgAAAAAGAAYA&#10;WwEAALgDAAAAAA==&#10;">
                            <v:fill on="f" focussize="0,0"/>
                            <v:stroke weight="0.5pt" color="#000000 [3213]" miterlimit="8" joinstyle="miter" startarrow="block"/>
                            <v:imagedata o:title=""/>
                            <o:lock v:ext="edit" aspectratio="f"/>
                          </v:shape>
                          <v:shape id="_x0000_s1026" o:spid="_x0000_s1026" o:spt="32" type="#_x0000_t32" style="position:absolute;left:3245;top:7559;flip:x;height:4;width:1006;" filled="f" stroked="t" coordsize="21600,21600" o:gfxdata="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X51O/&#10;AAAA2wAAAA8AAAAAAAAAAQAgAAAAIgAAAGRycy9kb3ducmV2LnhtbFBLAQIUABQAAAAIAIdO4kAz&#10;LwWeOwAAADkAAAAQAAAAAAAAAAEAIAAAAA4BAABkcnMvc2hhcGV4bWwueG1sUEsFBgAAAAAGAAYA&#10;WwEAALgDAAAAAA==&#10;">
                            <v:fill on="f" focussize="0,0"/>
                            <v:stroke weight="0.5pt" color="#000000 [3213]" miterlimit="8" joinstyle="miter" startarrow="block"/>
                            <v:imagedata o:title=""/>
                            <o:lock v:ext="edit" aspectratio="f"/>
                          </v:shape>
                          <v:shape id="_x0000_s1026" o:spid="_x0000_s1026" o:spt="38" type="#_x0000_t38" style="position:absolute;left:5200;top:11905;height:558;width:187;rotation:-5898240f;" filled="f" stroked="t" coordsize="21600,21600" o:gfxdata="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o4aK/&#10;AAAA2wAAAA8AAAAAAAAAAQAgAAAAIgAAAGRycy9kb3ducmV2LnhtbFBLAQIUABQAAAAIAIdO4kAz&#10;LwWeOwAAADkAAAAQAAAAAAAAAAEAIAAAAA4BAABkcnMvc2hhcGV4bWwueG1sUEsFBgAAAAAGAAYA&#10;WwEAALgDAAAAAA==&#10;" adj="10800">
                            <v:fill on="f" focussize="0,0"/>
                            <v:stroke weight="0.5pt" color="#000000 [3213]" miterlimit="8" joinstyle="miter" dashstyle="dash" endarrow="block"/>
                            <v:imagedata o:title=""/>
                            <o:lock v:ext="edit" aspectratio="f"/>
                          </v:shape>
                          <v:rect id="矩形 60" o:spid="_x0000_s1026" o:spt="1" style="position:absolute;left:5229;top:6691;height:337;width:1151;v-text-anchor:middle;" filled="f" stroked="f" coordsize="21600,21600" o:gfxdata="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wY2n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36F11A8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损耗78.75</w:t>
                                  </w:r>
                                </w:p>
                              </w:txbxContent>
                            </v:textbox>
                          </v:rect>
                          <v:rect id="_x0000_s1026" o:spid="_x0000_s1026" o:spt="1" style="position:absolute;left:5211;top:5220;height:337;width:1151;v-text-anchor:middle;" filled="f" stroked="f" coordsize="21600,21600" o:gfxdata="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78qG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2E4DA19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损耗60</w:t>
                                  </w:r>
                                </w:p>
                              </w:txbxContent>
                            </v:textbox>
                          </v:rect>
                          <v:shape id="_x0000_s1026" o:spid="_x0000_s1026" o:spt="38" type="#_x0000_t38" style="position:absolute;left:5408;top:5516;height:420;width:338;rotation:-5898240f;" filled="f" stroked="t" coordsize="21600,21600" o:gfxdata="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l66e/&#10;AAAA2wAAAA8AAAAAAAAAAQAgAAAAIgAAAGRycy9kb3ducmV2LnhtbFBLAQIUABQAAAAIAIdO4kAz&#10;LwWeOwAAADkAAAAQAAAAAAAAAAEAIAAAAA4BAABkcnMvc2hhcGV4bWwueG1sUEsFBgAAAAAGAAYA&#10;WwEAALgDAAAAAA==&#10;" adj="10800">
                            <v:fill on="f" focussize="0,0"/>
                            <v:stroke weight="0.5pt" color="#000000 [3213]" miterlimit="8" joinstyle="miter" dashstyle="dash" endarrow="block"/>
                            <v:imagedata o:title=""/>
                            <o:lock v:ext="edit" aspectratio="f"/>
                          </v:shape>
                          <v:shape id="_x0000_s1026" o:spid="_x0000_s1026" o:spt="38" type="#_x0000_t38" style="position:absolute;left:5368;top:6891;height:561;width:313;rotation:-5898240f;" filled="f" stroked="t" coordsize="21600,21600" o:gfxdata="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lJy74A&#10;AADbAAAADwAAAAAAAAABACAAAAAiAAAAZHJzL2Rvd25yZXYueG1sUEsBAhQAFAAAAAgAh07iQDMv&#10;BZ47AAAAOQAAABAAAAAAAAAAAQAgAAAADQEAAGRycy9zaGFwZXhtbC54bWxQSwUGAAAAAAYABgBb&#10;AQAAtwMAAAAA&#10;" adj="10765">
                            <v:fill on="f" focussize="0,0"/>
                            <v:stroke weight="0.5pt" color="#000000 [3213]" miterlimit="8" joinstyle="miter" dashstyle="dash" endarrow="block"/>
                            <v:imagedata o:title=""/>
                            <o:lock v:ext="edit" aspectratio="f"/>
                          </v:shape>
                          <v:shape id="直接箭头连接符 66" o:spid="_x0000_s1026" o:spt="32" type="#_x0000_t32" style="position:absolute;left:6147;top:3413;height:9;width:619;" filled="f" stroked="t" coordsize="21600,21600" o:gfxdata="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Lq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67" o:spid="_x0000_s1026" o:spt="32" type="#_x0000_t32" style="position:absolute;left:8491;top:3422;height:15;width:838;" filled="f" stroked="t" coordsize="21600,21600" o:gfxdata="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1uM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曲线连接符 69" o:spid="_x0000_s1026" o:spt="38" type="#_x0000_t38" style="position:absolute;left:5226;top:2774;height:474;width:342;rotation:-5898240f;" filled="f" stroked="t" coordsize="21600,21600" o:gfxdata="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2HMr&#10;wAAAANwAAAAPAAAAAAAAAAEAIAAAACIAAABkcnMvZG93bnJldi54bWxQSwECFAAUAAAACACHTuJA&#10;My8FnjsAAAA5AAAAEAAAAAAAAAABACAAAAAPAQAAZHJzL3NoYXBleG1sLnhtbFBLBQYAAAAABgAG&#10;AFsBAAC5AwAAAAA=&#10;" adj="10800">
                            <v:fill on="f" focussize="0,0"/>
                            <v:stroke weight="0.5pt" color="#000000 [3213]" miterlimit="8" joinstyle="miter" dashstyle="dash" endarrow="block"/>
                            <v:imagedata o:title=""/>
                            <o:lock v:ext="edit" aspectratio="f"/>
                          </v:shape>
                          <v:rect id="矩形 1" o:spid="_x0000_s1026" o:spt="1" style="position:absolute;left:4259;top:12277;height:462;width:1510;v-text-anchor:middle;" filled="f" stroked="t" coordsize="21600,21600" o:gfxdata="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k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679F1886">
                                  <w:pPr>
                                    <w:jc w:val="center"/>
                                    <w:rPr>
                                      <w:rFonts w:hint="default" w:eastAsia="宋体"/>
                                      <w:sz w:val="18"/>
                                      <w:szCs w:val="18"/>
                                      <w:lang w:val="en-US" w:eastAsia="zh-CN"/>
                                    </w:rPr>
                                  </w:pPr>
                                  <w:r>
                                    <w:rPr>
                                      <w:rFonts w:hint="eastAsia"/>
                                      <w:sz w:val="18"/>
                                      <w:szCs w:val="18"/>
                                      <w:lang w:val="en-US" w:eastAsia="zh-CN"/>
                                    </w:rPr>
                                    <w:t>绿化用水</w:t>
                                  </w:r>
                                </w:p>
                              </w:txbxContent>
                            </v:textbox>
                          </v:rect>
                          <v:rect id="矩形 2" o:spid="_x0000_s1026" o:spt="1" style="position:absolute;left:4187;top:8888;height:462;width:2328;v-text-anchor:middle;" filled="f" stroked="t" coordsize="21600,21600" o:gfxdata="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R25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4C463FC4">
                                  <w:pPr>
                                    <w:jc w:val="center"/>
                                    <w:rPr>
                                      <w:rFonts w:hint="default" w:eastAsia="宋体"/>
                                      <w:sz w:val="18"/>
                                      <w:szCs w:val="18"/>
                                      <w:lang w:val="en-US" w:eastAsia="zh-CN"/>
                                    </w:rPr>
                                  </w:pPr>
                                  <w:r>
                                    <w:rPr>
                                      <w:rFonts w:hint="eastAsia"/>
                                      <w:sz w:val="18"/>
                                      <w:szCs w:val="18"/>
                                      <w:lang w:val="en-US" w:eastAsia="zh-CN"/>
                                    </w:rPr>
                                    <w:t>洒水抑尘用水</w:t>
                                  </w:r>
                                </w:p>
                              </w:txbxContent>
                            </v:textbox>
                          </v:rect>
                          <v:rect id="矩形 3" o:spid="_x0000_s1026" o:spt="1" style="position:absolute;left:3342;top:8745;height:337;width:700;v-text-anchor:middle;" filled="f" stroked="f" coordsize="21600,21600" o:gfxdata="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BX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E1E09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240</w:t>
                                  </w:r>
                                </w:p>
                              </w:txbxContent>
                            </v:textbox>
                          </v:rect>
                          <v:rect id="矩形 4" o:spid="_x0000_s1026" o:spt="1" style="position:absolute;left:3350;top:9990;height:337;width:700;v-text-anchor:middle;" filled="f" stroked="f" coordsize="21600,21600" o:gfxdata="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t4Gh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08386CD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180</w:t>
                                  </w:r>
                                </w:p>
                              </w:txbxContent>
                            </v:textbox>
                          </v:rect>
                          <v:shape id="直接箭头连接符 7" o:spid="_x0000_s1026" o:spt="32" type="#_x0000_t32" style="position:absolute;left:3259;top:9119;flip:x;height:0;width:928;" filled="f" stroked="t" coordsize="21600,21600" o:gfxdata="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OKevQAA&#10;ANwAAAAPAAAAAAAAAAEAIAAAACIAAABkcnMvZG93bnJldi54bWxQSwECFAAUAAAACACHTuJAMy8F&#10;njsAAAA5AAAAEAAAAAAAAAABACAAAAAMAQAAZHJzL3NoYXBleG1sLnhtbFBLBQYAAAAABgAGAFsB&#10;AAC2AwAAAAA=&#10;">
                            <v:fill on="f" focussize="0,0"/>
                            <v:stroke weight="0.5pt" color="#000000 [3213]" miterlimit="8" joinstyle="miter" startarrow="block"/>
                            <v:imagedata o:title=""/>
                            <o:lock v:ext="edit" aspectratio="f"/>
                          </v:shape>
                          <v:shape id="直接箭头连接符 8" o:spid="_x0000_s1026" o:spt="32" type="#_x0000_t32" style="position:absolute;left:6276;top:4709;height:13;width:1273;" filled="f" stroked="t" coordsize="21600,21600" o:gfxdata="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rDAb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rect id="矩形 9" o:spid="_x0000_s1026" o:spt="1" style="position:absolute;left:8004;top:7265;height:578;width:958;v-text-anchor:middle;" fillcolor="#FFFFFF [3201]" filled="t" stroked="t" coordsize="21600,21600" o:gfxdata="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nVy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14:paraId="207E29E4">
                                  <w:pPr>
                                    <w:jc w:val="center"/>
                                    <w:rPr>
                                      <w:rFonts w:hint="default" w:eastAsia="宋体"/>
                                      <w:lang w:val="en-US" w:eastAsia="zh-CN"/>
                                    </w:rPr>
                                  </w:pPr>
                                  <w:r>
                                    <w:rPr>
                                      <w:rFonts w:hint="eastAsia"/>
                                      <w:lang w:val="en-US" w:eastAsia="zh-CN"/>
                                    </w:rPr>
                                    <w:t>沉淀池</w:t>
                                  </w:r>
                                </w:p>
                              </w:txbxContent>
                            </v:textbox>
                          </v:rect>
                          <v:rect id="矩形 16" o:spid="_x0000_s1026" o:spt="1" style="position:absolute;left:5521;top:8187;height:337;width:1151;v-text-anchor:middle;" filled="f" stroked="f" coordsize="21600,21600" o:gfxdata="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B3L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5C0E37E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损耗240</w:t>
                                  </w:r>
                                </w:p>
                              </w:txbxContent>
                            </v:textbox>
                          </v:rect>
                          <v:shape id="曲线连接符 15" o:spid="_x0000_s1026" o:spt="38" type="#_x0000_t38" style="position:absolute;left:5542;top:8333;height:746;width:364;rotation:-5898240f;" filled="f" stroked="t" coordsize="21600,21600" o:gfxdata="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OY2r4A&#10;AADbAAAADwAAAAAAAAABACAAAAAiAAAAZHJzL2Rvd25yZXYueG1sUEsBAhQAFAAAAAgAh07iQDMv&#10;BZ47AAAAOQAAABAAAAAAAAAAAQAgAAAADQEAAGRycy9zaGFwZXhtbC54bWxQSwUGAAAAAAYABgBb&#10;AQAAtwMAAAAA&#10;" adj="10800">
                            <v:fill on="f" focussize="0,0"/>
                            <v:stroke weight="0.5pt" color="#000000 [3213]" miterlimit="8" joinstyle="miter" dashstyle="dash" endarrow="block"/>
                            <v:imagedata o:title=""/>
                            <o:lock v:ext="edit" aspectratio="f"/>
                          </v:shape>
                          <v:shape id="肘形连接符 18" o:spid="_x0000_s1026" o:spt="35" type="#_x0000_t35" style="position:absolute;left:5255;top:4465;flip:x y;height:3089;width:3707;" filled="f" stroked="t" coordsize="21600,21600" o:gfxdata="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EHS+/&#10;AAAA3AAAAA8AAAAAAAAAAQAgAAAAIgAAAGRycy9kb3ducmV2LnhtbFBLAQIUABQAAAAIAIdO4kAz&#10;LwWeOwAAADkAAAAQAAAAAAAAAAEAIAAAAA4BAABkcnMvc2hhcGV4bWwueG1sUEsFBgAAAAAGAAYA&#10;WwEAALgDAAAAAA==&#10;" adj="-6287,24222">
                            <v:fill on="f" focussize="0,0"/>
                            <v:stroke weight="0.5pt" color="#000000 [3213]" miterlimit="8" joinstyle="miter" endarrow="block"/>
                            <v:imagedata o:title=""/>
                            <o:lock v:ext="edit" aspectratio="f"/>
                          </v:shape>
                          <v:rect id="矩形 19" o:spid="_x0000_s1026" o:spt="1" style="position:absolute;left:9049;top:7187;height:337;width:808;v-text-anchor:middle;" filled="f" stroked="f" coordsize="21600,21600" o:gfxdata="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7ji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39D2AC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446.25</w:t>
                                  </w:r>
                                </w:p>
                              </w:txbxContent>
                            </v:textbox>
                          </v:rect>
                          <v:shape id="直接箭头连接符 25" o:spid="_x0000_s1026" o:spt="32" type="#_x0000_t32" style="position:absolute;left:3254;top:10414;flip:x;height:5;width:970;" filled="f" stroked="t" coordsize="21600,21600" o:gfxdata="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t33G/&#10;AAAA3AAAAA8AAAAAAAAAAQAgAAAAIgAAAGRycy9kb3ducmV2LnhtbFBLAQIUABQAAAAIAIdO4kAz&#10;LwWeOwAAADkAAAAQAAAAAAAAAAEAIAAAAA4BAABkcnMvc2hhcGV4bWwueG1sUEsFBgAAAAAGAAYA&#10;WwEAALgDAAAAAA==&#10;">
                            <v:fill on="f" focussize="0,0"/>
                            <v:stroke weight="0.5pt" color="#000000 [3213]" miterlimit="8" joinstyle="miter" startarrow="block"/>
                            <v:imagedata o:title=""/>
                            <o:lock v:ext="edit" aspectratio="f"/>
                          </v:shape>
                          <v:rect id="矩形 23" o:spid="_x0000_s1026" o:spt="1" style="position:absolute;left:5584;top:9508;height:337;width:1151;v-text-anchor:middle;" filled="f" stroked="f" coordsize="21600,21600" o:gfxdata="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8YMO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0180B4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损耗27</w:t>
                                  </w:r>
                                </w:p>
                              </w:txbxContent>
                            </v:textbox>
                          </v:rect>
                          <v:shape id="曲线连接符 22" o:spid="_x0000_s1026" o:spt="38" type="#_x0000_t38" style="position:absolute;left:5605;top:9628;height:772;width:338;rotation:-5898240f;" filled="f" stroked="t" coordsize="21600,21600" o:gfxdata="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O/zvQAA&#10;ANwAAAAPAAAAAAAAAAEAIAAAACIAAABkcnMvZG93bnJldi54bWxQSwECFAAUAAAACACHTuJAMy8F&#10;njsAAAA5AAAAEAAAAAAAAAABACAAAAAMAQAAZHJzL3NoYXBleG1sLnhtbFBLBQYAAAAABgAGAFsB&#10;AAC2AwAAAAA=&#10;" adj="10800">
                            <v:fill on="f" focussize="0,0"/>
                            <v:stroke weight="0.5pt" color="#000000 [3213]" miterlimit="8" joinstyle="miter" dashstyle="dash" endarrow="block"/>
                            <v:imagedata o:title=""/>
                            <o:lock v:ext="edit" aspectratio="f"/>
                          </v:shape>
                          <v:rect id="矩形 27" o:spid="_x0000_s1026" o:spt="1" style="position:absolute;left:3426;top:12122;height:337;width:700;v-text-anchor:middle;" filled="f" stroked="f" coordsize="21600,21600" o:gfxdata="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tkYG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2DE825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36</w:t>
                                  </w:r>
                                </w:p>
                              </w:txbxContent>
                            </v:textbox>
                          </v:rect>
                          <v:rect id="矩形 29" o:spid="_x0000_s1026" o:spt="1" style="position:absolute;left:7858;top:9999;height:337;width:904;v-text-anchor:middle;" filled="f" stroked="f" coordsize="21600,21600" o:gfxdata="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IrLn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632C734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153</w:t>
                                  </w:r>
                                </w:p>
                              </w:txbxContent>
                            </v:textbox>
                          </v:rect>
                          <v:rect id="矩形 24" o:spid="_x0000_s1026" o:spt="1" style="position:absolute;left:4224;top:10183;height:462;width:2328;v-text-anchor:middle;" filled="f" stroked="t" coordsize="21600,21600" o:gfxdata="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UF2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14:paraId="5A7C52C5">
                                  <w:pPr>
                                    <w:jc w:val="center"/>
                                    <w:rPr>
                                      <w:rFonts w:hint="default" w:eastAsia="宋体"/>
                                      <w:sz w:val="18"/>
                                      <w:szCs w:val="18"/>
                                      <w:lang w:val="en-US" w:eastAsia="zh-CN"/>
                                    </w:rPr>
                                  </w:pPr>
                                  <w:r>
                                    <w:rPr>
                                      <w:rFonts w:hint="eastAsia"/>
                                      <w:sz w:val="18"/>
                                      <w:szCs w:val="18"/>
                                      <w:lang w:val="en-US" w:eastAsia="zh-CN"/>
                                    </w:rPr>
                                    <w:t>堆场防尘用水</w:t>
                                  </w:r>
                                </w:p>
                              </w:txbxContent>
                            </v:textbox>
                          </v:rect>
                          <v:shape id="肘形连接符 28" o:spid="_x0000_s1026" o:spt="34" type="#_x0000_t34" style="position:absolute;left:6552;top:7560;flip:y;height:2854;width:3490;" filled="f" stroked="t" coordsize="21600,21600" o:gfxdata="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eJb+/&#10;AAAA3AAAAA8AAAAAAAAAAQAgAAAAIgAAAGRycy9kb3ducmV2LnhtbFBLAQIUABQAAAAIAIdO4kAz&#10;LwWeOwAAADkAAAAQAAAAAAAAAAEAIAAAAA4BAABkcnMvc2hhcGV4bWwueG1sUEsFBgAAAAAGAAYA&#10;WwEAALgDAAAAAA==&#10;" adj="21643">
                            <v:fill on="f" focussize="0,0"/>
                            <v:stroke weight="0.5pt" color="#000000 [3213]" miterlimit="8" joinstyle="miter" endarrow="block"/>
                            <v:imagedata o:title=""/>
                            <o:lock v:ext="edit" aspectratio="f"/>
                          </v:shape>
                          <v:rect id="矩形 30" o:spid="_x0000_s1026" o:spt="1" style="position:absolute;left:7066;top:3724;height:337;width:931;v-text-anchor:middle;" filled="f" stroked="f" coordsize="21600,21600" o:gfxdata="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qK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32C73D3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559.25</w:t>
                                  </w:r>
                                </w:p>
                              </w:txbxContent>
                            </v:textbox>
                          </v:rect>
                        </v:group>
                      </v:group>
                      <v:rect id="矩形 4" o:spid="_x0000_s1026" o:spt="1" style="position:absolute;left:3105;top:746787;height:337;width:700;v-text-anchor:middle;" filled="f" stroked="f" coordsize="21600,21600" o:gfxdata="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54Wr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14:paraId="3C52C5E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150</w:t>
                              </w:r>
                            </w:p>
                          </w:txbxContent>
                        </v:textbox>
                      </v:rect>
                      <v:shape id="直接箭头连接符 25" o:spid="_x0000_s1026" o:spt="32" type="#_x0000_t32" style="position:absolute;left:2983;top:747171;flip:x;height:5;width:970;" filled="f" stroked="t" coordsize="21600,21600" o:gfxdata="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9vv68AAAA&#10;3AAAAA8AAAAAAAAAAQAgAAAAIgAAAGRycy9kb3ducmV2LnhtbFBLAQIUABQAAAAIAIdO4kAzLwWe&#10;OwAAADkAAAAQAAAAAAAAAAEAIAAAAAsBAABkcnMvc2hhcGV4bWwueG1sUEsFBgAAAAAGAAYAWwEA&#10;ALUDAAAAAA==&#10;">
                        <v:fill on="f" focussize="0,0"/>
                        <v:stroke weight="0.5pt" color="#000000 [3213]" miterlimit="8" joinstyle="miter" startarrow="block"/>
                        <v:imagedata o:title=""/>
                        <o:lock v:ext="edit" aspectratio="f"/>
                      </v:shape>
                      <v:rect id="矩形 23" o:spid="_x0000_s1026" o:spt="1" style="position:absolute;left:5260;top:746384;height:337;width:1151;v-text-anchor:middle;" filled="f" stroked="f" coordsize="21600,21600" o:gfxdata="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h4oG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722B254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损耗150</w:t>
                              </w:r>
                            </w:p>
                          </w:txbxContent>
                        </v:textbox>
                      </v:rect>
                      <v:shape id="曲线连接符 22" o:spid="_x0000_s1026" o:spt="38" type="#_x0000_t38" style="position:absolute;left:5360;top:746465;height:732;width:220;rotation:-5898240f;" filled="f" stroked="t" coordsize="21600,21600" o:gfxdata="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RhHm/&#10;AAAA3AAAAA8AAAAAAAAAAQAgAAAAIgAAAGRycy9kb3ducmV2LnhtbFBLAQIUABQAAAAIAIdO4kAz&#10;LwWeOwAAADkAAAAQAAAAAAAAAAEAIAAAAA4BAABkcnMvc2hhcGV4bWwueG1sUEsFBgAAAAAGAAYA&#10;WwEAALgDAAAAAA==&#10;" adj="10800">
                        <v:fill on="f" focussize="0,0"/>
                        <v:stroke weight="0.5pt" color="#000000 [3213]" miterlimit="8" joinstyle="miter" dashstyle="dash" endarrow="block"/>
                        <v:imagedata o:title=""/>
                        <o:lock v:ext="edit" aspectratio="f"/>
                      </v:shape>
                      <v:rect id="矩形 24" o:spid="_x0000_s1026" o:spt="1" style="position:absolute;left:3940;top:746941;height:462;width:2328;v-text-anchor:middle;" filled="f" stroked="t" coordsize="21600,21600" o:gfxdata="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fH8G/&#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14:paraId="5BC5589B">
                              <w:pPr>
                                <w:jc w:val="center"/>
                                <w:rPr>
                                  <w:rFonts w:hint="default" w:eastAsia="宋体"/>
                                  <w:sz w:val="18"/>
                                  <w:szCs w:val="18"/>
                                  <w:lang w:val="en-US" w:eastAsia="zh-CN"/>
                                </w:rPr>
                              </w:pPr>
                              <w:r>
                                <w:rPr>
                                  <w:rFonts w:hint="eastAsia"/>
                                  <w:sz w:val="18"/>
                                  <w:szCs w:val="18"/>
                                  <w:lang w:val="en-US" w:eastAsia="zh-CN"/>
                                </w:rPr>
                                <w:t>养护用水</w:t>
                              </w:r>
                            </w:p>
                          </w:txbxContent>
                        </v:textbox>
                      </v:rect>
                    </v:group>
                  </w:pict>
                </mc:Fallback>
              </mc:AlternateContent>
            </w:r>
          </w:p>
          <w:p w14:paraId="7286B2DD">
            <w:pPr>
              <w:spacing w:line="360" w:lineRule="auto"/>
              <w:jc w:val="center"/>
              <w:rPr>
                <w:rFonts w:hint="default" w:ascii="Times New Roman" w:hAnsi="Times New Roman" w:cs="Times New Roman"/>
                <w:b/>
                <w:bCs/>
                <w:color w:val="C00000"/>
                <w:sz w:val="21"/>
                <w:szCs w:val="21"/>
                <w:lang w:val="en-US" w:eastAsia="zh-CN"/>
              </w:rPr>
            </w:pPr>
          </w:p>
          <w:p w14:paraId="54492306">
            <w:pPr>
              <w:spacing w:line="360" w:lineRule="auto"/>
              <w:jc w:val="center"/>
              <w:rPr>
                <w:rFonts w:hint="default" w:ascii="Times New Roman" w:hAnsi="Times New Roman" w:cs="Times New Roman"/>
                <w:b/>
                <w:bCs/>
                <w:color w:val="C00000"/>
                <w:sz w:val="21"/>
                <w:szCs w:val="21"/>
                <w:lang w:val="en-US" w:eastAsia="zh-CN"/>
              </w:rPr>
            </w:pPr>
          </w:p>
          <w:p w14:paraId="1809C636">
            <w:pPr>
              <w:spacing w:line="360" w:lineRule="auto"/>
              <w:jc w:val="center"/>
              <w:rPr>
                <w:rFonts w:hint="default" w:ascii="Times New Roman" w:hAnsi="Times New Roman" w:cs="Times New Roman"/>
                <w:b/>
                <w:bCs/>
                <w:color w:val="C00000"/>
                <w:sz w:val="21"/>
                <w:szCs w:val="21"/>
                <w:lang w:val="en-US" w:eastAsia="zh-CN"/>
              </w:rPr>
            </w:pPr>
          </w:p>
          <w:p w14:paraId="3CABA4A6">
            <w:pPr>
              <w:spacing w:line="360" w:lineRule="auto"/>
              <w:jc w:val="center"/>
              <w:rPr>
                <w:rFonts w:hint="default" w:ascii="Times New Roman" w:hAnsi="Times New Roman" w:cs="Times New Roman"/>
                <w:b/>
                <w:bCs/>
                <w:color w:val="C00000"/>
                <w:sz w:val="21"/>
                <w:szCs w:val="21"/>
                <w:lang w:val="en-US" w:eastAsia="zh-CN"/>
              </w:rPr>
            </w:pPr>
          </w:p>
          <w:p w14:paraId="2E68C89F">
            <w:pPr>
              <w:spacing w:line="360" w:lineRule="auto"/>
              <w:jc w:val="center"/>
              <w:rPr>
                <w:rFonts w:hint="default" w:ascii="Times New Roman" w:hAnsi="Times New Roman" w:cs="Times New Roman"/>
                <w:b/>
                <w:bCs/>
                <w:color w:val="C00000"/>
                <w:sz w:val="21"/>
                <w:szCs w:val="21"/>
                <w:lang w:val="en-US" w:eastAsia="zh-CN"/>
              </w:rPr>
            </w:pPr>
          </w:p>
          <w:p w14:paraId="2F1D268C">
            <w:pPr>
              <w:spacing w:line="360" w:lineRule="auto"/>
              <w:jc w:val="center"/>
              <w:rPr>
                <w:rFonts w:hint="default" w:ascii="Times New Roman" w:hAnsi="Times New Roman" w:cs="Times New Roman"/>
                <w:b/>
                <w:bCs/>
                <w:color w:val="C00000"/>
                <w:sz w:val="21"/>
                <w:szCs w:val="21"/>
                <w:lang w:val="en-US" w:eastAsia="zh-CN"/>
              </w:rPr>
            </w:pPr>
          </w:p>
          <w:p w14:paraId="2C87F07D">
            <w:pPr>
              <w:spacing w:line="360" w:lineRule="auto"/>
              <w:jc w:val="center"/>
              <w:rPr>
                <w:rFonts w:hint="default" w:ascii="Times New Roman" w:hAnsi="Times New Roman" w:cs="Times New Roman"/>
                <w:b/>
                <w:bCs/>
                <w:color w:val="C00000"/>
                <w:sz w:val="21"/>
                <w:szCs w:val="21"/>
                <w:lang w:val="en-US" w:eastAsia="zh-CN"/>
              </w:rPr>
            </w:pPr>
          </w:p>
          <w:p w14:paraId="460191C7">
            <w:pPr>
              <w:spacing w:line="360" w:lineRule="auto"/>
              <w:jc w:val="center"/>
              <w:rPr>
                <w:rFonts w:hint="default" w:ascii="Times New Roman" w:hAnsi="Times New Roman" w:cs="Times New Roman"/>
                <w:b/>
                <w:bCs/>
                <w:color w:val="C00000"/>
                <w:sz w:val="21"/>
                <w:szCs w:val="21"/>
                <w:lang w:val="en-US" w:eastAsia="zh-CN"/>
              </w:rPr>
            </w:pPr>
          </w:p>
          <w:p w14:paraId="18729E79">
            <w:pPr>
              <w:spacing w:line="360" w:lineRule="auto"/>
              <w:jc w:val="center"/>
              <w:rPr>
                <w:rFonts w:hint="default" w:ascii="Times New Roman" w:hAnsi="Times New Roman" w:cs="Times New Roman"/>
                <w:b/>
                <w:bCs/>
                <w:color w:val="C00000"/>
                <w:sz w:val="21"/>
                <w:szCs w:val="21"/>
                <w:lang w:val="en-US" w:eastAsia="zh-CN"/>
              </w:rPr>
            </w:pPr>
          </w:p>
          <w:p w14:paraId="115715B9">
            <w:pPr>
              <w:spacing w:line="360" w:lineRule="auto"/>
              <w:jc w:val="center"/>
              <w:rPr>
                <w:rFonts w:hint="default" w:ascii="Times New Roman" w:hAnsi="Times New Roman" w:cs="Times New Roman"/>
                <w:b/>
                <w:bCs/>
                <w:color w:val="C00000"/>
                <w:sz w:val="21"/>
                <w:szCs w:val="21"/>
                <w:lang w:val="en-US" w:eastAsia="zh-CN"/>
              </w:rPr>
            </w:pPr>
          </w:p>
          <w:p w14:paraId="1F5E4F03">
            <w:pPr>
              <w:spacing w:line="360" w:lineRule="auto"/>
              <w:jc w:val="center"/>
              <w:rPr>
                <w:rFonts w:hint="default" w:ascii="Times New Roman" w:hAnsi="Times New Roman" w:cs="Times New Roman"/>
                <w:b/>
                <w:bCs/>
                <w:color w:val="C00000"/>
                <w:sz w:val="21"/>
                <w:szCs w:val="21"/>
                <w:lang w:val="en-US" w:eastAsia="zh-CN"/>
              </w:rPr>
            </w:pPr>
          </w:p>
          <w:p w14:paraId="65794C8A">
            <w:pPr>
              <w:spacing w:line="360" w:lineRule="auto"/>
              <w:jc w:val="center"/>
              <w:rPr>
                <w:rFonts w:hint="default" w:ascii="Times New Roman" w:hAnsi="Times New Roman" w:cs="Times New Roman"/>
                <w:b/>
                <w:bCs/>
                <w:color w:val="C00000"/>
                <w:sz w:val="21"/>
                <w:szCs w:val="21"/>
                <w:lang w:val="en-US" w:eastAsia="zh-CN"/>
              </w:rPr>
            </w:pPr>
          </w:p>
          <w:p w14:paraId="7728A869">
            <w:pPr>
              <w:spacing w:line="360" w:lineRule="auto"/>
              <w:jc w:val="center"/>
              <w:rPr>
                <w:rFonts w:hint="default" w:ascii="Times New Roman" w:hAnsi="Times New Roman" w:cs="Times New Roman"/>
                <w:b/>
                <w:bCs/>
                <w:color w:val="C00000"/>
                <w:sz w:val="21"/>
                <w:szCs w:val="21"/>
                <w:lang w:val="en-US" w:eastAsia="zh-CN"/>
              </w:rPr>
            </w:pPr>
          </w:p>
          <w:p w14:paraId="739B5F5C">
            <w:pPr>
              <w:spacing w:line="360" w:lineRule="auto"/>
              <w:jc w:val="center"/>
              <w:rPr>
                <w:rFonts w:hint="default" w:ascii="Times New Roman" w:hAnsi="Times New Roman" w:cs="Times New Roman"/>
                <w:b/>
                <w:bCs/>
                <w:color w:val="C00000"/>
                <w:sz w:val="21"/>
                <w:szCs w:val="21"/>
                <w:lang w:val="en-US" w:eastAsia="zh-CN"/>
              </w:rPr>
            </w:pPr>
          </w:p>
          <w:p w14:paraId="76F3C21C">
            <w:pPr>
              <w:spacing w:line="360" w:lineRule="auto"/>
              <w:jc w:val="center"/>
              <w:rPr>
                <w:rFonts w:hint="default" w:ascii="Times New Roman" w:hAnsi="Times New Roman" w:cs="Times New Roman"/>
                <w:b/>
                <w:bCs/>
                <w:color w:val="C00000"/>
                <w:sz w:val="21"/>
                <w:szCs w:val="21"/>
                <w:lang w:val="en-US" w:eastAsia="zh-CN"/>
              </w:rPr>
            </w:pPr>
          </w:p>
          <w:p w14:paraId="7801E158">
            <w:pPr>
              <w:spacing w:line="360" w:lineRule="auto"/>
              <w:jc w:val="center"/>
              <w:rPr>
                <w:rFonts w:hint="default" w:ascii="Times New Roman" w:hAnsi="Times New Roman" w:cs="Times New Roman"/>
                <w:b/>
                <w:bCs/>
                <w:color w:val="C00000"/>
                <w:sz w:val="21"/>
                <w:szCs w:val="21"/>
                <w:lang w:val="en-US" w:eastAsia="zh-CN"/>
              </w:rPr>
            </w:pPr>
          </w:p>
          <w:p w14:paraId="260C7053">
            <w:pPr>
              <w:spacing w:line="360" w:lineRule="auto"/>
              <w:jc w:val="center"/>
              <w:rPr>
                <w:rFonts w:hint="default" w:ascii="Times New Roman" w:hAnsi="Times New Roman" w:cs="Times New Roman"/>
                <w:b/>
                <w:bCs/>
                <w:color w:val="C00000"/>
                <w:sz w:val="21"/>
                <w:szCs w:val="21"/>
                <w:lang w:val="en-US" w:eastAsia="zh-CN"/>
              </w:rPr>
            </w:pPr>
          </w:p>
          <w:p w14:paraId="4211B3A7">
            <w:pPr>
              <w:spacing w:line="360" w:lineRule="auto"/>
              <w:jc w:val="center"/>
              <w:rPr>
                <w:rFonts w:hint="default" w:ascii="Times New Roman" w:hAnsi="Times New Roman" w:cs="Times New Roman"/>
                <w:b/>
                <w:bCs/>
                <w:color w:val="C00000"/>
                <w:sz w:val="21"/>
                <w:szCs w:val="21"/>
                <w:lang w:val="en-US" w:eastAsia="zh-CN"/>
              </w:rPr>
            </w:pPr>
          </w:p>
          <w:p w14:paraId="044A3052">
            <w:pPr>
              <w:spacing w:line="360" w:lineRule="auto"/>
              <w:jc w:val="center"/>
              <w:rPr>
                <w:rFonts w:hint="default" w:ascii="Times New Roman" w:hAnsi="Times New Roman" w:cs="Times New Roman"/>
                <w:b/>
                <w:bCs/>
                <w:color w:val="C00000"/>
                <w:sz w:val="21"/>
                <w:szCs w:val="21"/>
                <w:lang w:val="en-US" w:eastAsia="zh-CN"/>
              </w:rPr>
            </w:pPr>
          </w:p>
          <w:p w14:paraId="1C20BDE6">
            <w:pPr>
              <w:spacing w:line="360" w:lineRule="auto"/>
              <w:jc w:val="center"/>
              <w:rPr>
                <w:rFonts w:hint="default" w:ascii="Times New Roman" w:hAnsi="Times New Roman" w:cs="Times New Roman"/>
                <w:b/>
                <w:bCs/>
                <w:color w:val="C00000"/>
                <w:sz w:val="21"/>
                <w:szCs w:val="21"/>
                <w:lang w:val="en-US" w:eastAsia="zh-CN"/>
              </w:rPr>
            </w:pPr>
          </w:p>
          <w:p w14:paraId="432FA942">
            <w:pPr>
              <w:spacing w:line="360" w:lineRule="auto"/>
              <w:jc w:val="center"/>
              <w:rPr>
                <w:rFonts w:hint="default" w:ascii="Times New Roman" w:hAnsi="Times New Roman" w:cs="Times New Roman"/>
                <w:b/>
                <w:bCs/>
                <w:color w:val="C00000"/>
                <w:sz w:val="21"/>
                <w:szCs w:val="21"/>
                <w:lang w:val="en-US" w:eastAsia="zh-CN"/>
              </w:rPr>
            </w:pPr>
          </w:p>
          <w:p w14:paraId="697814C9">
            <w:pPr>
              <w:spacing w:line="360" w:lineRule="auto"/>
              <w:jc w:val="center"/>
              <w:rPr>
                <w:rFonts w:hint="default" w:ascii="Times New Roman" w:hAnsi="Times New Roman" w:cs="Times New Roman"/>
                <w:b/>
                <w:bCs/>
                <w:color w:val="C00000"/>
                <w:sz w:val="21"/>
                <w:szCs w:val="21"/>
                <w:lang w:val="en-US" w:eastAsia="zh-CN"/>
              </w:rPr>
            </w:pPr>
          </w:p>
          <w:p w14:paraId="25201B4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1"/>
                <w:szCs w:val="21"/>
                <w:lang w:val="en-US" w:eastAsia="zh-CN"/>
              </w:rPr>
              <w:t>图5-</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项目水平衡图（单位m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vertAlign w:val="baseline"/>
                <w:lang w:val="en-US" w:eastAsia="zh-CN"/>
              </w:rPr>
              <w:t>/</w:t>
            </w:r>
            <w:r>
              <w:rPr>
                <w:rFonts w:hint="eastAsia" w:cs="Times New Roman"/>
                <w:b/>
                <w:bCs/>
                <w:color w:val="auto"/>
                <w:sz w:val="21"/>
                <w:szCs w:val="21"/>
                <w:vertAlign w:val="baseline"/>
                <w:lang w:val="en-US" w:eastAsia="zh-CN"/>
              </w:rPr>
              <w:t>a</w:t>
            </w:r>
            <w:r>
              <w:rPr>
                <w:rFonts w:hint="default" w:ascii="Times New Roman" w:hAnsi="Times New Roman" w:cs="Times New Roman"/>
                <w:b/>
                <w:bCs/>
                <w:color w:val="auto"/>
                <w:sz w:val="21"/>
                <w:szCs w:val="21"/>
                <w:lang w:val="en-US" w:eastAsia="zh-CN"/>
              </w:rPr>
              <w:t>）</w:t>
            </w:r>
          </w:p>
          <w:p w14:paraId="623E1AA6">
            <w:pPr>
              <w:spacing w:line="360" w:lineRule="auto"/>
              <w:rPr>
                <w:rFonts w:hint="default" w:ascii="Times New Roman" w:hAnsi="Times New Roman" w:eastAsia="宋体" w:cs="Times New Roman"/>
                <w:color w:val="C00000"/>
                <w:sz w:val="24"/>
              </w:rPr>
            </w:pPr>
            <w:r>
              <w:rPr>
                <w:rFonts w:hint="default" w:ascii="Times New Roman" w:hAnsi="Times New Roman" w:eastAsia="宋体" w:cs="Times New Roman"/>
                <w:b/>
                <w:bCs/>
                <w:color w:val="auto"/>
                <w:sz w:val="24"/>
              </w:rPr>
              <w:t>（四）营运期污染物的</w:t>
            </w:r>
            <w:r>
              <w:rPr>
                <w:rFonts w:hint="eastAsia" w:cs="Times New Roman"/>
                <w:b/>
                <w:bCs/>
                <w:color w:val="auto"/>
                <w:sz w:val="24"/>
                <w:lang w:val="en-US" w:eastAsia="zh-CN"/>
              </w:rPr>
              <w:t>排放及治理</w:t>
            </w:r>
            <w:r>
              <w:rPr>
                <w:rFonts w:hint="default" w:ascii="Times New Roman" w:hAnsi="Times New Roman" w:eastAsia="宋体" w:cs="Times New Roman"/>
                <w:b/>
                <w:bCs/>
                <w:color w:val="auto"/>
                <w:sz w:val="24"/>
              </w:rPr>
              <w:t>措施</w:t>
            </w:r>
          </w:p>
          <w:p w14:paraId="7EA041BD">
            <w:pPr>
              <w:spacing w:line="360" w:lineRule="auto"/>
              <w:ind w:firstLine="48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1、大气污染物</w:t>
            </w:r>
          </w:p>
          <w:p w14:paraId="328F9DF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本项目废气主要来自于</w:t>
            </w:r>
            <w:r>
              <w:rPr>
                <w:rFonts w:hint="eastAsia" w:ascii="Times New Roman" w:hAnsi="Times New Roman" w:eastAsia="宋体" w:cs="Times New Roman"/>
                <w:color w:val="auto"/>
                <w:sz w:val="24"/>
                <w:lang w:eastAsia="zh-CN"/>
              </w:rPr>
              <w:t>砂石原料</w:t>
            </w:r>
            <w:r>
              <w:rPr>
                <w:rFonts w:hint="default" w:ascii="Times New Roman" w:hAnsi="Times New Roman" w:eastAsia="宋体" w:cs="Times New Roman"/>
                <w:color w:val="auto"/>
                <w:sz w:val="24"/>
                <w:lang w:eastAsia="zh-CN"/>
              </w:rPr>
              <w:t>堆存过程中产生的粉尘</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水泥筒仓产生的粉尘</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物料输送</w:t>
            </w:r>
            <w:r>
              <w:rPr>
                <w:rFonts w:hint="default" w:ascii="Times New Roman" w:hAnsi="Times New Roman" w:eastAsia="宋体" w:cs="Times New Roman"/>
                <w:color w:val="auto"/>
                <w:sz w:val="24"/>
                <w:lang w:eastAsia="zh-CN"/>
              </w:rPr>
              <w:t>环节转运产生的粉尘</w:t>
            </w:r>
            <w:r>
              <w:rPr>
                <w:rFonts w:hint="eastAsia" w:ascii="Times New Roman" w:hAnsi="Times New Roman" w:eastAsia="宋体" w:cs="Times New Roman"/>
                <w:color w:val="auto"/>
                <w:sz w:val="24"/>
                <w:lang w:eastAsia="zh-CN"/>
              </w:rPr>
              <w:t>、搅拌过程中产生的粉尘、</w:t>
            </w:r>
            <w:r>
              <w:rPr>
                <w:rFonts w:hint="eastAsia" w:ascii="Times New Roman" w:hAnsi="Times New Roman" w:eastAsia="宋体" w:cs="Times New Roman"/>
                <w:color w:val="auto"/>
                <w:sz w:val="24"/>
                <w:lang w:val="en-US" w:eastAsia="zh-CN"/>
              </w:rPr>
              <w:t>焊接烟尘</w:t>
            </w:r>
            <w:r>
              <w:rPr>
                <w:rFonts w:hint="default" w:ascii="Times New Roman" w:hAnsi="Times New Roman" w:eastAsia="宋体" w:cs="Times New Roman"/>
                <w:color w:val="auto"/>
                <w:sz w:val="24"/>
              </w:rPr>
              <w:t>、</w:t>
            </w:r>
            <w:r>
              <w:rPr>
                <w:rFonts w:hint="eastAsia" w:cs="Times New Roman"/>
                <w:color w:val="auto"/>
                <w:sz w:val="24"/>
                <w:lang w:val="en-US" w:eastAsia="zh-CN"/>
              </w:rPr>
              <w:t>钢筋切割粉尘、</w:t>
            </w:r>
            <w:r>
              <w:rPr>
                <w:rFonts w:hint="default" w:ascii="Times New Roman" w:hAnsi="Times New Roman" w:eastAsia="宋体" w:cs="Times New Roman"/>
                <w:color w:val="auto"/>
                <w:sz w:val="24"/>
              </w:rPr>
              <w:t>道路运输扬尘和汽车尾气。</w:t>
            </w:r>
          </w:p>
          <w:p w14:paraId="214F4424">
            <w:pPr>
              <w:spacing w:line="360" w:lineRule="auto"/>
              <w:ind w:left="48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w:t>
            </w:r>
            <w:r>
              <w:rPr>
                <w:rFonts w:hint="eastAsia" w:cs="Times New Roman"/>
                <w:b/>
                <w:bCs/>
                <w:color w:val="auto"/>
                <w:sz w:val="24"/>
                <w:lang w:val="en-US" w:eastAsia="zh-CN"/>
              </w:rPr>
              <w:t>原料堆存粉尘</w:t>
            </w:r>
          </w:p>
          <w:p w14:paraId="1C82FDEE">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①产生情况</w:t>
            </w:r>
          </w:p>
          <w:p w14:paraId="7F59D6C7">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本项目</w:t>
            </w:r>
            <w:r>
              <w:rPr>
                <w:rFonts w:hint="eastAsia" w:cs="Times New Roman"/>
                <w:color w:val="auto"/>
                <w:sz w:val="24"/>
                <w:lang w:val="en-US" w:eastAsia="zh-CN"/>
              </w:rPr>
              <w:t>砂石原料</w:t>
            </w:r>
            <w:r>
              <w:rPr>
                <w:rFonts w:hint="default" w:cs="Times New Roman"/>
                <w:color w:val="auto"/>
                <w:sz w:val="24"/>
                <w:lang w:val="en-US" w:eastAsia="zh-CN"/>
              </w:rPr>
              <w:t>库房扬尘主要为碎石和砂库房扬尘，产生于原料卸料、堆存及中转等过程，扬尘产生情况如下：</w:t>
            </w:r>
          </w:p>
          <w:p w14:paraId="73225459">
            <w:pPr>
              <w:spacing w:line="360" w:lineRule="auto"/>
              <w:ind w:firstLine="480" w:firstLineChars="200"/>
              <w:rPr>
                <w:rFonts w:hint="default" w:cs="Times New Roman"/>
                <w:color w:val="auto"/>
                <w:sz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2829560</wp:posOffset>
                      </wp:positionH>
                      <wp:positionV relativeFrom="paragraph">
                        <wp:posOffset>514350</wp:posOffset>
                      </wp:positionV>
                      <wp:extent cx="457835" cy="483235"/>
                      <wp:effectExtent l="0" t="0" r="18415" b="12065"/>
                      <wp:wrapNone/>
                      <wp:docPr id="275" name="矩形 275"/>
                      <wp:cNvGraphicFramePr/>
                      <a:graphic xmlns:a="http://schemas.openxmlformats.org/drawingml/2006/main">
                        <a:graphicData uri="http://schemas.microsoft.com/office/word/2010/wordprocessingShape">
                          <wps:wsp>
                            <wps:cNvSpPr/>
                            <wps:spPr>
                              <a:xfrm>
                                <a:off x="3905250" y="3721100"/>
                                <a:ext cx="457835" cy="4832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121FEC4">
                                  <w:pPr>
                                    <w:keepNext w:val="0"/>
                                    <w:keepLines w:val="0"/>
                                    <w:pageBreakBefore w:val="0"/>
                                    <w:widowControl w:val="0"/>
                                    <w:kinsoku/>
                                    <w:wordWrap/>
                                    <w:overflowPunct/>
                                    <w:topLinePunct w:val="0"/>
                                    <w:bidi w:val="0"/>
                                    <w:snapToGrid/>
                                    <w:spacing w:line="240" w:lineRule="atLeast"/>
                                    <w:jc w:val="center"/>
                                    <w:textAlignment w:val="auto"/>
                                    <w:rPr>
                                      <w:rFonts w:hint="eastAsia"/>
                                      <w:b/>
                                      <w:bCs/>
                                      <w:sz w:val="18"/>
                                      <w:szCs w:val="18"/>
                                      <w:lang w:val="en-US" w:eastAsia="zh-CN"/>
                                    </w:rPr>
                                  </w:pPr>
                                  <w:r>
                                    <w:rPr>
                                      <w:rFonts w:hint="eastAsia"/>
                                      <w:b/>
                                      <w:bCs/>
                                      <w:sz w:val="18"/>
                                      <w:szCs w:val="18"/>
                                      <w:lang w:val="en-US" w:eastAsia="zh-CN"/>
                                    </w:rPr>
                                    <w:t>M</w:t>
                                  </w:r>
                                </w:p>
                                <w:p w14:paraId="35D23087">
                                  <w:pPr>
                                    <w:pStyle w:val="2"/>
                                    <w:keepNext w:val="0"/>
                                    <w:keepLines w:val="0"/>
                                    <w:pageBreakBefore w:val="0"/>
                                    <w:widowControl w:val="0"/>
                                    <w:kinsoku/>
                                    <w:wordWrap/>
                                    <w:overflowPunct/>
                                    <w:topLinePunct w:val="0"/>
                                    <w:bidi w:val="0"/>
                                    <w:snapToGrid/>
                                    <w:spacing w:line="240" w:lineRule="atLeast"/>
                                    <w:jc w:val="center"/>
                                    <w:textAlignment w:val="auto"/>
                                    <w:rPr>
                                      <w:rFonts w:hint="default"/>
                                      <w:b/>
                                      <w:bCs/>
                                      <w:lang w:val="en-US" w:eastAsia="zh-CN"/>
                                    </w:rPr>
                                  </w:pPr>
                                  <w:r>
                                    <w:rPr>
                                      <w:rFonts w:hint="eastAsia"/>
                                      <w:b/>
                                      <w:bCs/>
                                      <w:sz w:val="18"/>
                                      <w:szCs w:val="18"/>
                                      <w:lang w:val="en-US" w:eastAsia="zh-CN"/>
                                    </w:rPr>
                                    <w:t>13.5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8pt;margin-top:40.5pt;height:38.05pt;width:36.05pt;z-index:251661312;v-text-anchor:middle;mso-width-relative:page;mso-height-relative:page;" fillcolor="#FFFFFF [3201]" filled="t" stroked="f" coordsize="21600,21600" o:gfxdata="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OBFLDZAAAACgEAAA8AAAAAAAAAAQAgAAAA&#10;IgAAAGRycy9kb3ducmV2LnhtbFBLAQIUABQAAAAIAIdO4kDdxcKZfAIAAOUEAAAOAAAAAAAAAAEA&#10;IAAAACgBAABkcnMvZTJvRG9jLnhtbFBLBQYAAAAABgAGAFkBAAAWBgAAAAA=&#10;">
                      <v:fill on="t" focussize="0,0"/>
                      <v:stroke on="f" weight="1pt" miterlimit="8" joinstyle="miter"/>
                      <v:imagedata o:title=""/>
                      <o:lock v:ext="edit" aspectratio="f"/>
                      <v:textbox>
                        <w:txbxContent>
                          <w:p w14:paraId="5121FEC4">
                            <w:pPr>
                              <w:keepNext w:val="0"/>
                              <w:keepLines w:val="0"/>
                              <w:pageBreakBefore w:val="0"/>
                              <w:widowControl w:val="0"/>
                              <w:kinsoku/>
                              <w:wordWrap/>
                              <w:overflowPunct/>
                              <w:topLinePunct w:val="0"/>
                              <w:bidi w:val="0"/>
                              <w:snapToGrid/>
                              <w:spacing w:line="240" w:lineRule="atLeast"/>
                              <w:jc w:val="center"/>
                              <w:textAlignment w:val="auto"/>
                              <w:rPr>
                                <w:rFonts w:hint="eastAsia"/>
                                <w:b/>
                                <w:bCs/>
                                <w:sz w:val="18"/>
                                <w:szCs w:val="18"/>
                                <w:lang w:val="en-US" w:eastAsia="zh-CN"/>
                              </w:rPr>
                            </w:pPr>
                            <w:r>
                              <w:rPr>
                                <w:rFonts w:hint="eastAsia"/>
                                <w:b/>
                                <w:bCs/>
                                <w:sz w:val="18"/>
                                <w:szCs w:val="18"/>
                                <w:lang w:val="en-US" w:eastAsia="zh-CN"/>
                              </w:rPr>
                              <w:t>M</w:t>
                            </w:r>
                          </w:p>
                          <w:p w14:paraId="35D23087">
                            <w:pPr>
                              <w:pStyle w:val="2"/>
                              <w:keepNext w:val="0"/>
                              <w:keepLines w:val="0"/>
                              <w:pageBreakBefore w:val="0"/>
                              <w:widowControl w:val="0"/>
                              <w:kinsoku/>
                              <w:wordWrap/>
                              <w:overflowPunct/>
                              <w:topLinePunct w:val="0"/>
                              <w:bidi w:val="0"/>
                              <w:snapToGrid/>
                              <w:spacing w:line="240" w:lineRule="atLeast"/>
                              <w:jc w:val="center"/>
                              <w:textAlignment w:val="auto"/>
                              <w:rPr>
                                <w:rFonts w:hint="default"/>
                                <w:b/>
                                <w:bCs/>
                                <w:lang w:val="en-US" w:eastAsia="zh-CN"/>
                              </w:rPr>
                            </w:pPr>
                            <w:r>
                              <w:rPr>
                                <w:rFonts w:hint="eastAsia"/>
                                <w:b/>
                                <w:bCs/>
                                <w:sz w:val="18"/>
                                <w:szCs w:val="18"/>
                                <w:lang w:val="en-US" w:eastAsia="zh-CN"/>
                              </w:rPr>
                              <w:t>13.5</w:t>
                            </w:r>
                          </w:p>
                        </w:txbxContent>
                      </v:textbox>
                    </v:rect>
                  </w:pict>
                </mc:Fallback>
              </mc:AlternateContent>
            </w:r>
            <w:r>
              <w:rPr>
                <w:rFonts w:hint="default" w:cs="Times New Roman"/>
                <w:b/>
                <w:bCs/>
                <w:color w:val="auto"/>
                <w:sz w:val="24"/>
                <w:lang w:val="en-US" w:eastAsia="zh-CN"/>
              </w:rPr>
              <w:t>A 卸料：</w:t>
            </w:r>
            <w:r>
              <w:rPr>
                <w:rFonts w:hint="default" w:cs="Times New Roman"/>
                <w:color w:val="auto"/>
                <w:sz w:val="24"/>
                <w:lang w:val="en-US" w:eastAsia="zh-CN"/>
              </w:rPr>
              <w:t>本项目原料卸料扬尘产生量采用</w:t>
            </w:r>
            <w:r>
              <w:rPr>
                <w:rFonts w:hint="eastAsia" w:cs="Times New Roman"/>
                <w:color w:val="auto"/>
                <w:sz w:val="24"/>
                <w:lang w:val="en-US" w:eastAsia="zh-CN"/>
              </w:rPr>
              <w:t>山西环保科研所</w:t>
            </w:r>
            <w:r>
              <w:rPr>
                <w:rFonts w:hint="default" w:cs="Times New Roman"/>
                <w:color w:val="auto"/>
                <w:sz w:val="24"/>
                <w:lang w:val="en-US" w:eastAsia="zh-CN"/>
              </w:rPr>
              <w:t>和武汉水运工程学院提出的经验公式计算：</w:t>
            </w:r>
          </w:p>
          <w:p w14:paraId="49AA82E1">
            <w:pPr>
              <w:spacing w:line="360" w:lineRule="auto"/>
              <w:ind w:firstLine="3600" w:firstLineChars="1500"/>
              <w:jc w:val="both"/>
              <w:rPr>
                <w:rFonts w:hint="default" w:ascii="Times New Roman" w:hAnsi="Times New Roman" w:eastAsia="宋体" w:cs="Times New Roman"/>
                <w:b w:val="0"/>
                <w:bCs w:val="0"/>
                <w:color w:val="auto"/>
                <w:sz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2829560</wp:posOffset>
                      </wp:positionH>
                      <wp:positionV relativeFrom="paragraph">
                        <wp:posOffset>161925</wp:posOffset>
                      </wp:positionV>
                      <wp:extent cx="457835" cy="0"/>
                      <wp:effectExtent l="0" t="0" r="0" b="0"/>
                      <wp:wrapNone/>
                      <wp:docPr id="276" name="直接连接符 276"/>
                      <wp:cNvGraphicFramePr/>
                      <a:graphic xmlns:a="http://schemas.openxmlformats.org/drawingml/2006/main">
                        <a:graphicData uri="http://schemas.microsoft.com/office/word/2010/wordprocessingShape">
                          <wps:wsp>
                            <wps:cNvCnPr>
                              <a:stCxn id="275" idx="1"/>
                              <a:endCxn id="275" idx="3"/>
                            </wps:cNvCnPr>
                            <wps:spPr>
                              <a:xfrm>
                                <a:off x="3870325" y="3864610"/>
                                <a:ext cx="457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2.8pt;margin-top:12.75pt;height:0pt;width:36.05pt;z-index:251662336;mso-width-relative:page;mso-height-relative:page;" filled="f" stroked="t" coordsize="21600,21600" o:gfxdata="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9VfctcAAAAJAQAADwAAAAAAAAABACAAAAAiAAAA&#10;ZHJzL2Rvd25yZXYueG1sUEsBAhQAFAAAAAgAh07iQAyXno0IAgAABAQAAA4AAAAAAAAAAQAgAAAA&#10;JgEAAGRycy9lMm9Eb2MueG1sUEsFBgAAAAAGAAYAWQEAAKAFA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val="0"/>
                <w:bCs w:val="0"/>
                <w:color w:val="auto"/>
                <w:sz w:val="24"/>
              </w:rPr>
              <w:t xml:space="preserve">Q </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rPr>
              <w:t>e</w:t>
            </w:r>
            <w:r>
              <w:rPr>
                <w:rFonts w:hint="eastAsia" w:cs="Times New Roman"/>
                <w:b w:val="0"/>
                <w:bCs w:val="0"/>
                <w:color w:val="auto"/>
                <w:sz w:val="24"/>
                <w:vertAlign w:val="superscript"/>
                <w:lang w:val="en-US" w:eastAsia="zh-CN"/>
              </w:rPr>
              <w:t xml:space="preserve">0.61u        </w:t>
            </w:r>
            <w:r>
              <w:rPr>
                <w:rFonts w:hint="eastAsia" w:cs="Times New Roman"/>
                <w:b w:val="0"/>
                <w:bCs w:val="0"/>
                <w:color w:val="auto"/>
                <w:sz w:val="24"/>
                <w:lang w:val="en-US" w:eastAsia="zh-CN"/>
              </w:rPr>
              <w:t xml:space="preserve">       </w:t>
            </w:r>
            <w:r>
              <w:rPr>
                <w:rFonts w:hint="eastAsia" w:cs="Times New Roman"/>
                <w:b w:val="0"/>
                <w:bCs w:val="0"/>
                <w:color w:val="auto"/>
                <w:sz w:val="24"/>
                <w:lang w:val="en-US" w:eastAsia="zh-CN"/>
              </w:rPr>
              <w:br w:type="column"/>
            </w:r>
          </w:p>
          <w:p w14:paraId="52C9EB80">
            <w:pPr>
              <w:spacing w:line="360" w:lineRule="auto"/>
              <w:ind w:left="48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式中：Q—</w:t>
            </w:r>
            <w:r>
              <w:rPr>
                <w:rFonts w:hint="eastAsia" w:cs="Times New Roman"/>
                <w:b w:val="0"/>
                <w:bCs w:val="0"/>
                <w:color w:val="auto"/>
                <w:sz w:val="24"/>
                <w:lang w:val="en-US" w:eastAsia="zh-CN"/>
              </w:rPr>
              <w:t>自卸汽车卸料</w:t>
            </w:r>
            <w:r>
              <w:rPr>
                <w:rFonts w:hint="default" w:ascii="Times New Roman" w:hAnsi="Times New Roman" w:eastAsia="宋体" w:cs="Times New Roman"/>
                <w:b w:val="0"/>
                <w:bCs w:val="0"/>
                <w:color w:val="auto"/>
                <w:sz w:val="24"/>
              </w:rPr>
              <w:t>起尘量，g/</w:t>
            </w:r>
            <w:r>
              <w:rPr>
                <w:rFonts w:hint="eastAsia" w:cs="Times New Roman"/>
                <w:b w:val="0"/>
                <w:bCs w:val="0"/>
                <w:color w:val="auto"/>
                <w:sz w:val="24"/>
                <w:lang w:val="en-US" w:eastAsia="zh-CN"/>
              </w:rPr>
              <w:t>次</w:t>
            </w:r>
            <w:r>
              <w:rPr>
                <w:rFonts w:hint="default" w:ascii="Times New Roman" w:hAnsi="Times New Roman" w:eastAsia="宋体" w:cs="Times New Roman"/>
                <w:b w:val="0"/>
                <w:bCs w:val="0"/>
                <w:color w:val="auto"/>
                <w:sz w:val="24"/>
              </w:rPr>
              <w:t>；</w:t>
            </w:r>
          </w:p>
          <w:p w14:paraId="07EA7D98">
            <w:pPr>
              <w:spacing w:line="360" w:lineRule="auto"/>
              <w:ind w:left="480" w:firstLine="720" w:firstLineChars="3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u</w:t>
            </w:r>
            <w:r>
              <w:rPr>
                <w:rFonts w:hint="default" w:ascii="Times New Roman" w:hAnsi="Times New Roman" w:eastAsia="宋体" w:cs="Times New Roman"/>
                <w:b w:val="0"/>
                <w:bCs w:val="0"/>
                <w:color w:val="auto"/>
                <w:sz w:val="24"/>
              </w:rPr>
              <w:t>—</w:t>
            </w:r>
            <w:r>
              <w:rPr>
                <w:rFonts w:hint="eastAsia" w:cs="Times New Roman"/>
                <w:b w:val="0"/>
                <w:bCs w:val="0"/>
                <w:color w:val="auto"/>
                <w:sz w:val="24"/>
                <w:lang w:val="en-US" w:eastAsia="zh-CN"/>
              </w:rPr>
              <w:t>平均风速</w:t>
            </w:r>
            <w:r>
              <w:rPr>
                <w:rFonts w:hint="default" w:ascii="Times New Roman" w:hAnsi="Times New Roman" w:eastAsia="宋体" w:cs="Times New Roman"/>
                <w:b w:val="0"/>
                <w:bCs w:val="0"/>
                <w:color w:val="auto"/>
                <w:sz w:val="24"/>
              </w:rPr>
              <w:t>，m</w:t>
            </w:r>
            <w:r>
              <w:rPr>
                <w:rFonts w:hint="eastAsia" w:cs="Times New Roman"/>
                <w:b w:val="0"/>
                <w:bCs w:val="0"/>
                <w:color w:val="auto"/>
                <w:sz w:val="24"/>
                <w:lang w:val="en-US" w:eastAsia="zh-CN"/>
              </w:rPr>
              <w:t>/s</w:t>
            </w:r>
            <w:r>
              <w:rPr>
                <w:rFonts w:hint="default" w:ascii="Times New Roman" w:hAnsi="Times New Roman" w:eastAsia="宋体" w:cs="Times New Roman"/>
                <w:b w:val="0"/>
                <w:bCs w:val="0"/>
                <w:color w:val="auto"/>
                <w:sz w:val="24"/>
              </w:rPr>
              <w:t>；</w:t>
            </w:r>
            <w:r>
              <w:rPr>
                <w:rFonts w:hint="eastAsia" w:cs="Times New Roman"/>
                <w:b w:val="0"/>
                <w:bCs w:val="0"/>
                <w:color w:val="auto"/>
                <w:sz w:val="24"/>
                <w:lang w:val="en-US" w:eastAsia="zh-CN"/>
              </w:rPr>
              <w:t>取值1.7</w:t>
            </w:r>
            <w:r>
              <w:rPr>
                <w:rFonts w:hint="default" w:ascii="Times New Roman" w:hAnsi="Times New Roman" w:eastAsia="宋体" w:cs="Times New Roman"/>
                <w:b w:val="0"/>
                <w:bCs w:val="0"/>
                <w:color w:val="auto"/>
                <w:sz w:val="24"/>
              </w:rPr>
              <w:t xml:space="preserve"> m</w:t>
            </w:r>
            <w:r>
              <w:rPr>
                <w:rFonts w:hint="default" w:ascii="Times New Roman" w:hAnsi="Times New Roman" w:eastAsia="宋体" w:cs="Times New Roman"/>
                <w:b w:val="0"/>
                <w:bCs w:val="0"/>
                <w:color w:val="auto"/>
                <w:sz w:val="24"/>
                <w:lang w:val="en-US" w:eastAsia="zh-CN"/>
              </w:rPr>
              <w:t>/s</w:t>
            </w:r>
          </w:p>
          <w:p w14:paraId="0A2710C1">
            <w:pPr>
              <w:spacing w:line="360" w:lineRule="auto"/>
              <w:ind w:left="480" w:firstLine="720" w:firstLineChars="3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M</w:t>
            </w:r>
            <w:r>
              <w:rPr>
                <w:rFonts w:hint="default" w:ascii="Times New Roman" w:hAnsi="Times New Roman" w:eastAsia="宋体" w:cs="Times New Roman"/>
                <w:b w:val="0"/>
                <w:bCs w:val="0"/>
                <w:color w:val="auto"/>
                <w:sz w:val="24"/>
              </w:rPr>
              <w:t>—</w:t>
            </w:r>
            <w:r>
              <w:rPr>
                <w:rFonts w:hint="eastAsia" w:cs="Times New Roman"/>
                <w:b w:val="0"/>
                <w:bCs w:val="0"/>
                <w:color w:val="auto"/>
                <w:sz w:val="24"/>
                <w:lang w:val="en-US" w:eastAsia="zh-CN"/>
              </w:rPr>
              <w:t>汽车</w:t>
            </w:r>
            <w:r>
              <w:rPr>
                <w:rFonts w:hint="default" w:ascii="Times New Roman" w:hAnsi="Times New Roman" w:eastAsia="宋体" w:cs="Times New Roman"/>
                <w:b w:val="0"/>
                <w:bCs w:val="0"/>
                <w:color w:val="auto"/>
                <w:sz w:val="24"/>
              </w:rPr>
              <w:t>卸料量，t；</w:t>
            </w:r>
          </w:p>
          <w:p w14:paraId="1CC9C7D3">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本项目</w:t>
            </w:r>
            <w:r>
              <w:rPr>
                <w:rFonts w:hint="eastAsia" w:cs="Times New Roman"/>
                <w:color w:val="auto"/>
                <w:sz w:val="24"/>
                <w:lang w:val="en-US" w:eastAsia="zh-CN"/>
              </w:rPr>
              <w:t>原料</w:t>
            </w:r>
            <w:r>
              <w:rPr>
                <w:rFonts w:hint="default" w:cs="Times New Roman"/>
                <w:color w:val="auto"/>
                <w:sz w:val="24"/>
                <w:lang w:val="en-US" w:eastAsia="zh-CN"/>
              </w:rPr>
              <w:t>经汽车卸料至</w:t>
            </w:r>
            <w:r>
              <w:rPr>
                <w:rFonts w:hint="eastAsia" w:cs="Times New Roman"/>
                <w:color w:val="auto"/>
                <w:sz w:val="24"/>
                <w:lang w:val="en-US" w:eastAsia="zh-CN"/>
              </w:rPr>
              <w:t>砂石原料</w:t>
            </w:r>
            <w:r>
              <w:rPr>
                <w:rFonts w:hint="default" w:cs="Times New Roman"/>
                <w:color w:val="auto"/>
                <w:sz w:val="24"/>
                <w:lang w:val="en-US" w:eastAsia="zh-CN"/>
              </w:rPr>
              <w:t>库房，</w:t>
            </w:r>
            <w:r>
              <w:rPr>
                <w:rFonts w:hint="eastAsia" w:cs="Times New Roman"/>
                <w:color w:val="auto"/>
                <w:sz w:val="24"/>
                <w:lang w:val="en-US" w:eastAsia="zh-CN"/>
              </w:rPr>
              <w:t>石子</w:t>
            </w:r>
            <w:r>
              <w:rPr>
                <w:rFonts w:hint="default" w:cs="Times New Roman"/>
                <w:color w:val="auto"/>
                <w:sz w:val="24"/>
                <w:lang w:val="en-US" w:eastAsia="zh-CN"/>
              </w:rPr>
              <w:t xml:space="preserve">年卸料量为 </w:t>
            </w:r>
            <w:r>
              <w:rPr>
                <w:rFonts w:hint="eastAsia" w:cs="Times New Roman"/>
                <w:color w:val="auto"/>
                <w:sz w:val="24"/>
                <w:lang w:val="en-US" w:eastAsia="zh-CN"/>
              </w:rPr>
              <w:t>2850</w:t>
            </w:r>
            <w:r>
              <w:rPr>
                <w:rFonts w:hint="default" w:cs="Times New Roman"/>
                <w:color w:val="auto"/>
                <w:sz w:val="24"/>
                <w:lang w:val="en-US" w:eastAsia="zh-CN"/>
              </w:rPr>
              <w:t xml:space="preserve">t，砂年卸料量为 </w:t>
            </w:r>
            <w:r>
              <w:rPr>
                <w:rFonts w:hint="eastAsia" w:cs="Times New Roman"/>
                <w:color w:val="auto"/>
                <w:sz w:val="24"/>
                <w:lang w:val="en-US" w:eastAsia="zh-CN"/>
              </w:rPr>
              <w:t>1900</w:t>
            </w:r>
            <w:r>
              <w:rPr>
                <w:rFonts w:hint="default" w:cs="Times New Roman"/>
                <w:color w:val="auto"/>
                <w:sz w:val="24"/>
                <w:lang w:val="en-US" w:eastAsia="zh-CN"/>
              </w:rPr>
              <w:t>t，</w:t>
            </w:r>
            <w:r>
              <w:rPr>
                <w:rFonts w:hint="eastAsia" w:cs="Times New Roman"/>
                <w:color w:val="auto"/>
                <w:sz w:val="24"/>
                <w:lang w:val="en-US" w:eastAsia="zh-CN"/>
              </w:rPr>
              <w:t>每次汽车卸料量为10t，则自卸汽车卸料起尘量为2.089g/次。项目每天自卸汽车卸料次数约为1.6次，年运营天数300天，则卸料起尘量为3.3424g/d（0.001t/a）</w:t>
            </w:r>
            <w:r>
              <w:rPr>
                <w:rFonts w:hint="default" w:cs="Times New Roman"/>
                <w:color w:val="auto"/>
                <w:sz w:val="24"/>
                <w:lang w:val="en-US" w:eastAsia="zh-CN"/>
              </w:rPr>
              <w:t>。</w:t>
            </w:r>
          </w:p>
          <w:p w14:paraId="7DCE0FB3">
            <w:pPr>
              <w:spacing w:line="360" w:lineRule="auto"/>
              <w:ind w:firstLine="482" w:firstLineChars="200"/>
              <w:rPr>
                <w:rFonts w:hint="default" w:cs="Times New Roman"/>
                <w:color w:val="auto"/>
                <w:sz w:val="24"/>
                <w:lang w:val="en-US" w:eastAsia="zh-CN"/>
              </w:rPr>
            </w:pPr>
            <w:r>
              <w:rPr>
                <w:rFonts w:hint="default" w:cs="Times New Roman"/>
                <w:b/>
                <w:bCs/>
                <w:color w:val="auto"/>
                <w:sz w:val="24"/>
                <w:lang w:val="en-US" w:eastAsia="zh-CN"/>
              </w:rPr>
              <w:t>B 堆存：</w:t>
            </w:r>
            <w:r>
              <w:rPr>
                <w:rFonts w:hint="default" w:cs="Times New Roman"/>
                <w:color w:val="auto"/>
                <w:sz w:val="24"/>
                <w:lang w:val="en-US" w:eastAsia="zh-CN"/>
              </w:rPr>
              <w:t>本项目产品堆场风蚀扬尘参照西安冶金建筑学院的干堆扬尘计算公式：</w:t>
            </w:r>
          </w:p>
          <w:p w14:paraId="6381E506">
            <w:pPr>
              <w:spacing w:line="360" w:lineRule="auto"/>
              <w:jc w:val="center"/>
              <w:rPr>
                <w:rFonts w:hint="default" w:cs="Times New Roman"/>
                <w:color w:val="auto"/>
                <w:sz w:val="24"/>
                <w:lang w:val="en-US" w:eastAsia="zh-CN"/>
              </w:rPr>
            </w:pPr>
            <w:r>
              <w:rPr>
                <w:rFonts w:hint="default" w:cs="Times New Roman"/>
                <w:color w:val="auto"/>
                <w:sz w:val="24"/>
                <w:lang w:val="en-US" w:eastAsia="zh-CN"/>
              </w:rPr>
              <w:t>Q=4.23×10</w:t>
            </w:r>
            <w:r>
              <w:rPr>
                <w:rFonts w:hint="default" w:cs="Times New Roman"/>
                <w:color w:val="auto"/>
                <w:sz w:val="24"/>
                <w:vertAlign w:val="superscript"/>
                <w:lang w:val="en-US" w:eastAsia="zh-CN"/>
              </w:rPr>
              <w:t>-4</w:t>
            </w:r>
            <w:r>
              <w:rPr>
                <w:rFonts w:hint="default" w:cs="Times New Roman"/>
                <w:color w:val="auto"/>
                <w:sz w:val="24"/>
                <w:lang w:val="en-US" w:eastAsia="zh-CN"/>
              </w:rPr>
              <w:t>×V×4.9×S</w:t>
            </w:r>
          </w:p>
          <w:p w14:paraId="5190E26B">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式中：Q：表示粉尘产生量（单位kg/d）</w:t>
            </w:r>
          </w:p>
          <w:p w14:paraId="74326CFA">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 xml:space="preserve">      S：表示面积（单位m</w:t>
            </w:r>
            <w:r>
              <w:rPr>
                <w:rFonts w:hint="default" w:cs="Times New Roman"/>
                <w:color w:val="auto"/>
                <w:sz w:val="24"/>
                <w:vertAlign w:val="superscript"/>
                <w:lang w:val="en-US" w:eastAsia="zh-CN"/>
              </w:rPr>
              <w:t>2</w:t>
            </w:r>
            <w:r>
              <w:rPr>
                <w:rFonts w:hint="default" w:cs="Times New Roman"/>
                <w:color w:val="auto"/>
                <w:sz w:val="24"/>
                <w:lang w:val="en-US" w:eastAsia="zh-CN"/>
              </w:rPr>
              <w:t>）</w:t>
            </w:r>
          </w:p>
          <w:p w14:paraId="169CB849">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 xml:space="preserve">      V：表示风速（采用封闭式厂房，风速取0.5m/s）</w:t>
            </w:r>
          </w:p>
          <w:p w14:paraId="36E54A96">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原料堆场的面积约为</w:t>
            </w:r>
            <w:r>
              <w:rPr>
                <w:rFonts w:hint="eastAsia" w:cs="Times New Roman"/>
                <w:color w:val="auto"/>
                <w:sz w:val="24"/>
                <w:lang w:val="en-US" w:eastAsia="zh-CN"/>
              </w:rPr>
              <w:t>300</w:t>
            </w:r>
            <w:r>
              <w:rPr>
                <w:rFonts w:hint="default" w:cs="Times New Roman"/>
                <w:color w:val="auto"/>
                <w:sz w:val="24"/>
                <w:lang w:val="en-US" w:eastAsia="zh-CN"/>
              </w:rPr>
              <w:t>m</w:t>
            </w:r>
            <w:r>
              <w:rPr>
                <w:rFonts w:hint="default" w:cs="Times New Roman"/>
                <w:color w:val="auto"/>
                <w:sz w:val="24"/>
                <w:vertAlign w:val="superscript"/>
                <w:lang w:val="en-US" w:eastAsia="zh-CN"/>
              </w:rPr>
              <w:t>2</w:t>
            </w:r>
            <w:r>
              <w:rPr>
                <w:rFonts w:hint="default" w:cs="Times New Roman"/>
                <w:color w:val="auto"/>
                <w:sz w:val="24"/>
                <w:lang w:val="en-US" w:eastAsia="zh-CN"/>
              </w:rPr>
              <w:t>，则原料堆场粉尘产生量为</w:t>
            </w:r>
            <w:r>
              <w:rPr>
                <w:rFonts w:hint="eastAsia" w:cs="Times New Roman"/>
                <w:color w:val="auto"/>
                <w:sz w:val="24"/>
                <w:lang w:val="en-US" w:eastAsia="zh-CN"/>
              </w:rPr>
              <w:t>0.31</w:t>
            </w:r>
            <w:r>
              <w:rPr>
                <w:rFonts w:hint="default" w:cs="Times New Roman"/>
                <w:color w:val="auto"/>
                <w:sz w:val="24"/>
                <w:lang w:val="en-US" w:eastAsia="zh-CN"/>
              </w:rPr>
              <w:t>kg/d（</w:t>
            </w:r>
            <w:r>
              <w:rPr>
                <w:rFonts w:hint="eastAsia" w:cs="Times New Roman"/>
                <w:color w:val="auto"/>
                <w:sz w:val="24"/>
                <w:lang w:val="en-US" w:eastAsia="zh-CN"/>
              </w:rPr>
              <w:t>0.093</w:t>
            </w:r>
            <w:r>
              <w:rPr>
                <w:rFonts w:hint="default" w:cs="Times New Roman"/>
                <w:color w:val="auto"/>
                <w:sz w:val="24"/>
                <w:lang w:val="en-US" w:eastAsia="zh-CN"/>
              </w:rPr>
              <w:t>t</w:t>
            </w:r>
            <w:r>
              <w:rPr>
                <w:rFonts w:hint="eastAsia" w:cs="Times New Roman"/>
                <w:color w:val="auto"/>
                <w:sz w:val="24"/>
                <w:lang w:val="en-US" w:eastAsia="zh-CN"/>
              </w:rPr>
              <w:t>/a</w:t>
            </w:r>
            <w:r>
              <w:rPr>
                <w:rFonts w:hint="default" w:cs="Times New Roman"/>
                <w:color w:val="auto"/>
                <w:sz w:val="24"/>
                <w:lang w:val="en-US" w:eastAsia="zh-CN"/>
              </w:rPr>
              <w:t>）。</w:t>
            </w:r>
          </w:p>
          <w:p w14:paraId="109B27AE">
            <w:pPr>
              <w:spacing w:line="360" w:lineRule="auto"/>
              <w:ind w:firstLine="480" w:firstLineChars="200"/>
              <w:rPr>
                <w:rFonts w:hint="eastAsia" w:cs="Times New Roman"/>
                <w:color w:val="auto"/>
                <w:sz w:val="24"/>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2463165</wp:posOffset>
                      </wp:positionH>
                      <wp:positionV relativeFrom="paragraph">
                        <wp:posOffset>487680</wp:posOffset>
                      </wp:positionV>
                      <wp:extent cx="457835" cy="483235"/>
                      <wp:effectExtent l="0" t="0" r="0" b="0"/>
                      <wp:wrapNone/>
                      <wp:docPr id="277" name="矩形 277"/>
                      <wp:cNvGraphicFramePr/>
                      <a:graphic xmlns:a="http://schemas.openxmlformats.org/drawingml/2006/main">
                        <a:graphicData uri="http://schemas.microsoft.com/office/word/2010/wordprocessingShape">
                          <wps:wsp>
                            <wps:cNvSpPr/>
                            <wps:spPr>
                              <a:xfrm>
                                <a:off x="0" y="0"/>
                                <a:ext cx="457835" cy="4832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20A274">
                                  <w:pPr>
                                    <w:keepNext w:val="0"/>
                                    <w:keepLines w:val="0"/>
                                    <w:pageBreakBefore w:val="0"/>
                                    <w:widowControl w:val="0"/>
                                    <w:kinsoku/>
                                    <w:wordWrap/>
                                    <w:overflowPunct/>
                                    <w:topLinePunct w:val="0"/>
                                    <w:bidi w:val="0"/>
                                    <w:snapToGrid/>
                                    <w:spacing w:line="240" w:lineRule="atLeast"/>
                                    <w:jc w:val="center"/>
                                    <w:textAlignment w:val="auto"/>
                                    <w:rPr>
                                      <w:rFonts w:hint="eastAsia"/>
                                      <w:b/>
                                      <w:bCs/>
                                      <w:sz w:val="18"/>
                                      <w:szCs w:val="18"/>
                                      <w:lang w:val="en-US" w:eastAsia="zh-CN"/>
                                    </w:rPr>
                                  </w:pPr>
                                  <w:r>
                                    <w:rPr>
                                      <w:rFonts w:hint="eastAsia"/>
                                      <w:b/>
                                      <w:bCs/>
                                      <w:sz w:val="18"/>
                                      <w:szCs w:val="18"/>
                                      <w:lang w:val="en-US" w:eastAsia="zh-CN"/>
                                    </w:rPr>
                                    <w:t>1</w:t>
                                  </w:r>
                                </w:p>
                                <w:p w14:paraId="27797DF9">
                                  <w:pPr>
                                    <w:pStyle w:val="2"/>
                                    <w:keepNext w:val="0"/>
                                    <w:keepLines w:val="0"/>
                                    <w:pageBreakBefore w:val="0"/>
                                    <w:widowControl w:val="0"/>
                                    <w:kinsoku/>
                                    <w:wordWrap/>
                                    <w:overflowPunct/>
                                    <w:topLinePunct w:val="0"/>
                                    <w:bidi w:val="0"/>
                                    <w:snapToGrid/>
                                    <w:spacing w:line="240" w:lineRule="atLeast"/>
                                    <w:jc w:val="center"/>
                                    <w:textAlignment w:val="auto"/>
                                    <w:rPr>
                                      <w:rFonts w:hint="default"/>
                                      <w:b/>
                                      <w:bCs/>
                                      <w:lang w:val="en-US" w:eastAsia="zh-CN"/>
                                    </w:rPr>
                                  </w:pPr>
                                  <w:r>
                                    <w:rPr>
                                      <w:rFonts w:hint="eastAsia"/>
                                      <w:b/>
                                      <w:bCs/>
                                      <w:sz w:val="18"/>
                                      <w:szCs w:val="18"/>
                                      <w:lang w:val="en-US" w:eastAsia="zh-CN"/>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95pt;margin-top:38.4pt;height:38.05pt;width:36.05pt;z-index:251666432;v-text-anchor:middle;mso-width-relative:page;mso-height-relative:page;" filled="f" stroked="f" coordsize="21600,21600" o:gfxdata="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IIfM2AAAAAoBAAAPAAAAAAAAAAEAIAAAACIAAABkcnMvZG93bnJldi54bWxQSwECFAAUAAAA&#10;CACHTuJAko5I5WACAACwBAAADgAAAAAAAAABACAAAAAnAQAAZHJzL2Uyb0RvYy54bWxQSwUGAAAA&#10;AAYABgBZAQAA+QUAAAAA&#10;">
                      <v:fill on="f" focussize="0,0"/>
                      <v:stroke on="f" weight="1pt" miterlimit="8" joinstyle="miter"/>
                      <v:imagedata o:title=""/>
                      <o:lock v:ext="edit" aspectratio="f"/>
                      <v:textbox>
                        <w:txbxContent>
                          <w:p w14:paraId="3820A274">
                            <w:pPr>
                              <w:keepNext w:val="0"/>
                              <w:keepLines w:val="0"/>
                              <w:pageBreakBefore w:val="0"/>
                              <w:widowControl w:val="0"/>
                              <w:kinsoku/>
                              <w:wordWrap/>
                              <w:overflowPunct/>
                              <w:topLinePunct w:val="0"/>
                              <w:bidi w:val="0"/>
                              <w:snapToGrid/>
                              <w:spacing w:line="240" w:lineRule="atLeast"/>
                              <w:jc w:val="center"/>
                              <w:textAlignment w:val="auto"/>
                              <w:rPr>
                                <w:rFonts w:hint="eastAsia"/>
                                <w:b/>
                                <w:bCs/>
                                <w:sz w:val="18"/>
                                <w:szCs w:val="18"/>
                                <w:lang w:val="en-US" w:eastAsia="zh-CN"/>
                              </w:rPr>
                            </w:pPr>
                            <w:r>
                              <w:rPr>
                                <w:rFonts w:hint="eastAsia"/>
                                <w:b/>
                                <w:bCs/>
                                <w:sz w:val="18"/>
                                <w:szCs w:val="18"/>
                                <w:lang w:val="en-US" w:eastAsia="zh-CN"/>
                              </w:rPr>
                              <w:t>1</w:t>
                            </w:r>
                          </w:p>
                          <w:p w14:paraId="27797DF9">
                            <w:pPr>
                              <w:pStyle w:val="2"/>
                              <w:keepNext w:val="0"/>
                              <w:keepLines w:val="0"/>
                              <w:pageBreakBefore w:val="0"/>
                              <w:widowControl w:val="0"/>
                              <w:kinsoku/>
                              <w:wordWrap/>
                              <w:overflowPunct/>
                              <w:topLinePunct w:val="0"/>
                              <w:bidi w:val="0"/>
                              <w:snapToGrid/>
                              <w:spacing w:line="240" w:lineRule="atLeast"/>
                              <w:jc w:val="center"/>
                              <w:textAlignment w:val="auto"/>
                              <w:rPr>
                                <w:rFonts w:hint="default"/>
                                <w:b/>
                                <w:bCs/>
                                <w:lang w:val="en-US" w:eastAsia="zh-CN"/>
                              </w:rPr>
                            </w:pPr>
                            <w:r>
                              <w:rPr>
                                <w:rFonts w:hint="eastAsia"/>
                                <w:b/>
                                <w:bCs/>
                                <w:sz w:val="18"/>
                                <w:szCs w:val="18"/>
                                <w:lang w:val="en-US" w:eastAsia="zh-CN"/>
                              </w:rPr>
                              <w:t>t</w:t>
                            </w:r>
                          </w:p>
                        </w:txbxContent>
                      </v:textbox>
                    </v:rect>
                  </w:pict>
                </mc:Fallback>
              </mc:AlternateContent>
            </w:r>
            <w:r>
              <w:rPr>
                <w:rFonts w:hint="default" w:cs="Times New Roman"/>
                <w:b/>
                <w:bCs/>
                <w:color w:val="auto"/>
                <w:sz w:val="24"/>
                <w:lang w:val="en-US" w:eastAsia="zh-CN"/>
              </w:rPr>
              <w:t>C 料仓装料：</w:t>
            </w:r>
            <w:r>
              <w:rPr>
                <w:rFonts w:hint="default" w:cs="Times New Roman"/>
                <w:color w:val="auto"/>
                <w:sz w:val="24"/>
                <w:lang w:val="en-US" w:eastAsia="zh-CN"/>
              </w:rPr>
              <w:t>本项目</w:t>
            </w:r>
            <w:r>
              <w:rPr>
                <w:rFonts w:hint="eastAsia" w:cs="Times New Roman"/>
                <w:color w:val="auto"/>
                <w:sz w:val="24"/>
                <w:lang w:val="en-US" w:eastAsia="zh-CN"/>
              </w:rPr>
              <w:t>原来砂石</w:t>
            </w:r>
            <w:r>
              <w:rPr>
                <w:rFonts w:hint="default" w:cs="Times New Roman"/>
                <w:color w:val="auto"/>
                <w:sz w:val="24"/>
                <w:lang w:val="en-US" w:eastAsia="zh-CN"/>
              </w:rPr>
              <w:t>经装载机转运至上料斗过程扬尘产生量</w:t>
            </w:r>
            <w:r>
              <w:rPr>
                <w:rFonts w:hint="eastAsia" w:cs="Times New Roman"/>
                <w:color w:val="auto"/>
                <w:sz w:val="24"/>
                <w:lang w:val="en-US" w:eastAsia="zh-CN"/>
              </w:rPr>
              <w:t>采用交通部水运研究所和武汉水运工程学院提出的装卸其陈亮的经验公示估算，经验公示为</w:t>
            </w:r>
          </w:p>
          <w:p w14:paraId="33DECEA9">
            <w:pPr>
              <w:spacing w:line="360" w:lineRule="auto"/>
              <w:ind w:firstLine="2640" w:firstLineChars="1100"/>
              <w:rPr>
                <w:rFonts w:hint="default" w:cs="Times New Roman"/>
                <w:color w:val="auto"/>
                <w:sz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2630170</wp:posOffset>
                      </wp:positionH>
                      <wp:positionV relativeFrom="paragraph">
                        <wp:posOffset>153670</wp:posOffset>
                      </wp:positionV>
                      <wp:extent cx="129540" cy="0"/>
                      <wp:effectExtent l="0" t="0" r="0" b="0"/>
                      <wp:wrapNone/>
                      <wp:docPr id="278" name="直接连接符 278"/>
                      <wp:cNvGraphicFramePr/>
                      <a:graphic xmlns:a="http://schemas.openxmlformats.org/drawingml/2006/main">
                        <a:graphicData uri="http://schemas.microsoft.com/office/word/2010/wordprocessingShape">
                          <wps:wsp>
                            <wps:cNvCnPr/>
                            <wps:spPr>
                              <a:xfrm>
                                <a:off x="2526030" y="6186170"/>
                                <a:ext cx="129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7.1pt;margin-top:12.1pt;height:0pt;width:10.2pt;z-index:251667456;mso-width-relative:page;mso-height-relative:page;" filled="f" stroked="t" coordsize="21600,21600" o:gfxdata="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CbTR9YAAAAJAQAADwAAAAAAAAABACAAAAAiAAAAZHJzL2Rvd25yZXYueG1sUEsBAhQAFAAA&#10;AAgAh07iQIwzH5jxAQAAwAMAAA4AAAAAAAAAAQAgAAAAJQEAAGRycy9lMm9Eb2MueG1sUEsFBgAA&#10;AAAGAAYAWQEAAIgFAAAAAA==&#10;">
                      <v:fill on="f" focussize="0,0"/>
                      <v:stroke weight="0.5pt" color="#000000 [3213]" miterlimit="8" joinstyle="miter"/>
                      <v:imagedata o:title=""/>
                      <o:lock v:ext="edit" aspectratio="f"/>
                    </v:line>
                  </w:pict>
                </mc:Fallback>
              </mc:AlternateContent>
            </w:r>
            <w:r>
              <w:rPr>
                <w:rFonts w:hint="eastAsia" w:cs="Times New Roman"/>
                <w:color w:val="auto"/>
                <w:sz w:val="24"/>
                <w:lang w:val="en-US" w:eastAsia="zh-CN"/>
              </w:rPr>
              <w:t xml:space="preserve">        Q=     0.03u</w:t>
            </w:r>
            <w:r>
              <w:rPr>
                <w:rFonts w:hint="eastAsia" w:cs="Times New Roman"/>
                <w:color w:val="auto"/>
                <w:sz w:val="24"/>
                <w:vertAlign w:val="superscript"/>
                <w:lang w:val="en-US" w:eastAsia="zh-CN"/>
              </w:rPr>
              <w:t>1.6</w:t>
            </w:r>
            <w:r>
              <w:rPr>
                <w:rFonts w:hint="eastAsia" w:cs="Times New Roman"/>
                <w:color w:val="auto"/>
                <w:sz w:val="24"/>
                <w:lang w:val="en-US" w:eastAsia="zh-CN"/>
              </w:rPr>
              <w:t xml:space="preserve"> H </w:t>
            </w:r>
            <w:r>
              <w:rPr>
                <w:rFonts w:hint="eastAsia" w:cs="Times New Roman"/>
                <w:color w:val="auto"/>
                <w:sz w:val="24"/>
                <w:vertAlign w:val="superscript"/>
                <w:lang w:val="en-US" w:eastAsia="zh-CN"/>
              </w:rPr>
              <w:t>1.23</w:t>
            </w:r>
            <w:r>
              <w:rPr>
                <w:rFonts w:hint="eastAsia" w:cs="Times New Roman"/>
                <w:color w:val="auto"/>
                <w:sz w:val="24"/>
                <w:lang w:val="en-US" w:eastAsia="zh-CN"/>
              </w:rPr>
              <w:t>e</w:t>
            </w:r>
            <w:r>
              <w:rPr>
                <w:rFonts w:hint="eastAsia" w:cs="Times New Roman"/>
                <w:color w:val="auto"/>
                <w:sz w:val="24"/>
                <w:vertAlign w:val="superscript"/>
                <w:lang w:val="en-US" w:eastAsia="zh-CN"/>
              </w:rPr>
              <w:t>-0.28W</w:t>
            </w:r>
            <w:r>
              <w:rPr>
                <w:rFonts w:hint="eastAsia" w:cs="Times New Roman"/>
                <w:color w:val="auto"/>
                <w:sz w:val="24"/>
                <w:lang w:val="en-US" w:eastAsia="zh-CN"/>
              </w:rPr>
              <w:t xml:space="preserve">         </w:t>
            </w:r>
          </w:p>
          <w:p w14:paraId="35D6713D">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式中：Q—物料装车时机械落差起尘量，kg/s；</w:t>
            </w:r>
          </w:p>
          <w:p w14:paraId="7B417D99">
            <w:pPr>
              <w:spacing w:line="360" w:lineRule="auto"/>
              <w:ind w:firstLine="1200" w:firstLineChars="500"/>
              <w:rPr>
                <w:rFonts w:hint="default" w:cs="Times New Roman"/>
                <w:color w:val="auto"/>
                <w:sz w:val="24"/>
                <w:lang w:val="en-US" w:eastAsia="zh-CN"/>
              </w:rPr>
            </w:pPr>
            <w:r>
              <w:rPr>
                <w:rFonts w:hint="eastAsia" w:cs="Times New Roman"/>
                <w:color w:val="auto"/>
                <w:sz w:val="24"/>
                <w:lang w:val="en-US" w:eastAsia="zh-CN"/>
              </w:rPr>
              <w:t>u—平均风速，m/s；取值1.7 m/s</w:t>
            </w:r>
          </w:p>
          <w:p w14:paraId="5A57D32C">
            <w:pPr>
              <w:spacing w:line="360" w:lineRule="auto"/>
              <w:ind w:firstLine="1200" w:firstLineChars="500"/>
              <w:rPr>
                <w:rFonts w:hint="eastAsia" w:cs="Times New Roman"/>
                <w:color w:val="auto"/>
                <w:sz w:val="24"/>
                <w:lang w:val="en-US" w:eastAsia="zh-CN"/>
              </w:rPr>
            </w:pPr>
            <w:r>
              <w:rPr>
                <w:rFonts w:hint="eastAsia" w:cs="Times New Roman"/>
                <w:color w:val="auto"/>
                <w:sz w:val="24"/>
                <w:lang w:val="en-US" w:eastAsia="zh-CN"/>
              </w:rPr>
              <w:t xml:space="preserve">H—物料落差，m； </w:t>
            </w:r>
          </w:p>
          <w:p w14:paraId="49362CC3">
            <w:pPr>
              <w:spacing w:line="360" w:lineRule="auto"/>
              <w:ind w:firstLine="1200" w:firstLineChars="500"/>
              <w:rPr>
                <w:rFonts w:hint="eastAsia" w:cs="Times New Roman"/>
                <w:color w:val="auto"/>
                <w:sz w:val="24"/>
                <w:lang w:val="en-US" w:eastAsia="zh-CN"/>
              </w:rPr>
            </w:pPr>
            <w:r>
              <w:rPr>
                <w:rFonts w:hint="eastAsia" w:cs="Times New Roman"/>
                <w:color w:val="auto"/>
                <w:sz w:val="24"/>
                <w:lang w:val="en-US" w:eastAsia="zh-CN"/>
              </w:rPr>
              <w:t>w—物料含水率，%；</w:t>
            </w:r>
          </w:p>
          <w:p w14:paraId="35B3B2DE">
            <w:pPr>
              <w:spacing w:line="360" w:lineRule="auto"/>
              <w:ind w:firstLine="1200" w:firstLineChars="500"/>
              <w:rPr>
                <w:rFonts w:hint="eastAsia" w:cs="Times New Roman"/>
                <w:color w:val="auto"/>
                <w:sz w:val="24"/>
                <w:lang w:val="en-US" w:eastAsia="zh-CN"/>
              </w:rPr>
            </w:pPr>
            <w:r>
              <w:rPr>
                <w:rFonts w:hint="eastAsia" w:cs="Times New Roman"/>
                <w:color w:val="auto"/>
                <w:sz w:val="24"/>
                <w:lang w:val="en-US" w:eastAsia="zh-CN"/>
              </w:rPr>
              <w:t>t—每吨物料装车所用时间，s/t。</w:t>
            </w:r>
          </w:p>
          <w:p w14:paraId="061DA3DE">
            <w:pPr>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项目石子年用量为 2850t，砂年用量为 1900t，石子含水率为 5%，砂含水率为 10%，物料落差平均为 0.5m，每吨物料装车所用时间为5s/t，则装料时起尘总量为0.4641kg/d（0.139t/a）。</w:t>
            </w:r>
          </w:p>
          <w:p w14:paraId="461C2E3B">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综上，本项目</w:t>
            </w:r>
            <w:r>
              <w:rPr>
                <w:rFonts w:hint="eastAsia" w:cs="Times New Roman"/>
                <w:color w:val="auto"/>
                <w:sz w:val="24"/>
                <w:lang w:val="en-US" w:eastAsia="zh-CN"/>
              </w:rPr>
              <w:t>原料</w:t>
            </w:r>
            <w:r>
              <w:rPr>
                <w:rFonts w:hint="default" w:cs="Times New Roman"/>
                <w:color w:val="auto"/>
                <w:sz w:val="24"/>
                <w:lang w:val="en-US" w:eastAsia="zh-CN"/>
              </w:rPr>
              <w:t xml:space="preserve">库房扬尘产生量共计 </w:t>
            </w:r>
            <w:r>
              <w:rPr>
                <w:rFonts w:hint="eastAsia" w:cs="Times New Roman"/>
                <w:color w:val="auto"/>
                <w:sz w:val="24"/>
                <w:lang w:val="en-US" w:eastAsia="zh-CN"/>
              </w:rPr>
              <w:t>0.233</w:t>
            </w:r>
            <w:r>
              <w:rPr>
                <w:rFonts w:hint="default" w:cs="Times New Roman"/>
                <w:color w:val="auto"/>
                <w:sz w:val="24"/>
                <w:lang w:val="en-US" w:eastAsia="zh-CN"/>
              </w:rPr>
              <w:t>t/a。</w:t>
            </w:r>
          </w:p>
          <w:p w14:paraId="2895028E">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②治理措施</w:t>
            </w:r>
          </w:p>
          <w:p w14:paraId="53B311B5">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项目</w:t>
            </w:r>
            <w:r>
              <w:rPr>
                <w:rFonts w:hint="eastAsia" w:cs="Times New Roman"/>
                <w:color w:val="auto"/>
                <w:sz w:val="24"/>
                <w:lang w:val="en-US" w:eastAsia="zh-CN"/>
              </w:rPr>
              <w:t>所在地地面已经硬化，环评还要求：项目砂石原料库房设置为密闭库房，仅留车辆出入口，库房内设置</w:t>
            </w:r>
            <w:r>
              <w:rPr>
                <w:rFonts w:hint="default" w:cs="Times New Roman"/>
                <w:color w:val="auto"/>
                <w:sz w:val="24"/>
                <w:lang w:val="en-US" w:eastAsia="zh-CN"/>
              </w:rPr>
              <w:t xml:space="preserve"> </w:t>
            </w:r>
            <w:r>
              <w:rPr>
                <w:rFonts w:hint="eastAsia" w:cs="Times New Roman"/>
                <w:color w:val="auto"/>
                <w:sz w:val="24"/>
                <w:lang w:val="en-US" w:eastAsia="zh-CN"/>
              </w:rPr>
              <w:t>10</w:t>
            </w:r>
            <w:r>
              <w:rPr>
                <w:rFonts w:hint="default" w:cs="Times New Roman"/>
                <w:color w:val="auto"/>
                <w:sz w:val="24"/>
                <w:lang w:val="en-US" w:eastAsia="zh-CN"/>
              </w:rPr>
              <w:t xml:space="preserve"> 个固定式雾化喷水喷头，以每小时 1 次的频率进行雾化喷水，对骨料装卸料、堆存、转运过程喷水控尘。</w:t>
            </w:r>
          </w:p>
          <w:p w14:paraId="16C47F1E">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③排放情况</w:t>
            </w:r>
          </w:p>
          <w:p w14:paraId="00007539">
            <w:pPr>
              <w:spacing w:line="360" w:lineRule="auto"/>
              <w:ind w:firstLine="480" w:firstLineChars="200"/>
              <w:rPr>
                <w:rFonts w:hint="default" w:cs="Times New Roman"/>
                <w:b/>
                <w:bCs/>
                <w:color w:val="auto"/>
                <w:sz w:val="24"/>
                <w:lang w:val="en-US" w:eastAsia="zh-CN"/>
              </w:rPr>
            </w:pPr>
            <w:r>
              <w:rPr>
                <w:rFonts w:hint="default" w:cs="Times New Roman"/>
                <w:b w:val="0"/>
                <w:bCs w:val="0"/>
                <w:color w:val="auto"/>
                <w:sz w:val="24"/>
                <w:lang w:val="en-US" w:eastAsia="zh-CN"/>
              </w:rPr>
              <w:t>在采取以上控尘措施后，</w:t>
            </w:r>
            <w:r>
              <w:rPr>
                <w:rFonts w:hint="eastAsia" w:cs="Times New Roman"/>
                <w:b w:val="0"/>
                <w:bCs w:val="0"/>
                <w:color w:val="auto"/>
                <w:sz w:val="24"/>
                <w:lang w:val="en-US" w:eastAsia="zh-CN"/>
              </w:rPr>
              <w:t>整个库房的粉尘空置效率可达90</w:t>
            </w:r>
            <w:r>
              <w:rPr>
                <w:rFonts w:hint="default" w:cs="Times New Roman"/>
                <w:b w:val="0"/>
                <w:bCs w:val="0"/>
                <w:color w:val="auto"/>
                <w:sz w:val="24"/>
                <w:lang w:val="en-US" w:eastAsia="zh-CN"/>
              </w:rPr>
              <w:t>%。则</w:t>
            </w:r>
            <w:r>
              <w:rPr>
                <w:rFonts w:hint="eastAsia" w:cs="Times New Roman"/>
                <w:b w:val="0"/>
                <w:bCs w:val="0"/>
                <w:color w:val="auto"/>
                <w:sz w:val="24"/>
                <w:lang w:val="en-US" w:eastAsia="zh-CN"/>
              </w:rPr>
              <w:t>砂石原料</w:t>
            </w:r>
            <w:r>
              <w:rPr>
                <w:rFonts w:hint="default" w:cs="Times New Roman"/>
                <w:b w:val="0"/>
                <w:bCs w:val="0"/>
                <w:color w:val="auto"/>
                <w:sz w:val="24"/>
                <w:lang w:val="en-US" w:eastAsia="zh-CN"/>
              </w:rPr>
              <w:t>库房扬尘无组织排放量为</w:t>
            </w:r>
            <w:r>
              <w:rPr>
                <w:rFonts w:hint="eastAsia" w:cs="Times New Roman"/>
                <w:b w:val="0"/>
                <w:bCs w:val="0"/>
                <w:color w:val="auto"/>
                <w:sz w:val="24"/>
                <w:lang w:val="en-US" w:eastAsia="zh-CN"/>
              </w:rPr>
              <w:t>0.0233</w:t>
            </w:r>
            <w:r>
              <w:rPr>
                <w:rFonts w:hint="default" w:cs="Times New Roman"/>
                <w:b w:val="0"/>
                <w:bCs w:val="0"/>
                <w:color w:val="auto"/>
                <w:sz w:val="24"/>
                <w:lang w:val="en-US" w:eastAsia="zh-CN"/>
              </w:rPr>
              <w:t>t/a</w:t>
            </w:r>
            <w:r>
              <w:rPr>
                <w:rFonts w:hint="eastAsia" w:cs="Times New Roman"/>
                <w:b w:val="0"/>
                <w:bCs w:val="0"/>
                <w:color w:val="auto"/>
                <w:sz w:val="24"/>
                <w:lang w:val="en-US" w:eastAsia="zh-CN"/>
              </w:rPr>
              <w:t>，0.0097kg/h</w:t>
            </w:r>
            <w:r>
              <w:rPr>
                <w:rFonts w:hint="default" w:cs="Times New Roman"/>
                <w:b w:val="0"/>
                <w:bCs w:val="0"/>
                <w:color w:val="auto"/>
                <w:sz w:val="24"/>
                <w:lang w:val="en-US" w:eastAsia="zh-CN"/>
              </w:rPr>
              <w:t>。</w:t>
            </w:r>
          </w:p>
          <w:p w14:paraId="5AF754E4">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eastAsia="zh-CN"/>
              </w:rPr>
              <w:t>物料输送</w:t>
            </w:r>
            <w:r>
              <w:rPr>
                <w:rFonts w:hint="default" w:ascii="Times New Roman" w:hAnsi="Times New Roman" w:eastAsia="宋体" w:cs="Times New Roman"/>
                <w:b/>
                <w:bCs/>
                <w:color w:val="auto"/>
                <w:sz w:val="24"/>
                <w:lang w:eastAsia="zh-CN"/>
              </w:rPr>
              <w:t>环节转运产生的粉尘</w:t>
            </w:r>
          </w:p>
          <w:p w14:paraId="292BADEF">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①产生情况</w:t>
            </w:r>
          </w:p>
          <w:p w14:paraId="2643375A">
            <w:pPr>
              <w:spacing w:line="360" w:lineRule="auto"/>
              <w:ind w:firstLine="496" w:firstLineChars="200"/>
              <w:rPr>
                <w:rFonts w:hint="default" w:cs="Times New Roman"/>
                <w:color w:val="auto"/>
                <w:sz w:val="24"/>
                <w:lang w:val="en-US" w:eastAsia="zh-CN"/>
              </w:rPr>
            </w:pPr>
            <w:r>
              <w:rPr>
                <w:rFonts w:hint="eastAsia"/>
                <w:bCs/>
                <w:color w:val="000000"/>
                <w:spacing w:val="4"/>
                <w:sz w:val="24"/>
              </w:rPr>
              <w:t>本项目物料输送环节主要包括砂子、石子</w:t>
            </w:r>
            <w:r>
              <w:rPr>
                <w:rFonts w:hint="eastAsia"/>
                <w:bCs/>
                <w:color w:val="000000"/>
                <w:spacing w:val="4"/>
                <w:sz w:val="24"/>
                <w:lang w:val="en-US" w:eastAsia="zh-CN"/>
              </w:rPr>
              <w:t>通过人工方式</w:t>
            </w:r>
            <w:r>
              <w:rPr>
                <w:rFonts w:hint="eastAsia"/>
                <w:bCs/>
                <w:color w:val="000000"/>
                <w:spacing w:val="4"/>
                <w:sz w:val="24"/>
              </w:rPr>
              <w:t>自原料库入</w:t>
            </w:r>
            <w:r>
              <w:rPr>
                <w:rFonts w:hint="eastAsia"/>
                <w:bCs/>
                <w:color w:val="000000"/>
                <w:spacing w:val="4"/>
                <w:sz w:val="24"/>
                <w:lang w:val="en-US" w:eastAsia="zh-CN"/>
              </w:rPr>
              <w:t>料斗</w:t>
            </w:r>
            <w:r>
              <w:rPr>
                <w:rFonts w:hint="eastAsia"/>
                <w:bCs/>
                <w:color w:val="000000"/>
                <w:spacing w:val="4"/>
                <w:sz w:val="24"/>
              </w:rPr>
              <w:t>，自</w:t>
            </w:r>
            <w:r>
              <w:rPr>
                <w:rFonts w:hint="eastAsia"/>
                <w:bCs/>
                <w:color w:val="000000"/>
                <w:spacing w:val="4"/>
                <w:sz w:val="24"/>
                <w:lang w:val="en-US" w:eastAsia="zh-CN"/>
              </w:rPr>
              <w:t>料斗</w:t>
            </w:r>
            <w:r>
              <w:rPr>
                <w:rFonts w:hint="eastAsia"/>
                <w:bCs/>
                <w:color w:val="000000"/>
                <w:spacing w:val="4"/>
                <w:sz w:val="24"/>
              </w:rPr>
              <w:t>入搅拌机的转运过程；水泥自筒仓底螺旋输送机至水泥秤入搅拌机的转运过程。</w:t>
            </w:r>
            <w:r>
              <w:rPr>
                <w:rFonts w:hint="default" w:cs="Times New Roman"/>
                <w:color w:val="auto"/>
                <w:sz w:val="24"/>
                <w:lang w:val="en-US" w:eastAsia="zh-CN"/>
              </w:rPr>
              <w:t>粉尘产生量按0.01kg/t物料计</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则物料输送</w:t>
            </w:r>
            <w:r>
              <w:rPr>
                <w:rFonts w:hint="default" w:ascii="Times New Roman" w:hAnsi="Times New Roman" w:cs="Times New Roman"/>
                <w:color w:val="auto"/>
                <w:sz w:val="24"/>
                <w:lang w:val="en-US" w:eastAsia="zh-CN"/>
              </w:rPr>
              <w:t>环节粉尘产生量</w:t>
            </w:r>
            <w:r>
              <w:rPr>
                <w:rFonts w:hint="default" w:cs="Times New Roman"/>
                <w:color w:val="auto"/>
                <w:sz w:val="24"/>
                <w:lang w:val="en-US" w:eastAsia="zh-CN"/>
              </w:rPr>
              <w:t>为</w:t>
            </w:r>
            <w:r>
              <w:rPr>
                <w:rFonts w:hint="eastAsia" w:cs="Times New Roman"/>
                <w:color w:val="auto"/>
                <w:sz w:val="24"/>
                <w:lang w:val="en-US" w:eastAsia="zh-CN"/>
              </w:rPr>
              <w:t>0.0475</w:t>
            </w:r>
            <w:r>
              <w:rPr>
                <w:rFonts w:hint="default" w:cs="Times New Roman"/>
                <w:color w:val="auto"/>
                <w:sz w:val="24"/>
                <w:lang w:val="en-US" w:eastAsia="zh-CN"/>
              </w:rPr>
              <w:t>t/a。</w:t>
            </w:r>
          </w:p>
          <w:p w14:paraId="54B30769">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②治理措施</w:t>
            </w:r>
          </w:p>
          <w:p w14:paraId="57C7F294">
            <w:pPr>
              <w:spacing w:line="360" w:lineRule="auto"/>
              <w:ind w:firstLine="480" w:firstLineChars="200"/>
              <w:rPr>
                <w:rFonts w:hint="default" w:cs="Times New Roman"/>
                <w:color w:val="auto"/>
                <w:sz w:val="24"/>
                <w:lang w:val="en-US" w:eastAsia="zh-CN"/>
              </w:rPr>
            </w:pPr>
            <w:r>
              <w:rPr>
                <w:rFonts w:hint="default" w:ascii="Times New Roman" w:hAnsi="Times New Roman" w:eastAsia="宋体" w:cs="Times New Roman"/>
                <w:color w:val="auto"/>
                <w:sz w:val="24"/>
              </w:rPr>
              <w:t>本项目生产车间</w:t>
            </w:r>
            <w:r>
              <w:rPr>
                <w:rFonts w:hint="eastAsia" w:ascii="Times New Roman" w:hAnsi="Times New Roman" w:cs="Times New Roman"/>
                <w:color w:val="auto"/>
                <w:sz w:val="24"/>
                <w:lang w:val="en-US" w:eastAsia="zh-CN"/>
              </w:rPr>
              <w:t>设置</w:t>
            </w:r>
            <w:r>
              <w:rPr>
                <w:rFonts w:hint="default" w:ascii="Times New Roman" w:hAnsi="Times New Roman" w:eastAsia="宋体" w:cs="Times New Roman"/>
                <w:color w:val="auto"/>
                <w:sz w:val="24"/>
              </w:rPr>
              <w:t>为密闭结构，</w:t>
            </w:r>
            <w:r>
              <w:rPr>
                <w:rFonts w:hint="default" w:ascii="Times New Roman" w:hAnsi="Times New Roman" w:cs="Times New Roman"/>
                <w:color w:val="auto"/>
                <w:sz w:val="24"/>
                <w:lang w:val="en-US" w:eastAsia="zh-CN"/>
              </w:rPr>
              <w:t>并在车间</w:t>
            </w:r>
            <w:r>
              <w:rPr>
                <w:rFonts w:hint="default" w:ascii="Times New Roman" w:hAnsi="Times New Roman" w:eastAsia="宋体" w:cs="Times New Roman"/>
                <w:color w:val="auto"/>
                <w:sz w:val="24"/>
              </w:rPr>
              <w:t>上方设置喷淋装置</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在</w:t>
            </w:r>
            <w:r>
              <w:rPr>
                <w:rFonts w:hint="default" w:cs="Times New Roman"/>
                <w:color w:val="auto"/>
                <w:sz w:val="24"/>
                <w:lang w:val="en-US" w:eastAsia="zh-CN"/>
              </w:rPr>
              <w:t>上料斗</w:t>
            </w:r>
            <w:r>
              <w:rPr>
                <w:rFonts w:hint="eastAsia" w:cs="Times New Roman"/>
                <w:color w:val="auto"/>
                <w:sz w:val="24"/>
                <w:lang w:val="en-US" w:eastAsia="zh-CN"/>
              </w:rPr>
              <w:t>和搅拌机</w:t>
            </w:r>
            <w:r>
              <w:rPr>
                <w:rFonts w:hint="default" w:ascii="Times New Roman" w:hAnsi="Times New Roman" w:eastAsia="宋体" w:cs="Times New Roman"/>
                <w:color w:val="auto"/>
                <w:sz w:val="24"/>
              </w:rPr>
              <w:t>设置喷淋装置</w:t>
            </w:r>
            <w:r>
              <w:rPr>
                <w:rFonts w:hint="default" w:cs="Times New Roman"/>
                <w:color w:val="auto"/>
                <w:sz w:val="24"/>
                <w:lang w:val="en-US" w:eastAsia="zh-CN"/>
              </w:rPr>
              <w:t>，</w:t>
            </w:r>
            <w:r>
              <w:rPr>
                <w:rFonts w:hint="eastAsia"/>
                <w:bCs/>
                <w:color w:val="auto"/>
                <w:spacing w:val="4"/>
                <w:sz w:val="24"/>
              </w:rPr>
              <w:t>水泥</w:t>
            </w:r>
            <w:r>
              <w:rPr>
                <w:rFonts w:hint="eastAsia"/>
                <w:bCs/>
                <w:color w:val="auto"/>
                <w:spacing w:val="4"/>
                <w:sz w:val="24"/>
                <w:lang w:val="en-US" w:eastAsia="zh-CN"/>
              </w:rPr>
              <w:t>在</w:t>
            </w:r>
            <w:r>
              <w:rPr>
                <w:rFonts w:hint="eastAsia"/>
                <w:bCs/>
                <w:color w:val="auto"/>
                <w:spacing w:val="4"/>
                <w:sz w:val="24"/>
              </w:rPr>
              <w:t>输送、转</w:t>
            </w:r>
            <w:r>
              <w:rPr>
                <w:rFonts w:hint="eastAsia"/>
                <w:bCs/>
                <w:color w:val="000000"/>
                <w:spacing w:val="4"/>
                <w:sz w:val="24"/>
              </w:rPr>
              <w:t>运环节采用密闭输送和管式螺旋输送机</w:t>
            </w:r>
            <w:r>
              <w:rPr>
                <w:rFonts w:hint="eastAsia"/>
                <w:bCs/>
                <w:color w:val="000000"/>
                <w:spacing w:val="4"/>
                <w:sz w:val="24"/>
                <w:lang w:eastAsia="zh-CN"/>
              </w:rPr>
              <w:t>，</w:t>
            </w:r>
            <w:r>
              <w:rPr>
                <w:rFonts w:hint="eastAsia"/>
                <w:bCs/>
                <w:color w:val="000000"/>
                <w:spacing w:val="4"/>
                <w:sz w:val="24"/>
              </w:rPr>
              <w:t>可有效地抑制粉尘产生</w:t>
            </w:r>
            <w:r>
              <w:rPr>
                <w:rFonts w:hint="default" w:cs="Times New Roman"/>
                <w:color w:val="auto"/>
                <w:sz w:val="24"/>
                <w:lang w:val="en-US" w:eastAsia="zh-CN"/>
              </w:rPr>
              <w:t>。</w:t>
            </w:r>
            <w:r>
              <w:rPr>
                <w:rFonts w:hint="eastAsia" w:cs="Times New Roman"/>
                <w:color w:val="auto"/>
                <w:sz w:val="24"/>
                <w:lang w:val="en-US" w:eastAsia="zh-CN"/>
              </w:rPr>
              <w:t>采取以上措施后粉尘控制效率为90%。</w:t>
            </w:r>
          </w:p>
          <w:p w14:paraId="15B58D11">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③排放情况</w:t>
            </w:r>
          </w:p>
          <w:p w14:paraId="234DB6B0">
            <w:pPr>
              <w:spacing w:line="360" w:lineRule="auto"/>
              <w:ind w:firstLine="480" w:firstLineChars="200"/>
              <w:rPr>
                <w:rFonts w:hint="default" w:ascii="Times New Roman" w:hAnsi="Times New Roman" w:eastAsia="宋体" w:cs="Times New Roman"/>
                <w:b/>
                <w:bCs/>
                <w:color w:val="auto"/>
                <w:sz w:val="24"/>
              </w:rPr>
            </w:pPr>
            <w:r>
              <w:rPr>
                <w:rFonts w:hint="default" w:cs="Times New Roman"/>
                <w:color w:val="auto"/>
                <w:sz w:val="24"/>
                <w:lang w:val="en-US" w:eastAsia="zh-CN"/>
              </w:rPr>
              <w:t>在采取以上控尘措施后，扬尘控制效率可达 90%。无组织排放量为</w:t>
            </w:r>
            <w:r>
              <w:rPr>
                <w:rFonts w:hint="eastAsia" w:cs="Times New Roman"/>
                <w:color w:val="auto"/>
                <w:sz w:val="24"/>
                <w:lang w:val="en-US" w:eastAsia="zh-CN"/>
              </w:rPr>
              <w:t>0.00475</w:t>
            </w:r>
            <w:r>
              <w:rPr>
                <w:rFonts w:hint="default" w:cs="Times New Roman"/>
                <w:color w:val="auto"/>
                <w:sz w:val="24"/>
                <w:lang w:val="en-US" w:eastAsia="zh-CN"/>
              </w:rPr>
              <w:t>t/a，排放速率为</w:t>
            </w:r>
            <w:r>
              <w:rPr>
                <w:rFonts w:hint="eastAsia" w:cs="Times New Roman"/>
                <w:color w:val="auto"/>
                <w:sz w:val="24"/>
                <w:lang w:val="en-US" w:eastAsia="zh-CN"/>
              </w:rPr>
              <w:t>0.002</w:t>
            </w:r>
            <w:r>
              <w:rPr>
                <w:rFonts w:hint="default" w:cs="Times New Roman"/>
                <w:color w:val="auto"/>
                <w:sz w:val="24"/>
                <w:lang w:val="en-US" w:eastAsia="zh-CN"/>
              </w:rPr>
              <w:t>kg/h。</w:t>
            </w:r>
          </w:p>
          <w:p w14:paraId="0395458E">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w:t>
            </w:r>
            <w:r>
              <w:rPr>
                <w:rFonts w:hint="default" w:ascii="Times New Roman" w:hAnsi="Times New Roman" w:eastAsia="宋体" w:cs="Times New Roman"/>
                <w:b/>
                <w:bCs/>
                <w:color w:val="auto"/>
                <w:sz w:val="24"/>
                <w:lang w:eastAsia="zh-CN"/>
              </w:rPr>
              <w:t>水泥筒仓产生的粉尘</w:t>
            </w:r>
          </w:p>
          <w:p w14:paraId="4D1A5C29">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①产生情况</w:t>
            </w:r>
          </w:p>
          <w:p w14:paraId="4F7459CE">
            <w:pPr>
              <w:spacing w:line="360" w:lineRule="auto"/>
              <w:ind w:firstLine="496" w:firstLineChars="200"/>
              <w:rPr>
                <w:rFonts w:hint="default" w:cs="Times New Roman"/>
                <w:color w:val="auto"/>
                <w:sz w:val="24"/>
                <w:lang w:val="en-US" w:eastAsia="zh-CN"/>
              </w:rPr>
            </w:pPr>
            <w:r>
              <w:rPr>
                <w:rFonts w:hint="eastAsia"/>
                <w:spacing w:val="4"/>
                <w:sz w:val="24"/>
              </w:rPr>
              <w:t>本</w:t>
            </w:r>
            <w:r>
              <w:rPr>
                <w:rFonts w:hint="default" w:cs="Times New Roman"/>
                <w:color w:val="auto"/>
                <w:sz w:val="24"/>
                <w:lang w:val="en-US" w:eastAsia="zh-CN"/>
              </w:rPr>
              <w:t>项目购进的水泥经罐车卸料至立式储仓时，储仓内会产生粉尘</w:t>
            </w:r>
            <w:r>
              <w:rPr>
                <w:rFonts w:hint="eastAsia" w:cs="Times New Roman"/>
                <w:color w:val="auto"/>
                <w:sz w:val="24"/>
                <w:lang w:val="en-US" w:eastAsia="zh-CN"/>
              </w:rPr>
              <w:t>，本项目共</w:t>
            </w:r>
            <w:r>
              <w:rPr>
                <w:rFonts w:hint="default" w:cs="Times New Roman"/>
                <w:color w:val="auto"/>
                <w:sz w:val="24"/>
                <w:lang w:val="en-US" w:eastAsia="zh-CN"/>
              </w:rPr>
              <w:t>设置有</w:t>
            </w:r>
            <w:r>
              <w:rPr>
                <w:rFonts w:hint="eastAsia" w:cs="Times New Roman"/>
                <w:color w:val="auto"/>
                <w:sz w:val="24"/>
                <w:lang w:val="en-US" w:eastAsia="zh-CN"/>
              </w:rPr>
              <w:t>1</w:t>
            </w:r>
            <w:r>
              <w:rPr>
                <w:rFonts w:hint="default" w:cs="Times New Roman"/>
                <w:color w:val="auto"/>
                <w:sz w:val="24"/>
                <w:lang w:val="en-US" w:eastAsia="zh-CN"/>
              </w:rPr>
              <w:t>个水泥罐，筒仓容量均为1</w:t>
            </w:r>
            <w:r>
              <w:rPr>
                <w:rFonts w:hint="eastAsia" w:cs="Times New Roman"/>
                <w:color w:val="auto"/>
                <w:sz w:val="24"/>
                <w:lang w:val="en-US" w:eastAsia="zh-CN"/>
              </w:rPr>
              <w:t>0</w:t>
            </w:r>
            <w:r>
              <w:rPr>
                <w:rFonts w:hint="default" w:cs="Times New Roman"/>
                <w:color w:val="auto"/>
                <w:sz w:val="24"/>
                <w:lang w:val="en-US" w:eastAsia="zh-CN"/>
              </w:rPr>
              <w:t>0t。项目采用气泵通过密闭输送管道将粉料打入筒仓，粉料筒仓进料时粉尘产生量参考《逸散性工业粉尘控制技术》“表22-1混凝土分批搅拌厂的散逸尘排放因子”中“卸水泥至高架贮仓”排污系数为0.12kg/t粉料，排气速度大约为0.566~0.613m</w:t>
            </w:r>
            <w:r>
              <w:rPr>
                <w:rFonts w:hint="default" w:cs="Times New Roman"/>
                <w:color w:val="auto"/>
                <w:sz w:val="24"/>
                <w:vertAlign w:val="superscript"/>
                <w:lang w:val="en-US" w:eastAsia="zh-CN"/>
              </w:rPr>
              <w:t>3</w:t>
            </w:r>
            <w:r>
              <w:rPr>
                <w:rFonts w:hint="default" w:cs="Times New Roman"/>
                <w:color w:val="auto"/>
                <w:sz w:val="24"/>
                <w:lang w:val="en-US" w:eastAsia="zh-CN"/>
              </w:rPr>
              <w:t>/s（本项目取0.613m</w:t>
            </w:r>
            <w:r>
              <w:rPr>
                <w:rFonts w:hint="default" w:cs="Times New Roman"/>
                <w:color w:val="auto"/>
                <w:sz w:val="24"/>
                <w:vertAlign w:val="superscript"/>
                <w:lang w:val="en-US" w:eastAsia="zh-CN"/>
              </w:rPr>
              <w:t>3</w:t>
            </w:r>
            <w:r>
              <w:rPr>
                <w:rFonts w:hint="default" w:cs="Times New Roman"/>
                <w:color w:val="auto"/>
                <w:sz w:val="24"/>
                <w:lang w:val="en-US" w:eastAsia="zh-CN"/>
              </w:rPr>
              <w:t>/s），同时根据运输粉料的罐车厂家提供的资料可知，平均过料速率为1</w:t>
            </w:r>
            <w:r>
              <w:rPr>
                <w:rFonts w:hint="eastAsia" w:cs="Times New Roman"/>
                <w:color w:val="auto"/>
                <w:sz w:val="24"/>
                <w:lang w:val="en-US" w:eastAsia="zh-CN"/>
              </w:rPr>
              <w:t>.4</w:t>
            </w:r>
            <w:r>
              <w:rPr>
                <w:rFonts w:hint="default" w:cs="Times New Roman"/>
                <w:color w:val="auto"/>
                <w:sz w:val="24"/>
                <w:lang w:val="en-US" w:eastAsia="zh-CN"/>
              </w:rPr>
              <w:t>t/min，则筒仓过料时间为</w:t>
            </w:r>
            <w:r>
              <w:rPr>
                <w:rFonts w:hint="eastAsia" w:cs="Times New Roman"/>
                <w:color w:val="auto"/>
                <w:sz w:val="24"/>
                <w:lang w:val="en-US" w:eastAsia="zh-CN"/>
              </w:rPr>
              <w:t>71</w:t>
            </w:r>
            <w:r>
              <w:rPr>
                <w:rFonts w:hint="default" w:cs="Times New Roman"/>
                <w:color w:val="auto"/>
                <w:sz w:val="24"/>
                <w:lang w:val="en-US" w:eastAsia="zh-CN"/>
              </w:rPr>
              <w:t>min/次，本次环评按过料风量</w:t>
            </w:r>
            <w:r>
              <w:rPr>
                <w:rFonts w:hint="eastAsia" w:cs="Times New Roman"/>
                <w:color w:val="auto"/>
                <w:sz w:val="24"/>
                <w:lang w:val="en-US" w:eastAsia="zh-CN"/>
              </w:rPr>
              <w:t>2611</w:t>
            </w:r>
            <w:r>
              <w:rPr>
                <w:rFonts w:hint="default" w:cs="Times New Roman"/>
                <w:color w:val="auto"/>
                <w:sz w:val="24"/>
                <w:lang w:val="en-US" w:eastAsia="zh-CN"/>
              </w:rPr>
              <w:t>m</w:t>
            </w:r>
            <w:r>
              <w:rPr>
                <w:rFonts w:hint="default" w:cs="Times New Roman"/>
                <w:color w:val="auto"/>
                <w:sz w:val="24"/>
                <w:vertAlign w:val="superscript"/>
                <w:lang w:val="en-US" w:eastAsia="zh-CN"/>
              </w:rPr>
              <w:t>3</w:t>
            </w:r>
            <w:r>
              <w:rPr>
                <w:rFonts w:hint="default" w:cs="Times New Roman"/>
                <w:color w:val="auto"/>
                <w:sz w:val="24"/>
                <w:lang w:val="en-US" w:eastAsia="zh-CN"/>
              </w:rPr>
              <w:t>/个筒仓计算，</w:t>
            </w:r>
            <w:r>
              <w:rPr>
                <w:rFonts w:hint="eastAsia" w:cs="Times New Roman"/>
                <w:color w:val="auto"/>
                <w:sz w:val="24"/>
                <w:lang w:val="en-US" w:eastAsia="zh-CN"/>
              </w:rPr>
              <w:t>本项目水泥</w:t>
            </w:r>
            <w:r>
              <w:rPr>
                <w:rFonts w:hint="default" w:cs="Times New Roman"/>
                <w:color w:val="auto"/>
                <w:sz w:val="24"/>
                <w:lang w:val="en-US" w:eastAsia="zh-CN"/>
              </w:rPr>
              <w:t>筒仓粉尘产生量为</w:t>
            </w:r>
            <w:r>
              <w:rPr>
                <w:rFonts w:hint="eastAsia" w:cs="Times New Roman"/>
                <w:color w:val="auto"/>
                <w:sz w:val="24"/>
                <w:lang w:val="en-US" w:eastAsia="zh-CN"/>
              </w:rPr>
              <w:t>12</w:t>
            </w:r>
            <w:r>
              <w:rPr>
                <w:rFonts w:hint="default" w:cs="Times New Roman"/>
                <w:color w:val="auto"/>
                <w:sz w:val="24"/>
                <w:lang w:val="en-US" w:eastAsia="zh-CN"/>
              </w:rPr>
              <w:t>kg，则筒仓粉尘产生浓度为</w:t>
            </w:r>
            <w:r>
              <w:rPr>
                <w:rFonts w:hint="eastAsia" w:cs="Times New Roman"/>
                <w:color w:val="auto"/>
                <w:sz w:val="24"/>
                <w:lang w:val="en-US" w:eastAsia="zh-CN"/>
              </w:rPr>
              <w:t>4595.94</w:t>
            </w:r>
            <w:r>
              <w:rPr>
                <w:rFonts w:hint="default" w:cs="Times New Roman"/>
                <w:color w:val="auto"/>
                <w:sz w:val="24"/>
                <w:lang w:val="en-US" w:eastAsia="zh-CN"/>
              </w:rPr>
              <w:t>mg/m</w:t>
            </w:r>
            <w:r>
              <w:rPr>
                <w:rFonts w:hint="default" w:cs="Times New Roman"/>
                <w:color w:val="auto"/>
                <w:sz w:val="24"/>
                <w:vertAlign w:val="superscript"/>
                <w:lang w:val="en-US" w:eastAsia="zh-CN"/>
              </w:rPr>
              <w:t>3</w:t>
            </w:r>
            <w:r>
              <w:rPr>
                <w:rFonts w:hint="default" w:cs="Times New Roman"/>
                <w:color w:val="auto"/>
                <w:sz w:val="24"/>
                <w:lang w:val="en-US" w:eastAsia="zh-CN"/>
              </w:rPr>
              <w:t>。</w:t>
            </w:r>
          </w:p>
          <w:p w14:paraId="1766C8AB">
            <w:pPr>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本项目</w:t>
            </w:r>
            <w:r>
              <w:rPr>
                <w:rFonts w:hint="default" w:cs="Times New Roman"/>
                <w:color w:val="auto"/>
                <w:sz w:val="24"/>
                <w:lang w:val="en-US" w:eastAsia="zh-CN"/>
              </w:rPr>
              <w:t>水泥总用量为</w:t>
            </w:r>
            <w:r>
              <w:rPr>
                <w:rFonts w:hint="eastAsia" w:cs="Times New Roman"/>
                <w:color w:val="auto"/>
                <w:sz w:val="24"/>
                <w:lang w:val="en-US" w:eastAsia="zh-CN"/>
              </w:rPr>
              <w:t>950</w:t>
            </w:r>
            <w:r>
              <w:rPr>
                <w:rFonts w:hint="default" w:cs="Times New Roman"/>
                <w:color w:val="auto"/>
                <w:sz w:val="24"/>
                <w:lang w:val="en-US" w:eastAsia="zh-CN"/>
              </w:rPr>
              <w:t>t/a</w:t>
            </w:r>
            <w:r>
              <w:rPr>
                <w:rFonts w:hint="eastAsia" w:cs="Times New Roman"/>
                <w:color w:val="auto"/>
                <w:sz w:val="24"/>
                <w:lang w:val="en-US" w:eastAsia="zh-CN"/>
              </w:rPr>
              <w:t>，</w:t>
            </w:r>
            <w:r>
              <w:rPr>
                <w:rFonts w:hint="default" w:cs="Times New Roman"/>
                <w:color w:val="auto"/>
                <w:sz w:val="24"/>
                <w:lang w:val="en-US" w:eastAsia="zh-CN"/>
              </w:rPr>
              <w:t>则</w:t>
            </w:r>
            <w:r>
              <w:rPr>
                <w:rFonts w:hint="eastAsia" w:cs="Times New Roman"/>
                <w:color w:val="auto"/>
                <w:sz w:val="24"/>
                <w:lang w:val="en-US" w:eastAsia="zh-CN"/>
              </w:rPr>
              <w:t>水泥</w:t>
            </w:r>
            <w:r>
              <w:rPr>
                <w:rFonts w:hint="default" w:cs="Times New Roman"/>
                <w:color w:val="auto"/>
                <w:sz w:val="24"/>
                <w:lang w:val="en-US" w:eastAsia="zh-CN"/>
              </w:rPr>
              <w:t>筒仓粉尘产生量为</w:t>
            </w:r>
            <w:r>
              <w:rPr>
                <w:rFonts w:hint="eastAsia" w:cs="Times New Roman"/>
                <w:color w:val="auto"/>
                <w:sz w:val="24"/>
                <w:lang w:val="en-US" w:eastAsia="zh-CN"/>
              </w:rPr>
              <w:t>0.114</w:t>
            </w:r>
            <w:r>
              <w:rPr>
                <w:rFonts w:hint="default" w:cs="Times New Roman"/>
                <w:color w:val="auto"/>
                <w:sz w:val="24"/>
                <w:lang w:val="en-US" w:eastAsia="zh-CN"/>
              </w:rPr>
              <w:t>t/a。</w:t>
            </w:r>
          </w:p>
          <w:p w14:paraId="243584F4">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②治理措施</w:t>
            </w:r>
          </w:p>
          <w:p w14:paraId="634B32F2">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本项目水泥</w:t>
            </w:r>
            <w:r>
              <w:rPr>
                <w:rFonts w:hint="eastAsia" w:cs="Times New Roman"/>
                <w:color w:val="auto"/>
                <w:sz w:val="24"/>
                <w:lang w:val="en-US" w:eastAsia="zh-CN"/>
              </w:rPr>
              <w:t>筒仓</w:t>
            </w:r>
            <w:r>
              <w:rPr>
                <w:rFonts w:hint="default" w:cs="Times New Roman"/>
                <w:color w:val="auto"/>
                <w:sz w:val="24"/>
                <w:lang w:val="en-US" w:eastAsia="zh-CN"/>
              </w:rPr>
              <w:t>设置 1 台仓顶</w:t>
            </w:r>
            <w:r>
              <w:rPr>
                <w:rFonts w:hint="eastAsia" w:cs="Times New Roman"/>
                <w:color w:val="auto"/>
                <w:sz w:val="24"/>
                <w:lang w:val="en-US" w:eastAsia="zh-CN"/>
              </w:rPr>
              <w:t>脉冲除尘器</w:t>
            </w:r>
            <w:r>
              <w:rPr>
                <w:rFonts w:hint="default" w:cs="Times New Roman"/>
                <w:color w:val="auto"/>
                <w:sz w:val="24"/>
                <w:lang w:val="en-US" w:eastAsia="zh-CN"/>
              </w:rPr>
              <w:t>，</w:t>
            </w:r>
            <w:r>
              <w:rPr>
                <w:rFonts w:hint="eastAsia" w:cs="Times New Roman"/>
                <w:color w:val="auto"/>
                <w:sz w:val="24"/>
                <w:lang w:val="en-US" w:eastAsia="zh-CN"/>
              </w:rPr>
              <w:t>筒仓</w:t>
            </w:r>
            <w:r>
              <w:rPr>
                <w:rFonts w:hint="default" w:cs="Times New Roman"/>
                <w:color w:val="auto"/>
                <w:sz w:val="24"/>
                <w:lang w:val="en-US" w:eastAsia="zh-CN"/>
              </w:rPr>
              <w:t>粉尘经过仓顶</w:t>
            </w:r>
            <w:r>
              <w:rPr>
                <w:rFonts w:hint="eastAsia" w:cs="Times New Roman"/>
                <w:color w:val="auto"/>
                <w:sz w:val="24"/>
                <w:lang w:val="en-US" w:eastAsia="zh-CN"/>
              </w:rPr>
              <w:t>脉冲除尘器</w:t>
            </w:r>
            <w:r>
              <w:rPr>
                <w:rFonts w:hint="default" w:cs="Times New Roman"/>
                <w:color w:val="auto"/>
                <w:sz w:val="24"/>
                <w:lang w:val="en-US" w:eastAsia="zh-CN"/>
              </w:rPr>
              <w:t>处理后经仓顶排气口排放</w:t>
            </w:r>
            <w:r>
              <w:rPr>
                <w:rFonts w:hint="eastAsia" w:cs="Times New Roman"/>
                <w:color w:val="auto"/>
                <w:sz w:val="24"/>
                <w:lang w:val="en-US" w:eastAsia="zh-CN"/>
              </w:rPr>
              <w:t>（1#排气筒）</w:t>
            </w:r>
            <w:r>
              <w:rPr>
                <w:rFonts w:hint="default" w:cs="Times New Roman"/>
                <w:color w:val="auto"/>
                <w:sz w:val="24"/>
                <w:lang w:val="en-US" w:eastAsia="zh-CN"/>
              </w:rPr>
              <w:t>。本项目产生的颗粒物为常温，经仓顶</w:t>
            </w:r>
            <w:r>
              <w:rPr>
                <w:rFonts w:hint="eastAsia" w:cs="Times New Roman"/>
                <w:color w:val="auto"/>
                <w:sz w:val="24"/>
                <w:lang w:val="en-US" w:eastAsia="zh-CN"/>
              </w:rPr>
              <w:t>脉冲除尘器</w:t>
            </w:r>
            <w:r>
              <w:rPr>
                <w:rFonts w:hint="default" w:cs="Times New Roman"/>
                <w:color w:val="auto"/>
                <w:sz w:val="24"/>
                <w:lang w:val="en-US" w:eastAsia="zh-CN"/>
              </w:rPr>
              <w:t>处理为当前成熟可行工艺，处理效率高且运行成本较低，技术经济上可行。</w:t>
            </w:r>
          </w:p>
          <w:p w14:paraId="4CC5ABE5">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③排放情况</w:t>
            </w:r>
          </w:p>
          <w:p w14:paraId="7B8C2C91">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根据以上分析，</w:t>
            </w:r>
            <w:r>
              <w:rPr>
                <w:rFonts w:hint="default" w:cs="Times New Roman"/>
                <w:color w:val="auto"/>
                <w:sz w:val="24"/>
                <w:lang w:val="en-US" w:eastAsia="zh-CN"/>
              </w:rPr>
              <w:t>废气收集效率以100%计，除尘效率均以 99.</w:t>
            </w:r>
            <w:r>
              <w:rPr>
                <w:rFonts w:hint="eastAsia" w:cs="Times New Roman"/>
                <w:color w:val="auto"/>
                <w:sz w:val="24"/>
                <w:lang w:val="en-US" w:eastAsia="zh-CN"/>
              </w:rPr>
              <w:t>9</w:t>
            </w:r>
            <w:r>
              <w:rPr>
                <w:rFonts w:hint="default" w:cs="Times New Roman"/>
                <w:color w:val="auto"/>
                <w:sz w:val="24"/>
                <w:lang w:val="en-US" w:eastAsia="zh-CN"/>
              </w:rPr>
              <w:t>%计，则本项目水泥卸料粉尘</w:t>
            </w:r>
            <w:r>
              <w:rPr>
                <w:rFonts w:hint="eastAsia" w:cs="Times New Roman"/>
                <w:color w:val="auto"/>
                <w:sz w:val="24"/>
                <w:lang w:val="en-US" w:eastAsia="zh-CN"/>
              </w:rPr>
              <w:t>排放情况见下表</w:t>
            </w:r>
            <w:r>
              <w:rPr>
                <w:rFonts w:hint="default" w:cs="Times New Roman"/>
                <w:color w:val="auto"/>
                <w:sz w:val="24"/>
                <w:lang w:val="en-US" w:eastAsia="zh-CN"/>
              </w:rPr>
              <w:t>。</w:t>
            </w:r>
          </w:p>
          <w:p w14:paraId="4AD72404">
            <w:pPr>
              <w:spacing w:line="360" w:lineRule="auto"/>
              <w:ind w:firstLine="422" w:firstLineChars="200"/>
              <w:jc w:val="center"/>
              <w:rPr>
                <w:rFonts w:hint="default" w:cs="Times New Roman"/>
                <w:b/>
                <w:bCs/>
                <w:color w:val="auto"/>
                <w:sz w:val="21"/>
                <w:szCs w:val="21"/>
                <w:lang w:val="en-US" w:eastAsia="zh-CN"/>
              </w:rPr>
            </w:pPr>
            <w:r>
              <w:rPr>
                <w:rFonts w:hint="default" w:cs="Times New Roman"/>
                <w:b/>
                <w:bCs/>
                <w:color w:val="auto"/>
                <w:sz w:val="21"/>
                <w:szCs w:val="21"/>
                <w:lang w:val="en-US" w:eastAsia="zh-CN"/>
              </w:rPr>
              <w:t>表5-</w:t>
            </w:r>
            <w:r>
              <w:rPr>
                <w:rFonts w:hint="eastAsia" w:cs="Times New Roman"/>
                <w:b/>
                <w:bCs/>
                <w:color w:val="auto"/>
                <w:sz w:val="21"/>
                <w:szCs w:val="21"/>
                <w:lang w:val="en-US" w:eastAsia="zh-CN"/>
              </w:rPr>
              <w:t>2</w:t>
            </w:r>
            <w:r>
              <w:rPr>
                <w:rFonts w:hint="default" w:cs="Times New Roman"/>
                <w:b/>
                <w:bCs/>
                <w:color w:val="auto"/>
                <w:sz w:val="21"/>
                <w:szCs w:val="21"/>
                <w:lang w:val="en-US" w:eastAsia="zh-CN"/>
              </w:rPr>
              <w:t xml:space="preserve">    混凝土线筒仓粉尘产生情况</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40"/>
              <w:gridCol w:w="698"/>
              <w:gridCol w:w="962"/>
              <w:gridCol w:w="846"/>
              <w:gridCol w:w="1010"/>
              <w:gridCol w:w="1195"/>
              <w:gridCol w:w="846"/>
              <w:gridCol w:w="1010"/>
              <w:gridCol w:w="1196"/>
              <w:gridCol w:w="759"/>
            </w:tblGrid>
            <w:tr w14:paraId="1FC47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vAlign w:val="center"/>
                </w:tcPr>
                <w:p w14:paraId="2734758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仓筒</w:t>
                  </w:r>
                </w:p>
                <w:p w14:paraId="57AB0419">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位置</w:t>
                  </w:r>
                </w:p>
              </w:tc>
              <w:tc>
                <w:tcPr>
                  <w:tcW w:w="371" w:type="pct"/>
                  <w:tcBorders>
                    <w:tl2br w:val="nil"/>
                    <w:tr2bl w:val="nil"/>
                  </w:tcBorders>
                  <w:vAlign w:val="center"/>
                </w:tcPr>
                <w:p w14:paraId="69E4BDC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物料耗量（t）</w:t>
                  </w:r>
                </w:p>
              </w:tc>
              <w:tc>
                <w:tcPr>
                  <w:tcW w:w="350" w:type="pct"/>
                  <w:tcBorders>
                    <w:tl2br w:val="nil"/>
                    <w:tr2bl w:val="nil"/>
                  </w:tcBorders>
                  <w:vAlign w:val="center"/>
                </w:tcPr>
                <w:p w14:paraId="7E25F9E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筒仓容量（t）</w:t>
                  </w:r>
                </w:p>
              </w:tc>
              <w:tc>
                <w:tcPr>
                  <w:tcW w:w="482" w:type="pct"/>
                  <w:tcBorders>
                    <w:tl2br w:val="nil"/>
                    <w:tr2bl w:val="nil"/>
                  </w:tcBorders>
                  <w:vAlign w:val="center"/>
                </w:tcPr>
                <w:p w14:paraId="15D9EE14">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产生系数（kg/t）</w:t>
                  </w:r>
                </w:p>
              </w:tc>
              <w:tc>
                <w:tcPr>
                  <w:tcW w:w="424" w:type="pct"/>
                  <w:tcBorders>
                    <w:tl2br w:val="nil"/>
                    <w:tr2bl w:val="nil"/>
                  </w:tcBorders>
                  <w:vAlign w:val="center"/>
                </w:tcPr>
                <w:p w14:paraId="4D4C8C03">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产生量（t/a）</w:t>
                  </w:r>
                </w:p>
              </w:tc>
              <w:tc>
                <w:tcPr>
                  <w:tcW w:w="506" w:type="pct"/>
                  <w:tcBorders>
                    <w:tl2br w:val="nil"/>
                    <w:tr2bl w:val="nil"/>
                  </w:tcBorders>
                  <w:vAlign w:val="center"/>
                </w:tcPr>
                <w:p w14:paraId="66603631">
                  <w:pPr>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产生速率（kg/h）</w:t>
                  </w:r>
                </w:p>
              </w:tc>
              <w:tc>
                <w:tcPr>
                  <w:tcW w:w="599" w:type="pct"/>
                  <w:tcBorders>
                    <w:tl2br w:val="nil"/>
                    <w:tr2bl w:val="nil"/>
                  </w:tcBorders>
                  <w:vAlign w:val="center"/>
                </w:tcPr>
                <w:p w14:paraId="7D03950A">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产生浓度（mg/m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tc>
              <w:tc>
                <w:tcPr>
                  <w:tcW w:w="424" w:type="pct"/>
                  <w:tcBorders>
                    <w:tl2br w:val="nil"/>
                    <w:tr2bl w:val="nil"/>
                  </w:tcBorders>
                  <w:vAlign w:val="center"/>
                </w:tcPr>
                <w:p w14:paraId="788E885C">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排放量（t/a）</w:t>
                  </w:r>
                </w:p>
              </w:tc>
              <w:tc>
                <w:tcPr>
                  <w:tcW w:w="506" w:type="pct"/>
                  <w:tcBorders>
                    <w:tl2br w:val="nil"/>
                    <w:tr2bl w:val="nil"/>
                  </w:tcBorders>
                  <w:vAlign w:val="center"/>
                </w:tcPr>
                <w:p w14:paraId="36823BD0">
                  <w:pPr>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排放速率（kg/h）</w:t>
                  </w:r>
                </w:p>
              </w:tc>
              <w:tc>
                <w:tcPr>
                  <w:tcW w:w="599" w:type="pct"/>
                  <w:tcBorders>
                    <w:tl2br w:val="nil"/>
                    <w:tr2bl w:val="nil"/>
                  </w:tcBorders>
                  <w:vAlign w:val="center"/>
                </w:tcPr>
                <w:p w14:paraId="6BA53600">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排放浓度（mg/m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w:t>
                  </w:r>
                </w:p>
              </w:tc>
              <w:tc>
                <w:tcPr>
                  <w:tcW w:w="380" w:type="pct"/>
                  <w:tcBorders>
                    <w:tl2br w:val="nil"/>
                    <w:tr2bl w:val="nil"/>
                  </w:tcBorders>
                  <w:vAlign w:val="center"/>
                </w:tcPr>
                <w:p w14:paraId="0793D39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除尘效率</w:t>
                  </w:r>
                </w:p>
              </w:tc>
            </w:tr>
            <w:tr w14:paraId="0596B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vAlign w:val="center"/>
                </w:tcPr>
                <w:p w14:paraId="793147E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水泥仓</w:t>
                  </w:r>
                </w:p>
              </w:tc>
              <w:tc>
                <w:tcPr>
                  <w:tcW w:w="371" w:type="pct"/>
                  <w:tcBorders>
                    <w:tl2br w:val="nil"/>
                    <w:tr2bl w:val="nil"/>
                  </w:tcBorders>
                  <w:vAlign w:val="center"/>
                </w:tcPr>
                <w:p w14:paraId="6E052189">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950</w:t>
                  </w:r>
                </w:p>
              </w:tc>
              <w:tc>
                <w:tcPr>
                  <w:tcW w:w="350" w:type="pct"/>
                  <w:tcBorders>
                    <w:tl2br w:val="nil"/>
                    <w:tr2bl w:val="nil"/>
                  </w:tcBorders>
                  <w:vAlign w:val="center"/>
                </w:tcPr>
                <w:p w14:paraId="0FA8C7DF">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482" w:type="pct"/>
                  <w:tcBorders>
                    <w:tl2br w:val="nil"/>
                    <w:tr2bl w:val="nil"/>
                  </w:tcBorders>
                  <w:vAlign w:val="center"/>
                </w:tcPr>
                <w:p w14:paraId="2C9AF616">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0.12</w:t>
                  </w:r>
                </w:p>
              </w:tc>
              <w:tc>
                <w:tcPr>
                  <w:tcW w:w="424" w:type="pct"/>
                  <w:tcBorders>
                    <w:tl2br w:val="nil"/>
                    <w:tr2bl w:val="nil"/>
                  </w:tcBorders>
                  <w:vAlign w:val="center"/>
                </w:tcPr>
                <w:p w14:paraId="13EC1390">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0.114</w:t>
                  </w:r>
                </w:p>
              </w:tc>
              <w:tc>
                <w:tcPr>
                  <w:tcW w:w="506" w:type="pct"/>
                  <w:tcBorders>
                    <w:tl2br w:val="nil"/>
                    <w:tr2bl w:val="nil"/>
                  </w:tcBorders>
                  <w:vAlign w:val="center"/>
                </w:tcPr>
                <w:p w14:paraId="7B649784">
                  <w:pPr>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10.1</w:t>
                  </w:r>
                </w:p>
              </w:tc>
              <w:tc>
                <w:tcPr>
                  <w:tcW w:w="599" w:type="pct"/>
                  <w:tcBorders>
                    <w:tl2br w:val="nil"/>
                    <w:tr2bl w:val="nil"/>
                  </w:tcBorders>
                  <w:vAlign w:val="center"/>
                </w:tcPr>
                <w:p w14:paraId="4B0BE258">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4595.94</w:t>
                  </w:r>
                </w:p>
              </w:tc>
              <w:tc>
                <w:tcPr>
                  <w:tcW w:w="424" w:type="pct"/>
                  <w:tcBorders>
                    <w:tl2br w:val="nil"/>
                    <w:tr2bl w:val="nil"/>
                  </w:tcBorders>
                  <w:vAlign w:val="center"/>
                </w:tcPr>
                <w:p w14:paraId="216C1E45">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0.000114</w:t>
                  </w:r>
                </w:p>
              </w:tc>
              <w:tc>
                <w:tcPr>
                  <w:tcW w:w="506" w:type="pct"/>
                  <w:tcBorders>
                    <w:tl2br w:val="nil"/>
                    <w:tr2bl w:val="nil"/>
                  </w:tcBorders>
                  <w:vAlign w:val="center"/>
                </w:tcPr>
                <w:p w14:paraId="67CB57F6">
                  <w:pPr>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0.0101</w:t>
                  </w:r>
                </w:p>
              </w:tc>
              <w:tc>
                <w:tcPr>
                  <w:tcW w:w="599" w:type="pct"/>
                  <w:tcBorders>
                    <w:tl2br w:val="nil"/>
                    <w:tr2bl w:val="nil"/>
                  </w:tcBorders>
                  <w:vAlign w:val="center"/>
                </w:tcPr>
                <w:p w14:paraId="04AF12DA">
                  <w:pPr>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4.6</w:t>
                  </w:r>
                </w:p>
              </w:tc>
              <w:tc>
                <w:tcPr>
                  <w:tcW w:w="380" w:type="pct"/>
                  <w:tcBorders>
                    <w:tl2br w:val="nil"/>
                    <w:tr2bl w:val="nil"/>
                  </w:tcBorders>
                  <w:vAlign w:val="center"/>
                </w:tcPr>
                <w:p w14:paraId="6FBFF87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仓顶布袋除尘器99.</w:t>
                  </w:r>
                  <w:r>
                    <w:rPr>
                      <w:rFonts w:hint="eastAsia" w:cs="Times New Roman"/>
                      <w:color w:val="auto"/>
                      <w:sz w:val="18"/>
                      <w:szCs w:val="18"/>
                      <w:lang w:val="en-US" w:eastAsia="zh-CN"/>
                    </w:rPr>
                    <w:t>9</w:t>
                  </w:r>
                  <w:r>
                    <w:rPr>
                      <w:rFonts w:hint="default" w:ascii="Times New Roman" w:hAnsi="Times New Roman" w:cs="Times New Roman"/>
                      <w:color w:val="auto"/>
                      <w:sz w:val="18"/>
                      <w:szCs w:val="18"/>
                      <w:lang w:val="en-US" w:eastAsia="zh-CN"/>
                    </w:rPr>
                    <w:t>%</w:t>
                  </w:r>
                </w:p>
              </w:tc>
            </w:tr>
          </w:tbl>
          <w:p w14:paraId="3C4B8EFF">
            <w:pPr>
              <w:spacing w:line="360" w:lineRule="auto"/>
              <w:ind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（4）搅拌过程中产生的粉尘</w:t>
            </w:r>
          </w:p>
          <w:p w14:paraId="1F2095EA">
            <w:pPr>
              <w:spacing w:line="360" w:lineRule="auto"/>
              <w:ind w:firstLine="480" w:firstLineChars="200"/>
              <w:rPr>
                <w:rFonts w:hint="eastAsia"/>
                <w:bCs/>
                <w:color w:val="000000"/>
                <w:spacing w:val="4"/>
                <w:sz w:val="24"/>
              </w:rPr>
            </w:pPr>
            <w:r>
              <w:rPr>
                <w:rFonts w:hint="default" w:cs="Times New Roman"/>
                <w:color w:val="auto"/>
                <w:sz w:val="24"/>
                <w:lang w:val="en-US" w:eastAsia="zh-CN"/>
              </w:rPr>
              <w:t>①产生情况</w:t>
            </w:r>
          </w:p>
          <w:p w14:paraId="0827140D">
            <w:pPr>
              <w:spacing w:line="360" w:lineRule="auto"/>
              <w:ind w:firstLine="496" w:firstLineChars="200"/>
              <w:rPr>
                <w:rFonts w:hint="default" w:cs="Times New Roman"/>
                <w:color w:val="auto"/>
                <w:sz w:val="24"/>
                <w:lang w:val="en-US" w:eastAsia="zh-CN"/>
              </w:rPr>
            </w:pPr>
            <w:r>
              <w:rPr>
                <w:rFonts w:hint="eastAsia"/>
                <w:bCs/>
                <w:color w:val="000000"/>
                <w:spacing w:val="4"/>
                <w:sz w:val="24"/>
              </w:rPr>
              <w:t>本项目物料自</w:t>
            </w:r>
            <w:r>
              <w:rPr>
                <w:rFonts w:hint="eastAsia"/>
                <w:bCs/>
                <w:color w:val="000000"/>
                <w:spacing w:val="4"/>
                <w:sz w:val="24"/>
                <w:lang w:val="en-US" w:eastAsia="zh-CN"/>
              </w:rPr>
              <w:t>料斗</w:t>
            </w:r>
            <w:r>
              <w:rPr>
                <w:rFonts w:hint="eastAsia"/>
                <w:bCs/>
                <w:color w:val="000000"/>
                <w:spacing w:val="4"/>
                <w:sz w:val="24"/>
              </w:rPr>
              <w:t>入搅拌机、水泥自筒仓底螺旋输送机至水泥秤入搅拌机的落料过程中会产生粉尘；</w:t>
            </w:r>
            <w:r>
              <w:rPr>
                <w:rFonts w:hint="eastAsia"/>
                <w:bCs/>
                <w:sz w:val="24"/>
              </w:rPr>
              <w:t>搅拌机</w:t>
            </w:r>
            <w:r>
              <w:rPr>
                <w:bCs/>
                <w:sz w:val="24"/>
              </w:rPr>
              <w:t>在搅拌过程中会产生粉尘</w:t>
            </w:r>
            <w:r>
              <w:rPr>
                <w:rFonts w:hint="eastAsia"/>
                <w:bCs/>
                <w:sz w:val="24"/>
              </w:rPr>
              <w:t>。</w:t>
            </w:r>
            <w:r>
              <w:rPr>
                <w:rFonts w:hint="eastAsia" w:cs="Times New Roman"/>
                <w:color w:val="auto"/>
                <w:sz w:val="24"/>
                <w:lang w:val="en-US" w:eastAsia="zh-CN"/>
              </w:rPr>
              <w:t>参考《逸散性工业粉尘控制技术》“表22-1混凝土分批搅拌厂的散逸尘排放因子”中“装水泥、砂和粒料入冷拌机”产污系数0.02kg/t物料，排气速度大约为3.16~3.3m</w:t>
            </w:r>
            <w:r>
              <w:rPr>
                <w:rFonts w:hint="eastAsia" w:cs="Times New Roman"/>
                <w:color w:val="auto"/>
                <w:sz w:val="24"/>
                <w:vertAlign w:val="superscript"/>
                <w:lang w:val="en-US" w:eastAsia="zh-CN"/>
              </w:rPr>
              <w:t>3</w:t>
            </w:r>
            <w:r>
              <w:rPr>
                <w:rFonts w:hint="eastAsia" w:cs="Times New Roman"/>
                <w:color w:val="auto"/>
                <w:sz w:val="24"/>
                <w:lang w:val="en-US" w:eastAsia="zh-CN"/>
              </w:rPr>
              <w:t>/s（本项目取3.16m</w:t>
            </w:r>
            <w:r>
              <w:rPr>
                <w:rFonts w:hint="eastAsia" w:cs="Times New Roman"/>
                <w:color w:val="auto"/>
                <w:sz w:val="24"/>
                <w:vertAlign w:val="superscript"/>
                <w:lang w:val="en-US" w:eastAsia="zh-CN"/>
              </w:rPr>
              <w:t>3</w:t>
            </w:r>
            <w:r>
              <w:rPr>
                <w:rFonts w:hint="eastAsia" w:cs="Times New Roman"/>
                <w:color w:val="auto"/>
                <w:sz w:val="24"/>
                <w:lang w:val="en-US" w:eastAsia="zh-CN"/>
              </w:rPr>
              <w:t>/s）。根据建设单位提供资料，项目水泥年使用量为950t，石子2850t，砂1900t，则本项目搅拌机搅拌过程粉尘产生量约为114kg/a。</w:t>
            </w:r>
          </w:p>
          <w:p w14:paraId="72EBE4E4">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②治理措施</w:t>
            </w:r>
          </w:p>
          <w:p w14:paraId="1A6D34A2">
            <w:pPr>
              <w:spacing w:line="360" w:lineRule="auto"/>
              <w:ind w:firstLine="480" w:firstLineChars="200"/>
              <w:rPr>
                <w:rFonts w:hint="eastAsia"/>
                <w:bCs/>
                <w:sz w:val="24"/>
              </w:rPr>
            </w:pPr>
            <w:r>
              <w:rPr>
                <w:rFonts w:hint="eastAsia"/>
                <w:bCs/>
                <w:sz w:val="24"/>
                <w:lang w:val="en-US" w:eastAsia="zh-CN"/>
              </w:rPr>
              <w:t>本项目</w:t>
            </w:r>
            <w:r>
              <w:rPr>
                <w:bCs/>
                <w:sz w:val="24"/>
              </w:rPr>
              <w:t>对搅拌机配套一台脉冲式布袋除尘器进行除尘处理后经</w:t>
            </w:r>
            <w:r>
              <w:rPr>
                <w:rFonts w:hint="eastAsia"/>
                <w:bCs/>
                <w:sz w:val="24"/>
              </w:rPr>
              <w:t>15m</w:t>
            </w:r>
            <w:r>
              <w:rPr>
                <w:bCs/>
                <w:sz w:val="24"/>
              </w:rPr>
              <w:t>高排气筒排放</w:t>
            </w:r>
            <w:r>
              <w:rPr>
                <w:rFonts w:hint="eastAsia"/>
                <w:bCs/>
                <w:sz w:val="24"/>
                <w:lang w:eastAsia="zh-CN"/>
              </w:rPr>
              <w:t>（</w:t>
            </w:r>
            <w:r>
              <w:rPr>
                <w:rFonts w:hint="eastAsia"/>
                <w:bCs/>
                <w:sz w:val="24"/>
                <w:lang w:val="en-US" w:eastAsia="zh-CN"/>
              </w:rPr>
              <w:t>2#排气筒</w:t>
            </w:r>
            <w:r>
              <w:rPr>
                <w:rFonts w:hint="eastAsia"/>
                <w:bCs/>
                <w:sz w:val="24"/>
                <w:lang w:eastAsia="zh-CN"/>
              </w:rPr>
              <w:t>）</w:t>
            </w:r>
            <w:r>
              <w:rPr>
                <w:rFonts w:hint="eastAsia"/>
                <w:bCs/>
                <w:sz w:val="24"/>
              </w:rPr>
              <w:t>。具体为：在搅拌机上方各设置一个2m</w:t>
            </w:r>
            <w:r>
              <w:rPr>
                <w:rFonts w:hint="eastAsia"/>
                <w:bCs/>
                <w:sz w:val="24"/>
                <w:vertAlign w:val="superscript"/>
              </w:rPr>
              <w:t>2</w:t>
            </w:r>
            <w:r>
              <w:rPr>
                <w:rFonts w:hint="eastAsia"/>
                <w:bCs/>
                <w:sz w:val="24"/>
              </w:rPr>
              <w:t>的集气罩，收集搅拌过程中产生的粉尘</w:t>
            </w:r>
            <w:r>
              <w:rPr>
                <w:rFonts w:hint="eastAsia"/>
                <w:bCs/>
                <w:color w:val="000000"/>
                <w:spacing w:val="4"/>
                <w:sz w:val="24"/>
              </w:rPr>
              <w:t>。</w:t>
            </w:r>
          </w:p>
          <w:p w14:paraId="007B4619">
            <w:pPr>
              <w:spacing w:line="360" w:lineRule="auto"/>
              <w:ind w:firstLine="480" w:firstLineChars="200"/>
              <w:rPr>
                <w:rFonts w:hint="eastAsia"/>
                <w:bCs/>
                <w:sz w:val="24"/>
              </w:rPr>
            </w:pPr>
            <w:r>
              <w:rPr>
                <w:rFonts w:hint="default" w:cs="Times New Roman"/>
                <w:color w:val="auto"/>
                <w:sz w:val="24"/>
                <w:lang w:val="en-US" w:eastAsia="zh-CN"/>
              </w:rPr>
              <w:t>③排放情况</w:t>
            </w:r>
          </w:p>
          <w:p w14:paraId="71720F87">
            <w:pPr>
              <w:spacing w:line="360" w:lineRule="auto"/>
              <w:ind w:firstLine="480" w:firstLineChars="200"/>
              <w:rPr>
                <w:rFonts w:hint="eastAsia"/>
                <w:bCs/>
                <w:sz w:val="24"/>
              </w:rPr>
            </w:pPr>
            <w:r>
              <w:rPr>
                <w:rFonts w:hint="eastAsia"/>
                <w:bCs/>
                <w:sz w:val="24"/>
              </w:rPr>
              <w:t>搅拌机配套</w:t>
            </w:r>
            <w:r>
              <w:rPr>
                <w:rFonts w:hint="eastAsia"/>
                <w:bCs/>
                <w:sz w:val="24"/>
                <w:lang w:val="en-US" w:eastAsia="zh-CN"/>
              </w:rPr>
              <w:t>集气罩收集率为80%</w:t>
            </w:r>
            <w:r>
              <w:rPr>
                <w:bCs/>
                <w:sz w:val="24"/>
              </w:rPr>
              <w:t>，</w:t>
            </w:r>
            <w:r>
              <w:rPr>
                <w:rFonts w:hint="eastAsia"/>
                <w:bCs/>
                <w:sz w:val="24"/>
                <w:lang w:val="en-US" w:eastAsia="zh-CN"/>
              </w:rPr>
              <w:t>布袋除尘器处理效率按90%计。</w:t>
            </w:r>
            <w:r>
              <w:rPr>
                <w:rFonts w:hint="eastAsia"/>
                <w:bCs/>
                <w:sz w:val="24"/>
              </w:rPr>
              <w:t>除尘器风量为</w:t>
            </w:r>
            <w:r>
              <w:rPr>
                <w:rFonts w:hint="eastAsia"/>
                <w:bCs/>
                <w:sz w:val="24"/>
                <w:lang w:val="en-US" w:eastAsia="zh-CN"/>
              </w:rPr>
              <w:t>10</w:t>
            </w:r>
            <w:r>
              <w:rPr>
                <w:rFonts w:hint="eastAsia"/>
                <w:bCs/>
                <w:sz w:val="24"/>
              </w:rPr>
              <w:t>000m</w:t>
            </w:r>
            <w:r>
              <w:rPr>
                <w:rFonts w:hint="eastAsia"/>
                <w:bCs/>
                <w:sz w:val="24"/>
                <w:vertAlign w:val="superscript"/>
              </w:rPr>
              <w:t>3</w:t>
            </w:r>
            <w:r>
              <w:rPr>
                <w:rFonts w:hint="eastAsia"/>
                <w:bCs/>
                <w:sz w:val="24"/>
              </w:rPr>
              <w:t>/h，</w:t>
            </w:r>
            <w:r>
              <w:rPr>
                <w:bCs/>
                <w:sz w:val="24"/>
              </w:rPr>
              <w:t>则搅拌机粉尘</w:t>
            </w:r>
            <w:r>
              <w:rPr>
                <w:rFonts w:hint="eastAsia"/>
                <w:bCs/>
                <w:sz w:val="24"/>
                <w:lang w:val="en-US" w:eastAsia="zh-CN"/>
              </w:rPr>
              <w:t>排放</w:t>
            </w:r>
            <w:r>
              <w:rPr>
                <w:bCs/>
                <w:sz w:val="24"/>
              </w:rPr>
              <w:t>量为</w:t>
            </w:r>
            <w:r>
              <w:rPr>
                <w:rFonts w:hint="eastAsia"/>
                <w:bCs/>
                <w:sz w:val="24"/>
                <w:lang w:val="en-US" w:eastAsia="zh-CN"/>
              </w:rPr>
              <w:t>9.12kg</w:t>
            </w:r>
            <w:r>
              <w:rPr>
                <w:bCs/>
                <w:sz w:val="24"/>
              </w:rPr>
              <w:t>/a，</w:t>
            </w:r>
            <w:r>
              <w:rPr>
                <w:rFonts w:hint="eastAsia"/>
                <w:bCs/>
                <w:sz w:val="24"/>
                <w:lang w:val="en-US" w:eastAsia="zh-CN"/>
              </w:rPr>
              <w:t>源强为0.0038kg/h，浓度为0.38</w:t>
            </w:r>
            <w:r>
              <w:rPr>
                <w:bCs/>
                <w:sz w:val="24"/>
              </w:rPr>
              <w:t>mg/m</w:t>
            </w:r>
            <w:r>
              <w:rPr>
                <w:bCs/>
                <w:sz w:val="24"/>
                <w:vertAlign w:val="superscript"/>
              </w:rPr>
              <w:t>3</w:t>
            </w:r>
            <w:r>
              <w:rPr>
                <w:rFonts w:hint="eastAsia"/>
                <w:bCs/>
                <w:sz w:val="24"/>
                <w:vertAlign w:val="baseline"/>
                <w:lang w:eastAsia="zh-CN"/>
              </w:rPr>
              <w:t>。</w:t>
            </w:r>
          </w:p>
          <w:p w14:paraId="0D7E0DAC">
            <w:pPr>
              <w:spacing w:line="360" w:lineRule="auto"/>
              <w:ind w:firstLine="480" w:firstLineChars="200"/>
              <w:jc w:val="left"/>
              <w:rPr>
                <w:rFonts w:hint="eastAsia" w:ascii="宋体" w:hAnsi="宋体" w:cs="宋体"/>
                <w:color w:val="auto"/>
                <w:sz w:val="24"/>
                <w:lang w:val="en-US" w:eastAsia="zh-CN"/>
              </w:rPr>
            </w:pPr>
            <w:r>
              <w:rPr>
                <w:rFonts w:hint="eastAsia" w:ascii="宋体" w:hAnsi="宋体" w:cs="宋体"/>
                <w:color w:val="auto"/>
                <w:sz w:val="24"/>
                <w:lang w:val="en-US" w:eastAsia="zh-CN"/>
              </w:rPr>
              <w:t>④无组织排放</w:t>
            </w:r>
          </w:p>
          <w:p w14:paraId="0CFC0C72">
            <w:pPr>
              <w:spacing w:line="360" w:lineRule="auto"/>
              <w:ind w:firstLine="480" w:firstLineChars="200"/>
              <w:rPr>
                <w:rFonts w:hint="default" w:ascii="Times New Roman" w:hAnsi="Times New Roman" w:eastAsia="宋体" w:cs="Times New Roman"/>
                <w:b w:val="0"/>
                <w:bCs w:val="0"/>
                <w:color w:val="auto"/>
                <w:sz w:val="24"/>
                <w:lang w:val="en-US"/>
              </w:rPr>
            </w:pPr>
            <w:r>
              <w:rPr>
                <w:rFonts w:hint="eastAsia" w:ascii="宋体" w:hAnsi="宋体" w:cs="宋体"/>
                <w:color w:val="auto"/>
                <w:sz w:val="24"/>
                <w:lang w:val="en-US" w:eastAsia="zh-CN"/>
              </w:rPr>
              <w:t>由于集气罩的收集效率在80%左右，因此，将会有20%的废气以无组织形式排放。该部分废气的排放量为22.8kg/a，0.0095kg/h。</w:t>
            </w:r>
          </w:p>
          <w:p w14:paraId="169AB488">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1"/>
                <w:szCs w:val="21"/>
                <w:lang w:val="en-US" w:eastAsia="zh-CN"/>
              </w:rPr>
              <w:t>表5-</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搅拌过程粉尘产生与排放情况表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501"/>
              <w:gridCol w:w="1658"/>
              <w:gridCol w:w="1670"/>
              <w:gridCol w:w="1652"/>
              <w:gridCol w:w="1681"/>
            </w:tblGrid>
            <w:tr w14:paraId="6016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3" w:type="pct"/>
                  <w:vMerge w:val="restart"/>
                  <w:vAlign w:val="center"/>
                </w:tcPr>
                <w:p w14:paraId="5210FA40">
                  <w:pPr>
                    <w:spacing w:line="240" w:lineRule="auto"/>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污染源</w:t>
                  </w:r>
                </w:p>
              </w:tc>
              <w:tc>
                <w:tcPr>
                  <w:tcW w:w="753" w:type="pct"/>
                  <w:vMerge w:val="restart"/>
                  <w:vAlign w:val="center"/>
                </w:tcPr>
                <w:p w14:paraId="61265C3D">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产生量（t/a）</w:t>
                  </w:r>
                </w:p>
              </w:tc>
              <w:tc>
                <w:tcPr>
                  <w:tcW w:w="832" w:type="pct"/>
                  <w:vMerge w:val="restart"/>
                  <w:vAlign w:val="center"/>
                </w:tcPr>
                <w:p w14:paraId="2EB59ECC">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产生</w:t>
                  </w:r>
                  <w:r>
                    <w:rPr>
                      <w:rFonts w:hint="eastAsia" w:cs="Times New Roman"/>
                      <w:sz w:val="18"/>
                      <w:szCs w:val="18"/>
                      <w:lang w:val="en-US" w:eastAsia="zh-CN"/>
                    </w:rPr>
                    <w:t>速率</w:t>
                  </w:r>
                  <w:r>
                    <w:rPr>
                      <w:rFonts w:hint="eastAsia" w:ascii="Times New Roman" w:hAnsi="Times New Roman" w:cs="Times New Roman"/>
                      <w:sz w:val="18"/>
                      <w:szCs w:val="18"/>
                      <w:lang w:val="en-US" w:eastAsia="zh-CN"/>
                    </w:rPr>
                    <w:t>（</w:t>
                  </w:r>
                  <w:r>
                    <w:rPr>
                      <w:rFonts w:hint="eastAsia" w:cs="Times New Roman"/>
                      <w:sz w:val="18"/>
                      <w:szCs w:val="18"/>
                      <w:lang w:val="en-US" w:eastAsia="zh-CN"/>
                    </w:rPr>
                    <w:t>k</w:t>
                  </w:r>
                  <w:r>
                    <w:rPr>
                      <w:rFonts w:hint="eastAsia" w:ascii="Times New Roman" w:hAnsi="Times New Roman" w:cs="Times New Roman"/>
                      <w:sz w:val="18"/>
                      <w:szCs w:val="18"/>
                      <w:lang w:val="en-US" w:eastAsia="zh-CN"/>
                    </w:rPr>
                    <w:t>g/</w:t>
                  </w:r>
                  <w:r>
                    <w:rPr>
                      <w:rFonts w:hint="eastAsia" w:cs="Times New Roman"/>
                      <w:sz w:val="18"/>
                      <w:szCs w:val="18"/>
                      <w:lang w:val="en-US" w:eastAsia="zh-CN"/>
                    </w:rPr>
                    <w:t>h</w:t>
                  </w:r>
                  <w:r>
                    <w:rPr>
                      <w:rFonts w:hint="eastAsia" w:ascii="Times New Roman" w:hAnsi="Times New Roman" w:cs="Times New Roman"/>
                      <w:sz w:val="18"/>
                      <w:szCs w:val="18"/>
                      <w:lang w:val="en-US" w:eastAsia="zh-CN"/>
                    </w:rPr>
                    <w:t>）</w:t>
                  </w:r>
                </w:p>
              </w:tc>
              <w:tc>
                <w:tcPr>
                  <w:tcW w:w="2511" w:type="pct"/>
                  <w:gridSpan w:val="3"/>
                  <w:vAlign w:val="center"/>
                </w:tcPr>
                <w:p w14:paraId="6C9C9779">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经脉冲除尘器除尘后</w:t>
                  </w:r>
                </w:p>
              </w:tc>
            </w:tr>
            <w:tr w14:paraId="68DD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pct"/>
                  <w:vMerge w:val="continue"/>
                  <w:vAlign w:val="center"/>
                </w:tcPr>
                <w:p w14:paraId="2B1E9581">
                  <w:pPr>
                    <w:spacing w:line="240" w:lineRule="auto"/>
                    <w:jc w:val="center"/>
                    <w:rPr>
                      <w:rFonts w:hint="default" w:ascii="Times New Roman" w:hAnsi="Times New Roman" w:cs="Times New Roman"/>
                      <w:sz w:val="18"/>
                      <w:szCs w:val="18"/>
                      <w:lang w:val="en-US" w:eastAsia="zh-CN"/>
                    </w:rPr>
                  </w:pPr>
                </w:p>
              </w:tc>
              <w:tc>
                <w:tcPr>
                  <w:tcW w:w="753" w:type="pct"/>
                  <w:vMerge w:val="continue"/>
                  <w:vAlign w:val="center"/>
                </w:tcPr>
                <w:p w14:paraId="1DDB99BE">
                  <w:pPr>
                    <w:spacing w:line="240" w:lineRule="auto"/>
                    <w:jc w:val="center"/>
                    <w:rPr>
                      <w:rFonts w:hint="default" w:ascii="Times New Roman" w:hAnsi="Times New Roman" w:cs="Times New Roman"/>
                      <w:sz w:val="18"/>
                      <w:szCs w:val="18"/>
                      <w:lang w:val="en-US" w:eastAsia="zh-CN"/>
                    </w:rPr>
                  </w:pPr>
                </w:p>
              </w:tc>
              <w:tc>
                <w:tcPr>
                  <w:tcW w:w="832" w:type="pct"/>
                  <w:vMerge w:val="continue"/>
                  <w:vAlign w:val="center"/>
                </w:tcPr>
                <w:p w14:paraId="13513BCB">
                  <w:pPr>
                    <w:spacing w:line="240" w:lineRule="auto"/>
                    <w:jc w:val="center"/>
                    <w:rPr>
                      <w:rFonts w:hint="default" w:ascii="Times New Roman" w:hAnsi="Times New Roman" w:cs="Times New Roman"/>
                      <w:sz w:val="18"/>
                      <w:szCs w:val="18"/>
                      <w:lang w:val="en-US" w:eastAsia="zh-CN"/>
                    </w:rPr>
                  </w:pPr>
                </w:p>
              </w:tc>
              <w:tc>
                <w:tcPr>
                  <w:tcW w:w="838" w:type="pct"/>
                  <w:vAlign w:val="center"/>
                </w:tcPr>
                <w:p w14:paraId="291FBCC2">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排放浓度（mg/m</w:t>
                  </w:r>
                  <w:r>
                    <w:rPr>
                      <w:rFonts w:hint="eastAsia" w:ascii="Times New Roman" w:hAnsi="Times New Roman" w:cs="Times New Roman"/>
                      <w:sz w:val="18"/>
                      <w:szCs w:val="18"/>
                      <w:vertAlign w:val="superscript"/>
                      <w:lang w:val="en-US" w:eastAsia="zh-CN"/>
                    </w:rPr>
                    <w:t>3</w:t>
                  </w:r>
                  <w:r>
                    <w:rPr>
                      <w:rFonts w:hint="eastAsia" w:ascii="Times New Roman" w:hAnsi="Times New Roman" w:cs="Times New Roman"/>
                      <w:sz w:val="18"/>
                      <w:szCs w:val="18"/>
                      <w:lang w:val="en-US" w:eastAsia="zh-CN"/>
                    </w:rPr>
                    <w:t>）</w:t>
                  </w:r>
                </w:p>
              </w:tc>
              <w:tc>
                <w:tcPr>
                  <w:tcW w:w="829" w:type="pct"/>
                  <w:vAlign w:val="center"/>
                </w:tcPr>
                <w:p w14:paraId="08D86662">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排放量（t/a）</w:t>
                  </w:r>
                </w:p>
              </w:tc>
              <w:tc>
                <w:tcPr>
                  <w:tcW w:w="843" w:type="pct"/>
                  <w:vAlign w:val="center"/>
                </w:tcPr>
                <w:p w14:paraId="3FD73702">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排放速率（kg/h）</w:t>
                  </w:r>
                </w:p>
              </w:tc>
            </w:tr>
            <w:tr w14:paraId="6F41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03" w:type="pct"/>
                  <w:vAlign w:val="center"/>
                </w:tcPr>
                <w:p w14:paraId="22ABDA24">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搅拌机</w:t>
                  </w:r>
                </w:p>
              </w:tc>
              <w:tc>
                <w:tcPr>
                  <w:tcW w:w="753" w:type="pct"/>
                  <w:vAlign w:val="center"/>
                </w:tcPr>
                <w:p w14:paraId="7958B6E6">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0.114</w:t>
                  </w:r>
                </w:p>
              </w:tc>
              <w:tc>
                <w:tcPr>
                  <w:tcW w:w="832" w:type="pct"/>
                  <w:vAlign w:val="center"/>
                </w:tcPr>
                <w:p w14:paraId="09CE76FD">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0.0475</w:t>
                  </w:r>
                </w:p>
              </w:tc>
              <w:tc>
                <w:tcPr>
                  <w:tcW w:w="838" w:type="pct"/>
                  <w:vAlign w:val="center"/>
                </w:tcPr>
                <w:p w14:paraId="78F63738">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2.45</w:t>
                  </w:r>
                </w:p>
              </w:tc>
              <w:tc>
                <w:tcPr>
                  <w:tcW w:w="829" w:type="pct"/>
                  <w:vAlign w:val="center"/>
                </w:tcPr>
                <w:p w14:paraId="788BA5CA">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0.00912</w:t>
                  </w:r>
                </w:p>
              </w:tc>
              <w:tc>
                <w:tcPr>
                  <w:tcW w:w="843" w:type="pct"/>
                  <w:vAlign w:val="center"/>
                </w:tcPr>
                <w:p w14:paraId="1A9A9358">
                  <w:pPr>
                    <w:spacing w:line="240" w:lineRule="auto"/>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w:t>
                  </w:r>
                  <w:r>
                    <w:rPr>
                      <w:rFonts w:hint="eastAsia" w:cs="Times New Roman"/>
                      <w:sz w:val="18"/>
                      <w:szCs w:val="18"/>
                      <w:lang w:val="en-US" w:eastAsia="zh-CN"/>
                    </w:rPr>
                    <w:t>038</w:t>
                  </w:r>
                </w:p>
              </w:tc>
            </w:tr>
          </w:tbl>
          <w:p w14:paraId="2697DA73">
            <w:pPr>
              <w:spacing w:line="360" w:lineRule="auto"/>
              <w:ind w:firstLine="480" w:firstLineChars="200"/>
              <w:rPr>
                <w:rFonts w:hint="default" w:ascii="Times New Roman" w:hAnsi="Times New Roman" w:eastAsia="宋体" w:cs="Times New Roman"/>
                <w:b w:val="0"/>
                <w:bCs w:val="0"/>
                <w:color w:val="auto"/>
                <w:sz w:val="24"/>
              </w:rPr>
            </w:pPr>
          </w:p>
          <w:p w14:paraId="0B0D0A3F">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5</w:t>
            </w:r>
            <w:r>
              <w:rPr>
                <w:rFonts w:hint="default" w:ascii="Times New Roman" w:hAnsi="Times New Roman" w:eastAsia="宋体" w:cs="Times New Roman"/>
                <w:b/>
                <w:bCs/>
                <w:color w:val="auto"/>
                <w:sz w:val="24"/>
              </w:rPr>
              <w:t>）汽车运输扬尘</w:t>
            </w:r>
          </w:p>
          <w:p w14:paraId="40CBC84F">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①产生情况</w:t>
            </w:r>
          </w:p>
          <w:p w14:paraId="35B7FE18">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本项目原料及产品在厂区内运输过程扬尘产生量按照以下经验公式估算。</w:t>
            </w:r>
          </w:p>
          <w:p w14:paraId="636EC72F">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drawing>
                <wp:anchor distT="0" distB="0" distL="0" distR="0" simplePos="0" relativeHeight="251660288" behindDoc="0" locked="0" layoutInCell="1" allowOverlap="1">
                  <wp:simplePos x="0" y="0"/>
                  <wp:positionH relativeFrom="page">
                    <wp:posOffset>1967865</wp:posOffset>
                  </wp:positionH>
                  <wp:positionV relativeFrom="paragraph">
                    <wp:posOffset>151765</wp:posOffset>
                  </wp:positionV>
                  <wp:extent cx="2313305" cy="828040"/>
                  <wp:effectExtent l="0" t="0" r="10795" b="10160"/>
                  <wp:wrapTopAndBottom/>
                  <wp:docPr id="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a:picLocks noChangeAspect="1"/>
                          </pic:cNvPicPr>
                        </pic:nvPicPr>
                        <pic:blipFill>
                          <a:blip r:embed="rId15" cstate="print"/>
                          <a:stretch>
                            <a:fillRect/>
                          </a:stretch>
                        </pic:blipFill>
                        <pic:spPr>
                          <a:xfrm>
                            <a:off x="0" y="0"/>
                            <a:ext cx="2313498" cy="828103"/>
                          </a:xfrm>
                          <a:prstGeom prst="rect">
                            <a:avLst/>
                          </a:prstGeom>
                        </pic:spPr>
                      </pic:pic>
                    </a:graphicData>
                  </a:graphic>
                </wp:anchor>
              </w:drawing>
            </w:r>
          </w:p>
          <w:p w14:paraId="14B02ECF">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式中：Qy——交通运输起尘量，kg/km·辆；</w:t>
            </w:r>
          </w:p>
          <w:p w14:paraId="13801858">
            <w:pPr>
              <w:spacing w:line="360" w:lineRule="auto"/>
              <w:ind w:firstLine="1200" w:firstLineChars="500"/>
              <w:rPr>
                <w:rFonts w:hint="default" w:cs="Times New Roman"/>
                <w:color w:val="auto"/>
                <w:sz w:val="24"/>
                <w:lang w:val="en-US" w:eastAsia="zh-CN"/>
              </w:rPr>
            </w:pPr>
            <w:r>
              <w:rPr>
                <w:rFonts w:hint="default" w:cs="Times New Roman"/>
                <w:color w:val="auto"/>
                <w:sz w:val="24"/>
                <w:lang w:val="en-US" w:eastAsia="zh-CN"/>
              </w:rPr>
              <w:t>Qt——运输途中起尘量，kg/a；</w:t>
            </w:r>
          </w:p>
          <w:p w14:paraId="00F5DBE6">
            <w:pPr>
              <w:spacing w:line="360" w:lineRule="auto"/>
              <w:ind w:firstLine="1200" w:firstLineChars="500"/>
              <w:rPr>
                <w:rFonts w:hint="default" w:cs="Times New Roman"/>
                <w:color w:val="auto"/>
                <w:sz w:val="24"/>
                <w:lang w:val="en-US" w:eastAsia="zh-CN"/>
              </w:rPr>
            </w:pPr>
            <w:r>
              <w:rPr>
                <w:rFonts w:hint="default" w:cs="Times New Roman"/>
                <w:color w:val="auto"/>
                <w:sz w:val="24"/>
                <w:lang w:val="en-US" w:eastAsia="zh-CN"/>
              </w:rPr>
              <w:t xml:space="preserve">V——车辆行驶速度，km/h；空车 20km/h，载重后 10km/h； </w:t>
            </w:r>
          </w:p>
          <w:p w14:paraId="6C3B5B3A">
            <w:pPr>
              <w:spacing w:line="360" w:lineRule="auto"/>
              <w:ind w:firstLine="1200" w:firstLineChars="500"/>
              <w:rPr>
                <w:rFonts w:hint="default" w:cs="Times New Roman"/>
                <w:color w:val="auto"/>
                <w:sz w:val="24"/>
                <w:lang w:val="en-US" w:eastAsia="zh-CN"/>
              </w:rPr>
            </w:pPr>
            <w:r>
              <w:rPr>
                <w:rFonts w:hint="default" w:cs="Times New Roman"/>
                <w:color w:val="auto"/>
                <w:sz w:val="24"/>
                <w:lang w:val="en-US" w:eastAsia="zh-CN"/>
              </w:rPr>
              <w:t>P——路面状况，以每平方米路面灰尘覆盖率表示，kg/m</w:t>
            </w:r>
            <w:r>
              <w:rPr>
                <w:rFonts w:hint="default" w:cs="Times New Roman"/>
                <w:color w:val="auto"/>
                <w:sz w:val="24"/>
                <w:vertAlign w:val="superscript"/>
                <w:lang w:val="en-US" w:eastAsia="zh-CN"/>
              </w:rPr>
              <w:t>2</w:t>
            </w:r>
            <w:r>
              <w:rPr>
                <w:rFonts w:hint="default" w:cs="Times New Roman"/>
                <w:color w:val="auto"/>
                <w:sz w:val="24"/>
                <w:lang w:val="en-US" w:eastAsia="zh-CN"/>
              </w:rPr>
              <w:t>；</w:t>
            </w:r>
          </w:p>
          <w:p w14:paraId="5BDD6D72">
            <w:pPr>
              <w:spacing w:line="360" w:lineRule="auto"/>
              <w:ind w:firstLine="1200" w:firstLineChars="500"/>
              <w:rPr>
                <w:rFonts w:hint="default" w:cs="Times New Roman"/>
                <w:color w:val="auto"/>
                <w:sz w:val="24"/>
                <w:lang w:val="en-US" w:eastAsia="zh-CN"/>
              </w:rPr>
            </w:pPr>
            <w:r>
              <w:rPr>
                <w:rFonts w:hint="default" w:cs="Times New Roman"/>
                <w:color w:val="auto"/>
                <w:sz w:val="24"/>
                <w:lang w:val="en-US" w:eastAsia="zh-CN"/>
              </w:rPr>
              <w:t xml:space="preserve">M——车辆载重，t/辆。原料运输车空车自重 10t，载重后总重 </w:t>
            </w:r>
            <w:r>
              <w:rPr>
                <w:rFonts w:hint="eastAsia" w:cs="Times New Roman"/>
                <w:color w:val="auto"/>
                <w:sz w:val="24"/>
                <w:lang w:val="en-US" w:eastAsia="zh-CN"/>
              </w:rPr>
              <w:t>20</w:t>
            </w:r>
            <w:r>
              <w:rPr>
                <w:rFonts w:hint="default" w:cs="Times New Roman"/>
                <w:color w:val="auto"/>
                <w:sz w:val="24"/>
                <w:lang w:val="en-US" w:eastAsia="zh-CN"/>
              </w:rPr>
              <w:t>t；混凝土运输车空车自重 6t，载重后总重 25.2t；</w:t>
            </w:r>
          </w:p>
          <w:p w14:paraId="78C5BBC6">
            <w:pPr>
              <w:spacing w:line="360" w:lineRule="auto"/>
              <w:ind w:firstLine="1200" w:firstLineChars="500"/>
              <w:rPr>
                <w:rFonts w:hint="default" w:cs="Times New Roman"/>
                <w:color w:val="auto"/>
                <w:sz w:val="24"/>
                <w:lang w:val="en-US" w:eastAsia="zh-CN"/>
              </w:rPr>
            </w:pPr>
            <w:r>
              <w:rPr>
                <w:rFonts w:hint="default" w:cs="Times New Roman"/>
                <w:color w:val="auto"/>
                <w:sz w:val="24"/>
                <w:lang w:val="en-US" w:eastAsia="zh-CN"/>
              </w:rPr>
              <w:t xml:space="preserve">L——运输距离，km； </w:t>
            </w:r>
          </w:p>
          <w:p w14:paraId="2736CB20">
            <w:pPr>
              <w:spacing w:line="360" w:lineRule="auto"/>
              <w:ind w:firstLine="1200" w:firstLineChars="500"/>
              <w:rPr>
                <w:rFonts w:hint="default" w:cs="Times New Roman"/>
                <w:color w:val="auto"/>
                <w:sz w:val="24"/>
                <w:lang w:val="en-US" w:eastAsia="zh-CN"/>
              </w:rPr>
            </w:pPr>
            <w:r>
              <w:rPr>
                <w:rFonts w:hint="default" w:cs="Times New Roman"/>
                <w:color w:val="auto"/>
                <w:sz w:val="24"/>
                <w:lang w:val="en-US" w:eastAsia="zh-CN"/>
              </w:rPr>
              <w:t>Q——运输量，t/a。</w:t>
            </w:r>
          </w:p>
          <w:p w14:paraId="64053AF5">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本项目</w:t>
            </w:r>
            <w:r>
              <w:rPr>
                <w:rFonts w:hint="eastAsia" w:cs="Times New Roman"/>
                <w:color w:val="auto"/>
                <w:sz w:val="24"/>
                <w:lang w:val="en-US" w:eastAsia="zh-CN"/>
              </w:rPr>
              <w:t>砂石原料</w:t>
            </w:r>
            <w:r>
              <w:rPr>
                <w:rFonts w:hint="default" w:cs="Times New Roman"/>
                <w:color w:val="auto"/>
                <w:sz w:val="24"/>
                <w:lang w:val="en-US" w:eastAsia="zh-CN"/>
              </w:rPr>
              <w:t>运输总量为</w:t>
            </w:r>
            <w:r>
              <w:rPr>
                <w:rFonts w:hint="eastAsia" w:cs="Times New Roman"/>
                <w:color w:val="auto"/>
                <w:sz w:val="24"/>
                <w:lang w:val="en-US" w:eastAsia="zh-CN"/>
              </w:rPr>
              <w:t>4750</w:t>
            </w:r>
            <w:r>
              <w:rPr>
                <w:rFonts w:hint="default" w:cs="Times New Roman"/>
                <w:color w:val="auto"/>
                <w:sz w:val="24"/>
                <w:lang w:val="en-US" w:eastAsia="zh-CN"/>
              </w:rPr>
              <w:t>t/a，</w:t>
            </w:r>
            <w:r>
              <w:rPr>
                <w:rFonts w:hint="eastAsia" w:cs="Times New Roman"/>
                <w:color w:val="auto"/>
                <w:sz w:val="24"/>
                <w:lang w:val="en-US" w:eastAsia="zh-CN"/>
              </w:rPr>
              <w:t>砂石原料</w:t>
            </w:r>
            <w:r>
              <w:rPr>
                <w:rFonts w:hint="default" w:cs="Times New Roman"/>
                <w:color w:val="auto"/>
                <w:sz w:val="24"/>
                <w:lang w:val="en-US" w:eastAsia="zh-CN"/>
              </w:rPr>
              <w:t>运输道路长约</w:t>
            </w:r>
            <w:r>
              <w:rPr>
                <w:rFonts w:hint="eastAsia" w:cs="Times New Roman"/>
                <w:color w:val="auto"/>
                <w:sz w:val="24"/>
                <w:lang w:val="en-US" w:eastAsia="zh-CN"/>
              </w:rPr>
              <w:t>5</w:t>
            </w:r>
            <w:r>
              <w:rPr>
                <w:rFonts w:hint="default" w:cs="Times New Roman"/>
                <w:color w:val="auto"/>
                <w:sz w:val="24"/>
                <w:lang w:val="en-US" w:eastAsia="zh-CN"/>
              </w:rPr>
              <w:t>0m；水泥运输总量为</w:t>
            </w:r>
            <w:r>
              <w:rPr>
                <w:rFonts w:hint="eastAsia" w:cs="Times New Roman"/>
                <w:color w:val="auto"/>
                <w:sz w:val="24"/>
                <w:lang w:val="en-US" w:eastAsia="zh-CN"/>
              </w:rPr>
              <w:t>950</w:t>
            </w:r>
            <w:r>
              <w:rPr>
                <w:rFonts w:hint="default" w:cs="Times New Roman"/>
                <w:color w:val="auto"/>
                <w:sz w:val="24"/>
                <w:lang w:val="en-US" w:eastAsia="zh-CN"/>
              </w:rPr>
              <w:t xml:space="preserve"> t/a，产品运输总量为</w:t>
            </w:r>
            <w:r>
              <w:rPr>
                <w:rFonts w:hint="eastAsia" w:cs="Times New Roman"/>
                <w:color w:val="auto"/>
                <w:sz w:val="24"/>
                <w:lang w:val="en-US" w:eastAsia="zh-CN"/>
              </w:rPr>
              <w:t>6500</w:t>
            </w:r>
            <w:r>
              <w:rPr>
                <w:rFonts w:hint="default" w:cs="Times New Roman"/>
                <w:color w:val="auto"/>
                <w:sz w:val="24"/>
                <w:lang w:val="en-US" w:eastAsia="zh-CN"/>
              </w:rPr>
              <w:t>t/a，</w:t>
            </w:r>
            <w:r>
              <w:rPr>
                <w:rFonts w:hint="eastAsia" w:cs="Times New Roman"/>
                <w:color w:val="auto"/>
                <w:sz w:val="24"/>
                <w:lang w:val="en-US" w:eastAsia="zh-CN"/>
              </w:rPr>
              <w:t>原料</w:t>
            </w:r>
            <w:r>
              <w:rPr>
                <w:rFonts w:hint="default" w:cs="Times New Roman"/>
                <w:color w:val="auto"/>
                <w:sz w:val="24"/>
                <w:lang w:val="en-US" w:eastAsia="zh-CN"/>
              </w:rPr>
              <w:t>及产品运输道路长约</w:t>
            </w:r>
            <w:r>
              <w:rPr>
                <w:rFonts w:hint="eastAsia" w:cs="Times New Roman"/>
                <w:color w:val="auto"/>
                <w:sz w:val="24"/>
                <w:lang w:val="en-US" w:eastAsia="zh-CN"/>
              </w:rPr>
              <w:t>50</w:t>
            </w:r>
            <w:r>
              <w:rPr>
                <w:rFonts w:hint="default" w:cs="Times New Roman"/>
                <w:color w:val="auto"/>
                <w:sz w:val="24"/>
                <w:lang w:val="en-US" w:eastAsia="zh-CN"/>
              </w:rPr>
              <w:t>m，清扫及洒水前路面灰尘覆盖率为 0.1kg/m</w:t>
            </w:r>
            <w:r>
              <w:rPr>
                <w:rFonts w:hint="default" w:cs="Times New Roman"/>
                <w:color w:val="auto"/>
                <w:sz w:val="24"/>
                <w:vertAlign w:val="superscript"/>
                <w:lang w:val="en-US" w:eastAsia="zh-CN"/>
              </w:rPr>
              <w:t>2</w:t>
            </w:r>
            <w:r>
              <w:rPr>
                <w:rFonts w:hint="default" w:cs="Times New Roman"/>
                <w:color w:val="auto"/>
                <w:sz w:val="24"/>
                <w:lang w:val="en-US" w:eastAsia="zh-CN"/>
              </w:rPr>
              <w:t>，考虑运输汽车往返。</w:t>
            </w:r>
          </w:p>
          <w:p w14:paraId="76F1F0CD">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经计算，在未采取洒水等控尘措施时，项目运输扬尘产生量总计约为</w:t>
            </w:r>
            <w:r>
              <w:rPr>
                <w:rFonts w:hint="eastAsia" w:cs="Times New Roman"/>
                <w:color w:val="auto"/>
                <w:sz w:val="24"/>
                <w:lang w:val="en-US" w:eastAsia="zh-CN"/>
              </w:rPr>
              <w:t>5.876</w:t>
            </w:r>
            <w:r>
              <w:rPr>
                <w:rFonts w:hint="default" w:cs="Times New Roman"/>
                <w:color w:val="auto"/>
                <w:sz w:val="24"/>
                <w:lang w:val="en-US" w:eastAsia="zh-CN"/>
              </w:rPr>
              <w:t>t/a。</w:t>
            </w:r>
          </w:p>
          <w:p w14:paraId="7CE439EB">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②治理措施</w:t>
            </w:r>
          </w:p>
          <w:p w14:paraId="594DF4AA">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为控制厂区道路扬尘，项目要求对厂区内路面进行水泥硬化，定期对路面进行清扫，对车辆行驶的路面实施喷雾降尘。同时，项目对散料运输车辆加盖篷布，做好遮掩工作</w:t>
            </w:r>
            <w:r>
              <w:rPr>
                <w:rFonts w:hint="eastAsia" w:cs="Times New Roman"/>
                <w:color w:val="auto"/>
                <w:sz w:val="24"/>
                <w:lang w:val="en-US" w:eastAsia="zh-CN"/>
              </w:rPr>
              <w:t>，</w:t>
            </w:r>
            <w:r>
              <w:rPr>
                <w:rFonts w:hint="default" w:cs="Times New Roman"/>
                <w:color w:val="auto"/>
                <w:sz w:val="24"/>
                <w:lang w:val="en-US" w:eastAsia="zh-CN"/>
              </w:rPr>
              <w:t>并控制车速，减少运输扬尘产生量。项目</w:t>
            </w:r>
            <w:r>
              <w:rPr>
                <w:rFonts w:hint="eastAsia" w:cs="Times New Roman"/>
                <w:color w:val="auto"/>
                <w:sz w:val="24"/>
                <w:lang w:val="en-US" w:eastAsia="zh-CN"/>
              </w:rPr>
              <w:t>还需在厂区出</w:t>
            </w:r>
            <w:r>
              <w:rPr>
                <w:rFonts w:hint="default" w:cs="Times New Roman"/>
                <w:color w:val="auto"/>
                <w:sz w:val="24"/>
                <w:lang w:val="en-US" w:eastAsia="zh-CN"/>
              </w:rPr>
              <w:t>口设置洗车台 1 个</w:t>
            </w:r>
            <w:r>
              <w:rPr>
                <w:rFonts w:hint="eastAsia" w:cs="Times New Roman"/>
                <w:color w:val="auto"/>
                <w:sz w:val="24"/>
                <w:lang w:val="en-US" w:eastAsia="zh-CN"/>
              </w:rPr>
              <w:t>，</w:t>
            </w:r>
            <w:r>
              <w:rPr>
                <w:rFonts w:hint="default" w:cs="Times New Roman"/>
                <w:color w:val="auto"/>
                <w:sz w:val="24"/>
                <w:lang w:val="en-US" w:eastAsia="zh-CN"/>
              </w:rPr>
              <w:t>车辆冲洗废水收集沟连接沉淀池，对进出车辆进行冲洗，避免车辆带泥上路，严格控制车辆运输过程扬尘产生量。</w:t>
            </w:r>
          </w:p>
          <w:p w14:paraId="68EE7615">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③排放情况</w:t>
            </w:r>
          </w:p>
          <w:p w14:paraId="5DAA4144">
            <w:pPr>
              <w:spacing w:line="360" w:lineRule="auto"/>
              <w:ind w:firstLine="480" w:firstLineChars="200"/>
              <w:rPr>
                <w:rFonts w:hint="default" w:cs="Times New Roman"/>
                <w:color w:val="auto"/>
                <w:sz w:val="24"/>
                <w:lang w:val="en-US" w:eastAsia="zh-CN"/>
              </w:rPr>
            </w:pPr>
            <w:r>
              <w:rPr>
                <w:rFonts w:hint="default" w:cs="Times New Roman"/>
                <w:color w:val="auto"/>
                <w:sz w:val="24"/>
                <w:lang w:val="en-US" w:eastAsia="zh-CN"/>
              </w:rPr>
              <w:t>在采取以上措施后，本项目厂区道路扬尘控制效率可达 90%，则本项目新增车辆运输扬尘排放量约为</w:t>
            </w:r>
            <w:r>
              <w:rPr>
                <w:rFonts w:hint="eastAsia" w:cs="Times New Roman"/>
                <w:color w:val="auto"/>
                <w:sz w:val="24"/>
                <w:lang w:val="en-US" w:eastAsia="zh-CN"/>
              </w:rPr>
              <w:t>0.5876</w:t>
            </w:r>
            <w:r>
              <w:rPr>
                <w:rFonts w:hint="default" w:cs="Times New Roman"/>
                <w:color w:val="auto"/>
                <w:sz w:val="24"/>
                <w:lang w:val="en-US" w:eastAsia="zh-CN"/>
              </w:rPr>
              <w:t>t/a。</w:t>
            </w:r>
          </w:p>
          <w:p w14:paraId="5FCB8A8E">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6</w:t>
            </w:r>
            <w:r>
              <w:rPr>
                <w:rFonts w:hint="default" w:ascii="Times New Roman" w:hAnsi="Times New Roman" w:eastAsia="宋体" w:cs="Times New Roman"/>
                <w:b/>
                <w:bCs/>
                <w:color w:val="auto"/>
                <w:sz w:val="24"/>
              </w:rPr>
              <w:t>）汽车尾气</w:t>
            </w:r>
          </w:p>
          <w:p w14:paraId="6532925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本项目运输、装载及卸料作业均在白天进行。作业车辆均会排放一定量的CO、NO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以及未完全燃烧的HC等，其特点是排放量小，且属间断性无组织排放。汽车尾气通过加强管理，限制车速，严禁车辆超限超载，加强装载车辆保养、尽量选择带有尾气净化器的装载机及运输车辆，减少汽车滞留时间，并通过大气的自净作用和周边绿化等使汽车尾气得到净化。</w:t>
            </w:r>
          </w:p>
          <w:p w14:paraId="6B0316A4">
            <w:pPr>
              <w:adjustRightInd w:val="0"/>
              <w:snapToGrid w:val="0"/>
              <w:spacing w:line="360" w:lineRule="auto"/>
              <w:ind w:firstLine="482" w:firstLineChars="200"/>
              <w:rPr>
                <w:rFonts w:hint="default" w:eastAsia="宋体"/>
                <w:color w:val="auto"/>
                <w:sz w:val="24"/>
                <w:lang w:val="en-US" w:eastAsia="zh-CN"/>
              </w:rPr>
            </w:pPr>
            <w:r>
              <w:rPr>
                <w:rFonts w:hint="eastAsia" w:cs="Times New Roman"/>
                <w:b/>
                <w:bCs/>
                <w:color w:val="auto"/>
                <w:sz w:val="24"/>
                <w:lang w:val="en-US" w:eastAsia="zh-CN"/>
              </w:rPr>
              <w:t>（7）</w:t>
            </w:r>
            <w:r>
              <w:rPr>
                <w:rFonts w:hint="eastAsia"/>
                <w:b/>
                <w:bCs/>
                <w:color w:val="auto"/>
                <w:sz w:val="24"/>
              </w:rPr>
              <w:t>焊接烟尘</w:t>
            </w:r>
          </w:p>
          <w:p w14:paraId="04910953">
            <w:pPr>
              <w:spacing w:line="360" w:lineRule="auto"/>
              <w:ind w:firstLine="480" w:firstLineChars="200"/>
              <w:jc w:val="left"/>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本项目焊接采用二保焊。气体保护焊的填充气体主要为CO</w:t>
            </w:r>
            <w:r>
              <w:rPr>
                <w:rFonts w:hint="eastAsia" w:ascii="宋体" w:hAnsi="宋体" w:cs="宋体"/>
                <w:color w:val="auto"/>
                <w:sz w:val="24"/>
                <w:szCs w:val="24"/>
                <w:vertAlign w:val="subscript"/>
                <w:lang w:val="en-US" w:eastAsia="zh-CN"/>
              </w:rPr>
              <w:t>2</w:t>
            </w:r>
            <w:r>
              <w:rPr>
                <w:rFonts w:hint="eastAsia" w:ascii="宋体" w:hAnsi="宋体" w:cs="宋体"/>
                <w:color w:val="auto"/>
                <w:sz w:val="24"/>
                <w:szCs w:val="24"/>
                <w:lang w:val="en-US" w:eastAsia="zh-CN"/>
              </w:rPr>
              <w:t>，CO</w:t>
            </w:r>
            <w:r>
              <w:rPr>
                <w:rFonts w:hint="eastAsia" w:ascii="宋体" w:hAnsi="宋体" w:cs="宋体"/>
                <w:color w:val="auto"/>
                <w:sz w:val="24"/>
                <w:szCs w:val="24"/>
                <w:vertAlign w:val="subscript"/>
                <w:lang w:val="en-US" w:eastAsia="zh-CN"/>
              </w:rPr>
              <w:t>2</w:t>
            </w:r>
            <w:r>
              <w:rPr>
                <w:rFonts w:hint="eastAsia" w:ascii="宋体" w:hAnsi="宋体" w:cs="宋体"/>
                <w:color w:val="auto"/>
                <w:sz w:val="24"/>
                <w:szCs w:val="24"/>
                <w:lang w:val="en-US" w:eastAsia="zh-CN"/>
              </w:rPr>
              <w:t>气体流量15-25L/min。焊机工作时产生焊接烟气，根据《焊接车间环境污染及控制技术进展》（《上海环境科学》），CO</w:t>
            </w:r>
            <w:r>
              <w:rPr>
                <w:rFonts w:hint="eastAsia" w:ascii="宋体" w:hAnsi="宋体" w:cs="宋体"/>
                <w:color w:val="auto"/>
                <w:sz w:val="24"/>
                <w:szCs w:val="24"/>
                <w:vertAlign w:val="subscript"/>
                <w:lang w:val="en-US" w:eastAsia="zh-CN"/>
              </w:rPr>
              <w:t>2</w:t>
            </w:r>
            <w:r>
              <w:rPr>
                <w:rFonts w:hint="eastAsia" w:ascii="宋体" w:hAnsi="宋体" w:cs="宋体"/>
                <w:color w:val="auto"/>
                <w:sz w:val="24"/>
                <w:szCs w:val="24"/>
                <w:lang w:val="en-US" w:eastAsia="zh-CN"/>
              </w:rPr>
              <w:t>保护焊接机发尘量见表5-4。</w:t>
            </w:r>
          </w:p>
          <w:p w14:paraId="0E1E5726">
            <w:pPr>
              <w:adjustRightInd w:val="0"/>
              <w:snapToGrid w:val="0"/>
              <w:spacing w:line="360" w:lineRule="auto"/>
              <w:jc w:val="center"/>
              <w:rPr>
                <w:b/>
                <w:bCs/>
                <w:color w:val="auto"/>
              </w:rPr>
            </w:pPr>
            <w:r>
              <w:rPr>
                <w:rFonts w:hint="eastAsia"/>
                <w:b/>
                <w:bCs/>
                <w:color w:val="auto"/>
              </w:rPr>
              <w:t>表</w:t>
            </w:r>
            <w:r>
              <w:rPr>
                <w:b/>
                <w:bCs/>
                <w:color w:val="auto"/>
              </w:rPr>
              <w:t>5-</w:t>
            </w:r>
            <w:r>
              <w:rPr>
                <w:rFonts w:hint="eastAsia"/>
                <w:b/>
                <w:bCs/>
                <w:color w:val="auto"/>
                <w:lang w:val="en-US" w:eastAsia="zh-CN"/>
              </w:rPr>
              <w:t>4</w:t>
            </w:r>
            <w:r>
              <w:rPr>
                <w:b/>
                <w:bCs/>
                <w:color w:val="auto"/>
              </w:rPr>
              <w:t xml:space="preserve"> </w:t>
            </w:r>
            <w:r>
              <w:rPr>
                <w:rFonts w:hint="eastAsia"/>
                <w:b/>
                <w:bCs/>
                <w:color w:val="auto"/>
              </w:rPr>
              <w:t xml:space="preserve"> CO</w:t>
            </w:r>
            <w:r>
              <w:rPr>
                <w:rFonts w:hint="eastAsia"/>
                <w:b/>
                <w:bCs/>
                <w:color w:val="auto"/>
                <w:vertAlign w:val="subscript"/>
              </w:rPr>
              <w:t>2</w:t>
            </w:r>
            <w:r>
              <w:rPr>
                <w:rFonts w:hint="eastAsia"/>
                <w:b/>
                <w:bCs/>
                <w:color w:val="auto"/>
              </w:rPr>
              <w:t>保护焊接机发尘量</w:t>
            </w:r>
          </w:p>
          <w:tbl>
            <w:tblPr>
              <w:tblStyle w:val="22"/>
              <w:tblW w:w="907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86"/>
              <w:gridCol w:w="1328"/>
              <w:gridCol w:w="3002"/>
              <w:gridCol w:w="3254"/>
            </w:tblGrid>
            <w:tr w14:paraId="5C4EC2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86" w:type="dxa"/>
                  <w:vAlign w:val="center"/>
                </w:tcPr>
                <w:p w14:paraId="0C112AAC">
                  <w:pPr>
                    <w:widowControl/>
                    <w:jc w:val="center"/>
                    <w:rPr>
                      <w:color w:val="auto"/>
                    </w:rPr>
                  </w:pPr>
                  <w:r>
                    <w:rPr>
                      <w:rFonts w:hint="eastAsia"/>
                      <w:color w:val="auto"/>
                    </w:rPr>
                    <w:t>焊接方法</w:t>
                  </w:r>
                </w:p>
              </w:tc>
              <w:tc>
                <w:tcPr>
                  <w:tcW w:w="1328" w:type="dxa"/>
                  <w:vAlign w:val="center"/>
                </w:tcPr>
                <w:p w14:paraId="20105E0C">
                  <w:pPr>
                    <w:widowControl/>
                    <w:jc w:val="center"/>
                    <w:rPr>
                      <w:color w:val="auto"/>
                    </w:rPr>
                  </w:pPr>
                  <w:r>
                    <w:rPr>
                      <w:rFonts w:hint="eastAsia"/>
                      <w:color w:val="auto"/>
                    </w:rPr>
                    <w:t>型号</w:t>
                  </w:r>
                </w:p>
              </w:tc>
              <w:tc>
                <w:tcPr>
                  <w:tcW w:w="3002" w:type="dxa"/>
                  <w:vAlign w:val="center"/>
                </w:tcPr>
                <w:p w14:paraId="46EAA5EE">
                  <w:pPr>
                    <w:widowControl/>
                    <w:jc w:val="center"/>
                    <w:rPr>
                      <w:color w:val="auto"/>
                    </w:rPr>
                  </w:pPr>
                  <w:r>
                    <w:rPr>
                      <w:rFonts w:hint="eastAsia"/>
                      <w:color w:val="auto"/>
                    </w:rPr>
                    <w:t>施焊时每分钟的发尘量(g/min)</w:t>
                  </w:r>
                </w:p>
              </w:tc>
              <w:tc>
                <w:tcPr>
                  <w:tcW w:w="3254" w:type="dxa"/>
                  <w:vAlign w:val="center"/>
                </w:tcPr>
                <w:p w14:paraId="2F7EFD3E">
                  <w:pPr>
                    <w:widowControl/>
                    <w:jc w:val="center"/>
                    <w:rPr>
                      <w:color w:val="auto"/>
                    </w:rPr>
                  </w:pPr>
                  <w:r>
                    <w:rPr>
                      <w:rFonts w:hint="eastAsia"/>
                      <w:color w:val="auto"/>
                    </w:rPr>
                    <w:t>每公斤</w:t>
                  </w:r>
                  <w:r>
                    <w:rPr>
                      <w:rFonts w:hint="eastAsia"/>
                      <w:color w:val="auto"/>
                      <w:lang w:val="en-US" w:eastAsia="zh-CN"/>
                    </w:rPr>
                    <w:t>焊接</w:t>
                  </w:r>
                  <w:r>
                    <w:rPr>
                      <w:rFonts w:hint="eastAsia"/>
                      <w:color w:val="auto"/>
                    </w:rPr>
                    <w:t>材料的发尘量（g/kg）</w:t>
                  </w:r>
                </w:p>
              </w:tc>
            </w:tr>
            <w:tr w14:paraId="13CC56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86" w:type="dxa"/>
                  <w:vAlign w:val="center"/>
                </w:tcPr>
                <w:p w14:paraId="465D9E4F">
                  <w:pPr>
                    <w:widowControl/>
                    <w:jc w:val="center"/>
                    <w:rPr>
                      <w:color w:val="auto"/>
                    </w:rPr>
                  </w:pPr>
                  <w:r>
                    <w:rPr>
                      <w:rFonts w:hint="eastAsia"/>
                      <w:color w:val="auto"/>
                    </w:rPr>
                    <w:t>CO</w:t>
                  </w:r>
                  <w:r>
                    <w:rPr>
                      <w:rFonts w:hint="eastAsia"/>
                      <w:color w:val="auto"/>
                      <w:vertAlign w:val="subscript"/>
                    </w:rPr>
                    <w:t>2</w:t>
                  </w:r>
                  <w:r>
                    <w:rPr>
                      <w:rFonts w:hint="eastAsia"/>
                      <w:color w:val="auto"/>
                    </w:rPr>
                    <w:t>保护焊</w:t>
                  </w:r>
                </w:p>
              </w:tc>
              <w:tc>
                <w:tcPr>
                  <w:tcW w:w="1328" w:type="dxa"/>
                  <w:vAlign w:val="center"/>
                </w:tcPr>
                <w:p w14:paraId="5FCDF919">
                  <w:pPr>
                    <w:widowControl/>
                    <w:jc w:val="center"/>
                    <w:rPr>
                      <w:color w:val="auto"/>
                    </w:rPr>
                  </w:pPr>
                  <w:r>
                    <w:rPr>
                      <w:rFonts w:hint="eastAsia"/>
                      <w:color w:val="auto"/>
                    </w:rPr>
                    <w:t>实芯焊丝</w:t>
                  </w:r>
                </w:p>
              </w:tc>
              <w:tc>
                <w:tcPr>
                  <w:tcW w:w="3002" w:type="dxa"/>
                  <w:vAlign w:val="center"/>
                </w:tcPr>
                <w:p w14:paraId="17549C86">
                  <w:pPr>
                    <w:widowControl/>
                    <w:jc w:val="center"/>
                    <w:rPr>
                      <w:color w:val="auto"/>
                    </w:rPr>
                  </w:pPr>
                  <w:r>
                    <w:rPr>
                      <w:rFonts w:hint="eastAsia"/>
                      <w:color w:val="auto"/>
                    </w:rPr>
                    <w:t>0.45-0.65</w:t>
                  </w:r>
                </w:p>
              </w:tc>
              <w:tc>
                <w:tcPr>
                  <w:tcW w:w="3254" w:type="dxa"/>
                  <w:vAlign w:val="center"/>
                </w:tcPr>
                <w:p w14:paraId="71A3D87C">
                  <w:pPr>
                    <w:widowControl/>
                    <w:jc w:val="center"/>
                    <w:rPr>
                      <w:color w:val="auto"/>
                    </w:rPr>
                  </w:pPr>
                  <w:r>
                    <w:rPr>
                      <w:rFonts w:hint="eastAsia"/>
                      <w:color w:val="auto"/>
                    </w:rPr>
                    <w:t>5-8</w:t>
                  </w:r>
                </w:p>
              </w:tc>
            </w:tr>
          </w:tbl>
          <w:p w14:paraId="0FF7FCBD">
            <w:pPr>
              <w:spacing w:line="360" w:lineRule="auto"/>
              <w:ind w:firstLine="480" w:firstLineChars="200"/>
              <w:rPr>
                <w:rFonts w:ascii="宋体" w:hAnsi="宋体" w:cs="宋体"/>
                <w:color w:val="auto"/>
                <w:sz w:val="24"/>
              </w:rPr>
            </w:pPr>
          </w:p>
          <w:p w14:paraId="2AB18DC6">
            <w:pPr>
              <w:spacing w:line="360" w:lineRule="auto"/>
              <w:ind w:firstLine="480" w:firstLineChars="200"/>
              <w:rPr>
                <w:rFonts w:ascii="宋体" w:hAnsi="宋体" w:cs="宋体"/>
                <w:color w:val="auto"/>
                <w:sz w:val="24"/>
              </w:rPr>
            </w:pPr>
            <w:r>
              <w:rPr>
                <w:rFonts w:hint="eastAsia" w:ascii="宋体" w:hAnsi="宋体" w:cs="宋体"/>
                <w:color w:val="auto"/>
                <w:sz w:val="24"/>
              </w:rPr>
              <w:t>本次环评以焊材的最高发尘量计算。本项目二氧化碳保护焊年消耗焊丝</w:t>
            </w:r>
            <w:r>
              <w:rPr>
                <w:rFonts w:hint="eastAsia" w:ascii="宋体" w:hAnsi="宋体" w:cs="宋体"/>
                <w:color w:val="auto"/>
                <w:sz w:val="24"/>
                <w:lang w:val="en-US" w:eastAsia="zh-CN"/>
              </w:rPr>
              <w:t>3</w:t>
            </w:r>
            <w:r>
              <w:rPr>
                <w:rFonts w:hint="eastAsia" w:ascii="宋体" w:hAnsi="宋体" w:cs="宋体"/>
                <w:color w:val="auto"/>
                <w:sz w:val="24"/>
              </w:rPr>
              <w:t>t，推算本项目产生电焊烟气的情况见表5-</w:t>
            </w:r>
            <w:r>
              <w:rPr>
                <w:rFonts w:hint="eastAsia" w:ascii="宋体" w:hAnsi="宋体" w:cs="宋体"/>
                <w:color w:val="auto"/>
                <w:sz w:val="24"/>
                <w:lang w:val="en-US" w:eastAsia="zh-CN"/>
              </w:rPr>
              <w:t>5</w:t>
            </w:r>
            <w:r>
              <w:rPr>
                <w:rFonts w:hint="eastAsia" w:ascii="宋体" w:hAnsi="宋体" w:cs="宋体"/>
                <w:color w:val="auto"/>
                <w:sz w:val="24"/>
              </w:rPr>
              <w:t>。每年生产</w:t>
            </w:r>
            <w:r>
              <w:rPr>
                <w:rFonts w:hint="eastAsia" w:ascii="宋体" w:hAnsi="宋体" w:cs="宋体"/>
                <w:color w:val="auto"/>
                <w:sz w:val="24"/>
                <w:lang w:val="en-US" w:eastAsia="zh-CN"/>
              </w:rPr>
              <w:t>30</w:t>
            </w:r>
            <w:r>
              <w:rPr>
                <w:rFonts w:hint="eastAsia" w:ascii="宋体" w:hAnsi="宋体" w:cs="宋体"/>
                <w:color w:val="auto"/>
                <w:sz w:val="24"/>
              </w:rPr>
              <w:t>0天，每天生产4小时计。</w:t>
            </w:r>
          </w:p>
          <w:p w14:paraId="43E4206C">
            <w:pPr>
              <w:adjustRightInd w:val="0"/>
              <w:snapToGrid w:val="0"/>
              <w:spacing w:line="360" w:lineRule="auto"/>
              <w:jc w:val="center"/>
              <w:rPr>
                <w:color w:val="auto"/>
              </w:rPr>
            </w:pPr>
            <w:r>
              <w:rPr>
                <w:rFonts w:hint="eastAsia"/>
                <w:b/>
                <w:bCs/>
                <w:color w:val="auto"/>
              </w:rPr>
              <w:t>表</w:t>
            </w:r>
            <w:r>
              <w:rPr>
                <w:b/>
                <w:bCs/>
                <w:color w:val="auto"/>
              </w:rPr>
              <w:t>5-</w:t>
            </w:r>
            <w:r>
              <w:rPr>
                <w:rFonts w:hint="eastAsia"/>
                <w:b/>
                <w:bCs/>
                <w:color w:val="auto"/>
                <w:lang w:val="en-US" w:eastAsia="zh-CN"/>
              </w:rPr>
              <w:t>5</w:t>
            </w:r>
            <w:r>
              <w:rPr>
                <w:rFonts w:hint="eastAsia"/>
                <w:b/>
                <w:bCs/>
                <w:color w:val="auto"/>
              </w:rPr>
              <w:t xml:space="preserve"> 焊接排放大气污染物情况</w:t>
            </w:r>
          </w:p>
          <w:tbl>
            <w:tblPr>
              <w:tblStyle w:val="22"/>
              <w:tblW w:w="907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01"/>
              <w:gridCol w:w="3769"/>
              <w:gridCol w:w="3800"/>
            </w:tblGrid>
            <w:tr w14:paraId="02A4D4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8" w:hRule="atLeast"/>
                <w:jc w:val="center"/>
              </w:trPr>
              <w:tc>
                <w:tcPr>
                  <w:tcW w:w="1501" w:type="dxa"/>
                  <w:vAlign w:val="center"/>
                </w:tcPr>
                <w:p w14:paraId="2352CF42">
                  <w:pPr>
                    <w:widowControl/>
                    <w:jc w:val="center"/>
                    <w:rPr>
                      <w:color w:val="auto"/>
                    </w:rPr>
                  </w:pPr>
                  <w:r>
                    <w:rPr>
                      <w:rFonts w:hint="eastAsia"/>
                      <w:color w:val="auto"/>
                    </w:rPr>
                    <w:t>污染源</w:t>
                  </w:r>
                </w:p>
              </w:tc>
              <w:tc>
                <w:tcPr>
                  <w:tcW w:w="3769" w:type="dxa"/>
                  <w:vAlign w:val="center"/>
                </w:tcPr>
                <w:p w14:paraId="12C8A654">
                  <w:pPr>
                    <w:widowControl/>
                    <w:jc w:val="center"/>
                    <w:rPr>
                      <w:color w:val="auto"/>
                    </w:rPr>
                  </w:pPr>
                  <w:r>
                    <w:rPr>
                      <w:rFonts w:hint="eastAsia"/>
                      <w:color w:val="auto"/>
                    </w:rPr>
                    <w:t>最大产生速率(kg/h)</w:t>
                  </w:r>
                </w:p>
              </w:tc>
              <w:tc>
                <w:tcPr>
                  <w:tcW w:w="3800" w:type="dxa"/>
                  <w:vAlign w:val="center"/>
                </w:tcPr>
                <w:p w14:paraId="331DD705">
                  <w:pPr>
                    <w:widowControl/>
                    <w:jc w:val="center"/>
                    <w:rPr>
                      <w:color w:val="auto"/>
                    </w:rPr>
                  </w:pPr>
                  <w:r>
                    <w:rPr>
                      <w:rFonts w:hint="eastAsia"/>
                      <w:color w:val="auto"/>
                    </w:rPr>
                    <w:t>年产生量（t/a</w:t>
                  </w:r>
                  <w:r>
                    <w:rPr>
                      <w:color w:val="auto"/>
                    </w:rPr>
                    <w:t>）</w:t>
                  </w:r>
                </w:p>
              </w:tc>
            </w:tr>
            <w:tr w14:paraId="1D4173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 w:hRule="atLeast"/>
                <w:jc w:val="center"/>
              </w:trPr>
              <w:tc>
                <w:tcPr>
                  <w:tcW w:w="1501" w:type="dxa"/>
                  <w:vAlign w:val="center"/>
                </w:tcPr>
                <w:p w14:paraId="76531550">
                  <w:pPr>
                    <w:widowControl/>
                    <w:jc w:val="center"/>
                    <w:rPr>
                      <w:color w:val="auto"/>
                    </w:rPr>
                  </w:pPr>
                  <w:r>
                    <w:rPr>
                      <w:rFonts w:hint="eastAsia"/>
                      <w:color w:val="auto"/>
                    </w:rPr>
                    <w:t>CO</w:t>
                  </w:r>
                  <w:r>
                    <w:rPr>
                      <w:rFonts w:hint="eastAsia"/>
                      <w:color w:val="auto"/>
                      <w:vertAlign w:val="subscript"/>
                    </w:rPr>
                    <w:t>2</w:t>
                  </w:r>
                  <w:r>
                    <w:rPr>
                      <w:rFonts w:hint="eastAsia"/>
                      <w:color w:val="auto"/>
                    </w:rPr>
                    <w:t>焊机</w:t>
                  </w:r>
                </w:p>
              </w:tc>
              <w:tc>
                <w:tcPr>
                  <w:tcW w:w="3769" w:type="dxa"/>
                  <w:vAlign w:val="center"/>
                </w:tcPr>
                <w:p w14:paraId="3B1B1535">
                  <w:pPr>
                    <w:widowControl/>
                    <w:jc w:val="center"/>
                    <w:rPr>
                      <w:rFonts w:hint="default" w:eastAsia="宋体"/>
                      <w:color w:val="auto"/>
                      <w:lang w:val="en-US" w:eastAsia="zh-CN"/>
                    </w:rPr>
                  </w:pPr>
                  <w:r>
                    <w:rPr>
                      <w:rFonts w:hint="eastAsia"/>
                      <w:color w:val="auto"/>
                      <w:lang w:val="en-US" w:eastAsia="zh-CN"/>
                    </w:rPr>
                    <w:t>0.02</w:t>
                  </w:r>
                </w:p>
              </w:tc>
              <w:tc>
                <w:tcPr>
                  <w:tcW w:w="3800" w:type="dxa"/>
                  <w:vAlign w:val="center"/>
                </w:tcPr>
                <w:p w14:paraId="54F1A1C5">
                  <w:pPr>
                    <w:widowControl/>
                    <w:jc w:val="center"/>
                    <w:rPr>
                      <w:rFonts w:hint="default" w:eastAsia="宋体"/>
                      <w:color w:val="auto"/>
                      <w:lang w:val="en-US" w:eastAsia="zh-CN"/>
                    </w:rPr>
                  </w:pPr>
                  <w:r>
                    <w:rPr>
                      <w:rFonts w:hint="eastAsia"/>
                      <w:color w:val="auto"/>
                    </w:rPr>
                    <w:t>0.0</w:t>
                  </w:r>
                  <w:r>
                    <w:rPr>
                      <w:rFonts w:hint="eastAsia"/>
                      <w:color w:val="auto"/>
                      <w:lang w:val="en-US" w:eastAsia="zh-CN"/>
                    </w:rPr>
                    <w:t>24</w:t>
                  </w:r>
                </w:p>
              </w:tc>
            </w:tr>
          </w:tbl>
          <w:p w14:paraId="518B8525">
            <w:pPr>
              <w:spacing w:line="360" w:lineRule="auto"/>
              <w:ind w:firstLine="482" w:firstLineChars="200"/>
              <w:jc w:val="left"/>
              <w:rPr>
                <w:rFonts w:hint="eastAsia" w:ascii="宋体" w:hAnsi="宋体" w:cs="宋体"/>
                <w:b/>
                <w:bCs/>
                <w:color w:val="auto"/>
                <w:sz w:val="24"/>
              </w:rPr>
            </w:pPr>
          </w:p>
          <w:p w14:paraId="1DD307B8">
            <w:pPr>
              <w:spacing w:line="360" w:lineRule="auto"/>
              <w:ind w:firstLine="482" w:firstLineChars="200"/>
              <w:jc w:val="left"/>
              <w:rPr>
                <w:rFonts w:hint="eastAsia" w:ascii="宋体" w:hAnsi="宋体" w:cs="宋体"/>
                <w:color w:val="auto"/>
                <w:sz w:val="24"/>
                <w:szCs w:val="24"/>
                <w:lang w:eastAsia="zh-CN"/>
              </w:rPr>
            </w:pPr>
            <w:r>
              <w:rPr>
                <w:rFonts w:hint="eastAsia" w:ascii="宋体" w:hAnsi="宋体" w:cs="宋体"/>
                <w:b/>
                <w:bCs/>
                <w:color w:val="auto"/>
                <w:sz w:val="24"/>
              </w:rPr>
              <w:t>治理措施：</w:t>
            </w:r>
            <w:r>
              <w:rPr>
                <w:rFonts w:hint="eastAsia" w:ascii="宋体" w:hAnsi="宋体" w:cs="宋体"/>
                <w:b w:val="0"/>
                <w:bCs w:val="0"/>
                <w:color w:val="auto"/>
                <w:sz w:val="24"/>
                <w:lang w:val="en-US" w:eastAsia="zh-CN"/>
              </w:rPr>
              <w:t>本项目在生产车间设置了5台焊机，本项目拟在每个焊接工位上方设置集气罩</w:t>
            </w:r>
            <w:r>
              <w:rPr>
                <w:rFonts w:hint="eastAsia" w:ascii="宋体" w:hAnsi="宋体" w:cs="宋体"/>
                <w:color w:val="auto"/>
                <w:sz w:val="24"/>
                <w:szCs w:val="24"/>
                <w:lang w:eastAsia="zh-CN"/>
              </w:rPr>
              <w:t>（</w:t>
            </w:r>
            <w:r>
              <w:rPr>
                <w:rFonts w:hint="eastAsia" w:ascii="宋体" w:hAnsi="宋体" w:eastAsia="宋体" w:cs="宋体"/>
                <w:color w:val="auto"/>
                <w:sz w:val="24"/>
                <w:szCs w:val="24"/>
              </w:rPr>
              <w:t>收集效率按90%</w:t>
            </w:r>
            <w:r>
              <w:rPr>
                <w:rFonts w:hint="eastAsia" w:ascii="宋体" w:hAnsi="宋体" w:cs="宋体"/>
                <w:color w:val="auto"/>
                <w:sz w:val="24"/>
                <w:szCs w:val="24"/>
                <w:lang w:eastAsia="zh-CN"/>
              </w:rPr>
              <w:t>）</w:t>
            </w:r>
            <w:r>
              <w:rPr>
                <w:rFonts w:hint="eastAsia" w:ascii="宋体" w:hAnsi="宋体" w:cs="宋体"/>
                <w:b w:val="0"/>
                <w:bCs w:val="0"/>
                <w:color w:val="auto"/>
                <w:sz w:val="24"/>
                <w:lang w:val="en-US" w:eastAsia="zh-CN"/>
              </w:rPr>
              <w:t>，</w:t>
            </w:r>
            <w:r>
              <w:rPr>
                <w:rFonts w:hint="eastAsia" w:ascii="宋体" w:hAnsi="宋体" w:eastAsia="宋体" w:cs="宋体"/>
                <w:color w:val="auto"/>
                <w:sz w:val="24"/>
                <w:szCs w:val="24"/>
                <w:lang w:val="en-US" w:eastAsia="zh-CN"/>
              </w:rPr>
              <w:t>焊接烟尘</w:t>
            </w:r>
            <w:r>
              <w:rPr>
                <w:rFonts w:hint="eastAsia" w:ascii="宋体" w:hAnsi="宋体" w:eastAsia="宋体" w:cs="宋体"/>
                <w:color w:val="auto"/>
                <w:sz w:val="24"/>
                <w:szCs w:val="24"/>
              </w:rPr>
              <w:t>经收集后，</w:t>
            </w:r>
            <w:r>
              <w:rPr>
                <w:rFonts w:hint="eastAsia" w:ascii="宋体" w:hAnsi="宋体" w:eastAsia="宋体" w:cs="宋体"/>
                <w:color w:val="auto"/>
                <w:sz w:val="24"/>
                <w:szCs w:val="24"/>
                <w:lang w:val="en-US" w:eastAsia="zh-CN"/>
              </w:rPr>
              <w:t>通过焊接烟尘净化器处理</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处理效率</w:t>
            </w:r>
            <w:r>
              <w:rPr>
                <w:rFonts w:hint="eastAsia" w:ascii="宋体" w:hAnsi="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处理后</w:t>
            </w:r>
            <w:r>
              <w:rPr>
                <w:rFonts w:hint="eastAsia" w:ascii="宋体" w:hAnsi="宋体" w:eastAsia="宋体" w:cs="宋体"/>
                <w:color w:val="auto"/>
                <w:sz w:val="24"/>
                <w:szCs w:val="24"/>
              </w:rPr>
              <w:t>经15m高排气筒</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排放</w:t>
            </w:r>
            <w:r>
              <w:rPr>
                <w:rFonts w:hint="eastAsia" w:ascii="宋体" w:hAnsi="宋体" w:cs="宋体"/>
                <w:color w:val="auto"/>
                <w:sz w:val="24"/>
                <w:szCs w:val="24"/>
                <w:lang w:eastAsia="zh-CN"/>
              </w:rPr>
              <w:t>，</w:t>
            </w:r>
            <w:r>
              <w:rPr>
                <w:rFonts w:hint="eastAsia" w:ascii="宋体" w:hAnsi="宋体" w:eastAsia="宋体" w:cs="宋体"/>
                <w:color w:val="auto"/>
                <w:sz w:val="24"/>
                <w:szCs w:val="24"/>
              </w:rPr>
              <w:t>风机风量为</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m</w:t>
            </w:r>
            <w:r>
              <w:rPr>
                <w:rFonts w:hint="eastAsia" w:ascii="宋体" w:hAnsi="宋体" w:eastAsia="宋体" w:cs="宋体"/>
                <w:color w:val="auto"/>
                <w:sz w:val="24"/>
                <w:szCs w:val="24"/>
                <w:vertAlign w:val="superscript"/>
              </w:rPr>
              <w:t>3</w:t>
            </w:r>
            <w:r>
              <w:rPr>
                <w:rFonts w:hint="eastAsia" w:ascii="宋体" w:hAnsi="宋体" w:eastAsia="宋体" w:cs="宋体"/>
                <w:color w:val="auto"/>
                <w:sz w:val="24"/>
                <w:szCs w:val="24"/>
              </w:rPr>
              <w:t>/h</w:t>
            </w:r>
            <w:r>
              <w:rPr>
                <w:rFonts w:hint="eastAsia" w:ascii="宋体" w:hAnsi="宋体" w:cs="宋体"/>
                <w:color w:val="auto"/>
                <w:sz w:val="24"/>
                <w:szCs w:val="24"/>
                <w:lang w:eastAsia="zh-CN"/>
              </w:rPr>
              <w:t>。</w:t>
            </w:r>
          </w:p>
          <w:p w14:paraId="163E044C">
            <w:pPr>
              <w:spacing w:line="360" w:lineRule="auto"/>
              <w:ind w:firstLine="480" w:firstLineChars="200"/>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有组织排放：</w:t>
            </w:r>
          </w:p>
          <w:p w14:paraId="43A3C68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val="en-US" w:eastAsia="zh-CN"/>
              </w:rPr>
              <w:t>焊接烟尘</w:t>
            </w:r>
            <w:r>
              <w:rPr>
                <w:rFonts w:hint="eastAsia" w:ascii="宋体" w:hAnsi="宋体" w:eastAsia="宋体" w:cs="宋体"/>
                <w:color w:val="auto"/>
                <w:sz w:val="24"/>
                <w:szCs w:val="24"/>
              </w:rPr>
              <w:t>产生及排放情况如下表所示：</w:t>
            </w:r>
          </w:p>
          <w:p w14:paraId="5E832431">
            <w:pPr>
              <w:adjustRightInd w:val="0"/>
              <w:snapToGrid w:val="0"/>
              <w:spacing w:line="360" w:lineRule="auto"/>
              <w:jc w:val="center"/>
              <w:rPr>
                <w:rFonts w:hint="eastAsia" w:ascii="Times New Roman" w:hAnsi="Times New Roman" w:cs="Times New Roman"/>
                <w:b/>
                <w:bCs/>
                <w:color w:val="auto"/>
              </w:rPr>
            </w:pPr>
            <w:r>
              <w:rPr>
                <w:rFonts w:hint="eastAsia" w:ascii="Times New Roman" w:hAnsi="Times New Roman" w:cs="Times New Roman"/>
                <w:b/>
                <w:bCs/>
                <w:color w:val="auto"/>
              </w:rPr>
              <w:t>表5-</w:t>
            </w:r>
            <w:r>
              <w:rPr>
                <w:rFonts w:hint="eastAsia" w:cs="Times New Roman"/>
                <w:b/>
                <w:bCs/>
                <w:color w:val="auto"/>
                <w:lang w:val="en-US" w:eastAsia="zh-CN"/>
              </w:rPr>
              <w:t>6</w:t>
            </w:r>
            <w:r>
              <w:rPr>
                <w:rFonts w:hint="eastAsia" w:ascii="Times New Roman" w:hAnsi="Times New Roman" w:cs="Times New Roman"/>
                <w:b/>
                <w:bCs/>
                <w:color w:val="auto"/>
              </w:rPr>
              <w:t xml:space="preserve"> </w:t>
            </w:r>
            <w:r>
              <w:rPr>
                <w:rFonts w:hint="eastAsia" w:ascii="Times New Roman" w:hAnsi="Times New Roman" w:cs="Times New Roman"/>
                <w:b/>
                <w:bCs/>
                <w:color w:val="auto"/>
                <w:lang w:val="en-US" w:eastAsia="zh-CN"/>
              </w:rPr>
              <w:t>焊接烟尘</w:t>
            </w:r>
            <w:r>
              <w:rPr>
                <w:rFonts w:hint="eastAsia" w:ascii="Times New Roman" w:hAnsi="Times New Roman" w:cs="Times New Roman"/>
                <w:b/>
                <w:bCs/>
                <w:color w:val="auto"/>
              </w:rPr>
              <w:t>处理及排放情况表</w:t>
            </w:r>
          </w:p>
          <w:tbl>
            <w:tblPr>
              <w:tblStyle w:val="23"/>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25"/>
              <w:gridCol w:w="870"/>
              <w:gridCol w:w="900"/>
              <w:gridCol w:w="937"/>
              <w:gridCol w:w="851"/>
              <w:gridCol w:w="851"/>
              <w:gridCol w:w="851"/>
              <w:gridCol w:w="851"/>
              <w:gridCol w:w="851"/>
              <w:gridCol w:w="851"/>
            </w:tblGrid>
            <w:tr w14:paraId="04CF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7DCB6B61">
                  <w:pPr>
                    <w:pStyle w:val="69"/>
                    <w:jc w:val="center"/>
                    <w:rPr>
                      <w:color w:val="auto"/>
                      <w:sz w:val="18"/>
                      <w:szCs w:val="18"/>
                      <w:lang w:eastAsia="zh-CN"/>
                    </w:rPr>
                  </w:pPr>
                  <w:r>
                    <w:rPr>
                      <w:rFonts w:hint="eastAsia"/>
                      <w:color w:val="auto"/>
                      <w:sz w:val="18"/>
                      <w:szCs w:val="18"/>
                      <w:lang w:eastAsia="zh-CN"/>
                    </w:rPr>
                    <w:t>废气种类</w:t>
                  </w:r>
                </w:p>
              </w:tc>
              <w:tc>
                <w:tcPr>
                  <w:tcW w:w="3532" w:type="dxa"/>
                  <w:gridSpan w:val="4"/>
                  <w:vAlign w:val="center"/>
                </w:tcPr>
                <w:p w14:paraId="589D5E92">
                  <w:pPr>
                    <w:pStyle w:val="69"/>
                    <w:jc w:val="center"/>
                    <w:rPr>
                      <w:color w:val="auto"/>
                      <w:sz w:val="18"/>
                      <w:szCs w:val="18"/>
                      <w:lang w:eastAsia="zh-CN"/>
                    </w:rPr>
                  </w:pPr>
                  <w:r>
                    <w:rPr>
                      <w:rFonts w:hint="eastAsia"/>
                      <w:color w:val="auto"/>
                      <w:sz w:val="18"/>
                      <w:szCs w:val="18"/>
                      <w:lang w:eastAsia="zh-CN"/>
                    </w:rPr>
                    <w:t>排放参数</w:t>
                  </w:r>
                </w:p>
              </w:tc>
              <w:tc>
                <w:tcPr>
                  <w:tcW w:w="851" w:type="dxa"/>
                  <w:vMerge w:val="restart"/>
                  <w:vAlign w:val="center"/>
                </w:tcPr>
                <w:p w14:paraId="638BF1EB">
                  <w:pPr>
                    <w:pStyle w:val="69"/>
                    <w:jc w:val="center"/>
                    <w:rPr>
                      <w:color w:val="auto"/>
                      <w:sz w:val="18"/>
                      <w:szCs w:val="18"/>
                      <w:lang w:eastAsia="zh-CN"/>
                    </w:rPr>
                  </w:pPr>
                  <w:r>
                    <w:rPr>
                      <w:rFonts w:hint="eastAsia"/>
                      <w:color w:val="auto"/>
                      <w:sz w:val="18"/>
                      <w:szCs w:val="18"/>
                      <w:lang w:eastAsia="zh-CN"/>
                    </w:rPr>
                    <w:t>污染物名称</w:t>
                  </w:r>
                </w:p>
              </w:tc>
              <w:tc>
                <w:tcPr>
                  <w:tcW w:w="1702" w:type="dxa"/>
                  <w:gridSpan w:val="2"/>
                  <w:vAlign w:val="center"/>
                </w:tcPr>
                <w:p w14:paraId="33D1C655">
                  <w:pPr>
                    <w:pStyle w:val="69"/>
                    <w:jc w:val="center"/>
                    <w:rPr>
                      <w:color w:val="auto"/>
                      <w:sz w:val="18"/>
                      <w:szCs w:val="18"/>
                      <w:lang w:eastAsia="zh-CN"/>
                    </w:rPr>
                  </w:pPr>
                  <w:r>
                    <w:rPr>
                      <w:rFonts w:hint="eastAsia"/>
                      <w:color w:val="auto"/>
                      <w:sz w:val="18"/>
                      <w:szCs w:val="18"/>
                      <w:lang w:eastAsia="zh-CN"/>
                    </w:rPr>
                    <w:t>处理前</w:t>
                  </w:r>
                </w:p>
              </w:tc>
              <w:tc>
                <w:tcPr>
                  <w:tcW w:w="1702" w:type="dxa"/>
                  <w:gridSpan w:val="2"/>
                  <w:vAlign w:val="center"/>
                </w:tcPr>
                <w:p w14:paraId="46F05638">
                  <w:pPr>
                    <w:pStyle w:val="69"/>
                    <w:jc w:val="center"/>
                    <w:rPr>
                      <w:color w:val="auto"/>
                      <w:sz w:val="18"/>
                      <w:szCs w:val="18"/>
                      <w:lang w:eastAsia="zh-CN"/>
                    </w:rPr>
                  </w:pPr>
                  <w:r>
                    <w:rPr>
                      <w:rFonts w:hint="eastAsia"/>
                      <w:color w:val="auto"/>
                      <w:sz w:val="18"/>
                      <w:szCs w:val="18"/>
                      <w:lang w:eastAsia="zh-CN"/>
                    </w:rPr>
                    <w:t>处理后</w:t>
                  </w:r>
                </w:p>
              </w:tc>
              <w:tc>
                <w:tcPr>
                  <w:tcW w:w="851" w:type="dxa"/>
                  <w:vMerge w:val="restart"/>
                  <w:vAlign w:val="center"/>
                </w:tcPr>
                <w:p w14:paraId="766D3478">
                  <w:pPr>
                    <w:pStyle w:val="69"/>
                    <w:jc w:val="center"/>
                    <w:rPr>
                      <w:color w:val="auto"/>
                      <w:sz w:val="18"/>
                      <w:szCs w:val="18"/>
                      <w:lang w:eastAsia="zh-CN"/>
                    </w:rPr>
                  </w:pPr>
                  <w:r>
                    <w:rPr>
                      <w:rFonts w:hint="eastAsia"/>
                      <w:color w:val="auto"/>
                      <w:sz w:val="18"/>
                      <w:szCs w:val="18"/>
                      <w:lang w:eastAsia="zh-CN"/>
                    </w:rPr>
                    <w:t>处理效率</w:t>
                  </w:r>
                </w:p>
              </w:tc>
            </w:tr>
            <w:tr w14:paraId="6079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14:paraId="02F93D24">
                  <w:pPr>
                    <w:pStyle w:val="69"/>
                    <w:jc w:val="center"/>
                    <w:rPr>
                      <w:color w:val="auto"/>
                      <w:sz w:val="18"/>
                      <w:szCs w:val="18"/>
                      <w:lang w:eastAsia="zh-CN"/>
                    </w:rPr>
                  </w:pPr>
                </w:p>
              </w:tc>
              <w:tc>
                <w:tcPr>
                  <w:tcW w:w="825" w:type="dxa"/>
                  <w:vAlign w:val="center"/>
                </w:tcPr>
                <w:p w14:paraId="4C7024FC">
                  <w:pPr>
                    <w:pStyle w:val="69"/>
                    <w:jc w:val="center"/>
                    <w:rPr>
                      <w:color w:val="auto"/>
                      <w:sz w:val="18"/>
                      <w:szCs w:val="18"/>
                      <w:lang w:eastAsia="zh-CN"/>
                    </w:rPr>
                  </w:pPr>
                  <w:r>
                    <w:rPr>
                      <w:rFonts w:hint="eastAsia"/>
                      <w:color w:val="auto"/>
                      <w:sz w:val="18"/>
                      <w:szCs w:val="18"/>
                      <w:lang w:eastAsia="zh-CN"/>
                    </w:rPr>
                    <w:t>排气筒数量</w:t>
                  </w:r>
                </w:p>
              </w:tc>
              <w:tc>
                <w:tcPr>
                  <w:tcW w:w="870" w:type="dxa"/>
                  <w:vAlign w:val="center"/>
                </w:tcPr>
                <w:p w14:paraId="7B1A8DA3">
                  <w:pPr>
                    <w:pStyle w:val="69"/>
                    <w:jc w:val="center"/>
                    <w:rPr>
                      <w:color w:val="auto"/>
                      <w:sz w:val="18"/>
                      <w:szCs w:val="18"/>
                      <w:lang w:eastAsia="zh-CN"/>
                    </w:rPr>
                  </w:pPr>
                  <w:r>
                    <w:rPr>
                      <w:rFonts w:hint="eastAsia"/>
                      <w:color w:val="auto"/>
                      <w:sz w:val="18"/>
                      <w:szCs w:val="18"/>
                      <w:lang w:eastAsia="zh-CN"/>
                    </w:rPr>
                    <w:t>高度（m）</w:t>
                  </w:r>
                </w:p>
              </w:tc>
              <w:tc>
                <w:tcPr>
                  <w:tcW w:w="900" w:type="dxa"/>
                  <w:vAlign w:val="center"/>
                </w:tcPr>
                <w:p w14:paraId="5C8C9B9E">
                  <w:pPr>
                    <w:pStyle w:val="69"/>
                    <w:jc w:val="center"/>
                    <w:rPr>
                      <w:color w:val="auto"/>
                      <w:sz w:val="18"/>
                      <w:szCs w:val="18"/>
                      <w:lang w:eastAsia="zh-CN"/>
                    </w:rPr>
                  </w:pPr>
                  <w:r>
                    <w:rPr>
                      <w:rFonts w:hint="eastAsia"/>
                      <w:color w:val="auto"/>
                      <w:sz w:val="18"/>
                      <w:szCs w:val="18"/>
                      <w:lang w:eastAsia="zh-CN"/>
                    </w:rPr>
                    <w:t>内径</w:t>
                  </w:r>
                </w:p>
                <w:p w14:paraId="53AF995B">
                  <w:pPr>
                    <w:pStyle w:val="69"/>
                    <w:jc w:val="center"/>
                    <w:rPr>
                      <w:color w:val="auto"/>
                      <w:sz w:val="18"/>
                      <w:szCs w:val="18"/>
                      <w:lang w:eastAsia="zh-CN"/>
                    </w:rPr>
                  </w:pPr>
                  <w:r>
                    <w:rPr>
                      <w:rFonts w:hint="eastAsia"/>
                      <w:color w:val="auto"/>
                      <w:sz w:val="18"/>
                      <w:szCs w:val="18"/>
                      <w:lang w:eastAsia="zh-CN"/>
                    </w:rPr>
                    <w:t>（m）</w:t>
                  </w:r>
                </w:p>
              </w:tc>
              <w:tc>
                <w:tcPr>
                  <w:tcW w:w="937" w:type="dxa"/>
                  <w:vAlign w:val="center"/>
                </w:tcPr>
                <w:p w14:paraId="224CE957">
                  <w:pPr>
                    <w:pStyle w:val="69"/>
                    <w:jc w:val="center"/>
                    <w:rPr>
                      <w:color w:val="auto"/>
                      <w:sz w:val="18"/>
                      <w:szCs w:val="18"/>
                      <w:lang w:eastAsia="zh-CN"/>
                    </w:rPr>
                  </w:pPr>
                  <w:r>
                    <w:rPr>
                      <w:rFonts w:hint="eastAsia"/>
                      <w:color w:val="auto"/>
                      <w:sz w:val="18"/>
                      <w:szCs w:val="18"/>
                      <w:lang w:eastAsia="zh-CN"/>
                    </w:rPr>
                    <w:t>排气总量（m</w:t>
                  </w:r>
                  <w:r>
                    <w:rPr>
                      <w:rFonts w:hint="eastAsia"/>
                      <w:color w:val="auto"/>
                      <w:sz w:val="18"/>
                      <w:szCs w:val="18"/>
                      <w:vertAlign w:val="superscript"/>
                      <w:lang w:eastAsia="zh-CN"/>
                    </w:rPr>
                    <w:t>3</w:t>
                  </w:r>
                  <w:r>
                    <w:rPr>
                      <w:rFonts w:hint="eastAsia"/>
                      <w:color w:val="auto"/>
                      <w:sz w:val="18"/>
                      <w:szCs w:val="18"/>
                      <w:lang w:eastAsia="zh-CN"/>
                    </w:rPr>
                    <w:t>/h）</w:t>
                  </w:r>
                </w:p>
              </w:tc>
              <w:tc>
                <w:tcPr>
                  <w:tcW w:w="851" w:type="dxa"/>
                  <w:vMerge w:val="continue"/>
                  <w:vAlign w:val="center"/>
                </w:tcPr>
                <w:p w14:paraId="12112410">
                  <w:pPr>
                    <w:pStyle w:val="69"/>
                    <w:jc w:val="center"/>
                    <w:rPr>
                      <w:color w:val="auto"/>
                      <w:sz w:val="18"/>
                      <w:szCs w:val="18"/>
                      <w:lang w:eastAsia="zh-CN"/>
                    </w:rPr>
                  </w:pPr>
                </w:p>
              </w:tc>
              <w:tc>
                <w:tcPr>
                  <w:tcW w:w="851" w:type="dxa"/>
                  <w:vAlign w:val="center"/>
                </w:tcPr>
                <w:p w14:paraId="3B8DDF02">
                  <w:pPr>
                    <w:pStyle w:val="69"/>
                    <w:jc w:val="center"/>
                    <w:rPr>
                      <w:color w:val="auto"/>
                      <w:sz w:val="18"/>
                      <w:szCs w:val="18"/>
                      <w:lang w:eastAsia="zh-CN"/>
                    </w:rPr>
                  </w:pPr>
                  <w:r>
                    <w:rPr>
                      <w:rFonts w:hint="eastAsia"/>
                      <w:color w:val="auto"/>
                      <w:sz w:val="18"/>
                      <w:szCs w:val="18"/>
                      <w:lang w:eastAsia="zh-CN"/>
                    </w:rPr>
                    <w:t>产生速率（kg/h）</w:t>
                  </w:r>
                </w:p>
              </w:tc>
              <w:tc>
                <w:tcPr>
                  <w:tcW w:w="851" w:type="dxa"/>
                  <w:vAlign w:val="center"/>
                </w:tcPr>
                <w:p w14:paraId="61FA63C1">
                  <w:pPr>
                    <w:pStyle w:val="69"/>
                    <w:jc w:val="center"/>
                    <w:rPr>
                      <w:color w:val="auto"/>
                      <w:sz w:val="18"/>
                      <w:szCs w:val="18"/>
                      <w:lang w:eastAsia="zh-CN"/>
                    </w:rPr>
                  </w:pPr>
                  <w:r>
                    <w:rPr>
                      <w:rFonts w:hint="eastAsia"/>
                      <w:color w:val="auto"/>
                      <w:sz w:val="18"/>
                      <w:szCs w:val="18"/>
                      <w:lang w:eastAsia="zh-CN"/>
                    </w:rPr>
                    <w:t>产生浓度(mg/m</w:t>
                  </w:r>
                  <w:r>
                    <w:rPr>
                      <w:rFonts w:hint="eastAsia"/>
                      <w:color w:val="auto"/>
                      <w:sz w:val="18"/>
                      <w:szCs w:val="18"/>
                      <w:vertAlign w:val="superscript"/>
                      <w:lang w:eastAsia="zh-CN"/>
                    </w:rPr>
                    <w:t>3</w:t>
                  </w:r>
                  <w:r>
                    <w:rPr>
                      <w:rFonts w:hint="eastAsia"/>
                      <w:color w:val="auto"/>
                      <w:sz w:val="18"/>
                      <w:szCs w:val="18"/>
                      <w:lang w:eastAsia="zh-CN"/>
                    </w:rPr>
                    <w:t>)</w:t>
                  </w:r>
                </w:p>
              </w:tc>
              <w:tc>
                <w:tcPr>
                  <w:tcW w:w="851" w:type="dxa"/>
                  <w:vAlign w:val="center"/>
                </w:tcPr>
                <w:p w14:paraId="5B21621C">
                  <w:pPr>
                    <w:pStyle w:val="69"/>
                    <w:jc w:val="center"/>
                    <w:rPr>
                      <w:color w:val="auto"/>
                      <w:sz w:val="18"/>
                      <w:szCs w:val="18"/>
                      <w:lang w:eastAsia="zh-CN"/>
                    </w:rPr>
                  </w:pPr>
                  <w:r>
                    <w:rPr>
                      <w:rFonts w:hint="eastAsia"/>
                      <w:color w:val="auto"/>
                      <w:sz w:val="18"/>
                      <w:szCs w:val="18"/>
                      <w:lang w:eastAsia="zh-CN"/>
                    </w:rPr>
                    <w:t>排放速率（kg/h）</w:t>
                  </w:r>
                </w:p>
              </w:tc>
              <w:tc>
                <w:tcPr>
                  <w:tcW w:w="851" w:type="dxa"/>
                  <w:vAlign w:val="center"/>
                </w:tcPr>
                <w:p w14:paraId="32C74F21">
                  <w:pPr>
                    <w:pStyle w:val="69"/>
                    <w:jc w:val="center"/>
                    <w:rPr>
                      <w:color w:val="auto"/>
                      <w:sz w:val="18"/>
                      <w:szCs w:val="18"/>
                      <w:lang w:eastAsia="zh-CN"/>
                    </w:rPr>
                  </w:pPr>
                  <w:r>
                    <w:rPr>
                      <w:rFonts w:hint="eastAsia"/>
                      <w:color w:val="auto"/>
                      <w:sz w:val="18"/>
                      <w:szCs w:val="18"/>
                      <w:lang w:eastAsia="zh-CN"/>
                    </w:rPr>
                    <w:t>排放浓度(mg/m</w:t>
                  </w:r>
                  <w:r>
                    <w:rPr>
                      <w:rFonts w:hint="eastAsia"/>
                      <w:color w:val="auto"/>
                      <w:sz w:val="18"/>
                      <w:szCs w:val="18"/>
                      <w:vertAlign w:val="superscript"/>
                      <w:lang w:eastAsia="zh-CN"/>
                    </w:rPr>
                    <w:t>3</w:t>
                  </w:r>
                  <w:r>
                    <w:rPr>
                      <w:rFonts w:hint="eastAsia"/>
                      <w:color w:val="auto"/>
                      <w:sz w:val="18"/>
                      <w:szCs w:val="18"/>
                      <w:lang w:eastAsia="zh-CN"/>
                    </w:rPr>
                    <w:t>)</w:t>
                  </w:r>
                </w:p>
              </w:tc>
              <w:tc>
                <w:tcPr>
                  <w:tcW w:w="851" w:type="dxa"/>
                  <w:vMerge w:val="continue"/>
                  <w:vAlign w:val="center"/>
                </w:tcPr>
                <w:p w14:paraId="2CA11741">
                  <w:pPr>
                    <w:pStyle w:val="69"/>
                    <w:jc w:val="center"/>
                    <w:rPr>
                      <w:color w:val="auto"/>
                      <w:sz w:val="18"/>
                      <w:szCs w:val="18"/>
                      <w:lang w:eastAsia="zh-CN"/>
                    </w:rPr>
                  </w:pPr>
                </w:p>
              </w:tc>
            </w:tr>
            <w:tr w14:paraId="0919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BD5A0C6">
                  <w:pPr>
                    <w:pStyle w:val="69"/>
                    <w:jc w:val="center"/>
                    <w:rPr>
                      <w:rFonts w:hint="default"/>
                      <w:color w:val="auto"/>
                      <w:sz w:val="18"/>
                      <w:szCs w:val="18"/>
                      <w:lang w:val="en-US" w:eastAsia="zh-CN"/>
                    </w:rPr>
                  </w:pPr>
                  <w:r>
                    <w:rPr>
                      <w:rFonts w:hint="eastAsia"/>
                      <w:color w:val="auto"/>
                      <w:sz w:val="18"/>
                      <w:szCs w:val="18"/>
                      <w:lang w:val="en-US" w:eastAsia="zh-CN"/>
                    </w:rPr>
                    <w:t>焊接烟尘</w:t>
                  </w:r>
                </w:p>
              </w:tc>
              <w:tc>
                <w:tcPr>
                  <w:tcW w:w="825" w:type="dxa"/>
                  <w:vAlign w:val="center"/>
                </w:tcPr>
                <w:p w14:paraId="72662826">
                  <w:pPr>
                    <w:pStyle w:val="69"/>
                    <w:jc w:val="center"/>
                    <w:rPr>
                      <w:color w:val="auto"/>
                      <w:sz w:val="18"/>
                      <w:szCs w:val="18"/>
                      <w:lang w:eastAsia="zh-CN"/>
                    </w:rPr>
                  </w:pPr>
                  <w:r>
                    <w:rPr>
                      <w:rFonts w:hint="eastAsia"/>
                      <w:color w:val="auto"/>
                      <w:sz w:val="18"/>
                      <w:szCs w:val="18"/>
                      <w:lang w:eastAsia="zh-CN"/>
                    </w:rPr>
                    <w:t>1</w:t>
                  </w:r>
                </w:p>
              </w:tc>
              <w:tc>
                <w:tcPr>
                  <w:tcW w:w="870" w:type="dxa"/>
                  <w:vAlign w:val="center"/>
                </w:tcPr>
                <w:p w14:paraId="4C0DCA4C">
                  <w:pPr>
                    <w:pStyle w:val="69"/>
                    <w:jc w:val="center"/>
                    <w:rPr>
                      <w:color w:val="auto"/>
                      <w:sz w:val="18"/>
                      <w:szCs w:val="18"/>
                      <w:lang w:eastAsia="zh-CN"/>
                    </w:rPr>
                  </w:pPr>
                  <w:r>
                    <w:rPr>
                      <w:rFonts w:hint="eastAsia"/>
                      <w:color w:val="auto"/>
                      <w:sz w:val="18"/>
                      <w:szCs w:val="18"/>
                      <w:lang w:eastAsia="zh-CN"/>
                    </w:rPr>
                    <w:t>15</w:t>
                  </w:r>
                </w:p>
              </w:tc>
              <w:tc>
                <w:tcPr>
                  <w:tcW w:w="900" w:type="dxa"/>
                  <w:vAlign w:val="center"/>
                </w:tcPr>
                <w:p w14:paraId="1C02F9DE">
                  <w:pPr>
                    <w:pStyle w:val="69"/>
                    <w:jc w:val="center"/>
                    <w:rPr>
                      <w:rFonts w:hint="eastAsia"/>
                      <w:color w:val="auto"/>
                      <w:sz w:val="18"/>
                      <w:szCs w:val="18"/>
                      <w:lang w:val="en-US" w:eastAsia="zh-CN"/>
                    </w:rPr>
                  </w:pPr>
                  <w:r>
                    <w:rPr>
                      <w:rFonts w:hint="eastAsia"/>
                      <w:color w:val="auto"/>
                      <w:sz w:val="18"/>
                      <w:szCs w:val="18"/>
                      <w:lang w:val="en-US" w:eastAsia="zh-CN"/>
                    </w:rPr>
                    <w:t>0.3</w:t>
                  </w:r>
                </w:p>
              </w:tc>
              <w:tc>
                <w:tcPr>
                  <w:tcW w:w="937" w:type="dxa"/>
                  <w:vAlign w:val="center"/>
                </w:tcPr>
                <w:p w14:paraId="34AACA1F">
                  <w:pPr>
                    <w:pStyle w:val="69"/>
                    <w:jc w:val="center"/>
                    <w:rPr>
                      <w:rFonts w:hint="default"/>
                      <w:color w:val="auto"/>
                      <w:sz w:val="18"/>
                      <w:szCs w:val="18"/>
                      <w:lang w:val="en-US" w:eastAsia="zh-CN"/>
                    </w:rPr>
                  </w:pPr>
                  <w:r>
                    <w:rPr>
                      <w:rFonts w:hint="eastAsia"/>
                      <w:color w:val="auto"/>
                      <w:sz w:val="18"/>
                      <w:szCs w:val="18"/>
                      <w:lang w:val="en-US" w:eastAsia="zh-CN"/>
                    </w:rPr>
                    <w:t>2000</w:t>
                  </w:r>
                </w:p>
              </w:tc>
              <w:tc>
                <w:tcPr>
                  <w:tcW w:w="851" w:type="dxa"/>
                  <w:vAlign w:val="center"/>
                </w:tcPr>
                <w:p w14:paraId="396F0F05">
                  <w:pPr>
                    <w:pStyle w:val="69"/>
                    <w:jc w:val="center"/>
                    <w:rPr>
                      <w:color w:val="auto"/>
                      <w:sz w:val="18"/>
                      <w:szCs w:val="18"/>
                      <w:lang w:eastAsia="zh-CN"/>
                    </w:rPr>
                  </w:pPr>
                  <w:r>
                    <w:rPr>
                      <w:rFonts w:hint="eastAsia"/>
                      <w:color w:val="auto"/>
                      <w:sz w:val="18"/>
                      <w:szCs w:val="18"/>
                      <w:lang w:eastAsia="zh-CN"/>
                    </w:rPr>
                    <w:t>颗粒物</w:t>
                  </w:r>
                </w:p>
              </w:tc>
              <w:tc>
                <w:tcPr>
                  <w:tcW w:w="851" w:type="dxa"/>
                  <w:vAlign w:val="center"/>
                </w:tcPr>
                <w:p w14:paraId="7A44EB97">
                  <w:pPr>
                    <w:pStyle w:val="69"/>
                    <w:jc w:val="center"/>
                    <w:rPr>
                      <w:rFonts w:hint="default"/>
                      <w:color w:val="auto"/>
                      <w:sz w:val="18"/>
                      <w:szCs w:val="18"/>
                      <w:lang w:val="en-US" w:eastAsia="zh-CN"/>
                    </w:rPr>
                  </w:pPr>
                  <w:r>
                    <w:rPr>
                      <w:rFonts w:hint="eastAsia"/>
                      <w:color w:val="auto"/>
                      <w:sz w:val="18"/>
                      <w:szCs w:val="18"/>
                      <w:lang w:val="en-US" w:eastAsia="zh-CN"/>
                    </w:rPr>
                    <w:t>0.02</w:t>
                  </w:r>
                </w:p>
              </w:tc>
              <w:tc>
                <w:tcPr>
                  <w:tcW w:w="851" w:type="dxa"/>
                  <w:vAlign w:val="center"/>
                </w:tcPr>
                <w:p w14:paraId="74E59664">
                  <w:pPr>
                    <w:pStyle w:val="69"/>
                    <w:jc w:val="center"/>
                    <w:rPr>
                      <w:rFonts w:hint="default"/>
                      <w:color w:val="auto"/>
                      <w:sz w:val="18"/>
                      <w:szCs w:val="18"/>
                      <w:lang w:val="en-US" w:eastAsia="zh-CN"/>
                    </w:rPr>
                  </w:pPr>
                  <w:r>
                    <w:rPr>
                      <w:rFonts w:hint="eastAsia"/>
                      <w:color w:val="auto"/>
                      <w:sz w:val="18"/>
                      <w:szCs w:val="18"/>
                      <w:lang w:val="en-US" w:eastAsia="zh-CN"/>
                    </w:rPr>
                    <w:t>10</w:t>
                  </w:r>
                </w:p>
              </w:tc>
              <w:tc>
                <w:tcPr>
                  <w:tcW w:w="851" w:type="dxa"/>
                  <w:vAlign w:val="center"/>
                </w:tcPr>
                <w:p w14:paraId="40952356">
                  <w:pPr>
                    <w:pStyle w:val="69"/>
                    <w:jc w:val="center"/>
                    <w:rPr>
                      <w:rFonts w:hint="default"/>
                      <w:color w:val="auto"/>
                      <w:sz w:val="18"/>
                      <w:szCs w:val="18"/>
                      <w:lang w:val="en-US" w:eastAsia="zh-CN"/>
                    </w:rPr>
                  </w:pPr>
                  <w:r>
                    <w:rPr>
                      <w:rFonts w:hint="eastAsia"/>
                      <w:color w:val="auto"/>
                      <w:sz w:val="18"/>
                      <w:szCs w:val="18"/>
                      <w:lang w:val="en-US" w:eastAsia="zh-CN"/>
                    </w:rPr>
                    <w:t>0.0018</w:t>
                  </w:r>
                </w:p>
              </w:tc>
              <w:tc>
                <w:tcPr>
                  <w:tcW w:w="851" w:type="dxa"/>
                  <w:vAlign w:val="center"/>
                </w:tcPr>
                <w:p w14:paraId="152B4498">
                  <w:pPr>
                    <w:pStyle w:val="69"/>
                    <w:jc w:val="center"/>
                    <w:rPr>
                      <w:rFonts w:hint="default"/>
                      <w:color w:val="auto"/>
                      <w:sz w:val="18"/>
                      <w:szCs w:val="18"/>
                      <w:lang w:val="en-US" w:eastAsia="zh-CN"/>
                    </w:rPr>
                  </w:pPr>
                  <w:r>
                    <w:rPr>
                      <w:rFonts w:hint="eastAsia"/>
                      <w:color w:val="auto"/>
                      <w:sz w:val="18"/>
                      <w:szCs w:val="18"/>
                      <w:lang w:val="en-US" w:eastAsia="zh-CN"/>
                    </w:rPr>
                    <w:t>0.9</w:t>
                  </w:r>
                </w:p>
              </w:tc>
              <w:tc>
                <w:tcPr>
                  <w:tcW w:w="851" w:type="dxa"/>
                  <w:vAlign w:val="center"/>
                </w:tcPr>
                <w:p w14:paraId="7BBDAD1E">
                  <w:pPr>
                    <w:pStyle w:val="69"/>
                    <w:jc w:val="center"/>
                    <w:rPr>
                      <w:color w:val="auto"/>
                      <w:sz w:val="18"/>
                      <w:szCs w:val="18"/>
                      <w:lang w:eastAsia="zh-CN"/>
                    </w:rPr>
                  </w:pPr>
                  <w:r>
                    <w:rPr>
                      <w:rFonts w:hint="eastAsia"/>
                      <w:color w:val="auto"/>
                      <w:sz w:val="18"/>
                      <w:szCs w:val="18"/>
                      <w:lang w:eastAsia="zh-CN"/>
                    </w:rPr>
                    <w:t>90%</w:t>
                  </w:r>
                </w:p>
              </w:tc>
            </w:tr>
            <w:tr w14:paraId="4455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8" w:type="dxa"/>
                  <w:gridSpan w:val="11"/>
                  <w:vAlign w:val="center"/>
                </w:tcPr>
                <w:p w14:paraId="0F3C57CC">
                  <w:pPr>
                    <w:spacing w:before="5" w:line="236" w:lineRule="auto"/>
                    <w:rPr>
                      <w:color w:val="auto"/>
                      <w:szCs w:val="21"/>
                    </w:rPr>
                  </w:pPr>
                  <w:r>
                    <w:rPr>
                      <w:rFonts w:hint="eastAsia" w:asciiTheme="minorHAnsi" w:hAnsiTheme="minorHAnsi" w:eastAsiaTheme="minorEastAsia" w:cstheme="minorBidi"/>
                      <w:color w:val="auto"/>
                      <w:kern w:val="0"/>
                      <w:szCs w:val="21"/>
                    </w:rPr>
                    <w:t>注：排放标准执行《大气污染物综合排放标准》（GB16297-1996）表2 标准，颗粒物排放浓度 120mg/m</w:t>
                  </w:r>
                  <w:r>
                    <w:rPr>
                      <w:rFonts w:hint="eastAsia" w:asciiTheme="minorHAnsi" w:hAnsiTheme="minorHAnsi" w:eastAsiaTheme="minorEastAsia" w:cstheme="minorBidi"/>
                      <w:color w:val="auto"/>
                      <w:kern w:val="0"/>
                      <w:szCs w:val="21"/>
                      <w:vertAlign w:val="superscript"/>
                    </w:rPr>
                    <w:t>3</w:t>
                  </w:r>
                  <w:r>
                    <w:rPr>
                      <w:rFonts w:hint="eastAsia" w:asciiTheme="minorHAnsi" w:hAnsiTheme="minorHAnsi" w:eastAsiaTheme="minorEastAsia" w:cstheme="minorBidi"/>
                      <w:color w:val="auto"/>
                      <w:kern w:val="0"/>
                      <w:szCs w:val="21"/>
                    </w:rPr>
                    <w:t>，排放速率 3.5kg/h（15m 高排气筒）</w:t>
                  </w:r>
                </w:p>
              </w:tc>
            </w:tr>
          </w:tbl>
          <w:p w14:paraId="7FCF73CA">
            <w:pPr>
              <w:pStyle w:val="27"/>
              <w:rPr>
                <w:rFonts w:hint="eastAsia" w:ascii="Times New Roman" w:hAnsi="Times New Roman" w:cs="Times New Roman"/>
                <w:b/>
                <w:bCs/>
                <w:color w:val="auto"/>
              </w:rPr>
            </w:pPr>
          </w:p>
          <w:p w14:paraId="663BB1EE">
            <w:pPr>
              <w:spacing w:line="360" w:lineRule="auto"/>
              <w:ind w:firstLine="480" w:firstLineChars="200"/>
              <w:jc w:val="left"/>
              <w:rPr>
                <w:rFonts w:hint="eastAsia" w:ascii="宋体" w:hAnsi="宋体" w:cs="宋体"/>
                <w:color w:val="auto"/>
                <w:sz w:val="24"/>
                <w:lang w:val="en-US" w:eastAsia="zh-CN"/>
              </w:rPr>
            </w:pPr>
            <w:r>
              <w:rPr>
                <w:rFonts w:hint="eastAsia" w:ascii="宋体" w:hAnsi="宋体" w:cs="宋体"/>
                <w:color w:val="auto"/>
                <w:sz w:val="24"/>
                <w:lang w:val="en-US" w:eastAsia="zh-CN"/>
              </w:rPr>
              <w:t>无组织排放</w:t>
            </w:r>
          </w:p>
          <w:p w14:paraId="4371AD2E">
            <w:pPr>
              <w:spacing w:line="360" w:lineRule="auto"/>
              <w:ind w:firstLine="480" w:firstLineChars="200"/>
              <w:jc w:val="left"/>
              <w:rPr>
                <w:rFonts w:hint="eastAsia" w:ascii="宋体" w:hAnsi="宋体" w:cs="宋体"/>
                <w:color w:val="auto"/>
                <w:sz w:val="24"/>
                <w:lang w:val="en-US" w:eastAsia="zh-CN"/>
              </w:rPr>
            </w:pPr>
            <w:r>
              <w:rPr>
                <w:rFonts w:hint="eastAsia" w:ascii="宋体" w:hAnsi="宋体" w:cs="宋体"/>
                <w:color w:val="auto"/>
                <w:sz w:val="24"/>
                <w:lang w:val="en-US" w:eastAsia="zh-CN"/>
              </w:rPr>
              <w:t>由于工位集气罩的收集效率在90%左右，因此，将会有10%的废气以无组织形式排放。该部分废气的排放量为2.4kg/a，0.002kg/h。</w:t>
            </w:r>
          </w:p>
          <w:p w14:paraId="46C24B77">
            <w:pPr>
              <w:spacing w:line="360" w:lineRule="auto"/>
              <w:ind w:firstLine="482" w:firstLineChars="200"/>
              <w:jc w:val="left"/>
              <w:rPr>
                <w:rFonts w:hint="eastAsia" w:ascii="宋体" w:hAnsi="宋体" w:cs="宋体"/>
                <w:b/>
                <w:bCs/>
                <w:color w:val="auto"/>
                <w:sz w:val="24"/>
                <w:lang w:val="en-US" w:eastAsia="zh-CN"/>
              </w:rPr>
            </w:pPr>
            <w:r>
              <w:rPr>
                <w:rFonts w:hint="eastAsia" w:ascii="宋体" w:hAnsi="宋体" w:cs="宋体"/>
                <w:b/>
                <w:bCs/>
                <w:color w:val="auto"/>
                <w:sz w:val="24"/>
                <w:lang w:val="en-US" w:eastAsia="zh-CN"/>
              </w:rPr>
              <w:t xml:space="preserve">烟尘净化器工作原理： </w:t>
            </w:r>
          </w:p>
          <w:p w14:paraId="76524DF1">
            <w:pPr>
              <w:spacing w:line="360" w:lineRule="auto"/>
              <w:ind w:firstLine="480" w:firstLineChars="200"/>
              <w:jc w:val="left"/>
              <w:rPr>
                <w:rFonts w:hint="eastAsia" w:ascii="宋体" w:hAnsi="宋体" w:cs="宋体"/>
                <w:color w:val="auto"/>
                <w:sz w:val="24"/>
                <w:lang w:val="en-US" w:eastAsia="zh-CN"/>
              </w:rPr>
            </w:pPr>
            <w:r>
              <w:rPr>
                <w:rFonts w:hint="eastAsia" w:ascii="宋体" w:hAnsi="宋体" w:cs="宋体"/>
                <w:color w:val="auto"/>
                <w:sz w:val="24"/>
                <w:lang w:val="en-US" w:eastAsia="zh-CN"/>
              </w:rPr>
              <w:t>原理：第一层采用百折纸百折绒彻底拦截粉尘；第二层采用玻璃纤维初效过滤棉，对废气中的烟尘拦截过滤；第三层采用精吸附过滤棉，对微小烟尘在次吸附。</w:t>
            </w:r>
          </w:p>
          <w:p w14:paraId="47EF2C5E">
            <w:pPr>
              <w:spacing w:line="360" w:lineRule="auto"/>
              <w:ind w:firstLine="480" w:firstLineChars="200"/>
              <w:jc w:val="left"/>
              <w:rPr>
                <w:rFonts w:hint="eastAsia"/>
                <w:color w:val="auto"/>
                <w:lang w:val="en-US" w:eastAsia="zh-CN"/>
              </w:rPr>
            </w:pPr>
            <w:r>
              <w:rPr>
                <w:rFonts w:hint="eastAsia" w:ascii="宋体" w:hAnsi="宋体" w:cs="宋体"/>
                <w:color w:val="auto"/>
                <w:sz w:val="24"/>
                <w:lang w:val="en-US" w:eastAsia="zh-CN"/>
              </w:rPr>
              <w:t>功效：干式拦截器安装于所有净化装置的前端，是排风系统粉尘的主要收集源头，在整个净化系统起着关键的作用。参考文献《焊接烟尘的污染与净化》（陕西环境第9卷第</w:t>
            </w:r>
            <w:r>
              <w:rPr>
                <w:rFonts w:hint="default" w:ascii="宋体" w:hAnsi="宋体" w:cs="宋体"/>
                <w:color w:val="auto"/>
                <w:sz w:val="24"/>
                <w:lang w:val="en-US" w:eastAsia="zh-CN"/>
              </w:rPr>
              <w:t>5</w:t>
            </w:r>
            <w:r>
              <w:rPr>
                <w:rFonts w:hint="eastAsia" w:ascii="宋体" w:hAnsi="宋体" w:cs="宋体"/>
                <w:color w:val="auto"/>
                <w:sz w:val="24"/>
                <w:lang w:val="en-US" w:eastAsia="zh-CN"/>
              </w:rPr>
              <w:t>期，</w:t>
            </w:r>
            <w:r>
              <w:rPr>
                <w:rFonts w:hint="default" w:ascii="宋体" w:hAnsi="宋体" w:cs="宋体"/>
                <w:color w:val="auto"/>
                <w:sz w:val="24"/>
                <w:lang w:val="en-US" w:eastAsia="zh-CN"/>
              </w:rPr>
              <w:t>2002</w:t>
            </w:r>
            <w:r>
              <w:rPr>
                <w:rFonts w:hint="eastAsia" w:ascii="宋体" w:hAnsi="宋体" w:cs="宋体"/>
                <w:color w:val="auto"/>
                <w:sz w:val="24"/>
                <w:lang w:val="en-US" w:eastAsia="zh-CN"/>
              </w:rPr>
              <w:t>年</w:t>
            </w:r>
            <w:r>
              <w:rPr>
                <w:rFonts w:hint="default" w:ascii="宋体" w:hAnsi="宋体" w:cs="宋体"/>
                <w:color w:val="auto"/>
                <w:sz w:val="24"/>
                <w:lang w:val="en-US" w:eastAsia="zh-CN"/>
              </w:rPr>
              <w:t>10</w:t>
            </w:r>
            <w:r>
              <w:rPr>
                <w:rFonts w:hint="eastAsia" w:ascii="宋体" w:hAnsi="宋体" w:cs="宋体"/>
                <w:color w:val="auto"/>
                <w:sz w:val="24"/>
                <w:lang w:val="en-US" w:eastAsia="zh-CN"/>
              </w:rPr>
              <w:t>月）可知“三级过滤式焊接烟尘净化机组对焊接烟尘的净化效果可以达到</w:t>
            </w:r>
            <w:r>
              <w:rPr>
                <w:rFonts w:hint="default" w:ascii="宋体" w:hAnsi="宋体" w:cs="宋体"/>
                <w:color w:val="auto"/>
                <w:sz w:val="24"/>
                <w:lang w:val="en-US" w:eastAsia="zh-CN"/>
              </w:rPr>
              <w:t>99%</w:t>
            </w:r>
            <w:r>
              <w:rPr>
                <w:rFonts w:hint="eastAsia" w:ascii="宋体" w:hAnsi="宋体" w:cs="宋体"/>
                <w:color w:val="auto"/>
                <w:sz w:val="24"/>
                <w:lang w:val="en-US" w:eastAsia="zh-CN"/>
              </w:rPr>
              <w:t>以上”。考虑到实际运行效果，本项目焊烟净化装置净化效率保守取值</w:t>
            </w:r>
            <w:r>
              <w:rPr>
                <w:rFonts w:hint="default" w:ascii="宋体" w:hAnsi="宋体" w:cs="宋体"/>
                <w:color w:val="auto"/>
                <w:sz w:val="24"/>
                <w:lang w:val="en-US" w:eastAsia="zh-CN"/>
              </w:rPr>
              <w:t>90%</w:t>
            </w:r>
            <w:r>
              <w:rPr>
                <w:rFonts w:hint="eastAsia" w:ascii="宋体" w:hAnsi="宋体" w:cs="宋体"/>
                <w:color w:val="auto"/>
                <w:sz w:val="24"/>
                <w:lang w:val="en-US" w:eastAsia="zh-CN"/>
              </w:rPr>
              <w:t>，项目焊接烟气经干式拦截器净化去除废气中的颗粒物后，确保废气排放后不会对区域大气环境造成影响。</w:t>
            </w:r>
          </w:p>
          <w:p w14:paraId="4CE7EA75">
            <w:pPr>
              <w:spacing w:line="360" w:lineRule="auto"/>
              <w:ind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8</w:t>
            </w:r>
            <w:r>
              <w:rPr>
                <w:rFonts w:hint="eastAsia" w:ascii="Times New Roman" w:hAnsi="Times New Roman" w:cs="Times New Roman"/>
                <w:b/>
                <w:bCs/>
                <w:color w:val="auto"/>
                <w:sz w:val="24"/>
                <w:lang w:eastAsia="zh-CN"/>
              </w:rPr>
              <w:t>）钢筋切割</w:t>
            </w:r>
            <w:r>
              <w:rPr>
                <w:rFonts w:hint="eastAsia" w:ascii="Times New Roman" w:hAnsi="Times New Roman" w:cs="Times New Roman"/>
                <w:b/>
                <w:bCs/>
                <w:color w:val="auto"/>
                <w:sz w:val="24"/>
                <w:lang w:val="en-US" w:eastAsia="zh-CN"/>
              </w:rPr>
              <w:t>粉尘</w:t>
            </w:r>
          </w:p>
          <w:p w14:paraId="706DFDA5">
            <w:pPr>
              <w:adjustRightInd/>
              <w:spacing w:line="360" w:lineRule="auto"/>
              <w:ind w:firstLine="480" w:firstLineChars="200"/>
              <w:rPr>
                <w:rFonts w:hint="default" w:ascii="Times New Roman" w:hAnsi="Times New Roman" w:cs="Times New Roman"/>
                <w:b/>
                <w:bCs/>
                <w:color w:val="auto"/>
                <w:sz w:val="24"/>
                <w:lang w:eastAsia="zh-CN"/>
              </w:rPr>
            </w:pPr>
            <w:r>
              <w:rPr>
                <w:rFonts w:hint="eastAsia"/>
                <w:sz w:val="24"/>
              </w:rPr>
              <w:t>项目钢筋切割过程中会产生切割烟尘，主要成分为金属。因为其质量较大，沉降较快，</w:t>
            </w:r>
            <w:r>
              <w:rPr>
                <w:rFonts w:hint="eastAsia"/>
                <w:bCs/>
                <w:color w:val="000000"/>
                <w:spacing w:val="4"/>
                <w:sz w:val="24"/>
              </w:rPr>
              <w:t>本次评价对此部分产尘量忽略不计。</w:t>
            </w:r>
          </w:p>
          <w:p w14:paraId="0B50365A">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9</w:t>
            </w:r>
            <w:r>
              <w:rPr>
                <w:rFonts w:hint="default" w:ascii="Times New Roman" w:hAnsi="Times New Roman" w:cs="Times New Roman"/>
                <w:b/>
                <w:bCs/>
                <w:color w:val="auto"/>
                <w:sz w:val="24"/>
                <w:lang w:eastAsia="zh-CN"/>
              </w:rPr>
              <w:t>）</w:t>
            </w:r>
            <w:r>
              <w:rPr>
                <w:rFonts w:hint="default" w:ascii="Times New Roman" w:hAnsi="Times New Roman" w:eastAsia="宋体" w:cs="Times New Roman"/>
                <w:b/>
                <w:bCs/>
                <w:color w:val="auto"/>
                <w:sz w:val="24"/>
              </w:rPr>
              <w:t>运输要求</w:t>
            </w:r>
          </w:p>
          <w:p w14:paraId="2AB0652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本项目原料及成品运输路线主要集中在</w:t>
            </w:r>
            <w:r>
              <w:rPr>
                <w:rFonts w:hint="eastAsia" w:cs="Times New Roman"/>
                <w:color w:val="auto"/>
                <w:sz w:val="24"/>
                <w:lang w:val="en-US" w:eastAsia="zh-CN"/>
              </w:rPr>
              <w:t>蓬南镇</w:t>
            </w:r>
            <w:r>
              <w:rPr>
                <w:rFonts w:hint="default" w:ascii="Times New Roman" w:hAnsi="Times New Roman" w:eastAsia="宋体" w:cs="Times New Roman"/>
                <w:color w:val="auto"/>
                <w:sz w:val="24"/>
              </w:rPr>
              <w:t>，通往周边各乡镇，运输路面主要为混凝土路面。在原料及成品的运输过程中，在同样路面清洁情况下，车速越快，扬尘量越大；而在同样车速情况下，路面清洁度越差，则扬尘量越大。</w:t>
            </w:r>
          </w:p>
          <w:p w14:paraId="77B2236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本环评要求建设单位在运输过程中限制车速，运输车辆不允许超载，出场前一律清洗轮胎，用毡布加棚覆盖，减少扬尘对运输路线附近大气环境的污染，降低对沿线敏感点的不利影响。</w:t>
            </w:r>
          </w:p>
          <w:p w14:paraId="005CD9E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本项目原材料及产品运输路线为：</w:t>
            </w:r>
            <w:r>
              <w:rPr>
                <w:rFonts w:hint="default" w:ascii="Times New Roman" w:hAnsi="Times New Roman" w:cs="Times New Roman"/>
                <w:color w:val="auto"/>
                <w:sz w:val="24"/>
                <w:lang w:val="en-US" w:eastAsia="zh-CN"/>
              </w:rPr>
              <w:t>项目</w:t>
            </w:r>
            <w:r>
              <w:rPr>
                <w:rFonts w:hint="default" w:ascii="Times New Roman" w:hAnsi="Times New Roman" w:cs="Times New Roman"/>
                <w:b w:val="0"/>
                <w:bCs w:val="0"/>
                <w:color w:val="auto"/>
                <w:sz w:val="24"/>
                <w:szCs w:val="24"/>
                <w:lang w:val="en-US" w:eastAsia="zh-CN"/>
              </w:rPr>
              <w:t>南侧乡道向</w:t>
            </w:r>
            <w:r>
              <w:rPr>
                <w:rFonts w:hint="eastAsia" w:cs="Times New Roman"/>
                <w:b w:val="0"/>
                <w:bCs w:val="0"/>
                <w:color w:val="auto"/>
                <w:sz w:val="24"/>
                <w:szCs w:val="24"/>
                <w:lang w:val="en-US" w:eastAsia="zh-CN"/>
              </w:rPr>
              <w:t>东</w:t>
            </w:r>
            <w:r>
              <w:rPr>
                <w:rFonts w:hint="default" w:ascii="Times New Roman" w:hAnsi="Times New Roman" w:cs="Times New Roman"/>
                <w:b w:val="0"/>
                <w:bCs w:val="0"/>
                <w:color w:val="auto"/>
                <w:sz w:val="24"/>
                <w:szCs w:val="24"/>
                <w:lang w:val="en-US" w:eastAsia="zh-CN"/>
              </w:rPr>
              <w:t>进入S</w:t>
            </w:r>
            <w:r>
              <w:rPr>
                <w:rFonts w:hint="eastAsia" w:cs="Times New Roman"/>
                <w:b w:val="0"/>
                <w:bCs w:val="0"/>
                <w:color w:val="auto"/>
                <w:sz w:val="24"/>
                <w:szCs w:val="24"/>
                <w:lang w:val="en-US" w:eastAsia="zh-CN"/>
              </w:rPr>
              <w:t>304</w:t>
            </w:r>
            <w:r>
              <w:rPr>
                <w:rFonts w:hint="default" w:ascii="Times New Roman" w:hAnsi="Times New Roman" w:eastAsia="宋体" w:cs="Times New Roman"/>
                <w:color w:val="auto"/>
                <w:sz w:val="24"/>
              </w:rPr>
              <w:t>。</w:t>
            </w:r>
          </w:p>
          <w:p w14:paraId="2758480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交通运输组织：本项目在生产过程中需派专人进行现场交通组织和管理，禁止车辆鸣笛，并加强道路喷雾降尘，减少对周边居民的影响。</w:t>
            </w:r>
          </w:p>
          <w:p w14:paraId="07022122">
            <w:pPr>
              <w:spacing w:line="360" w:lineRule="auto"/>
              <w:ind w:left="480"/>
              <w:rPr>
                <w:rFonts w:hint="eastAsia" w:ascii="Times New Roman" w:hAnsi="Times New Roman" w:eastAsia="宋体" w:cs="Times New Roman"/>
                <w:color w:val="auto"/>
                <w:sz w:val="24"/>
                <w:lang w:eastAsia="zh-CN"/>
              </w:rPr>
            </w:pPr>
            <w:r>
              <w:rPr>
                <w:rFonts w:hint="eastAsia" w:cs="Times New Roman"/>
                <w:b/>
                <w:bCs/>
                <w:color w:val="auto"/>
                <w:sz w:val="24"/>
                <w:lang w:eastAsia="zh-CN"/>
              </w:rPr>
              <w:t>（</w:t>
            </w:r>
            <w:r>
              <w:rPr>
                <w:rFonts w:hint="eastAsia" w:cs="Times New Roman"/>
                <w:b/>
                <w:bCs/>
                <w:color w:val="auto"/>
                <w:sz w:val="24"/>
                <w:lang w:val="en-US" w:eastAsia="zh-CN"/>
              </w:rPr>
              <w:t>10</w:t>
            </w:r>
            <w:r>
              <w:rPr>
                <w:rFonts w:hint="eastAsia" w:cs="Times New Roman"/>
                <w:b/>
                <w:bCs/>
                <w:color w:val="auto"/>
                <w:sz w:val="24"/>
                <w:lang w:eastAsia="zh-CN"/>
              </w:rPr>
              <w:t>）</w:t>
            </w:r>
            <w:r>
              <w:rPr>
                <w:rFonts w:hint="eastAsia"/>
                <w:b/>
                <w:bCs/>
                <w:color w:val="auto"/>
                <w:sz w:val="24"/>
                <w:shd w:val="clear" w:color="auto" w:fill="auto"/>
              </w:rPr>
              <w:t>废气污染物排放汇总</w:t>
            </w:r>
          </w:p>
          <w:p w14:paraId="2489BCF2">
            <w:pPr>
              <w:pStyle w:val="75"/>
              <w:ind w:firstLine="480"/>
              <w:rPr>
                <w:rFonts w:hint="default" w:eastAsia="宋体"/>
                <w:b/>
                <w:bCs/>
                <w:color w:val="auto"/>
                <w:shd w:val="clear" w:color="auto" w:fill="auto"/>
                <w:lang w:val="en-US" w:eastAsia="zh-CN"/>
              </w:rPr>
            </w:pPr>
            <w:r>
              <w:rPr>
                <w:rFonts w:hint="eastAsia"/>
                <w:b/>
                <w:bCs/>
                <w:color w:val="auto"/>
                <w:shd w:val="clear" w:color="auto" w:fill="auto"/>
                <w:lang w:val="en-US" w:eastAsia="zh-CN"/>
              </w:rPr>
              <w:t>1）有组织</w:t>
            </w:r>
          </w:p>
          <w:p w14:paraId="766C3BCE">
            <w:pPr>
              <w:pStyle w:val="75"/>
              <w:ind w:firstLine="480"/>
              <w:rPr>
                <w:color w:val="auto"/>
                <w:shd w:val="clear" w:color="auto" w:fill="auto"/>
              </w:rPr>
            </w:pPr>
            <w:r>
              <w:rPr>
                <w:rFonts w:hint="eastAsia"/>
                <w:color w:val="auto"/>
                <w:shd w:val="clear" w:color="auto" w:fill="auto"/>
              </w:rPr>
              <w:t>项目有组织排放大气污染物产生及排放汇总详见表5-</w:t>
            </w:r>
            <w:r>
              <w:rPr>
                <w:rFonts w:hint="eastAsia"/>
                <w:color w:val="auto"/>
                <w:shd w:val="clear" w:color="auto" w:fill="auto"/>
                <w:lang w:val="en-US" w:eastAsia="zh-CN"/>
              </w:rPr>
              <w:t>7</w:t>
            </w:r>
            <w:r>
              <w:rPr>
                <w:rFonts w:hint="eastAsia"/>
                <w:color w:val="auto"/>
                <w:shd w:val="clear" w:color="auto" w:fill="auto"/>
              </w:rPr>
              <w:t>。</w:t>
            </w:r>
          </w:p>
          <w:p w14:paraId="721F1D54">
            <w:pPr>
              <w:adjustRightInd w:val="0"/>
              <w:snapToGrid w:val="0"/>
              <w:spacing w:line="360" w:lineRule="auto"/>
              <w:jc w:val="center"/>
              <w:rPr>
                <w:b/>
                <w:bCs/>
                <w:color w:val="auto"/>
                <w:shd w:val="clear" w:color="auto" w:fill="auto"/>
              </w:rPr>
            </w:pPr>
            <w:r>
              <w:rPr>
                <w:b/>
                <w:bCs/>
                <w:color w:val="auto"/>
                <w:shd w:val="clear" w:color="auto" w:fill="auto"/>
              </w:rPr>
              <w:t>表</w:t>
            </w:r>
            <w:r>
              <w:rPr>
                <w:rFonts w:hint="eastAsia"/>
                <w:b/>
                <w:bCs/>
                <w:color w:val="auto"/>
                <w:shd w:val="clear" w:color="auto" w:fill="auto"/>
              </w:rPr>
              <w:t>5</w:t>
            </w:r>
            <w:r>
              <w:rPr>
                <w:b/>
                <w:bCs/>
                <w:color w:val="auto"/>
                <w:shd w:val="clear" w:color="auto" w:fill="auto"/>
              </w:rPr>
              <w:t>-</w:t>
            </w:r>
            <w:r>
              <w:rPr>
                <w:rFonts w:hint="eastAsia"/>
                <w:b/>
                <w:bCs/>
                <w:color w:val="auto"/>
                <w:shd w:val="clear" w:color="auto" w:fill="auto"/>
                <w:lang w:val="en-US" w:eastAsia="zh-CN"/>
              </w:rPr>
              <w:t>7</w:t>
            </w:r>
            <w:r>
              <w:rPr>
                <w:b/>
                <w:bCs/>
                <w:color w:val="auto"/>
                <w:shd w:val="clear" w:color="auto" w:fill="auto"/>
              </w:rPr>
              <w:t xml:space="preserve">  项目</w:t>
            </w:r>
            <w:r>
              <w:rPr>
                <w:rFonts w:hint="eastAsia"/>
                <w:b/>
                <w:bCs/>
                <w:color w:val="auto"/>
                <w:shd w:val="clear" w:color="auto" w:fill="auto"/>
              </w:rPr>
              <w:t>有组织废气</w:t>
            </w:r>
            <w:r>
              <w:rPr>
                <w:b/>
                <w:bCs/>
                <w:color w:val="auto"/>
                <w:shd w:val="clear" w:color="auto" w:fill="auto"/>
              </w:rPr>
              <w:t>产生与排放情况表</w:t>
            </w:r>
          </w:p>
          <w:tbl>
            <w:tblPr>
              <w:tblStyle w:val="77"/>
              <w:tblW w:w="9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998"/>
              <w:gridCol w:w="610"/>
              <w:gridCol w:w="680"/>
              <w:gridCol w:w="700"/>
              <w:gridCol w:w="732"/>
              <w:gridCol w:w="1473"/>
              <w:gridCol w:w="786"/>
              <w:gridCol w:w="844"/>
              <w:gridCol w:w="843"/>
              <w:gridCol w:w="653"/>
              <w:gridCol w:w="605"/>
            </w:tblGrid>
            <w:tr w14:paraId="47481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exact"/>
                <w:jc w:val="center"/>
              </w:trPr>
              <w:tc>
                <w:tcPr>
                  <w:tcW w:w="424" w:type="dxa"/>
                  <w:vMerge w:val="restart"/>
                  <w:tcBorders>
                    <w:right w:val="single" w:color="auto" w:sz="4" w:space="0"/>
                  </w:tcBorders>
                  <w:vAlign w:val="center"/>
                </w:tcPr>
                <w:p w14:paraId="1EC90219">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排气</w:t>
                  </w:r>
                </w:p>
                <w:p w14:paraId="18AA4F7D">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筒</w:t>
                  </w:r>
                </w:p>
              </w:tc>
              <w:tc>
                <w:tcPr>
                  <w:tcW w:w="998" w:type="dxa"/>
                  <w:vMerge w:val="restart"/>
                  <w:vAlign w:val="center"/>
                </w:tcPr>
                <w:p w14:paraId="7BAEF5D9">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污染物</w:t>
                  </w:r>
                </w:p>
              </w:tc>
              <w:tc>
                <w:tcPr>
                  <w:tcW w:w="610" w:type="dxa"/>
                  <w:vMerge w:val="restart"/>
                  <w:vAlign w:val="center"/>
                </w:tcPr>
                <w:p w14:paraId="15C204A0">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排气量</w:t>
                  </w:r>
                </w:p>
                <w:p w14:paraId="04A8CE89">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（m³/h）</w:t>
                  </w:r>
                </w:p>
              </w:tc>
              <w:tc>
                <w:tcPr>
                  <w:tcW w:w="2112" w:type="dxa"/>
                  <w:gridSpan w:val="3"/>
                  <w:vAlign w:val="center"/>
                </w:tcPr>
                <w:p w14:paraId="430EBC82">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产生情况</w:t>
                  </w:r>
                </w:p>
              </w:tc>
              <w:tc>
                <w:tcPr>
                  <w:tcW w:w="1473" w:type="dxa"/>
                  <w:vMerge w:val="restart"/>
                  <w:vAlign w:val="center"/>
                </w:tcPr>
                <w:p w14:paraId="1ED11300">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废气</w:t>
                  </w:r>
                </w:p>
                <w:p w14:paraId="2AECA651">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治理措施</w:t>
                  </w:r>
                </w:p>
              </w:tc>
              <w:tc>
                <w:tcPr>
                  <w:tcW w:w="2473" w:type="dxa"/>
                  <w:gridSpan w:val="3"/>
                  <w:vAlign w:val="center"/>
                </w:tcPr>
                <w:p w14:paraId="3D88554B">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处理后</w:t>
                  </w:r>
                </w:p>
              </w:tc>
              <w:tc>
                <w:tcPr>
                  <w:tcW w:w="1258" w:type="dxa"/>
                  <w:gridSpan w:val="2"/>
                  <w:vAlign w:val="center"/>
                </w:tcPr>
                <w:p w14:paraId="7E7486A0">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排放限值</w:t>
                  </w:r>
                </w:p>
              </w:tc>
            </w:tr>
            <w:tr w14:paraId="2EFD0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jc w:val="center"/>
              </w:trPr>
              <w:tc>
                <w:tcPr>
                  <w:tcW w:w="424" w:type="dxa"/>
                  <w:vMerge w:val="continue"/>
                  <w:tcBorders>
                    <w:right w:val="single" w:color="auto" w:sz="4" w:space="0"/>
                  </w:tcBorders>
                  <w:vAlign w:val="center"/>
                </w:tcPr>
                <w:p w14:paraId="15720C6D">
                  <w:pPr>
                    <w:pStyle w:val="76"/>
                    <w:spacing w:after="0" w:line="240" w:lineRule="auto"/>
                    <w:ind w:left="-105" w:leftChars="-50" w:right="-105" w:rightChars="-50"/>
                    <w:rPr>
                      <w:color w:val="auto"/>
                      <w:shd w:val="clear" w:color="auto" w:fill="auto"/>
                      <w:lang w:eastAsia="en-US"/>
                    </w:rPr>
                  </w:pPr>
                </w:p>
              </w:tc>
              <w:tc>
                <w:tcPr>
                  <w:tcW w:w="998" w:type="dxa"/>
                  <w:vMerge w:val="continue"/>
                  <w:vAlign w:val="center"/>
                </w:tcPr>
                <w:p w14:paraId="16CECCF5">
                  <w:pPr>
                    <w:pStyle w:val="76"/>
                    <w:spacing w:after="0" w:line="240" w:lineRule="auto"/>
                    <w:ind w:left="-105" w:leftChars="-50" w:right="-105" w:rightChars="-50"/>
                    <w:rPr>
                      <w:color w:val="auto"/>
                      <w:shd w:val="clear" w:color="auto" w:fill="auto"/>
                      <w:lang w:eastAsia="en-US"/>
                    </w:rPr>
                  </w:pPr>
                </w:p>
              </w:tc>
              <w:tc>
                <w:tcPr>
                  <w:tcW w:w="610" w:type="dxa"/>
                  <w:vMerge w:val="continue"/>
                  <w:vAlign w:val="center"/>
                </w:tcPr>
                <w:p w14:paraId="6858FF58">
                  <w:pPr>
                    <w:pStyle w:val="76"/>
                    <w:spacing w:after="0" w:line="240" w:lineRule="auto"/>
                    <w:ind w:left="-105" w:leftChars="-50" w:right="-105" w:rightChars="-50"/>
                    <w:rPr>
                      <w:color w:val="auto"/>
                      <w:shd w:val="clear" w:color="auto" w:fill="auto"/>
                      <w:lang w:eastAsia="en-US"/>
                    </w:rPr>
                  </w:pPr>
                </w:p>
              </w:tc>
              <w:tc>
                <w:tcPr>
                  <w:tcW w:w="680" w:type="dxa"/>
                  <w:vAlign w:val="center"/>
                </w:tcPr>
                <w:p w14:paraId="75BB8F28">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速率</w:t>
                  </w:r>
                </w:p>
                <w:p w14:paraId="22AC6921">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(kg/h)</w:t>
                  </w:r>
                </w:p>
              </w:tc>
              <w:tc>
                <w:tcPr>
                  <w:tcW w:w="700" w:type="dxa"/>
                  <w:vAlign w:val="center"/>
                </w:tcPr>
                <w:p w14:paraId="18628A2B">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浓度</w:t>
                  </w:r>
                </w:p>
                <w:p w14:paraId="6B07FDE5">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(mg/m</w:t>
                  </w:r>
                  <w:r>
                    <w:rPr>
                      <w:rFonts w:hint="eastAsia"/>
                      <w:color w:val="auto"/>
                      <w:shd w:val="clear" w:color="auto" w:fill="auto"/>
                      <w:vertAlign w:val="superscript"/>
                      <w:lang w:eastAsia="en-US"/>
                    </w:rPr>
                    <w:t>3</w:t>
                  </w:r>
                  <w:r>
                    <w:rPr>
                      <w:color w:val="auto"/>
                      <w:shd w:val="clear" w:color="auto" w:fill="auto"/>
                      <w:lang w:eastAsia="en-US"/>
                    </w:rPr>
                    <w:t>)</w:t>
                  </w:r>
                </w:p>
              </w:tc>
              <w:tc>
                <w:tcPr>
                  <w:tcW w:w="732" w:type="dxa"/>
                  <w:vAlign w:val="center"/>
                </w:tcPr>
                <w:p w14:paraId="565530BE">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产生量</w:t>
                  </w:r>
                </w:p>
                <w:p w14:paraId="06FEEF8E">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（t/a）</w:t>
                  </w:r>
                </w:p>
              </w:tc>
              <w:tc>
                <w:tcPr>
                  <w:tcW w:w="1473" w:type="dxa"/>
                  <w:vMerge w:val="continue"/>
                  <w:vAlign w:val="center"/>
                </w:tcPr>
                <w:p w14:paraId="7832877F">
                  <w:pPr>
                    <w:pStyle w:val="76"/>
                    <w:spacing w:after="0" w:line="240" w:lineRule="auto"/>
                    <w:ind w:left="-105" w:leftChars="-50" w:right="-105" w:rightChars="-50"/>
                    <w:rPr>
                      <w:color w:val="auto"/>
                      <w:shd w:val="clear" w:color="auto" w:fill="auto"/>
                      <w:lang w:eastAsia="en-US"/>
                    </w:rPr>
                  </w:pPr>
                </w:p>
              </w:tc>
              <w:tc>
                <w:tcPr>
                  <w:tcW w:w="786" w:type="dxa"/>
                  <w:vAlign w:val="center"/>
                </w:tcPr>
                <w:p w14:paraId="50B2458E">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速率</w:t>
                  </w:r>
                </w:p>
                <w:p w14:paraId="2C82808B">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(kg/h)</w:t>
                  </w:r>
                </w:p>
              </w:tc>
              <w:tc>
                <w:tcPr>
                  <w:tcW w:w="844" w:type="dxa"/>
                  <w:vAlign w:val="center"/>
                </w:tcPr>
                <w:p w14:paraId="7353E4D4">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浓度</w:t>
                  </w:r>
                </w:p>
                <w:p w14:paraId="48196F0C">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(mg/m</w:t>
                  </w:r>
                  <w:r>
                    <w:rPr>
                      <w:rFonts w:hint="eastAsia"/>
                      <w:color w:val="auto"/>
                      <w:shd w:val="clear" w:color="auto" w:fill="auto"/>
                      <w:vertAlign w:val="superscript"/>
                      <w:lang w:eastAsia="en-US"/>
                    </w:rPr>
                    <w:t>3</w:t>
                  </w:r>
                  <w:r>
                    <w:rPr>
                      <w:color w:val="auto"/>
                      <w:shd w:val="clear" w:color="auto" w:fill="auto"/>
                      <w:lang w:eastAsia="en-US"/>
                    </w:rPr>
                    <w:t>)</w:t>
                  </w:r>
                </w:p>
              </w:tc>
              <w:tc>
                <w:tcPr>
                  <w:tcW w:w="843" w:type="dxa"/>
                  <w:vAlign w:val="center"/>
                </w:tcPr>
                <w:p w14:paraId="2644ABB9">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产生量</w:t>
                  </w:r>
                </w:p>
                <w:p w14:paraId="37CED16D">
                  <w:pPr>
                    <w:pStyle w:val="76"/>
                    <w:spacing w:after="0" w:line="240" w:lineRule="auto"/>
                    <w:ind w:left="-105" w:leftChars="-50" w:right="-105" w:rightChars="-50"/>
                    <w:rPr>
                      <w:color w:val="auto"/>
                      <w:shd w:val="clear" w:color="auto" w:fill="auto"/>
                      <w:lang w:eastAsia="en-US"/>
                    </w:rPr>
                  </w:pPr>
                  <w:r>
                    <w:rPr>
                      <w:rFonts w:hint="eastAsia"/>
                      <w:color w:val="auto"/>
                      <w:shd w:val="clear" w:color="auto" w:fill="auto"/>
                      <w:lang w:eastAsia="en-US"/>
                    </w:rPr>
                    <w:t>（t/a）</w:t>
                  </w:r>
                </w:p>
              </w:tc>
              <w:tc>
                <w:tcPr>
                  <w:tcW w:w="653" w:type="dxa"/>
                  <w:vAlign w:val="center"/>
                </w:tcPr>
                <w:p w14:paraId="6781B77C">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浓度</w:t>
                  </w:r>
                </w:p>
                <w:p w14:paraId="070B780F">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mg/m</w:t>
                  </w:r>
                  <w:r>
                    <w:rPr>
                      <w:color w:val="auto"/>
                      <w:shd w:val="clear" w:color="auto" w:fill="auto"/>
                      <w:vertAlign w:val="superscript"/>
                      <w:lang w:eastAsia="en-US"/>
                    </w:rPr>
                    <w:t>3</w:t>
                  </w:r>
                </w:p>
              </w:tc>
              <w:tc>
                <w:tcPr>
                  <w:tcW w:w="605" w:type="dxa"/>
                  <w:vAlign w:val="center"/>
                </w:tcPr>
                <w:p w14:paraId="1885A714">
                  <w:pPr>
                    <w:pStyle w:val="76"/>
                    <w:spacing w:after="0" w:line="240" w:lineRule="auto"/>
                    <w:ind w:left="-105" w:leftChars="-50" w:right="-105" w:rightChars="-50"/>
                    <w:rPr>
                      <w:color w:val="auto"/>
                      <w:shd w:val="clear" w:color="auto" w:fill="auto"/>
                      <w:lang w:eastAsia="en-US"/>
                    </w:rPr>
                  </w:pPr>
                  <w:r>
                    <w:rPr>
                      <w:color w:val="auto"/>
                      <w:shd w:val="clear" w:color="auto" w:fill="auto"/>
                      <w:lang w:eastAsia="en-US"/>
                    </w:rPr>
                    <w:t>速率</w:t>
                  </w:r>
                </w:p>
                <w:p w14:paraId="1CFBEA78">
                  <w:pPr>
                    <w:pStyle w:val="76"/>
                    <w:spacing w:after="0" w:line="240" w:lineRule="auto"/>
                    <w:ind w:right="-105" w:rightChars="-50"/>
                    <w:rPr>
                      <w:color w:val="auto"/>
                      <w:shd w:val="clear" w:color="auto" w:fill="auto"/>
                      <w:lang w:eastAsia="en-US"/>
                    </w:rPr>
                  </w:pPr>
                  <w:r>
                    <w:rPr>
                      <w:color w:val="auto"/>
                      <w:shd w:val="clear" w:color="auto" w:fill="auto"/>
                      <w:lang w:eastAsia="en-US"/>
                    </w:rPr>
                    <w:t>kg/h</w:t>
                  </w:r>
                </w:p>
              </w:tc>
            </w:tr>
            <w:tr w14:paraId="22CC0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exact"/>
                <w:jc w:val="center"/>
              </w:trPr>
              <w:tc>
                <w:tcPr>
                  <w:tcW w:w="424" w:type="dxa"/>
                  <w:tcBorders>
                    <w:right w:val="single" w:color="auto" w:sz="4" w:space="0"/>
                  </w:tcBorders>
                  <w:vAlign w:val="center"/>
                </w:tcPr>
                <w:p w14:paraId="54FDC9F9">
                  <w:pPr>
                    <w:pStyle w:val="69"/>
                    <w:adjustRightInd w:val="0"/>
                    <w:snapToGrid w:val="0"/>
                    <w:jc w:val="center"/>
                    <w:rPr>
                      <w:color w:val="auto"/>
                      <w:sz w:val="18"/>
                      <w:szCs w:val="18"/>
                      <w:shd w:val="clear" w:color="auto" w:fill="auto"/>
                      <w:lang w:eastAsia="zh-CN"/>
                    </w:rPr>
                  </w:pPr>
                  <w:r>
                    <w:rPr>
                      <w:rFonts w:hint="eastAsia"/>
                      <w:color w:val="auto"/>
                      <w:sz w:val="18"/>
                      <w:szCs w:val="18"/>
                      <w:shd w:val="clear" w:color="auto" w:fill="auto"/>
                      <w:lang w:eastAsia="zh-CN"/>
                    </w:rPr>
                    <w:t>1#排气筒</w:t>
                  </w:r>
                </w:p>
              </w:tc>
              <w:tc>
                <w:tcPr>
                  <w:tcW w:w="998" w:type="dxa"/>
                  <w:tcBorders>
                    <w:top w:val="single" w:color="auto" w:sz="4" w:space="0"/>
                  </w:tcBorders>
                  <w:vAlign w:val="center"/>
                </w:tcPr>
                <w:p w14:paraId="475877B8">
                  <w:pPr>
                    <w:pStyle w:val="69"/>
                    <w:adjustRightInd w:val="0"/>
                    <w:snapToGrid w:val="0"/>
                    <w:jc w:val="center"/>
                    <w:rPr>
                      <w:color w:val="auto"/>
                      <w:sz w:val="18"/>
                      <w:szCs w:val="18"/>
                      <w:shd w:val="clear" w:color="auto" w:fill="auto"/>
                      <w:lang w:eastAsia="zh-CN"/>
                    </w:rPr>
                  </w:pPr>
                  <w:r>
                    <w:rPr>
                      <w:rFonts w:hint="eastAsia"/>
                      <w:color w:val="auto"/>
                      <w:sz w:val="18"/>
                      <w:szCs w:val="18"/>
                      <w:shd w:val="clear" w:color="auto" w:fill="auto"/>
                      <w:lang w:val="en-US" w:eastAsia="zh-CN"/>
                    </w:rPr>
                    <w:t>水泥筒仓装卸粉尘</w:t>
                  </w:r>
                  <w:r>
                    <w:rPr>
                      <w:rFonts w:hint="eastAsia"/>
                      <w:color w:val="auto"/>
                      <w:sz w:val="18"/>
                      <w:szCs w:val="18"/>
                      <w:shd w:val="clear" w:color="auto" w:fill="auto"/>
                      <w:lang w:eastAsia="zh-CN"/>
                    </w:rPr>
                    <w:t>（颗粒物）</w:t>
                  </w:r>
                </w:p>
              </w:tc>
              <w:tc>
                <w:tcPr>
                  <w:tcW w:w="610" w:type="dxa"/>
                  <w:vAlign w:val="center"/>
                </w:tcPr>
                <w:p w14:paraId="291130E0">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2611</w:t>
                  </w:r>
                </w:p>
              </w:tc>
              <w:tc>
                <w:tcPr>
                  <w:tcW w:w="680" w:type="dxa"/>
                  <w:vAlign w:val="center"/>
                </w:tcPr>
                <w:p w14:paraId="5DD940E6">
                  <w:pPr>
                    <w:pStyle w:val="69"/>
                    <w:jc w:val="center"/>
                    <w:rPr>
                      <w:rFonts w:hint="default"/>
                      <w:color w:val="auto"/>
                      <w:sz w:val="18"/>
                      <w:szCs w:val="18"/>
                      <w:shd w:val="clear" w:color="auto" w:fill="auto"/>
                      <w:lang w:val="en-US" w:eastAsia="zh-CN"/>
                    </w:rPr>
                  </w:pPr>
                  <w:r>
                    <w:rPr>
                      <w:rFonts w:hint="eastAsia"/>
                      <w:color w:val="auto"/>
                      <w:sz w:val="18"/>
                      <w:szCs w:val="18"/>
                      <w:lang w:val="en-US" w:eastAsia="zh-CN"/>
                    </w:rPr>
                    <w:t>10.1</w:t>
                  </w:r>
                </w:p>
              </w:tc>
              <w:tc>
                <w:tcPr>
                  <w:tcW w:w="700" w:type="dxa"/>
                  <w:vAlign w:val="center"/>
                </w:tcPr>
                <w:p w14:paraId="5DC67869">
                  <w:pPr>
                    <w:pStyle w:val="69"/>
                    <w:jc w:val="center"/>
                    <w:rPr>
                      <w:rFonts w:hint="default"/>
                      <w:color w:val="auto"/>
                      <w:sz w:val="18"/>
                      <w:szCs w:val="18"/>
                      <w:lang w:val="en-US" w:eastAsia="zh-CN"/>
                    </w:rPr>
                  </w:pPr>
                  <w:r>
                    <w:rPr>
                      <w:rFonts w:hint="eastAsia"/>
                      <w:color w:val="auto"/>
                      <w:sz w:val="18"/>
                      <w:szCs w:val="18"/>
                      <w:lang w:val="en-US" w:eastAsia="zh-CN"/>
                    </w:rPr>
                    <w:t>4595.94</w:t>
                  </w:r>
                </w:p>
              </w:tc>
              <w:tc>
                <w:tcPr>
                  <w:tcW w:w="732" w:type="dxa"/>
                  <w:vAlign w:val="center"/>
                </w:tcPr>
                <w:p w14:paraId="65AD0C39">
                  <w:pPr>
                    <w:pStyle w:val="69"/>
                    <w:jc w:val="center"/>
                    <w:rPr>
                      <w:rFonts w:hint="default"/>
                      <w:color w:val="auto"/>
                      <w:sz w:val="18"/>
                      <w:szCs w:val="18"/>
                      <w:lang w:val="en-US" w:eastAsia="zh-CN"/>
                    </w:rPr>
                  </w:pPr>
                  <w:r>
                    <w:rPr>
                      <w:rFonts w:hint="eastAsia"/>
                      <w:color w:val="auto"/>
                      <w:sz w:val="18"/>
                      <w:szCs w:val="18"/>
                      <w:lang w:val="en-US" w:eastAsia="zh-CN"/>
                    </w:rPr>
                    <w:t>0.114</w:t>
                  </w:r>
                </w:p>
              </w:tc>
              <w:tc>
                <w:tcPr>
                  <w:tcW w:w="1473" w:type="dxa"/>
                  <w:vAlign w:val="center"/>
                </w:tcPr>
                <w:p w14:paraId="164EBB54">
                  <w:pPr>
                    <w:pStyle w:val="69"/>
                    <w:adjustRightInd w:val="0"/>
                    <w:snapToGrid w:val="0"/>
                    <w:jc w:val="center"/>
                    <w:rPr>
                      <w:rFonts w:hint="eastAsia"/>
                      <w:color w:val="auto"/>
                      <w:sz w:val="18"/>
                      <w:szCs w:val="18"/>
                      <w:shd w:val="clear" w:color="auto" w:fill="auto"/>
                      <w:lang w:val="en-US" w:eastAsia="zh-CN"/>
                    </w:rPr>
                  </w:pPr>
                  <w:r>
                    <w:rPr>
                      <w:rFonts w:hint="eastAsia"/>
                      <w:color w:val="auto"/>
                      <w:sz w:val="18"/>
                      <w:szCs w:val="18"/>
                      <w:shd w:val="clear" w:color="auto" w:fill="auto"/>
                      <w:lang w:val="en-US" w:eastAsia="zh-CN"/>
                    </w:rPr>
                    <w:t>筒仓自带</w:t>
                  </w:r>
                  <w:r>
                    <w:rPr>
                      <w:rFonts w:hint="default"/>
                      <w:color w:val="auto"/>
                      <w:sz w:val="18"/>
                      <w:szCs w:val="18"/>
                      <w:shd w:val="clear" w:color="auto" w:fill="auto"/>
                      <w:lang w:val="en-US" w:eastAsia="zh-CN"/>
                    </w:rPr>
                    <w:t>仓顶</w:t>
                  </w:r>
                  <w:r>
                    <w:rPr>
                      <w:rFonts w:hint="eastAsia"/>
                      <w:color w:val="auto"/>
                      <w:sz w:val="18"/>
                      <w:szCs w:val="18"/>
                      <w:shd w:val="clear" w:color="auto" w:fill="auto"/>
                      <w:lang w:val="en-US" w:eastAsia="zh-CN"/>
                    </w:rPr>
                    <w:t>脉冲除尘器</w:t>
                  </w:r>
                </w:p>
              </w:tc>
              <w:tc>
                <w:tcPr>
                  <w:tcW w:w="786" w:type="dxa"/>
                  <w:vAlign w:val="center"/>
                </w:tcPr>
                <w:p w14:paraId="31D3429C">
                  <w:pPr>
                    <w:pStyle w:val="69"/>
                    <w:jc w:val="center"/>
                    <w:rPr>
                      <w:rFonts w:hint="default"/>
                      <w:color w:val="auto"/>
                      <w:sz w:val="18"/>
                      <w:szCs w:val="18"/>
                      <w:shd w:val="clear" w:color="auto" w:fill="auto"/>
                      <w:lang w:val="en-US" w:eastAsia="zh-CN"/>
                    </w:rPr>
                  </w:pPr>
                  <w:r>
                    <w:rPr>
                      <w:rFonts w:hint="eastAsia"/>
                      <w:color w:val="auto"/>
                      <w:sz w:val="18"/>
                      <w:szCs w:val="18"/>
                      <w:lang w:val="en-US" w:eastAsia="zh-CN"/>
                    </w:rPr>
                    <w:t>0.0101</w:t>
                  </w:r>
                </w:p>
              </w:tc>
              <w:tc>
                <w:tcPr>
                  <w:tcW w:w="844" w:type="dxa"/>
                  <w:vAlign w:val="center"/>
                </w:tcPr>
                <w:p w14:paraId="5F89810B">
                  <w:pPr>
                    <w:pStyle w:val="69"/>
                    <w:jc w:val="center"/>
                    <w:rPr>
                      <w:rFonts w:hint="default"/>
                      <w:color w:val="auto"/>
                      <w:sz w:val="18"/>
                      <w:szCs w:val="18"/>
                      <w:shd w:val="clear" w:color="auto" w:fill="auto"/>
                      <w:lang w:val="en-US" w:eastAsia="zh-CN"/>
                    </w:rPr>
                  </w:pPr>
                  <w:r>
                    <w:rPr>
                      <w:rFonts w:hint="eastAsia"/>
                      <w:color w:val="auto"/>
                      <w:sz w:val="18"/>
                      <w:szCs w:val="18"/>
                      <w:lang w:val="en-US" w:eastAsia="zh-CN"/>
                    </w:rPr>
                    <w:t>4.6</w:t>
                  </w:r>
                </w:p>
              </w:tc>
              <w:tc>
                <w:tcPr>
                  <w:tcW w:w="843" w:type="dxa"/>
                  <w:vAlign w:val="center"/>
                </w:tcPr>
                <w:p w14:paraId="3BD2EEB2">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0.000114</w:t>
                  </w:r>
                </w:p>
              </w:tc>
              <w:tc>
                <w:tcPr>
                  <w:tcW w:w="653" w:type="dxa"/>
                  <w:vAlign w:val="center"/>
                </w:tcPr>
                <w:p w14:paraId="6EADAC3A">
                  <w:pPr>
                    <w:pStyle w:val="76"/>
                    <w:spacing w:after="0" w:line="240" w:lineRule="auto"/>
                    <w:ind w:left="-42" w:leftChars="-20" w:right="-42" w:rightChars="-20"/>
                    <w:rPr>
                      <w:color w:val="auto"/>
                      <w:szCs w:val="18"/>
                      <w:shd w:val="clear" w:color="auto" w:fill="auto"/>
                      <w:lang w:eastAsia="en-US"/>
                    </w:rPr>
                  </w:pPr>
                  <w:r>
                    <w:rPr>
                      <w:rFonts w:hint="eastAsia"/>
                      <w:color w:val="auto"/>
                      <w:szCs w:val="18"/>
                      <w:shd w:val="clear" w:color="auto" w:fill="auto"/>
                      <w:lang w:eastAsia="en-US"/>
                    </w:rPr>
                    <w:t>120</w:t>
                  </w:r>
                </w:p>
              </w:tc>
              <w:tc>
                <w:tcPr>
                  <w:tcW w:w="605" w:type="dxa"/>
                  <w:vAlign w:val="center"/>
                </w:tcPr>
                <w:p w14:paraId="3F21FE61">
                  <w:pPr>
                    <w:pStyle w:val="76"/>
                    <w:spacing w:after="0" w:line="240" w:lineRule="auto"/>
                    <w:ind w:left="-105" w:leftChars="-50" w:right="-105" w:rightChars="-50"/>
                    <w:rPr>
                      <w:color w:val="auto"/>
                      <w:sz w:val="18"/>
                      <w:szCs w:val="18"/>
                      <w:shd w:val="clear" w:color="auto" w:fill="auto"/>
                      <w:lang w:eastAsia="zh-CN"/>
                    </w:rPr>
                  </w:pPr>
                  <w:r>
                    <w:rPr>
                      <w:color w:val="auto"/>
                      <w:szCs w:val="18"/>
                      <w:shd w:val="clear" w:color="auto" w:fill="auto"/>
                      <w:lang w:eastAsia="en-US"/>
                    </w:rPr>
                    <w:t>3.</w:t>
                  </w:r>
                  <w:r>
                    <w:rPr>
                      <w:rFonts w:hint="eastAsia"/>
                      <w:color w:val="auto"/>
                      <w:szCs w:val="18"/>
                      <w:shd w:val="clear" w:color="auto" w:fill="auto"/>
                      <w:lang w:eastAsia="en-US"/>
                    </w:rPr>
                    <w:t>5</w:t>
                  </w:r>
                </w:p>
              </w:tc>
            </w:tr>
            <w:tr w14:paraId="1A0D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exact"/>
                <w:jc w:val="center"/>
              </w:trPr>
              <w:tc>
                <w:tcPr>
                  <w:tcW w:w="424" w:type="dxa"/>
                  <w:tcBorders>
                    <w:right w:val="single" w:color="auto" w:sz="4" w:space="0"/>
                  </w:tcBorders>
                  <w:vAlign w:val="center"/>
                </w:tcPr>
                <w:p w14:paraId="0608C6A8">
                  <w:pPr>
                    <w:pStyle w:val="69"/>
                    <w:adjustRightInd w:val="0"/>
                    <w:snapToGrid w:val="0"/>
                    <w:jc w:val="center"/>
                    <w:rPr>
                      <w:color w:val="auto"/>
                      <w:sz w:val="18"/>
                      <w:szCs w:val="18"/>
                      <w:shd w:val="clear" w:color="auto" w:fill="auto"/>
                      <w:lang w:eastAsia="zh-CN"/>
                    </w:rPr>
                  </w:pPr>
                  <w:r>
                    <w:rPr>
                      <w:rFonts w:hint="eastAsia"/>
                      <w:color w:val="auto"/>
                      <w:sz w:val="18"/>
                      <w:szCs w:val="18"/>
                      <w:shd w:val="clear" w:color="auto" w:fill="auto"/>
                      <w:lang w:eastAsia="zh-CN"/>
                    </w:rPr>
                    <w:t>2#排气筒</w:t>
                  </w:r>
                </w:p>
              </w:tc>
              <w:tc>
                <w:tcPr>
                  <w:tcW w:w="998" w:type="dxa"/>
                  <w:tcBorders>
                    <w:top w:val="single" w:color="auto" w:sz="4" w:space="0"/>
                    <w:bottom w:val="single" w:color="auto" w:sz="4" w:space="0"/>
                  </w:tcBorders>
                  <w:vAlign w:val="center"/>
                </w:tcPr>
                <w:p w14:paraId="326D170E">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搅拌粉尘</w:t>
                  </w:r>
                  <w:r>
                    <w:rPr>
                      <w:rFonts w:hint="eastAsia"/>
                      <w:color w:val="auto"/>
                      <w:sz w:val="18"/>
                      <w:szCs w:val="18"/>
                      <w:shd w:val="clear" w:color="auto" w:fill="auto"/>
                      <w:lang w:eastAsia="zh-CN"/>
                    </w:rPr>
                    <w:t>（颗粒物）</w:t>
                  </w:r>
                </w:p>
              </w:tc>
              <w:tc>
                <w:tcPr>
                  <w:tcW w:w="610" w:type="dxa"/>
                  <w:vAlign w:val="center"/>
                </w:tcPr>
                <w:p w14:paraId="0756E32A">
                  <w:pPr>
                    <w:pStyle w:val="69"/>
                    <w:adjustRightInd w:val="0"/>
                    <w:snapToGrid w:val="0"/>
                    <w:jc w:val="center"/>
                    <w:rPr>
                      <w:color w:val="auto"/>
                      <w:sz w:val="18"/>
                      <w:szCs w:val="18"/>
                      <w:shd w:val="clear" w:color="auto" w:fill="auto"/>
                      <w:lang w:eastAsia="zh-CN"/>
                    </w:rPr>
                  </w:pPr>
                  <w:r>
                    <w:rPr>
                      <w:rFonts w:hint="eastAsia"/>
                      <w:color w:val="auto"/>
                      <w:sz w:val="18"/>
                      <w:szCs w:val="18"/>
                      <w:shd w:val="clear" w:color="auto" w:fill="auto"/>
                      <w:lang w:val="en-US" w:eastAsia="zh-CN"/>
                    </w:rPr>
                    <w:t>10000</w:t>
                  </w:r>
                </w:p>
              </w:tc>
              <w:tc>
                <w:tcPr>
                  <w:tcW w:w="680" w:type="dxa"/>
                  <w:vAlign w:val="center"/>
                </w:tcPr>
                <w:p w14:paraId="03CB3EDB">
                  <w:pPr>
                    <w:pStyle w:val="69"/>
                    <w:jc w:val="center"/>
                    <w:rPr>
                      <w:rFonts w:hint="default"/>
                      <w:color w:val="auto"/>
                      <w:sz w:val="18"/>
                      <w:szCs w:val="18"/>
                      <w:shd w:val="clear" w:color="auto" w:fill="auto"/>
                      <w:lang w:val="en-US" w:eastAsia="zh-CN"/>
                    </w:rPr>
                  </w:pPr>
                  <w:r>
                    <w:rPr>
                      <w:rFonts w:hint="eastAsia"/>
                      <w:color w:val="auto"/>
                      <w:sz w:val="18"/>
                      <w:szCs w:val="18"/>
                      <w:lang w:val="en-US" w:eastAsia="zh-CN"/>
                    </w:rPr>
                    <w:t>0.0475</w:t>
                  </w:r>
                </w:p>
              </w:tc>
              <w:tc>
                <w:tcPr>
                  <w:tcW w:w="700" w:type="dxa"/>
                  <w:vAlign w:val="center"/>
                </w:tcPr>
                <w:p w14:paraId="2E3171F9">
                  <w:pPr>
                    <w:pStyle w:val="69"/>
                    <w:jc w:val="center"/>
                    <w:rPr>
                      <w:rFonts w:hint="default"/>
                      <w:color w:val="auto"/>
                      <w:sz w:val="18"/>
                      <w:szCs w:val="18"/>
                      <w:shd w:val="clear" w:color="auto" w:fill="auto"/>
                      <w:lang w:val="en-US" w:eastAsia="zh-CN"/>
                    </w:rPr>
                  </w:pPr>
                  <w:r>
                    <w:rPr>
                      <w:rFonts w:hint="eastAsia"/>
                      <w:color w:val="auto"/>
                      <w:sz w:val="18"/>
                      <w:szCs w:val="18"/>
                      <w:lang w:val="en-US" w:eastAsia="zh-CN"/>
                    </w:rPr>
                    <w:t>4.75</w:t>
                  </w:r>
                </w:p>
              </w:tc>
              <w:tc>
                <w:tcPr>
                  <w:tcW w:w="732" w:type="dxa"/>
                  <w:vAlign w:val="center"/>
                </w:tcPr>
                <w:p w14:paraId="1481788B">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0.114</w:t>
                  </w:r>
                </w:p>
              </w:tc>
              <w:tc>
                <w:tcPr>
                  <w:tcW w:w="1473" w:type="dxa"/>
                  <w:vAlign w:val="center"/>
                </w:tcPr>
                <w:p w14:paraId="3E6710F0">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布袋除尘器</w:t>
                  </w:r>
                </w:p>
              </w:tc>
              <w:tc>
                <w:tcPr>
                  <w:tcW w:w="786" w:type="dxa"/>
                  <w:vAlign w:val="center"/>
                </w:tcPr>
                <w:p w14:paraId="78DA702E">
                  <w:pPr>
                    <w:pStyle w:val="69"/>
                    <w:jc w:val="center"/>
                    <w:rPr>
                      <w:color w:val="auto"/>
                      <w:sz w:val="18"/>
                      <w:szCs w:val="18"/>
                      <w:shd w:val="clear" w:color="auto" w:fill="auto"/>
                      <w:lang w:eastAsia="zh-CN"/>
                    </w:rPr>
                  </w:pPr>
                  <w:r>
                    <w:rPr>
                      <w:rFonts w:hint="eastAsia"/>
                      <w:color w:val="auto"/>
                      <w:sz w:val="18"/>
                      <w:szCs w:val="18"/>
                      <w:lang w:eastAsia="zh-CN"/>
                    </w:rPr>
                    <w:t>0.</w:t>
                  </w:r>
                  <w:r>
                    <w:rPr>
                      <w:rFonts w:hint="eastAsia"/>
                      <w:color w:val="auto"/>
                      <w:sz w:val="18"/>
                      <w:szCs w:val="18"/>
                      <w:lang w:val="en-US" w:eastAsia="zh-CN"/>
                    </w:rPr>
                    <w:t>0038</w:t>
                  </w:r>
                </w:p>
              </w:tc>
              <w:tc>
                <w:tcPr>
                  <w:tcW w:w="844" w:type="dxa"/>
                  <w:vAlign w:val="center"/>
                </w:tcPr>
                <w:p w14:paraId="2277E9B0">
                  <w:pPr>
                    <w:pStyle w:val="69"/>
                    <w:jc w:val="center"/>
                    <w:rPr>
                      <w:rFonts w:hint="default"/>
                      <w:color w:val="auto"/>
                      <w:sz w:val="18"/>
                      <w:szCs w:val="18"/>
                      <w:shd w:val="clear" w:color="auto" w:fill="auto"/>
                      <w:lang w:val="en-US" w:eastAsia="zh-CN"/>
                    </w:rPr>
                  </w:pPr>
                  <w:r>
                    <w:rPr>
                      <w:rFonts w:hint="eastAsia"/>
                      <w:color w:val="auto"/>
                      <w:sz w:val="18"/>
                      <w:szCs w:val="18"/>
                      <w:lang w:val="en-US" w:eastAsia="zh-CN"/>
                    </w:rPr>
                    <w:t>0.38</w:t>
                  </w:r>
                </w:p>
              </w:tc>
              <w:tc>
                <w:tcPr>
                  <w:tcW w:w="843" w:type="dxa"/>
                  <w:vAlign w:val="center"/>
                </w:tcPr>
                <w:p w14:paraId="4CA774BD">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0.00912</w:t>
                  </w:r>
                </w:p>
              </w:tc>
              <w:tc>
                <w:tcPr>
                  <w:tcW w:w="653" w:type="dxa"/>
                  <w:vAlign w:val="center"/>
                </w:tcPr>
                <w:p w14:paraId="389F1A5B">
                  <w:pPr>
                    <w:pStyle w:val="76"/>
                    <w:spacing w:after="0" w:line="240" w:lineRule="auto"/>
                    <w:ind w:left="-42" w:leftChars="-20" w:right="-42" w:rightChars="-20"/>
                    <w:rPr>
                      <w:color w:val="auto"/>
                      <w:szCs w:val="18"/>
                      <w:shd w:val="clear" w:color="auto" w:fill="auto"/>
                      <w:lang w:eastAsia="en-US"/>
                    </w:rPr>
                  </w:pPr>
                  <w:r>
                    <w:rPr>
                      <w:rFonts w:hint="eastAsia"/>
                      <w:color w:val="auto"/>
                      <w:szCs w:val="18"/>
                      <w:shd w:val="clear" w:color="auto" w:fill="auto"/>
                      <w:lang w:eastAsia="en-US"/>
                    </w:rPr>
                    <w:t>120</w:t>
                  </w:r>
                </w:p>
              </w:tc>
              <w:tc>
                <w:tcPr>
                  <w:tcW w:w="605" w:type="dxa"/>
                  <w:vAlign w:val="center"/>
                </w:tcPr>
                <w:p w14:paraId="4439A5D0">
                  <w:pPr>
                    <w:pStyle w:val="76"/>
                    <w:spacing w:after="0" w:line="240" w:lineRule="auto"/>
                    <w:ind w:left="-105" w:leftChars="-50" w:right="-105" w:rightChars="-50"/>
                    <w:rPr>
                      <w:color w:val="auto"/>
                      <w:szCs w:val="18"/>
                      <w:shd w:val="clear" w:color="auto" w:fill="auto"/>
                      <w:lang w:eastAsia="en-US"/>
                    </w:rPr>
                  </w:pPr>
                  <w:r>
                    <w:rPr>
                      <w:color w:val="auto"/>
                      <w:szCs w:val="18"/>
                      <w:shd w:val="clear" w:color="auto" w:fill="auto"/>
                      <w:lang w:eastAsia="en-US"/>
                    </w:rPr>
                    <w:t>3.</w:t>
                  </w:r>
                  <w:r>
                    <w:rPr>
                      <w:rFonts w:hint="eastAsia"/>
                      <w:color w:val="auto"/>
                      <w:szCs w:val="18"/>
                      <w:shd w:val="clear" w:color="auto" w:fill="auto"/>
                      <w:lang w:eastAsia="en-US"/>
                    </w:rPr>
                    <w:t>5</w:t>
                  </w:r>
                </w:p>
              </w:tc>
            </w:tr>
            <w:tr w14:paraId="75282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exact"/>
                <w:jc w:val="center"/>
              </w:trPr>
              <w:tc>
                <w:tcPr>
                  <w:tcW w:w="424" w:type="dxa"/>
                  <w:tcBorders>
                    <w:right w:val="single" w:color="auto" w:sz="4" w:space="0"/>
                  </w:tcBorders>
                  <w:vAlign w:val="center"/>
                </w:tcPr>
                <w:p w14:paraId="44559A22">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3#排气筒</w:t>
                  </w:r>
                </w:p>
              </w:tc>
              <w:tc>
                <w:tcPr>
                  <w:tcW w:w="998" w:type="dxa"/>
                  <w:tcBorders>
                    <w:top w:val="single" w:color="auto" w:sz="4" w:space="0"/>
                    <w:bottom w:val="single" w:color="auto" w:sz="4" w:space="0"/>
                  </w:tcBorders>
                  <w:vAlign w:val="center"/>
                </w:tcPr>
                <w:p w14:paraId="51282F92">
                  <w:pPr>
                    <w:pStyle w:val="69"/>
                    <w:adjustRightInd w:val="0"/>
                    <w:snapToGrid w:val="0"/>
                    <w:jc w:val="center"/>
                    <w:rPr>
                      <w:rFonts w:hint="eastAsia"/>
                      <w:color w:val="auto"/>
                      <w:sz w:val="18"/>
                      <w:szCs w:val="18"/>
                      <w:shd w:val="clear" w:color="auto" w:fill="auto"/>
                      <w:lang w:val="en-US" w:eastAsia="zh-CN"/>
                    </w:rPr>
                  </w:pPr>
                  <w:r>
                    <w:rPr>
                      <w:rFonts w:hint="eastAsia"/>
                      <w:color w:val="auto"/>
                      <w:sz w:val="18"/>
                      <w:szCs w:val="18"/>
                      <w:shd w:val="clear" w:color="auto" w:fill="auto"/>
                      <w:lang w:val="en-US" w:eastAsia="zh-CN"/>
                    </w:rPr>
                    <w:t>焊接烟尘</w:t>
                  </w:r>
                  <w:r>
                    <w:rPr>
                      <w:rFonts w:hint="eastAsia"/>
                      <w:color w:val="auto"/>
                      <w:sz w:val="18"/>
                      <w:szCs w:val="18"/>
                      <w:shd w:val="clear" w:color="auto" w:fill="auto"/>
                      <w:lang w:eastAsia="zh-CN"/>
                    </w:rPr>
                    <w:t>（颗粒物）</w:t>
                  </w:r>
                </w:p>
              </w:tc>
              <w:tc>
                <w:tcPr>
                  <w:tcW w:w="610" w:type="dxa"/>
                  <w:vAlign w:val="center"/>
                </w:tcPr>
                <w:p w14:paraId="5D388BA1">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2000</w:t>
                  </w:r>
                </w:p>
              </w:tc>
              <w:tc>
                <w:tcPr>
                  <w:tcW w:w="680" w:type="dxa"/>
                  <w:vAlign w:val="center"/>
                </w:tcPr>
                <w:p w14:paraId="63A2BA6F">
                  <w:pPr>
                    <w:pStyle w:val="69"/>
                    <w:jc w:val="center"/>
                    <w:rPr>
                      <w:rFonts w:hint="default"/>
                      <w:color w:val="auto"/>
                      <w:sz w:val="18"/>
                      <w:szCs w:val="18"/>
                      <w:lang w:val="en-US" w:eastAsia="zh-CN"/>
                    </w:rPr>
                  </w:pPr>
                  <w:r>
                    <w:rPr>
                      <w:rFonts w:hint="eastAsia"/>
                      <w:color w:val="auto"/>
                      <w:sz w:val="18"/>
                      <w:szCs w:val="18"/>
                      <w:lang w:val="en-US" w:eastAsia="zh-CN"/>
                    </w:rPr>
                    <w:t>0.02</w:t>
                  </w:r>
                </w:p>
              </w:tc>
              <w:tc>
                <w:tcPr>
                  <w:tcW w:w="700" w:type="dxa"/>
                  <w:vAlign w:val="center"/>
                </w:tcPr>
                <w:p w14:paraId="6CC19F27">
                  <w:pPr>
                    <w:pStyle w:val="69"/>
                    <w:jc w:val="center"/>
                    <w:rPr>
                      <w:rFonts w:hint="default"/>
                      <w:color w:val="auto"/>
                      <w:sz w:val="18"/>
                      <w:szCs w:val="18"/>
                      <w:lang w:val="en-US" w:eastAsia="zh-CN"/>
                    </w:rPr>
                  </w:pPr>
                  <w:r>
                    <w:rPr>
                      <w:rFonts w:hint="eastAsia"/>
                      <w:color w:val="auto"/>
                      <w:sz w:val="18"/>
                      <w:szCs w:val="18"/>
                      <w:lang w:val="en-US" w:eastAsia="zh-CN"/>
                    </w:rPr>
                    <w:t>10</w:t>
                  </w:r>
                </w:p>
              </w:tc>
              <w:tc>
                <w:tcPr>
                  <w:tcW w:w="732" w:type="dxa"/>
                  <w:vAlign w:val="center"/>
                </w:tcPr>
                <w:p w14:paraId="580C1F53">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0.024</w:t>
                  </w:r>
                </w:p>
              </w:tc>
              <w:tc>
                <w:tcPr>
                  <w:tcW w:w="1473" w:type="dxa"/>
                  <w:vAlign w:val="center"/>
                </w:tcPr>
                <w:p w14:paraId="75A2A502">
                  <w:pPr>
                    <w:pStyle w:val="69"/>
                    <w:adjustRightInd w:val="0"/>
                    <w:snapToGrid w:val="0"/>
                    <w:jc w:val="center"/>
                    <w:rPr>
                      <w:rFonts w:hint="eastAsia"/>
                      <w:color w:val="auto"/>
                      <w:sz w:val="18"/>
                      <w:szCs w:val="18"/>
                      <w:shd w:val="clear" w:color="auto" w:fill="auto"/>
                      <w:lang w:val="en-US" w:eastAsia="zh-CN"/>
                    </w:rPr>
                  </w:pPr>
                  <w:r>
                    <w:rPr>
                      <w:rFonts w:hint="eastAsia"/>
                      <w:color w:val="auto"/>
                      <w:sz w:val="18"/>
                      <w:szCs w:val="18"/>
                      <w:shd w:val="clear" w:color="auto" w:fill="auto"/>
                      <w:lang w:val="en-US" w:eastAsia="zh-CN"/>
                    </w:rPr>
                    <w:t>焊接烟尘净化器</w:t>
                  </w:r>
                </w:p>
              </w:tc>
              <w:tc>
                <w:tcPr>
                  <w:tcW w:w="786" w:type="dxa"/>
                  <w:vAlign w:val="center"/>
                </w:tcPr>
                <w:p w14:paraId="62FC6186">
                  <w:pPr>
                    <w:pStyle w:val="69"/>
                    <w:jc w:val="center"/>
                    <w:rPr>
                      <w:rFonts w:hint="default"/>
                      <w:color w:val="auto"/>
                      <w:sz w:val="18"/>
                      <w:szCs w:val="18"/>
                      <w:lang w:val="en-US" w:eastAsia="zh-CN"/>
                    </w:rPr>
                  </w:pPr>
                  <w:r>
                    <w:rPr>
                      <w:rFonts w:hint="eastAsia"/>
                      <w:color w:val="auto"/>
                      <w:sz w:val="18"/>
                      <w:szCs w:val="18"/>
                      <w:lang w:val="en-US" w:eastAsia="zh-CN"/>
                    </w:rPr>
                    <w:t>0.0018</w:t>
                  </w:r>
                </w:p>
              </w:tc>
              <w:tc>
                <w:tcPr>
                  <w:tcW w:w="844" w:type="dxa"/>
                  <w:vAlign w:val="center"/>
                </w:tcPr>
                <w:p w14:paraId="5B4C4E37">
                  <w:pPr>
                    <w:pStyle w:val="69"/>
                    <w:jc w:val="center"/>
                    <w:rPr>
                      <w:rFonts w:hint="default"/>
                      <w:color w:val="auto"/>
                      <w:sz w:val="18"/>
                      <w:szCs w:val="18"/>
                      <w:lang w:val="en-US" w:eastAsia="zh-CN"/>
                    </w:rPr>
                  </w:pPr>
                  <w:r>
                    <w:rPr>
                      <w:rFonts w:hint="eastAsia"/>
                      <w:color w:val="auto"/>
                      <w:sz w:val="18"/>
                      <w:szCs w:val="18"/>
                      <w:lang w:val="en-US" w:eastAsia="zh-CN"/>
                    </w:rPr>
                    <w:t>0.9</w:t>
                  </w:r>
                </w:p>
              </w:tc>
              <w:tc>
                <w:tcPr>
                  <w:tcW w:w="843" w:type="dxa"/>
                  <w:vAlign w:val="center"/>
                </w:tcPr>
                <w:p w14:paraId="7E8D3841">
                  <w:pPr>
                    <w:pStyle w:val="69"/>
                    <w:adjustRightInd w:val="0"/>
                    <w:snapToGrid w:val="0"/>
                    <w:jc w:val="center"/>
                    <w:rPr>
                      <w:rFonts w:hint="default"/>
                      <w:color w:val="auto"/>
                      <w:sz w:val="18"/>
                      <w:szCs w:val="18"/>
                      <w:shd w:val="clear" w:color="auto" w:fill="auto"/>
                      <w:lang w:val="en-US" w:eastAsia="zh-CN"/>
                    </w:rPr>
                  </w:pPr>
                  <w:r>
                    <w:rPr>
                      <w:rFonts w:hint="eastAsia"/>
                      <w:color w:val="auto"/>
                      <w:sz w:val="18"/>
                      <w:szCs w:val="18"/>
                      <w:shd w:val="clear" w:color="auto" w:fill="auto"/>
                      <w:lang w:val="en-US" w:eastAsia="zh-CN"/>
                    </w:rPr>
                    <w:t>0.00216</w:t>
                  </w:r>
                </w:p>
              </w:tc>
              <w:tc>
                <w:tcPr>
                  <w:tcW w:w="653" w:type="dxa"/>
                  <w:vAlign w:val="center"/>
                </w:tcPr>
                <w:p w14:paraId="3043B809">
                  <w:pPr>
                    <w:pStyle w:val="76"/>
                    <w:spacing w:after="0" w:line="240" w:lineRule="auto"/>
                    <w:ind w:left="-42" w:leftChars="-20" w:right="-42" w:rightChars="-20"/>
                    <w:rPr>
                      <w:rFonts w:hint="eastAsia"/>
                      <w:color w:val="auto"/>
                      <w:szCs w:val="18"/>
                      <w:shd w:val="clear" w:color="auto" w:fill="auto"/>
                      <w:lang w:eastAsia="en-US"/>
                    </w:rPr>
                  </w:pPr>
                  <w:r>
                    <w:rPr>
                      <w:rFonts w:hint="eastAsia"/>
                      <w:color w:val="auto"/>
                      <w:szCs w:val="18"/>
                      <w:shd w:val="clear" w:color="auto" w:fill="auto"/>
                      <w:lang w:eastAsia="en-US"/>
                    </w:rPr>
                    <w:t>120</w:t>
                  </w:r>
                </w:p>
              </w:tc>
              <w:tc>
                <w:tcPr>
                  <w:tcW w:w="605" w:type="dxa"/>
                  <w:vAlign w:val="center"/>
                </w:tcPr>
                <w:p w14:paraId="26D028CC">
                  <w:pPr>
                    <w:pStyle w:val="76"/>
                    <w:spacing w:after="0" w:line="240" w:lineRule="auto"/>
                    <w:ind w:left="-105" w:leftChars="-50" w:right="-105" w:rightChars="-50"/>
                    <w:rPr>
                      <w:color w:val="auto"/>
                      <w:szCs w:val="18"/>
                      <w:shd w:val="clear" w:color="auto" w:fill="auto"/>
                      <w:lang w:eastAsia="en-US"/>
                    </w:rPr>
                  </w:pPr>
                  <w:r>
                    <w:rPr>
                      <w:color w:val="auto"/>
                      <w:szCs w:val="18"/>
                      <w:shd w:val="clear" w:color="auto" w:fill="auto"/>
                      <w:lang w:eastAsia="en-US"/>
                    </w:rPr>
                    <w:t>3.</w:t>
                  </w:r>
                  <w:r>
                    <w:rPr>
                      <w:rFonts w:hint="eastAsia"/>
                      <w:color w:val="auto"/>
                      <w:szCs w:val="18"/>
                      <w:shd w:val="clear" w:color="auto" w:fill="auto"/>
                      <w:lang w:eastAsia="en-US"/>
                    </w:rPr>
                    <w:t>5</w:t>
                  </w:r>
                </w:p>
              </w:tc>
            </w:tr>
            <w:tr w14:paraId="5ECCC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exact"/>
                <w:jc w:val="center"/>
              </w:trPr>
              <w:tc>
                <w:tcPr>
                  <w:tcW w:w="424" w:type="dxa"/>
                  <w:tcBorders>
                    <w:right w:val="single" w:color="auto" w:sz="4" w:space="0"/>
                  </w:tcBorders>
                  <w:vAlign w:val="center"/>
                </w:tcPr>
                <w:p w14:paraId="403CB2B0">
                  <w:pPr>
                    <w:jc w:val="center"/>
                    <w:rPr>
                      <w:color w:val="auto"/>
                      <w:sz w:val="18"/>
                      <w:szCs w:val="18"/>
                      <w:shd w:val="clear" w:color="auto" w:fill="auto"/>
                      <w:lang w:eastAsia="en-US"/>
                    </w:rPr>
                  </w:pPr>
                  <w:r>
                    <w:rPr>
                      <w:color w:val="auto"/>
                      <w:sz w:val="18"/>
                      <w:szCs w:val="18"/>
                      <w:shd w:val="clear" w:color="auto" w:fill="auto"/>
                      <w:lang w:eastAsia="en-US"/>
                    </w:rPr>
                    <w:t>备注</w:t>
                  </w:r>
                </w:p>
              </w:tc>
              <w:tc>
                <w:tcPr>
                  <w:tcW w:w="8924" w:type="dxa"/>
                  <w:gridSpan w:val="11"/>
                  <w:tcBorders>
                    <w:top w:val="single" w:color="auto" w:sz="4" w:space="0"/>
                    <w:bottom w:val="single" w:color="auto" w:sz="4" w:space="0"/>
                  </w:tcBorders>
                  <w:vAlign w:val="center"/>
                </w:tcPr>
                <w:p w14:paraId="5CB4A884">
                  <w:pPr>
                    <w:pStyle w:val="76"/>
                    <w:spacing w:after="0" w:line="240" w:lineRule="auto"/>
                    <w:ind w:right="-42" w:rightChars="-20"/>
                    <w:jc w:val="left"/>
                    <w:rPr>
                      <w:color w:val="auto"/>
                      <w:szCs w:val="18"/>
                      <w:shd w:val="clear" w:color="auto" w:fill="auto"/>
                      <w:lang w:eastAsia="en-US"/>
                    </w:rPr>
                  </w:pPr>
                  <w:r>
                    <w:rPr>
                      <w:rFonts w:hint="eastAsia"/>
                      <w:color w:val="auto"/>
                      <w:szCs w:val="18"/>
                      <w:shd w:val="clear" w:color="auto" w:fill="auto"/>
                      <w:lang w:eastAsia="en-US"/>
                    </w:rPr>
                    <w:t>颗粒物</w:t>
                  </w:r>
                  <w:r>
                    <w:rPr>
                      <w:color w:val="auto"/>
                      <w:szCs w:val="18"/>
                      <w:shd w:val="clear" w:color="auto" w:fill="auto"/>
                      <w:lang w:eastAsia="en-US"/>
                    </w:rPr>
                    <w:t>：执行《大气污染物综合排放标准》（GB16297-1996）</w:t>
                  </w:r>
                  <w:r>
                    <w:rPr>
                      <w:rFonts w:hint="eastAsia"/>
                      <w:color w:val="auto"/>
                      <w:szCs w:val="18"/>
                      <w:shd w:val="clear" w:color="auto" w:fill="auto"/>
                      <w:lang w:eastAsia="en-US"/>
                    </w:rPr>
                    <w:t>。</w:t>
                  </w:r>
                </w:p>
              </w:tc>
            </w:tr>
          </w:tbl>
          <w:p w14:paraId="747D544A">
            <w:pPr>
              <w:spacing w:line="360" w:lineRule="auto"/>
              <w:rPr>
                <w:color w:val="auto"/>
                <w:shd w:val="clear" w:color="auto" w:fill="auto"/>
              </w:rPr>
            </w:pPr>
          </w:p>
          <w:p w14:paraId="2125D92F">
            <w:pPr>
              <w:spacing w:line="360" w:lineRule="auto"/>
              <w:ind w:firstLine="482" w:firstLineChars="200"/>
              <w:jc w:val="left"/>
              <w:rPr>
                <w:b/>
                <w:bCs/>
                <w:color w:val="auto"/>
                <w:sz w:val="24"/>
                <w:shd w:val="clear" w:color="auto" w:fill="auto"/>
              </w:rPr>
            </w:pPr>
            <w:r>
              <w:rPr>
                <w:rFonts w:hint="eastAsia"/>
                <w:b/>
                <w:bCs/>
                <w:color w:val="auto"/>
                <w:sz w:val="24"/>
                <w:shd w:val="clear" w:color="auto" w:fill="auto"/>
                <w:lang w:val="en-US" w:eastAsia="zh-CN"/>
              </w:rPr>
              <w:t>2</w:t>
            </w:r>
            <w:r>
              <w:rPr>
                <w:rFonts w:hint="eastAsia"/>
                <w:b/>
                <w:bCs/>
                <w:color w:val="auto"/>
                <w:sz w:val="24"/>
                <w:shd w:val="clear" w:color="auto" w:fill="auto"/>
                <w:lang w:eastAsia="zh-CN"/>
              </w:rPr>
              <w:t>）</w:t>
            </w:r>
            <w:r>
              <w:rPr>
                <w:rFonts w:hint="eastAsia"/>
                <w:b/>
                <w:bCs/>
                <w:color w:val="auto"/>
                <w:sz w:val="24"/>
                <w:shd w:val="clear" w:color="auto" w:fill="auto"/>
              </w:rPr>
              <w:t>无组织</w:t>
            </w:r>
          </w:p>
          <w:p w14:paraId="723501AE">
            <w:pPr>
              <w:spacing w:line="360" w:lineRule="auto"/>
              <w:ind w:firstLine="480" w:firstLineChars="200"/>
              <w:jc w:val="left"/>
              <w:rPr>
                <w:color w:val="auto"/>
                <w:sz w:val="24"/>
                <w:shd w:val="clear" w:color="auto" w:fill="auto"/>
              </w:rPr>
            </w:pPr>
            <w:r>
              <w:rPr>
                <w:rFonts w:hint="eastAsia"/>
                <w:color w:val="auto"/>
                <w:sz w:val="24"/>
                <w:shd w:val="clear" w:color="auto" w:fill="auto"/>
              </w:rPr>
              <w:t>本项目无组织排放产生情况见下表：</w:t>
            </w:r>
          </w:p>
          <w:p w14:paraId="644B7E44">
            <w:pPr>
              <w:adjustRightInd w:val="0"/>
              <w:snapToGrid w:val="0"/>
              <w:spacing w:line="360" w:lineRule="auto"/>
              <w:jc w:val="center"/>
              <w:rPr>
                <w:color w:val="auto"/>
                <w:shd w:val="clear" w:color="auto" w:fill="auto"/>
              </w:rPr>
            </w:pPr>
            <w:r>
              <w:rPr>
                <w:rFonts w:hint="eastAsia"/>
                <w:b/>
                <w:bCs/>
                <w:color w:val="auto"/>
                <w:shd w:val="clear" w:color="auto" w:fill="auto"/>
              </w:rPr>
              <w:t>表5-</w:t>
            </w:r>
            <w:r>
              <w:rPr>
                <w:rFonts w:hint="eastAsia"/>
                <w:b/>
                <w:bCs/>
                <w:color w:val="auto"/>
                <w:shd w:val="clear" w:color="auto" w:fill="auto"/>
                <w:lang w:val="en-US" w:eastAsia="zh-CN"/>
              </w:rPr>
              <w:t>8</w:t>
            </w:r>
            <w:r>
              <w:rPr>
                <w:rFonts w:hint="eastAsia"/>
                <w:b/>
                <w:bCs/>
                <w:color w:val="auto"/>
                <w:shd w:val="clear" w:color="auto" w:fill="auto"/>
              </w:rPr>
              <w:t xml:space="preserve">  项目废气无组织排放情况统计表</w:t>
            </w:r>
          </w:p>
          <w:tbl>
            <w:tblPr>
              <w:tblStyle w:val="77"/>
              <w:tblW w:w="9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939"/>
              <w:gridCol w:w="1172"/>
              <w:gridCol w:w="1514"/>
              <w:gridCol w:w="1336"/>
              <w:gridCol w:w="1119"/>
              <w:gridCol w:w="1054"/>
              <w:gridCol w:w="1053"/>
            </w:tblGrid>
            <w:tr w14:paraId="6B65C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161" w:type="dxa"/>
                  <w:vMerge w:val="restart"/>
                  <w:tcBorders>
                    <w:right w:val="single" w:color="auto" w:sz="4" w:space="0"/>
                  </w:tcBorders>
                  <w:vAlign w:val="center"/>
                </w:tcPr>
                <w:p w14:paraId="1BEAAF7E">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污染源工序</w:t>
                  </w:r>
                </w:p>
              </w:tc>
              <w:tc>
                <w:tcPr>
                  <w:tcW w:w="939" w:type="dxa"/>
                  <w:vMerge w:val="restart"/>
                  <w:tcBorders>
                    <w:left w:val="single" w:color="auto" w:sz="4" w:space="0"/>
                  </w:tcBorders>
                  <w:vAlign w:val="center"/>
                </w:tcPr>
                <w:p w14:paraId="03D8C558">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产生位置</w:t>
                  </w:r>
                </w:p>
              </w:tc>
              <w:tc>
                <w:tcPr>
                  <w:tcW w:w="1172" w:type="dxa"/>
                  <w:vMerge w:val="restart"/>
                  <w:vAlign w:val="center"/>
                </w:tcPr>
                <w:p w14:paraId="32C52EAC">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污染物名称</w:t>
                  </w:r>
                </w:p>
              </w:tc>
              <w:tc>
                <w:tcPr>
                  <w:tcW w:w="2850" w:type="dxa"/>
                  <w:gridSpan w:val="2"/>
                  <w:vAlign w:val="center"/>
                </w:tcPr>
                <w:p w14:paraId="5C32BB1D">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污染物排放情况</w:t>
                  </w:r>
                </w:p>
              </w:tc>
              <w:tc>
                <w:tcPr>
                  <w:tcW w:w="1119" w:type="dxa"/>
                  <w:vMerge w:val="restart"/>
                  <w:vAlign w:val="center"/>
                </w:tcPr>
                <w:p w14:paraId="241D029A">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面源长度</w:t>
                  </w:r>
                </w:p>
                <w:p w14:paraId="3E283482">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（m）</w:t>
                  </w:r>
                </w:p>
              </w:tc>
              <w:tc>
                <w:tcPr>
                  <w:tcW w:w="1054" w:type="dxa"/>
                  <w:vMerge w:val="restart"/>
                  <w:vAlign w:val="center"/>
                </w:tcPr>
                <w:p w14:paraId="7FCABD74">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面源宽度</w:t>
                  </w:r>
                </w:p>
                <w:p w14:paraId="7DAE2967">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（m）</w:t>
                  </w:r>
                </w:p>
              </w:tc>
              <w:tc>
                <w:tcPr>
                  <w:tcW w:w="1053" w:type="dxa"/>
                  <w:vMerge w:val="restart"/>
                  <w:vAlign w:val="center"/>
                </w:tcPr>
                <w:p w14:paraId="4F01F65B">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面源高度</w:t>
                  </w:r>
                </w:p>
                <w:p w14:paraId="53562765">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（m）</w:t>
                  </w:r>
                </w:p>
              </w:tc>
            </w:tr>
            <w:tr w14:paraId="1C0F6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161" w:type="dxa"/>
                  <w:vMerge w:val="continue"/>
                  <w:tcBorders>
                    <w:right w:val="single" w:color="auto" w:sz="4" w:space="0"/>
                  </w:tcBorders>
                  <w:vAlign w:val="center"/>
                </w:tcPr>
                <w:p w14:paraId="33EC1922">
                  <w:pPr>
                    <w:pStyle w:val="69"/>
                    <w:jc w:val="center"/>
                    <w:rPr>
                      <w:rFonts w:hint="eastAsia" w:ascii="Times New Roman" w:hAnsi="Times New Roman" w:cs="Times New Roman"/>
                      <w:sz w:val="18"/>
                      <w:szCs w:val="18"/>
                      <w:lang w:val="en-US" w:eastAsia="en-US"/>
                    </w:rPr>
                  </w:pPr>
                </w:p>
              </w:tc>
              <w:tc>
                <w:tcPr>
                  <w:tcW w:w="939" w:type="dxa"/>
                  <w:vMerge w:val="continue"/>
                  <w:tcBorders>
                    <w:left w:val="single" w:color="auto" w:sz="4" w:space="0"/>
                  </w:tcBorders>
                  <w:vAlign w:val="center"/>
                </w:tcPr>
                <w:p w14:paraId="2DC7C3B7">
                  <w:pPr>
                    <w:pStyle w:val="69"/>
                    <w:jc w:val="center"/>
                    <w:rPr>
                      <w:rFonts w:hint="eastAsia" w:ascii="Times New Roman" w:hAnsi="Times New Roman" w:cs="Times New Roman"/>
                      <w:sz w:val="18"/>
                      <w:szCs w:val="18"/>
                      <w:lang w:val="en-US" w:eastAsia="en-US"/>
                    </w:rPr>
                  </w:pPr>
                </w:p>
              </w:tc>
              <w:tc>
                <w:tcPr>
                  <w:tcW w:w="1172" w:type="dxa"/>
                  <w:vMerge w:val="continue"/>
                  <w:vAlign w:val="center"/>
                </w:tcPr>
                <w:p w14:paraId="54414820">
                  <w:pPr>
                    <w:pStyle w:val="69"/>
                    <w:jc w:val="center"/>
                    <w:rPr>
                      <w:rFonts w:hint="eastAsia" w:ascii="Times New Roman" w:hAnsi="Times New Roman" w:cs="Times New Roman"/>
                      <w:sz w:val="18"/>
                      <w:szCs w:val="18"/>
                      <w:lang w:val="en-US" w:eastAsia="zh-CN"/>
                    </w:rPr>
                  </w:pPr>
                </w:p>
              </w:tc>
              <w:tc>
                <w:tcPr>
                  <w:tcW w:w="1514" w:type="dxa"/>
                  <w:vAlign w:val="center"/>
                </w:tcPr>
                <w:p w14:paraId="7541A27A">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排放速率(kg/h)</w:t>
                  </w:r>
                </w:p>
              </w:tc>
              <w:tc>
                <w:tcPr>
                  <w:tcW w:w="1336" w:type="dxa"/>
                  <w:vAlign w:val="center"/>
                </w:tcPr>
                <w:p w14:paraId="373E391C">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排放量（t/a）</w:t>
                  </w:r>
                </w:p>
              </w:tc>
              <w:tc>
                <w:tcPr>
                  <w:tcW w:w="1119" w:type="dxa"/>
                  <w:vMerge w:val="continue"/>
                  <w:vAlign w:val="center"/>
                </w:tcPr>
                <w:p w14:paraId="5C395107">
                  <w:pPr>
                    <w:pStyle w:val="69"/>
                    <w:jc w:val="center"/>
                    <w:rPr>
                      <w:rFonts w:hint="eastAsia" w:ascii="Times New Roman" w:hAnsi="Times New Roman" w:cs="Times New Roman"/>
                      <w:sz w:val="18"/>
                      <w:szCs w:val="18"/>
                      <w:lang w:val="en-US" w:eastAsia="zh-CN"/>
                    </w:rPr>
                  </w:pPr>
                </w:p>
              </w:tc>
              <w:tc>
                <w:tcPr>
                  <w:tcW w:w="1054" w:type="dxa"/>
                  <w:vMerge w:val="continue"/>
                  <w:vAlign w:val="center"/>
                </w:tcPr>
                <w:p w14:paraId="7705DBE9">
                  <w:pPr>
                    <w:pStyle w:val="69"/>
                    <w:jc w:val="center"/>
                    <w:rPr>
                      <w:rFonts w:hint="eastAsia" w:ascii="Times New Roman" w:hAnsi="Times New Roman" w:cs="Times New Roman"/>
                      <w:sz w:val="18"/>
                      <w:szCs w:val="18"/>
                      <w:lang w:val="en-US" w:eastAsia="zh-CN"/>
                    </w:rPr>
                  </w:pPr>
                </w:p>
              </w:tc>
              <w:tc>
                <w:tcPr>
                  <w:tcW w:w="1053" w:type="dxa"/>
                  <w:vMerge w:val="continue"/>
                  <w:vAlign w:val="center"/>
                </w:tcPr>
                <w:p w14:paraId="385EEA39">
                  <w:pPr>
                    <w:pStyle w:val="69"/>
                    <w:jc w:val="center"/>
                    <w:rPr>
                      <w:rFonts w:hint="eastAsia" w:ascii="Times New Roman" w:hAnsi="Times New Roman" w:cs="Times New Roman"/>
                      <w:sz w:val="18"/>
                      <w:szCs w:val="18"/>
                      <w:lang w:val="en-US" w:eastAsia="zh-CN"/>
                    </w:rPr>
                  </w:pPr>
                </w:p>
              </w:tc>
            </w:tr>
            <w:tr w14:paraId="22E1B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161" w:type="dxa"/>
                  <w:tcBorders>
                    <w:right w:val="single" w:color="auto" w:sz="4" w:space="0"/>
                  </w:tcBorders>
                  <w:vAlign w:val="center"/>
                </w:tcPr>
                <w:p w14:paraId="60D61B9E">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原料堆存</w:t>
                  </w:r>
                </w:p>
              </w:tc>
              <w:tc>
                <w:tcPr>
                  <w:tcW w:w="939" w:type="dxa"/>
                  <w:tcBorders>
                    <w:left w:val="single" w:color="auto" w:sz="4" w:space="0"/>
                  </w:tcBorders>
                  <w:vAlign w:val="center"/>
                </w:tcPr>
                <w:p w14:paraId="4D236D80">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砂石原料库房</w:t>
                  </w:r>
                </w:p>
              </w:tc>
              <w:tc>
                <w:tcPr>
                  <w:tcW w:w="1172" w:type="dxa"/>
                  <w:vAlign w:val="center"/>
                </w:tcPr>
                <w:p w14:paraId="1E2F129A">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原料堆存粉尘</w:t>
                  </w:r>
                </w:p>
              </w:tc>
              <w:tc>
                <w:tcPr>
                  <w:tcW w:w="1514" w:type="dxa"/>
                  <w:vAlign w:val="center"/>
                </w:tcPr>
                <w:p w14:paraId="58823A09">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0.0097</w:t>
                  </w:r>
                </w:p>
              </w:tc>
              <w:tc>
                <w:tcPr>
                  <w:tcW w:w="1336" w:type="dxa"/>
                  <w:vAlign w:val="center"/>
                </w:tcPr>
                <w:p w14:paraId="49E8CF04">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0.0233</w:t>
                  </w:r>
                </w:p>
              </w:tc>
              <w:tc>
                <w:tcPr>
                  <w:tcW w:w="1119" w:type="dxa"/>
                  <w:vMerge w:val="restart"/>
                  <w:vAlign w:val="center"/>
                </w:tcPr>
                <w:p w14:paraId="7F62E058">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36</w:t>
                  </w:r>
                </w:p>
              </w:tc>
              <w:tc>
                <w:tcPr>
                  <w:tcW w:w="1054" w:type="dxa"/>
                  <w:vMerge w:val="restart"/>
                  <w:vAlign w:val="center"/>
                </w:tcPr>
                <w:p w14:paraId="297D5899">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18</w:t>
                  </w:r>
                </w:p>
              </w:tc>
              <w:tc>
                <w:tcPr>
                  <w:tcW w:w="1053" w:type="dxa"/>
                  <w:vMerge w:val="restart"/>
                  <w:vAlign w:val="center"/>
                </w:tcPr>
                <w:p w14:paraId="1D3FEEF1">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c>
            </w:tr>
            <w:tr w14:paraId="61E3C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exact"/>
                <w:jc w:val="center"/>
              </w:trPr>
              <w:tc>
                <w:tcPr>
                  <w:tcW w:w="1161" w:type="dxa"/>
                  <w:tcBorders>
                    <w:right w:val="single" w:color="auto" w:sz="4" w:space="0"/>
                  </w:tcBorders>
                  <w:vAlign w:val="center"/>
                </w:tcPr>
                <w:p w14:paraId="0F39D988">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物料输送</w:t>
                  </w:r>
                  <w:r>
                    <w:rPr>
                      <w:rFonts w:hint="default" w:ascii="Times New Roman" w:hAnsi="Times New Roman" w:cs="Times New Roman"/>
                      <w:sz w:val="18"/>
                      <w:szCs w:val="18"/>
                      <w:lang w:val="en-US" w:eastAsia="zh-CN"/>
                    </w:rPr>
                    <w:t>环节转运</w:t>
                  </w:r>
                </w:p>
              </w:tc>
              <w:tc>
                <w:tcPr>
                  <w:tcW w:w="939" w:type="dxa"/>
                  <w:vMerge w:val="restart"/>
                  <w:tcBorders>
                    <w:left w:val="single" w:color="auto" w:sz="4" w:space="0"/>
                  </w:tcBorders>
                  <w:vAlign w:val="center"/>
                </w:tcPr>
                <w:p w14:paraId="6FC3E985">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生产车间</w:t>
                  </w:r>
                </w:p>
              </w:tc>
              <w:tc>
                <w:tcPr>
                  <w:tcW w:w="1172" w:type="dxa"/>
                  <w:vMerge w:val="restart"/>
                  <w:vAlign w:val="center"/>
                </w:tcPr>
                <w:p w14:paraId="3ADCC200">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粉尘</w:t>
                  </w:r>
                </w:p>
              </w:tc>
              <w:tc>
                <w:tcPr>
                  <w:tcW w:w="1514" w:type="dxa"/>
                  <w:vAlign w:val="center"/>
                </w:tcPr>
                <w:p w14:paraId="660CEFF4">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0.002</w:t>
                  </w:r>
                </w:p>
              </w:tc>
              <w:tc>
                <w:tcPr>
                  <w:tcW w:w="1336" w:type="dxa"/>
                  <w:vAlign w:val="center"/>
                </w:tcPr>
                <w:p w14:paraId="1A7DBE80">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0.00475</w:t>
                  </w:r>
                </w:p>
              </w:tc>
              <w:tc>
                <w:tcPr>
                  <w:tcW w:w="1119" w:type="dxa"/>
                  <w:vMerge w:val="continue"/>
                  <w:vAlign w:val="center"/>
                </w:tcPr>
                <w:p w14:paraId="4655854F">
                  <w:pPr>
                    <w:pStyle w:val="69"/>
                    <w:jc w:val="center"/>
                    <w:rPr>
                      <w:rFonts w:hint="default" w:ascii="Times New Roman" w:hAnsi="Times New Roman" w:cs="Times New Roman"/>
                      <w:sz w:val="18"/>
                      <w:szCs w:val="18"/>
                      <w:lang w:val="en-US" w:eastAsia="zh-CN"/>
                    </w:rPr>
                  </w:pPr>
                </w:p>
              </w:tc>
              <w:tc>
                <w:tcPr>
                  <w:tcW w:w="1054" w:type="dxa"/>
                  <w:vMerge w:val="continue"/>
                  <w:vAlign w:val="center"/>
                </w:tcPr>
                <w:p w14:paraId="1DA7D91B">
                  <w:pPr>
                    <w:pStyle w:val="69"/>
                    <w:jc w:val="center"/>
                    <w:rPr>
                      <w:rFonts w:hint="default" w:ascii="Times New Roman" w:hAnsi="Times New Roman" w:cs="Times New Roman"/>
                      <w:sz w:val="18"/>
                      <w:szCs w:val="18"/>
                      <w:lang w:val="en-US" w:eastAsia="zh-CN"/>
                    </w:rPr>
                  </w:pPr>
                </w:p>
              </w:tc>
              <w:tc>
                <w:tcPr>
                  <w:tcW w:w="1053" w:type="dxa"/>
                  <w:vMerge w:val="continue"/>
                  <w:vAlign w:val="center"/>
                </w:tcPr>
                <w:p w14:paraId="674B0EA4">
                  <w:pPr>
                    <w:pStyle w:val="69"/>
                    <w:jc w:val="center"/>
                    <w:rPr>
                      <w:rFonts w:hint="default" w:ascii="Times New Roman" w:hAnsi="Times New Roman" w:cs="Times New Roman"/>
                      <w:sz w:val="18"/>
                      <w:szCs w:val="18"/>
                      <w:lang w:val="en-US" w:eastAsia="zh-CN"/>
                    </w:rPr>
                  </w:pPr>
                </w:p>
              </w:tc>
            </w:tr>
            <w:tr w14:paraId="0CAA5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exact"/>
                <w:jc w:val="center"/>
              </w:trPr>
              <w:tc>
                <w:tcPr>
                  <w:tcW w:w="1161" w:type="dxa"/>
                  <w:tcBorders>
                    <w:right w:val="single" w:color="auto" w:sz="4" w:space="0"/>
                  </w:tcBorders>
                  <w:vAlign w:val="center"/>
                </w:tcPr>
                <w:p w14:paraId="557D2434">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搅拌</w:t>
                  </w:r>
                </w:p>
              </w:tc>
              <w:tc>
                <w:tcPr>
                  <w:tcW w:w="939" w:type="dxa"/>
                  <w:vMerge w:val="continue"/>
                  <w:tcBorders>
                    <w:left w:val="single" w:color="auto" w:sz="4" w:space="0"/>
                  </w:tcBorders>
                  <w:vAlign w:val="center"/>
                </w:tcPr>
                <w:p w14:paraId="4FF3D631">
                  <w:pPr>
                    <w:pStyle w:val="69"/>
                    <w:jc w:val="center"/>
                    <w:rPr>
                      <w:rFonts w:hint="eastAsia" w:ascii="Times New Roman" w:hAnsi="Times New Roman" w:cs="Times New Roman"/>
                      <w:sz w:val="18"/>
                      <w:szCs w:val="18"/>
                      <w:lang w:val="en-US" w:eastAsia="zh-CN"/>
                    </w:rPr>
                  </w:pPr>
                </w:p>
              </w:tc>
              <w:tc>
                <w:tcPr>
                  <w:tcW w:w="1172" w:type="dxa"/>
                  <w:vMerge w:val="continue"/>
                  <w:vAlign w:val="center"/>
                </w:tcPr>
                <w:p w14:paraId="6E1BDD69">
                  <w:pPr>
                    <w:pStyle w:val="69"/>
                    <w:jc w:val="center"/>
                    <w:rPr>
                      <w:rFonts w:hint="eastAsia" w:ascii="Times New Roman" w:hAnsi="Times New Roman" w:cs="Times New Roman"/>
                      <w:sz w:val="18"/>
                      <w:szCs w:val="18"/>
                      <w:lang w:val="en-US" w:eastAsia="zh-CN"/>
                    </w:rPr>
                  </w:pPr>
                </w:p>
              </w:tc>
              <w:tc>
                <w:tcPr>
                  <w:tcW w:w="1514" w:type="dxa"/>
                  <w:vAlign w:val="center"/>
                </w:tcPr>
                <w:p w14:paraId="0051BFC3">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0.0095</w:t>
                  </w:r>
                </w:p>
              </w:tc>
              <w:tc>
                <w:tcPr>
                  <w:tcW w:w="1336" w:type="dxa"/>
                  <w:vAlign w:val="center"/>
                </w:tcPr>
                <w:p w14:paraId="14F2A7CA">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0.0228</w:t>
                  </w:r>
                </w:p>
              </w:tc>
              <w:tc>
                <w:tcPr>
                  <w:tcW w:w="1119" w:type="dxa"/>
                  <w:vMerge w:val="continue"/>
                  <w:vAlign w:val="center"/>
                </w:tcPr>
                <w:p w14:paraId="372A16FB">
                  <w:pPr>
                    <w:pStyle w:val="69"/>
                    <w:jc w:val="center"/>
                    <w:rPr>
                      <w:rFonts w:hint="eastAsia" w:ascii="Times New Roman" w:hAnsi="Times New Roman" w:cs="Times New Roman"/>
                      <w:sz w:val="18"/>
                      <w:szCs w:val="18"/>
                      <w:lang w:val="en-US" w:eastAsia="zh-CN"/>
                    </w:rPr>
                  </w:pPr>
                </w:p>
              </w:tc>
              <w:tc>
                <w:tcPr>
                  <w:tcW w:w="1054" w:type="dxa"/>
                  <w:vMerge w:val="continue"/>
                  <w:vAlign w:val="center"/>
                </w:tcPr>
                <w:p w14:paraId="15E96005">
                  <w:pPr>
                    <w:pStyle w:val="69"/>
                    <w:jc w:val="center"/>
                    <w:rPr>
                      <w:rFonts w:hint="eastAsia" w:ascii="Times New Roman" w:hAnsi="Times New Roman" w:cs="Times New Roman"/>
                      <w:sz w:val="18"/>
                      <w:szCs w:val="18"/>
                      <w:lang w:val="en-US" w:eastAsia="zh-CN"/>
                    </w:rPr>
                  </w:pPr>
                </w:p>
              </w:tc>
              <w:tc>
                <w:tcPr>
                  <w:tcW w:w="1053" w:type="dxa"/>
                  <w:vMerge w:val="continue"/>
                  <w:vAlign w:val="center"/>
                </w:tcPr>
                <w:p w14:paraId="5666DD1E">
                  <w:pPr>
                    <w:pStyle w:val="69"/>
                    <w:jc w:val="center"/>
                    <w:rPr>
                      <w:rFonts w:hint="eastAsia" w:ascii="Times New Roman" w:hAnsi="Times New Roman" w:cs="Times New Roman"/>
                      <w:sz w:val="18"/>
                      <w:szCs w:val="18"/>
                      <w:lang w:val="en-US" w:eastAsia="zh-CN"/>
                    </w:rPr>
                  </w:pPr>
                </w:p>
              </w:tc>
            </w:tr>
            <w:tr w14:paraId="0F644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exact"/>
                <w:jc w:val="center"/>
              </w:trPr>
              <w:tc>
                <w:tcPr>
                  <w:tcW w:w="1161" w:type="dxa"/>
                  <w:tcBorders>
                    <w:right w:val="single" w:color="auto" w:sz="4" w:space="0"/>
                  </w:tcBorders>
                  <w:vAlign w:val="center"/>
                </w:tcPr>
                <w:p w14:paraId="6CF17F4C">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焊接</w:t>
                  </w:r>
                </w:p>
              </w:tc>
              <w:tc>
                <w:tcPr>
                  <w:tcW w:w="939" w:type="dxa"/>
                  <w:vMerge w:val="continue"/>
                  <w:tcBorders>
                    <w:left w:val="single" w:color="auto" w:sz="4" w:space="0"/>
                  </w:tcBorders>
                  <w:vAlign w:val="center"/>
                </w:tcPr>
                <w:p w14:paraId="6B98D248">
                  <w:pPr>
                    <w:pStyle w:val="69"/>
                    <w:jc w:val="center"/>
                    <w:rPr>
                      <w:rFonts w:hint="eastAsia" w:ascii="Times New Roman" w:hAnsi="Times New Roman" w:cs="Times New Roman"/>
                      <w:sz w:val="18"/>
                      <w:szCs w:val="18"/>
                      <w:lang w:val="en-US" w:eastAsia="zh-CN"/>
                    </w:rPr>
                  </w:pPr>
                </w:p>
              </w:tc>
              <w:tc>
                <w:tcPr>
                  <w:tcW w:w="1172" w:type="dxa"/>
                  <w:vAlign w:val="center"/>
                </w:tcPr>
                <w:p w14:paraId="6E625EB0">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焊接烟尘</w:t>
                  </w:r>
                </w:p>
              </w:tc>
              <w:tc>
                <w:tcPr>
                  <w:tcW w:w="1514" w:type="dxa"/>
                  <w:vAlign w:val="center"/>
                </w:tcPr>
                <w:p w14:paraId="38C41ECE">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0.002</w:t>
                  </w:r>
                </w:p>
              </w:tc>
              <w:tc>
                <w:tcPr>
                  <w:tcW w:w="1336" w:type="dxa"/>
                  <w:vAlign w:val="center"/>
                </w:tcPr>
                <w:p w14:paraId="31CB09DD">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0.0024</w:t>
                  </w:r>
                </w:p>
              </w:tc>
              <w:tc>
                <w:tcPr>
                  <w:tcW w:w="1119" w:type="dxa"/>
                  <w:vMerge w:val="continue"/>
                  <w:vAlign w:val="center"/>
                </w:tcPr>
                <w:p w14:paraId="36C89119">
                  <w:pPr>
                    <w:pStyle w:val="69"/>
                    <w:jc w:val="center"/>
                    <w:rPr>
                      <w:rFonts w:hint="eastAsia" w:ascii="Times New Roman" w:hAnsi="Times New Roman" w:cs="Times New Roman"/>
                      <w:sz w:val="18"/>
                      <w:szCs w:val="18"/>
                      <w:lang w:val="en-US" w:eastAsia="zh-CN"/>
                    </w:rPr>
                  </w:pPr>
                </w:p>
              </w:tc>
              <w:tc>
                <w:tcPr>
                  <w:tcW w:w="1054" w:type="dxa"/>
                  <w:vMerge w:val="continue"/>
                  <w:vAlign w:val="center"/>
                </w:tcPr>
                <w:p w14:paraId="7ADB3F66">
                  <w:pPr>
                    <w:pStyle w:val="69"/>
                    <w:jc w:val="center"/>
                    <w:rPr>
                      <w:rFonts w:hint="eastAsia" w:ascii="Times New Roman" w:hAnsi="Times New Roman" w:cs="Times New Roman"/>
                      <w:sz w:val="18"/>
                      <w:szCs w:val="18"/>
                      <w:lang w:val="en-US" w:eastAsia="zh-CN"/>
                    </w:rPr>
                  </w:pPr>
                </w:p>
              </w:tc>
              <w:tc>
                <w:tcPr>
                  <w:tcW w:w="1053" w:type="dxa"/>
                  <w:vMerge w:val="continue"/>
                  <w:vAlign w:val="center"/>
                </w:tcPr>
                <w:p w14:paraId="0739AB41">
                  <w:pPr>
                    <w:pStyle w:val="69"/>
                    <w:jc w:val="center"/>
                    <w:rPr>
                      <w:rFonts w:hint="eastAsia" w:ascii="Times New Roman" w:hAnsi="Times New Roman" w:cs="Times New Roman"/>
                      <w:sz w:val="18"/>
                      <w:szCs w:val="18"/>
                      <w:lang w:val="en-US" w:eastAsia="zh-CN"/>
                    </w:rPr>
                  </w:pPr>
                </w:p>
              </w:tc>
            </w:tr>
            <w:tr w14:paraId="5EC03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exact"/>
                <w:jc w:val="center"/>
              </w:trPr>
              <w:tc>
                <w:tcPr>
                  <w:tcW w:w="1161" w:type="dxa"/>
                  <w:tcBorders>
                    <w:right w:val="single" w:color="auto" w:sz="4" w:space="0"/>
                  </w:tcBorders>
                  <w:vAlign w:val="center"/>
                </w:tcPr>
                <w:p w14:paraId="11009920">
                  <w:pPr>
                    <w:pStyle w:val="69"/>
                    <w:jc w:val="center"/>
                    <w:rPr>
                      <w:rFonts w:hint="eastAsia"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汽车运输</w:t>
                  </w:r>
                </w:p>
              </w:tc>
              <w:tc>
                <w:tcPr>
                  <w:tcW w:w="939" w:type="dxa"/>
                  <w:tcBorders>
                    <w:left w:val="single" w:color="auto" w:sz="4" w:space="0"/>
                  </w:tcBorders>
                  <w:vAlign w:val="center"/>
                </w:tcPr>
                <w:p w14:paraId="2E887469">
                  <w:pPr>
                    <w:pStyle w:val="69"/>
                    <w:jc w:val="center"/>
                    <w:rPr>
                      <w:rFonts w:hint="eastAsia" w:ascii="Times New Roman" w:hAnsi="Times New Roman" w:cs="Times New Roman"/>
                      <w:sz w:val="18"/>
                      <w:szCs w:val="18"/>
                      <w:lang w:val="en-US" w:eastAsia="zh-CN"/>
                    </w:rPr>
                  </w:pPr>
                  <w:r>
                    <w:rPr>
                      <w:rFonts w:hint="default"/>
                      <w:color w:val="auto"/>
                      <w:sz w:val="18"/>
                      <w:szCs w:val="18"/>
                      <w:shd w:val="clear" w:color="auto" w:fill="auto"/>
                      <w:lang w:val="en-US" w:eastAsia="zh-CN"/>
                    </w:rPr>
                    <w:t>运输动力扬尘</w:t>
                  </w:r>
                </w:p>
              </w:tc>
              <w:tc>
                <w:tcPr>
                  <w:tcW w:w="1172" w:type="dxa"/>
                  <w:vAlign w:val="center"/>
                </w:tcPr>
                <w:p w14:paraId="4BC5EE10">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扬尘</w:t>
                  </w:r>
                </w:p>
              </w:tc>
              <w:tc>
                <w:tcPr>
                  <w:tcW w:w="1514" w:type="dxa"/>
                  <w:vAlign w:val="center"/>
                </w:tcPr>
                <w:p w14:paraId="67544EE6">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0.245</w:t>
                  </w:r>
                </w:p>
              </w:tc>
              <w:tc>
                <w:tcPr>
                  <w:tcW w:w="1336" w:type="dxa"/>
                  <w:vAlign w:val="center"/>
                </w:tcPr>
                <w:p w14:paraId="635E49B5">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0.5876</w:t>
                  </w:r>
                </w:p>
              </w:tc>
              <w:tc>
                <w:tcPr>
                  <w:tcW w:w="3226" w:type="dxa"/>
                  <w:gridSpan w:val="3"/>
                  <w:vAlign w:val="center"/>
                </w:tcPr>
                <w:p w14:paraId="1F1A218A">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w:t>
                  </w:r>
                </w:p>
              </w:tc>
            </w:tr>
            <w:tr w14:paraId="20FD5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161" w:type="dxa"/>
                  <w:tcBorders>
                    <w:right w:val="single" w:color="auto" w:sz="4" w:space="0"/>
                  </w:tcBorders>
                  <w:vAlign w:val="center"/>
                </w:tcPr>
                <w:p w14:paraId="2BE8E323">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备注</w:t>
                  </w:r>
                </w:p>
              </w:tc>
              <w:tc>
                <w:tcPr>
                  <w:tcW w:w="8187" w:type="dxa"/>
                  <w:gridSpan w:val="7"/>
                  <w:tcBorders>
                    <w:left w:val="single" w:color="auto" w:sz="4" w:space="0"/>
                  </w:tcBorders>
                  <w:vAlign w:val="center"/>
                </w:tcPr>
                <w:p w14:paraId="75D31F54">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本项目拟以整个车间作为无组织面源</w:t>
                  </w:r>
                </w:p>
              </w:tc>
            </w:tr>
          </w:tbl>
          <w:p w14:paraId="1F891FDC">
            <w:pPr>
              <w:spacing w:line="360" w:lineRule="auto"/>
              <w:ind w:left="480"/>
              <w:rPr>
                <w:rFonts w:hint="default" w:ascii="Times New Roman" w:hAnsi="Times New Roman" w:eastAsia="宋体" w:cs="Times New Roman"/>
                <w:color w:val="auto"/>
                <w:sz w:val="24"/>
              </w:rPr>
            </w:pPr>
          </w:p>
          <w:p w14:paraId="66DE635F">
            <w:pPr>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经分析可知，通过采取以上相应降尘措施后，本项目粉尘能达到《大气污染物综合排放标准》（GB 16297-1996）中表2排放监测浓度限值。</w:t>
            </w:r>
          </w:p>
          <w:p w14:paraId="363A1D63">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2、水污染物</w:t>
            </w:r>
          </w:p>
          <w:p w14:paraId="789749CA">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本项目营运期产生的废水主要为员工生活污水、</w:t>
            </w:r>
            <w:r>
              <w:rPr>
                <w:rFonts w:hint="eastAsia" w:cs="Times New Roman"/>
                <w:b w:val="0"/>
                <w:bCs w:val="0"/>
                <w:color w:val="auto"/>
                <w:sz w:val="24"/>
                <w:szCs w:val="24"/>
                <w:lang w:val="en-US" w:eastAsia="zh-CN"/>
              </w:rPr>
              <w:t>生产废水</w:t>
            </w:r>
            <w:r>
              <w:rPr>
                <w:rFonts w:hint="default" w:ascii="Times New Roman" w:hAnsi="Times New Roman" w:eastAsia="宋体" w:cs="Times New Roman"/>
                <w:b w:val="0"/>
                <w:bCs w:val="0"/>
                <w:color w:val="auto"/>
                <w:sz w:val="24"/>
                <w:szCs w:val="24"/>
              </w:rPr>
              <w:t>、降雨过程中产生的初期雨水。</w:t>
            </w:r>
          </w:p>
          <w:p w14:paraId="7D1277C3">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1）清洗废水</w:t>
            </w:r>
          </w:p>
          <w:p w14:paraId="7C9CB9E3">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①运输</w:t>
            </w:r>
            <w:r>
              <w:rPr>
                <w:rFonts w:hint="eastAsia" w:cs="Times New Roman"/>
                <w:b w:val="0"/>
                <w:bCs w:val="0"/>
                <w:color w:val="auto"/>
                <w:sz w:val="24"/>
                <w:szCs w:val="24"/>
                <w:lang w:val="en-US" w:eastAsia="zh-CN"/>
              </w:rPr>
              <w:t>车辆轮胎</w:t>
            </w:r>
            <w:r>
              <w:rPr>
                <w:rFonts w:hint="default" w:ascii="Times New Roman" w:hAnsi="Times New Roman" w:eastAsia="宋体" w:cs="Times New Roman"/>
                <w:b w:val="0"/>
                <w:bCs w:val="0"/>
                <w:color w:val="auto"/>
                <w:sz w:val="24"/>
                <w:szCs w:val="24"/>
              </w:rPr>
              <w:t>清洗废水</w:t>
            </w:r>
          </w:p>
          <w:p w14:paraId="7AA24915">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sz w:val="24"/>
              </w:rPr>
              <w:t>项目大门附近设一洗车平台</w:t>
            </w:r>
            <w:r>
              <w:rPr>
                <w:kern w:val="0"/>
                <w:sz w:val="24"/>
              </w:rPr>
              <w:t>，</w:t>
            </w:r>
            <w:r>
              <w:rPr>
                <w:rFonts w:hint="eastAsia"/>
                <w:kern w:val="0"/>
                <w:sz w:val="24"/>
              </w:rPr>
              <w:t>对出厂</w:t>
            </w:r>
            <w:r>
              <w:rPr>
                <w:sz w:val="24"/>
              </w:rPr>
              <w:t>车辆</w:t>
            </w:r>
            <w:r>
              <w:rPr>
                <w:kern w:val="0"/>
                <w:sz w:val="24"/>
              </w:rPr>
              <w:t>轮胎</w:t>
            </w:r>
            <w:r>
              <w:rPr>
                <w:rFonts w:hint="eastAsia"/>
                <w:sz w:val="24"/>
              </w:rPr>
              <w:t>进行</w:t>
            </w:r>
            <w:r>
              <w:rPr>
                <w:sz w:val="24"/>
              </w:rPr>
              <w:t>清洗。</w:t>
            </w:r>
            <w:r>
              <w:rPr>
                <w:bCs/>
                <w:sz w:val="24"/>
              </w:rPr>
              <w:t>本项目成品运输量平均为</w:t>
            </w:r>
            <w:r>
              <w:rPr>
                <w:rFonts w:hint="eastAsia"/>
                <w:bCs/>
                <w:sz w:val="24"/>
                <w:lang w:val="en-US" w:eastAsia="zh-CN"/>
              </w:rPr>
              <w:t>25</w:t>
            </w:r>
            <w:r>
              <w:rPr>
                <w:bCs/>
                <w:sz w:val="24"/>
              </w:rPr>
              <w:t>t/d，按单车1次运输量为</w:t>
            </w:r>
            <w:r>
              <w:rPr>
                <w:rFonts w:hint="eastAsia"/>
                <w:bCs/>
                <w:sz w:val="24"/>
                <w:lang w:val="en-US" w:eastAsia="zh-CN"/>
              </w:rPr>
              <w:t>5</w:t>
            </w:r>
            <w:r>
              <w:rPr>
                <w:rFonts w:hint="eastAsia"/>
                <w:bCs/>
                <w:sz w:val="24"/>
              </w:rPr>
              <w:t>t</w:t>
            </w:r>
            <w:r>
              <w:rPr>
                <w:bCs/>
                <w:sz w:val="24"/>
              </w:rPr>
              <w:t>计算，每天约需运输</w:t>
            </w:r>
            <w:r>
              <w:rPr>
                <w:rFonts w:hint="eastAsia"/>
                <w:bCs/>
                <w:sz w:val="24"/>
                <w:lang w:val="en-US" w:eastAsia="zh-CN"/>
              </w:rPr>
              <w:t>5</w:t>
            </w:r>
            <w:r>
              <w:rPr>
                <w:bCs/>
                <w:sz w:val="24"/>
              </w:rPr>
              <w:t>辆。</w:t>
            </w:r>
            <w:r>
              <w:rPr>
                <w:sz w:val="24"/>
              </w:rPr>
              <w:t>载重汽车清洁循环用水冲洗补水量为40L/（辆•次），则需补水量为</w:t>
            </w:r>
            <w:r>
              <w:rPr>
                <w:rFonts w:hint="eastAsia"/>
                <w:sz w:val="24"/>
                <w:lang w:val="en-US" w:eastAsia="zh-CN"/>
              </w:rPr>
              <w:t>0.2</w:t>
            </w:r>
            <w:r>
              <w:rPr>
                <w:sz w:val="24"/>
              </w:rPr>
              <w:t>m</w:t>
            </w:r>
            <w:r>
              <w:rPr>
                <w:sz w:val="24"/>
                <w:vertAlign w:val="superscript"/>
              </w:rPr>
              <w:t>3</w:t>
            </w:r>
            <w:r>
              <w:rPr>
                <w:sz w:val="24"/>
              </w:rPr>
              <w:t>/d，全年耗水量为</w:t>
            </w:r>
            <w:r>
              <w:rPr>
                <w:rFonts w:hint="eastAsia"/>
                <w:sz w:val="24"/>
                <w:lang w:val="en-US" w:eastAsia="zh-CN"/>
              </w:rPr>
              <w:t>60</w:t>
            </w:r>
            <w:r>
              <w:rPr>
                <w:color w:val="000000"/>
                <w:spacing w:val="4"/>
                <w:sz w:val="24"/>
              </w:rPr>
              <w:t>m</w:t>
            </w:r>
            <w:r>
              <w:rPr>
                <w:color w:val="000000"/>
                <w:spacing w:val="4"/>
                <w:sz w:val="24"/>
                <w:vertAlign w:val="superscript"/>
              </w:rPr>
              <w:t>3</w:t>
            </w:r>
            <w:r>
              <w:rPr>
                <w:color w:val="000000"/>
                <w:spacing w:val="4"/>
                <w:sz w:val="24"/>
              </w:rPr>
              <w:t>/a</w:t>
            </w:r>
            <w:r>
              <w:rPr>
                <w:rFonts w:hint="default" w:ascii="Times New Roman" w:hAnsi="Times New Roman" w:eastAsia="宋体" w:cs="Times New Roman"/>
                <w:b w:val="0"/>
                <w:bCs w:val="0"/>
                <w:color w:val="auto"/>
                <w:sz w:val="24"/>
                <w:szCs w:val="24"/>
                <w:lang w:val="en-US" w:eastAsia="zh-CN"/>
              </w:rPr>
              <w:t>。</w:t>
            </w:r>
          </w:p>
          <w:p w14:paraId="0CF35DED">
            <w:pPr>
              <w:spacing w:line="360" w:lineRule="auto"/>
              <w:ind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此部分用水不外排，定期补充。</w:t>
            </w:r>
          </w:p>
          <w:p w14:paraId="066F8FF9">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②作业区地面冲洗废水</w:t>
            </w:r>
          </w:p>
          <w:p w14:paraId="6BE731E5">
            <w:pPr>
              <w:spacing w:line="360" w:lineRule="auto"/>
              <w:ind w:firstLine="480" w:firstLineChars="200"/>
              <w:rPr>
                <w:rFonts w:hint="default" w:ascii="Times New Roman" w:hAnsi="Times New Roman" w:eastAsia="宋体" w:cs="Times New Roman"/>
                <w:b w:val="0"/>
                <w:bCs w:val="0"/>
                <w:color w:val="auto"/>
                <w:sz w:val="24"/>
                <w:szCs w:val="24"/>
              </w:rPr>
            </w:pPr>
            <w:r>
              <w:rPr>
                <w:rFonts w:hint="eastAsia"/>
                <w:sz w:val="24"/>
                <w:szCs w:val="24"/>
                <w:lang w:val="en-US" w:eastAsia="zh-CN"/>
              </w:rPr>
              <w:t>项目搅拌作业区面积约为350m</w:t>
            </w:r>
            <w:r>
              <w:rPr>
                <w:rFonts w:hint="eastAsia"/>
                <w:sz w:val="24"/>
                <w:szCs w:val="24"/>
                <w:vertAlign w:val="superscript"/>
                <w:lang w:val="en-US" w:eastAsia="zh-CN"/>
              </w:rPr>
              <w:t>3</w:t>
            </w:r>
            <w:r>
              <w:rPr>
                <w:rFonts w:hint="eastAsia"/>
                <w:sz w:val="24"/>
                <w:szCs w:val="24"/>
                <w:lang w:val="en-US" w:eastAsia="zh-CN"/>
              </w:rPr>
              <w:t>，冲洗水量按10L/（m</w:t>
            </w:r>
            <w:r>
              <w:rPr>
                <w:rFonts w:hint="eastAsia"/>
                <w:sz w:val="24"/>
                <w:szCs w:val="24"/>
                <w:vertAlign w:val="superscript"/>
                <w:lang w:val="en-US" w:eastAsia="zh-CN"/>
              </w:rPr>
              <w:t>2</w:t>
            </w:r>
            <w:r>
              <w:rPr>
                <w:rFonts w:hint="eastAsia" w:ascii="微软雅黑" w:hAnsi="微软雅黑" w:eastAsia="微软雅黑" w:cs="微软雅黑"/>
                <w:sz w:val="24"/>
                <w:szCs w:val="24"/>
                <w:lang w:val="en-US" w:eastAsia="zh-CN"/>
              </w:rPr>
              <w:t>·次</w:t>
            </w:r>
            <w:r>
              <w:rPr>
                <w:rFonts w:hint="eastAsia"/>
                <w:sz w:val="24"/>
                <w:szCs w:val="24"/>
                <w:lang w:val="en-US" w:eastAsia="zh-CN"/>
              </w:rPr>
              <w:t>）计，每两天冲洗一次，即年冲洗天数为150天，则作业区地面冲洗用水量为525m</w:t>
            </w:r>
            <w:r>
              <w:rPr>
                <w:rFonts w:hint="eastAsia"/>
                <w:sz w:val="24"/>
                <w:szCs w:val="24"/>
                <w:vertAlign w:val="superscript"/>
                <w:lang w:val="en-US" w:eastAsia="zh-CN"/>
              </w:rPr>
              <w:t>3</w:t>
            </w:r>
            <w:r>
              <w:rPr>
                <w:rFonts w:hint="eastAsia"/>
                <w:sz w:val="24"/>
                <w:szCs w:val="24"/>
                <w:lang w:val="en-US" w:eastAsia="zh-CN"/>
              </w:rPr>
              <w:t>/a</w:t>
            </w:r>
            <w:r>
              <w:rPr>
                <w:rFonts w:hint="eastAsia" w:cs="Times New Roman"/>
                <w:b w:val="0"/>
                <w:bCs w:val="0"/>
                <w:color w:val="auto"/>
                <w:sz w:val="24"/>
                <w:szCs w:val="24"/>
                <w:lang w:val="en-US" w:eastAsia="zh-CN"/>
              </w:rPr>
              <w:t>。此废水损耗量按用水量的15%计算，则废水产生量为3.5m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/d（446.25m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w:t>
            </w:r>
          </w:p>
          <w:p w14:paraId="7555155A">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本项目在作业区设有集水沟，</w:t>
            </w:r>
            <w:r>
              <w:rPr>
                <w:rFonts w:hint="eastAsia" w:ascii="Times New Roman" w:hAnsi="Times New Roman" w:cs="Times New Roman"/>
                <w:b/>
                <w:bCs/>
                <w:color w:val="auto"/>
                <w:sz w:val="24"/>
                <w:szCs w:val="24"/>
                <w:lang w:val="en-US" w:eastAsia="zh-CN"/>
              </w:rPr>
              <w:t>地面冲洗</w:t>
            </w:r>
            <w:r>
              <w:rPr>
                <w:rFonts w:hint="default" w:ascii="Times New Roman" w:hAnsi="Times New Roman" w:eastAsia="宋体" w:cs="Times New Roman"/>
                <w:b/>
                <w:bCs/>
                <w:color w:val="auto"/>
                <w:sz w:val="24"/>
                <w:szCs w:val="24"/>
                <w:lang w:val="en-US" w:eastAsia="zh-CN"/>
              </w:rPr>
              <w:t>废水经集水沟收集后送入沉淀池，废水经</w:t>
            </w:r>
            <w:r>
              <w:rPr>
                <w:rFonts w:hint="default" w:ascii="Times New Roman" w:hAnsi="Times New Roman" w:eastAsia="宋体" w:cs="Times New Roman"/>
                <w:b/>
                <w:bCs/>
                <w:color w:val="auto"/>
                <w:sz w:val="24"/>
                <w:szCs w:val="24"/>
              </w:rPr>
              <w:t>沉淀池（1座，</w:t>
            </w:r>
            <w:r>
              <w:rPr>
                <w:rFonts w:hint="eastAsia" w:cs="Times New Roman"/>
                <w:b/>
                <w:bCs/>
                <w:color w:val="auto"/>
                <w:sz w:val="24"/>
                <w:szCs w:val="24"/>
                <w:lang w:val="en-US" w:eastAsia="zh-CN"/>
              </w:rPr>
              <w:t>15</w:t>
            </w:r>
            <w:r>
              <w:rPr>
                <w:rFonts w:hint="default" w:ascii="Times New Roman" w:hAnsi="Times New Roman" w:eastAsia="宋体" w:cs="Times New Roman"/>
                <w:b/>
                <w:bCs/>
                <w:color w:val="auto"/>
                <w:sz w:val="24"/>
                <w:szCs w:val="24"/>
              </w:rPr>
              <w:t>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）沉淀后循环回用于</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rPr>
              <w:t>，不外排。</w:t>
            </w:r>
          </w:p>
          <w:p w14:paraId="7B8A4E63">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3）</w:t>
            </w:r>
            <w:r>
              <w:rPr>
                <w:rFonts w:hint="eastAsia" w:cs="Times New Roman"/>
                <w:b/>
                <w:bCs/>
                <w:color w:val="auto"/>
                <w:sz w:val="24"/>
                <w:szCs w:val="24"/>
                <w:lang w:val="en-US" w:eastAsia="zh-CN"/>
              </w:rPr>
              <w:t>堆场及生产厂房防尘废水</w:t>
            </w:r>
          </w:p>
          <w:p w14:paraId="42CC4ECB">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项目在原料库房，生产车间上料口，车辆进出口设置了喷雾降尘装置，此部分用水量约为</w:t>
            </w:r>
            <w:r>
              <w:rPr>
                <w:rFonts w:hint="eastAsia"/>
                <w:sz w:val="24"/>
                <w:szCs w:val="24"/>
                <w:lang w:val="en-US" w:eastAsia="zh-CN"/>
              </w:rPr>
              <w:t>0.6</w:t>
            </w:r>
            <w:r>
              <w:rPr>
                <w:rFonts w:hint="eastAsia" w:cs="Times New Roman"/>
                <w:b w:val="0"/>
                <w:bCs w:val="0"/>
                <w:color w:val="auto"/>
                <w:sz w:val="24"/>
                <w:szCs w:val="24"/>
                <w:lang w:val="en-US" w:eastAsia="zh-CN"/>
              </w:rPr>
              <w:t>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/d（180m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/a）。此部分用水蒸发损耗27m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/a，其余进入产品不外排。</w:t>
            </w:r>
          </w:p>
          <w:p w14:paraId="4F28BA26">
            <w:pPr>
              <w:spacing w:line="360" w:lineRule="auto"/>
              <w:ind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4）厂区洒水抑尘用水</w:t>
            </w:r>
          </w:p>
          <w:p w14:paraId="37ACFD13">
            <w:pPr>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为降低厂区风力起尘和道路运输扬尘和堆场扬尘，厂区内地面全部硬化，同时对厂区、道路和堆场每日洒水降尘，厂区需洒水面积约为800m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，喷洒用水量按1.0L/（m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·d）计，则厂区降尘洒水用量约为0.8m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/d（240m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/a）。此部分用水全部蒸发消耗，无废水产生。</w:t>
            </w:r>
          </w:p>
          <w:p w14:paraId="686C478B">
            <w:pPr>
              <w:spacing w:line="360" w:lineRule="auto"/>
              <w:ind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5）养护用水</w:t>
            </w:r>
          </w:p>
          <w:p w14:paraId="4FF5897A">
            <w:pPr>
              <w:spacing w:line="360" w:lineRule="auto"/>
              <w:ind w:firstLine="480" w:firstLineChars="200"/>
              <w:rPr>
                <w:rFonts w:hint="eastAsia" w:cs="Times New Roman"/>
                <w:b w:val="0"/>
                <w:bCs w:val="0"/>
                <w:color w:val="auto"/>
                <w:sz w:val="24"/>
                <w:szCs w:val="24"/>
                <w:lang w:val="en-US" w:eastAsia="zh-CN"/>
              </w:rPr>
            </w:pPr>
            <w:r>
              <w:rPr>
                <w:rFonts w:hint="eastAsia" w:ascii="Times New Roman" w:hAnsi="Times New Roman" w:cs="Times New Roman"/>
                <w:sz w:val="24"/>
                <w:szCs w:val="24"/>
                <w:lang w:val="en-US" w:eastAsia="zh-CN"/>
              </w:rPr>
              <w:t>本项目水泥制品需进行养护，根据业主资料，板材出厂前会进行三天的喷水养护，该部分用水量约0.5m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/d，150m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w:t>
            </w:r>
            <w:r>
              <w:rPr>
                <w:rFonts w:hint="eastAsia" w:cs="Times New Roman"/>
                <w:b w:val="0"/>
                <w:bCs w:val="0"/>
                <w:color w:val="auto"/>
                <w:sz w:val="24"/>
                <w:szCs w:val="24"/>
                <w:lang w:val="en-US" w:eastAsia="zh-CN"/>
              </w:rPr>
              <w:t>此部分用水蒸发损耗27m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/a，其余进入产品不外排。</w:t>
            </w:r>
          </w:p>
          <w:p w14:paraId="4F034156">
            <w:pPr>
              <w:spacing w:line="360" w:lineRule="auto"/>
              <w:ind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6）搅拌用水</w:t>
            </w:r>
          </w:p>
          <w:p w14:paraId="7358BA9C">
            <w:pPr>
              <w:spacing w:line="360" w:lineRule="auto"/>
              <w:ind w:firstLine="480" w:firstLineChars="200"/>
              <w:rPr>
                <w:rFonts w:hint="eastAsia" w:cs="Times New Roman"/>
                <w:b w:val="0"/>
                <w:bCs w:val="0"/>
                <w:color w:val="auto"/>
                <w:sz w:val="24"/>
                <w:szCs w:val="24"/>
                <w:lang w:val="en-US" w:eastAsia="zh-CN"/>
              </w:rPr>
            </w:pPr>
            <w:r>
              <w:rPr>
                <w:rFonts w:hint="eastAsia"/>
                <w:sz w:val="24"/>
                <w:szCs w:val="24"/>
                <w:lang w:val="en-US" w:eastAsia="zh-CN"/>
              </w:rPr>
              <w:t>根据《普通混凝土配合比设计规程》（JGJ 55–2011），每生产1m</w:t>
            </w:r>
            <w:r>
              <w:rPr>
                <w:rFonts w:hint="eastAsia"/>
                <w:sz w:val="24"/>
                <w:szCs w:val="24"/>
                <w:vertAlign w:val="superscript"/>
                <w:lang w:val="en-US" w:eastAsia="zh-CN"/>
              </w:rPr>
              <w:t>3</w:t>
            </w:r>
            <w:r>
              <w:rPr>
                <w:rFonts w:hint="eastAsia"/>
                <w:sz w:val="24"/>
                <w:szCs w:val="24"/>
                <w:lang w:val="en-US" w:eastAsia="zh-CN"/>
              </w:rPr>
              <w:t>混凝土用水量取200kg，则本项目砼结构构件生产线生产用水为 12.3m</w:t>
            </w:r>
            <w:r>
              <w:rPr>
                <w:rFonts w:hint="eastAsia"/>
                <w:sz w:val="24"/>
                <w:szCs w:val="24"/>
                <w:vertAlign w:val="superscript"/>
                <w:lang w:val="en-US" w:eastAsia="zh-CN"/>
              </w:rPr>
              <w:t>3</w:t>
            </w:r>
            <w:r>
              <w:rPr>
                <w:rFonts w:hint="eastAsia"/>
                <w:sz w:val="24"/>
                <w:szCs w:val="24"/>
                <w:lang w:val="en-US" w:eastAsia="zh-CN"/>
              </w:rPr>
              <w:t>/d（3700m</w:t>
            </w:r>
            <w:r>
              <w:rPr>
                <w:rFonts w:hint="eastAsia"/>
                <w:sz w:val="24"/>
                <w:szCs w:val="24"/>
                <w:vertAlign w:val="superscript"/>
                <w:lang w:val="en-US" w:eastAsia="zh-CN"/>
              </w:rPr>
              <w:t>3</w:t>
            </w:r>
            <w:r>
              <w:rPr>
                <w:rFonts w:hint="eastAsia"/>
                <w:sz w:val="24"/>
                <w:szCs w:val="24"/>
                <w:lang w:val="en-US" w:eastAsia="zh-CN"/>
              </w:rPr>
              <w:t>/a）</w:t>
            </w:r>
            <w:r>
              <w:rPr>
                <w:rFonts w:hint="eastAsia"/>
                <w:color w:val="000000"/>
                <w:sz w:val="24"/>
                <w:lang w:val="en-US" w:eastAsia="zh-CN"/>
              </w:rPr>
              <w:t>。</w:t>
            </w:r>
            <w:r>
              <w:rPr>
                <w:rFonts w:hint="eastAsia"/>
                <w:color w:val="auto"/>
                <w:sz w:val="24"/>
                <w:lang w:val="en-US" w:eastAsia="zh-CN"/>
              </w:rPr>
              <w:t>项目搅拌用水的其中一部分（599.25m</w:t>
            </w:r>
            <w:r>
              <w:rPr>
                <w:rFonts w:hint="eastAsia"/>
                <w:color w:val="auto"/>
                <w:sz w:val="24"/>
                <w:vertAlign w:val="superscript"/>
                <w:lang w:val="en-US" w:eastAsia="zh-CN"/>
              </w:rPr>
              <w:t>3</w:t>
            </w:r>
            <w:r>
              <w:rPr>
                <w:rFonts w:hint="eastAsia"/>
                <w:color w:val="auto"/>
                <w:sz w:val="24"/>
                <w:lang w:val="en-US" w:eastAsia="zh-CN"/>
              </w:rPr>
              <w:t>/a）由沉淀池回用水提供，其余部分（3140.75m</w:t>
            </w:r>
            <w:r>
              <w:rPr>
                <w:rFonts w:hint="eastAsia"/>
                <w:color w:val="auto"/>
                <w:sz w:val="24"/>
                <w:vertAlign w:val="superscript"/>
                <w:lang w:val="en-US" w:eastAsia="zh-CN"/>
              </w:rPr>
              <w:t>3</w:t>
            </w:r>
            <w:r>
              <w:rPr>
                <w:rFonts w:hint="eastAsia"/>
                <w:color w:val="auto"/>
                <w:sz w:val="24"/>
                <w:lang w:val="en-US" w:eastAsia="zh-CN"/>
              </w:rPr>
              <w:t>/a）由地下水井提供。搅拌用水随产品带走或挥发，不外排。</w:t>
            </w:r>
          </w:p>
          <w:p w14:paraId="4F24E642">
            <w:pPr>
              <w:spacing w:line="360" w:lineRule="auto"/>
              <w:ind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rPr>
              <w:t>）生活污水</w:t>
            </w:r>
          </w:p>
          <w:p w14:paraId="6CE78E44">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sz w:val="24"/>
                <w:szCs w:val="24"/>
                <w:lang w:val="en-US" w:eastAsia="zh-CN"/>
              </w:rPr>
              <w:t>本项目劳动定员</w:t>
            </w:r>
            <w:r>
              <w:rPr>
                <w:rFonts w:hint="eastAsia"/>
                <w:sz w:val="24"/>
                <w:szCs w:val="24"/>
                <w:lang w:val="en-US" w:eastAsia="zh-CN"/>
              </w:rPr>
              <w:t>6</w:t>
            </w:r>
            <w:r>
              <w:rPr>
                <w:rFonts w:hint="default"/>
                <w:sz w:val="24"/>
                <w:szCs w:val="24"/>
                <w:lang w:val="en-US" w:eastAsia="zh-CN"/>
              </w:rPr>
              <w:t>人，年工作</w:t>
            </w:r>
            <w:r>
              <w:rPr>
                <w:rFonts w:hint="eastAsia"/>
                <w:sz w:val="24"/>
                <w:szCs w:val="24"/>
                <w:lang w:val="en-US" w:eastAsia="zh-CN"/>
              </w:rPr>
              <w:t>3</w:t>
            </w:r>
            <w:r>
              <w:rPr>
                <w:rFonts w:hint="default"/>
                <w:sz w:val="24"/>
                <w:szCs w:val="24"/>
                <w:lang w:val="en-US" w:eastAsia="zh-CN"/>
              </w:rPr>
              <w:t>00天</w:t>
            </w:r>
            <w:r>
              <w:rPr>
                <w:rFonts w:hint="eastAsia"/>
                <w:sz w:val="24"/>
                <w:szCs w:val="24"/>
                <w:lang w:val="en-US" w:eastAsia="zh-CN"/>
              </w:rPr>
              <w:t>，</w:t>
            </w:r>
            <w:r>
              <w:rPr>
                <w:rFonts w:hint="default"/>
                <w:sz w:val="24"/>
                <w:szCs w:val="24"/>
                <w:lang w:val="en-US" w:eastAsia="zh-CN"/>
              </w:rPr>
              <w:t>项目</w:t>
            </w:r>
            <w:r>
              <w:rPr>
                <w:rFonts w:hint="eastAsia"/>
                <w:sz w:val="24"/>
                <w:szCs w:val="24"/>
                <w:lang w:val="en-US" w:eastAsia="zh-CN"/>
              </w:rPr>
              <w:t>不</w:t>
            </w:r>
            <w:r>
              <w:rPr>
                <w:rFonts w:hint="default"/>
                <w:sz w:val="24"/>
                <w:szCs w:val="24"/>
                <w:lang w:val="en-US" w:eastAsia="zh-CN"/>
              </w:rPr>
              <w:t>设置员工食堂</w:t>
            </w:r>
            <w:r>
              <w:rPr>
                <w:rFonts w:hint="eastAsia"/>
                <w:sz w:val="24"/>
                <w:szCs w:val="24"/>
                <w:lang w:val="en-US" w:eastAsia="zh-CN"/>
              </w:rPr>
              <w:t>和住宿。根据《建筑给水排水设计规范》（GB50015-2009），员工用水定额选用50L/（人·d），则生活用水量为0.3m</w:t>
            </w:r>
            <w:r>
              <w:rPr>
                <w:rFonts w:hint="eastAsia"/>
                <w:sz w:val="24"/>
                <w:szCs w:val="24"/>
                <w:vertAlign w:val="superscript"/>
                <w:lang w:val="en-US" w:eastAsia="zh-CN"/>
              </w:rPr>
              <w:t>3</w:t>
            </w:r>
            <w:r>
              <w:rPr>
                <w:rFonts w:hint="eastAsia"/>
                <w:sz w:val="24"/>
                <w:szCs w:val="24"/>
                <w:lang w:val="en-US" w:eastAsia="zh-CN"/>
              </w:rPr>
              <w:t>/d，即90m</w:t>
            </w:r>
            <w:r>
              <w:rPr>
                <w:rFonts w:hint="eastAsia"/>
                <w:sz w:val="24"/>
                <w:szCs w:val="24"/>
                <w:vertAlign w:val="superscript"/>
                <w:lang w:val="en-US" w:eastAsia="zh-CN"/>
              </w:rPr>
              <w:t>3</w:t>
            </w:r>
            <w:r>
              <w:rPr>
                <w:rFonts w:hint="eastAsia"/>
                <w:sz w:val="24"/>
                <w:szCs w:val="24"/>
                <w:lang w:val="en-US" w:eastAsia="zh-CN"/>
              </w:rPr>
              <w:t>/a。</w:t>
            </w:r>
            <w:r>
              <w:rPr>
                <w:rFonts w:hint="default" w:ascii="Times New Roman" w:hAnsi="Times New Roman" w:eastAsia="宋体" w:cs="Times New Roman"/>
                <w:b w:val="0"/>
                <w:bCs w:val="0"/>
                <w:color w:val="auto"/>
                <w:sz w:val="24"/>
                <w:szCs w:val="24"/>
              </w:rPr>
              <w:t>排污系数按0.8计，则生活污水产生量为</w:t>
            </w:r>
            <w:r>
              <w:rPr>
                <w:rFonts w:hint="eastAsia" w:cs="Times New Roman"/>
                <w:b w:val="0"/>
                <w:bCs w:val="0"/>
                <w:color w:val="auto"/>
                <w:sz w:val="24"/>
                <w:szCs w:val="24"/>
                <w:lang w:val="en-US" w:eastAsia="zh-CN"/>
              </w:rPr>
              <w:t>0.24</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/d，即</w:t>
            </w:r>
            <w:r>
              <w:rPr>
                <w:rFonts w:hint="eastAsia" w:cs="Times New Roman"/>
                <w:b w:val="0"/>
                <w:bCs w:val="0"/>
                <w:color w:val="auto"/>
                <w:sz w:val="24"/>
                <w:szCs w:val="24"/>
                <w:lang w:val="en-US" w:eastAsia="zh-CN"/>
              </w:rPr>
              <w:t>72</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p>
          <w:p w14:paraId="134A4E2C">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治理措施：本项目</w:t>
            </w:r>
            <w:r>
              <w:rPr>
                <w:rFonts w:hint="eastAsia" w:ascii="Times New Roman" w:hAnsi="Times New Roman" w:cs="Times New Roman"/>
                <w:b w:val="0"/>
                <w:bCs w:val="0"/>
                <w:color w:val="auto"/>
                <w:sz w:val="24"/>
                <w:szCs w:val="24"/>
                <w:lang w:val="en-US" w:eastAsia="zh-CN"/>
              </w:rPr>
              <w:t>生活污水</w:t>
            </w:r>
            <w:r>
              <w:rPr>
                <w:rFonts w:hint="default" w:ascii="Times New Roman" w:hAnsi="Times New Roman" w:eastAsia="宋体" w:cs="Times New Roman"/>
                <w:b w:val="0"/>
                <w:bCs w:val="0"/>
                <w:color w:val="auto"/>
                <w:sz w:val="24"/>
                <w:szCs w:val="24"/>
              </w:rPr>
              <w:t>经化粪池（新建，1个，</w:t>
            </w:r>
            <w:r>
              <w:rPr>
                <w:rFonts w:hint="eastAsia" w:ascii="Times New Roman" w:hAnsi="Times New Roman"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）预处理后，用于周边农田农肥，不外排。</w:t>
            </w:r>
          </w:p>
          <w:p w14:paraId="24C857C5">
            <w:pPr>
              <w:spacing w:line="360" w:lineRule="auto"/>
              <w:ind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）初期雨水</w:t>
            </w:r>
          </w:p>
          <w:p w14:paraId="078F19D2">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本项目地表径流水主要产生在厂区，是由于降雨到地面的冲刷水产生的地表径流，其主要污染物为SS。特别是在暴雨、洪水期等恶劣环境下，这部分水量很大，若控制得不好，对附近水环境造成影响。</w:t>
            </w:r>
          </w:p>
          <w:p w14:paraId="21E8D22F">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降雨产生的初期雨水量按下式计算。</w:t>
            </w:r>
          </w:p>
          <w:p w14:paraId="28BB2C7A">
            <w:pPr>
              <w:spacing w:line="360" w:lineRule="auto"/>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Qm=10</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CQA</w:t>
            </w:r>
          </w:p>
          <w:p w14:paraId="71E7FC6A">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式中：Qm：降雨产生的路面水量，m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/a；</w:t>
            </w:r>
          </w:p>
          <w:p w14:paraId="32E0E5CD">
            <w:pPr>
              <w:spacing w:line="360" w:lineRule="auto"/>
              <w:ind w:firstLine="1200" w:firstLineChars="5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C：集水区径流系数，按混凝土路面取0.</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w:t>
            </w:r>
          </w:p>
          <w:p w14:paraId="31833761">
            <w:pPr>
              <w:spacing w:line="360" w:lineRule="auto"/>
              <w:ind w:firstLine="1200" w:firstLineChars="5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Q：集水区多年平均降雨量，mm；</w:t>
            </w:r>
          </w:p>
          <w:p w14:paraId="2EFC0F23">
            <w:pPr>
              <w:spacing w:line="360" w:lineRule="auto"/>
              <w:ind w:firstLine="1200" w:firstLineChars="5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A：集水区地表面积，m</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w:t>
            </w:r>
          </w:p>
          <w:p w14:paraId="4F9CB43D">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 xml:space="preserve">    项目区的汇水面积为</w:t>
            </w:r>
            <w:r>
              <w:rPr>
                <w:rFonts w:hint="eastAsia" w:cs="Times New Roman"/>
                <w:b w:val="0"/>
                <w:bCs w:val="0"/>
                <w:color w:val="auto"/>
                <w:sz w:val="24"/>
                <w:szCs w:val="24"/>
                <w:lang w:val="en-US" w:eastAsia="zh-CN"/>
              </w:rPr>
              <w:t>800</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，据文献资料可知，</w:t>
            </w:r>
            <w:r>
              <w:rPr>
                <w:rFonts w:hint="eastAsia" w:cs="Times New Roman"/>
                <w:b w:val="0"/>
                <w:bCs w:val="0"/>
                <w:color w:val="auto"/>
                <w:sz w:val="24"/>
                <w:szCs w:val="24"/>
                <w:lang w:val="en-US" w:eastAsia="zh-CN"/>
              </w:rPr>
              <w:t>遂宁市船山区</w:t>
            </w:r>
            <w:r>
              <w:rPr>
                <w:rFonts w:hint="default" w:ascii="Times New Roman" w:hAnsi="Times New Roman" w:eastAsia="宋体" w:cs="Times New Roman"/>
                <w:b w:val="0"/>
                <w:bCs w:val="0"/>
                <w:color w:val="auto"/>
                <w:sz w:val="24"/>
                <w:szCs w:val="24"/>
              </w:rPr>
              <w:t>年平均降雨量：</w:t>
            </w:r>
            <w:r>
              <w:rPr>
                <w:rFonts w:hint="eastAsia" w:cs="Times New Roman"/>
                <w:b w:val="0"/>
                <w:bCs w:val="0"/>
                <w:color w:val="auto"/>
                <w:sz w:val="24"/>
                <w:szCs w:val="24"/>
                <w:lang w:val="en-US" w:eastAsia="zh-CN"/>
              </w:rPr>
              <w:t>930</w:t>
            </w:r>
            <w:r>
              <w:rPr>
                <w:rFonts w:hint="default" w:ascii="Times New Roman" w:hAnsi="Times New Roman" w:eastAsia="宋体" w:cs="Times New Roman"/>
                <w:b w:val="0"/>
                <w:bCs w:val="0"/>
                <w:color w:val="auto"/>
                <w:sz w:val="24"/>
                <w:szCs w:val="24"/>
              </w:rPr>
              <w:t>mm；1 小时内最大降雨量：62.2mm；地表径流估算结果见下表。</w:t>
            </w:r>
          </w:p>
          <w:p w14:paraId="370DDB2A">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表5-</w:t>
            </w:r>
            <w:r>
              <w:rPr>
                <w:rFonts w:hint="eastAsia" w:cs="Times New Roman"/>
                <w:b/>
                <w:bCs/>
                <w:color w:val="auto"/>
                <w:szCs w:val="21"/>
                <w:lang w:val="en-US" w:eastAsia="zh-CN"/>
              </w:rPr>
              <w:t>9</w:t>
            </w:r>
            <w:r>
              <w:rPr>
                <w:rFonts w:hint="default" w:ascii="Times New Roman" w:hAnsi="Times New Roman" w:eastAsia="宋体" w:cs="Times New Roman"/>
                <w:b/>
                <w:bCs/>
                <w:color w:val="auto"/>
                <w:szCs w:val="21"/>
              </w:rPr>
              <w:t xml:space="preserve">    日均径流量估算表   单位：m</w:t>
            </w:r>
            <w:r>
              <w:rPr>
                <w:rFonts w:hint="default" w:ascii="Times New Roman" w:hAnsi="Times New Roman" w:eastAsia="宋体" w:cs="Times New Roman"/>
                <w:b/>
                <w:bCs/>
                <w:color w:val="auto"/>
                <w:szCs w:val="21"/>
                <w:vertAlign w:val="superscript"/>
              </w:rPr>
              <w:t>3</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18"/>
              <w:gridCol w:w="4251"/>
              <w:gridCol w:w="2405"/>
            </w:tblGrid>
            <w:tr w14:paraId="5A8AC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63" w:type="pct"/>
                  <w:tcBorders>
                    <w:tl2br w:val="nil"/>
                    <w:tr2bl w:val="nil"/>
                  </w:tcBorders>
                  <w:vAlign w:val="center"/>
                </w:tcPr>
                <w:p w14:paraId="3C371697">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单元</w:t>
                  </w:r>
                </w:p>
              </w:tc>
              <w:tc>
                <w:tcPr>
                  <w:tcW w:w="2130" w:type="pct"/>
                  <w:tcBorders>
                    <w:tl2br w:val="nil"/>
                    <w:tr2bl w:val="nil"/>
                  </w:tcBorders>
                  <w:vAlign w:val="center"/>
                </w:tcPr>
                <w:p w14:paraId="5B9C12F6">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项目区</w:t>
                  </w:r>
                </w:p>
              </w:tc>
              <w:tc>
                <w:tcPr>
                  <w:tcW w:w="1205" w:type="pct"/>
                  <w:tcBorders>
                    <w:tl2br w:val="nil"/>
                    <w:tr2bl w:val="nil"/>
                  </w:tcBorders>
                  <w:vAlign w:val="center"/>
                </w:tcPr>
                <w:p w14:paraId="2FD10A49">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合计</w:t>
                  </w:r>
                </w:p>
              </w:tc>
            </w:tr>
            <w:tr w14:paraId="2B1C3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63" w:type="pct"/>
                  <w:tcBorders>
                    <w:tl2br w:val="nil"/>
                    <w:tr2bl w:val="nil"/>
                  </w:tcBorders>
                  <w:vAlign w:val="center"/>
                </w:tcPr>
                <w:p w14:paraId="22D85EB3">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初期雨水</w:t>
                  </w:r>
                </w:p>
              </w:tc>
              <w:tc>
                <w:tcPr>
                  <w:tcW w:w="2130" w:type="pct"/>
                  <w:tcBorders>
                    <w:tl2br w:val="nil"/>
                    <w:tr2bl w:val="nil"/>
                  </w:tcBorders>
                  <w:vAlign w:val="center"/>
                </w:tcPr>
                <w:p w14:paraId="673B48F1">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cs="Times New Roman" w:eastAsiaTheme="minorEastAsia"/>
                      <w:b w:val="0"/>
                      <w:bCs w:val="0"/>
                      <w:color w:val="auto"/>
                      <w:sz w:val="21"/>
                      <w:szCs w:val="21"/>
                      <w:vertAlign w:val="baseline"/>
                      <w:lang w:val="en-US" w:eastAsia="zh-CN"/>
                    </w:rPr>
                    <w:t>0.815</w:t>
                  </w:r>
                </w:p>
              </w:tc>
              <w:tc>
                <w:tcPr>
                  <w:tcW w:w="1205" w:type="pct"/>
                  <w:tcBorders>
                    <w:tl2br w:val="nil"/>
                    <w:tr2bl w:val="nil"/>
                  </w:tcBorders>
                  <w:vAlign w:val="center"/>
                </w:tcPr>
                <w:p w14:paraId="52219E64">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cs="Times New Roman" w:eastAsiaTheme="minorEastAsia"/>
                      <w:b w:val="0"/>
                      <w:bCs w:val="0"/>
                      <w:color w:val="auto"/>
                      <w:sz w:val="21"/>
                      <w:szCs w:val="21"/>
                      <w:vertAlign w:val="baseline"/>
                      <w:lang w:val="en-US" w:eastAsia="zh-CN"/>
                    </w:rPr>
                    <w:t>0.815</w:t>
                  </w:r>
                </w:p>
              </w:tc>
            </w:tr>
          </w:tbl>
          <w:p w14:paraId="0612AA24">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表5-1</w:t>
            </w:r>
            <w:r>
              <w:rPr>
                <w:rFonts w:hint="eastAsia" w:cs="Times New Roman"/>
                <w:b/>
                <w:bCs/>
                <w:color w:val="auto"/>
                <w:szCs w:val="21"/>
                <w:lang w:val="en-US" w:eastAsia="zh-CN"/>
              </w:rPr>
              <w:t>0</w:t>
            </w:r>
            <w:r>
              <w:rPr>
                <w:rFonts w:hint="default" w:ascii="Times New Roman" w:hAnsi="Times New Roman" w:eastAsia="宋体" w:cs="Times New Roman"/>
                <w:b/>
                <w:bCs/>
                <w:color w:val="auto"/>
                <w:szCs w:val="21"/>
              </w:rPr>
              <w:t xml:space="preserve">  小时最大径流量估算表   单位：m</w:t>
            </w:r>
            <w:r>
              <w:rPr>
                <w:rFonts w:hint="default" w:ascii="Times New Roman" w:hAnsi="Times New Roman" w:eastAsia="宋体" w:cs="Times New Roman"/>
                <w:b/>
                <w:bCs/>
                <w:color w:val="auto"/>
                <w:szCs w:val="21"/>
                <w:vertAlign w:val="superscript"/>
              </w:rPr>
              <w:t>3</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47"/>
              <w:gridCol w:w="4161"/>
              <w:gridCol w:w="2568"/>
            </w:tblGrid>
            <w:tr w14:paraId="42EBF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1627" w:type="pct"/>
                  <w:tcBorders>
                    <w:tl2br w:val="nil"/>
                    <w:tr2bl w:val="nil"/>
                  </w:tcBorders>
                  <w:vAlign w:val="center"/>
                </w:tcPr>
                <w:p w14:paraId="678E9AC1">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单元</w:t>
                  </w:r>
                </w:p>
              </w:tc>
              <w:tc>
                <w:tcPr>
                  <w:tcW w:w="2085" w:type="pct"/>
                  <w:tcBorders>
                    <w:tl2br w:val="nil"/>
                    <w:tr2bl w:val="nil"/>
                  </w:tcBorders>
                  <w:vAlign w:val="center"/>
                </w:tcPr>
                <w:p w14:paraId="702645FA">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项目区</w:t>
                  </w:r>
                </w:p>
              </w:tc>
              <w:tc>
                <w:tcPr>
                  <w:tcW w:w="1287" w:type="pct"/>
                  <w:tcBorders>
                    <w:tl2br w:val="nil"/>
                    <w:tr2bl w:val="nil"/>
                  </w:tcBorders>
                  <w:vAlign w:val="center"/>
                </w:tcPr>
                <w:p w14:paraId="337AB960">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合计</w:t>
                  </w:r>
                </w:p>
              </w:tc>
            </w:tr>
            <w:tr w14:paraId="2EE17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27" w:type="pct"/>
                  <w:tcBorders>
                    <w:tl2br w:val="nil"/>
                    <w:tr2bl w:val="nil"/>
                  </w:tcBorders>
                  <w:vAlign w:val="center"/>
                </w:tcPr>
                <w:p w14:paraId="4460D0CD">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初期雨水</w:t>
                  </w:r>
                </w:p>
              </w:tc>
              <w:tc>
                <w:tcPr>
                  <w:tcW w:w="2085" w:type="pct"/>
                  <w:tcBorders>
                    <w:tl2br w:val="nil"/>
                    <w:tr2bl w:val="nil"/>
                  </w:tcBorders>
                  <w:vAlign w:val="center"/>
                </w:tcPr>
                <w:p w14:paraId="3ABDD48F">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cs="Times New Roman" w:eastAsiaTheme="minorEastAsia"/>
                      <w:b w:val="0"/>
                      <w:bCs w:val="0"/>
                      <w:color w:val="auto"/>
                      <w:sz w:val="21"/>
                      <w:szCs w:val="21"/>
                      <w:vertAlign w:val="baseline"/>
                      <w:lang w:val="en-US" w:eastAsia="zh-CN"/>
                    </w:rPr>
                    <w:t>19.9</w:t>
                  </w:r>
                </w:p>
              </w:tc>
              <w:tc>
                <w:tcPr>
                  <w:tcW w:w="1287" w:type="pct"/>
                  <w:tcBorders>
                    <w:tl2br w:val="nil"/>
                    <w:tr2bl w:val="nil"/>
                  </w:tcBorders>
                  <w:vAlign w:val="center"/>
                </w:tcPr>
                <w:p w14:paraId="0C016456">
                  <w:pPr>
                    <w:pStyle w:val="2"/>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cs="Times New Roman" w:eastAsiaTheme="minorEastAsia"/>
                      <w:b w:val="0"/>
                      <w:bCs w:val="0"/>
                      <w:color w:val="auto"/>
                      <w:sz w:val="21"/>
                      <w:szCs w:val="21"/>
                      <w:vertAlign w:val="baseline"/>
                      <w:lang w:val="en-US" w:eastAsia="zh-CN"/>
                    </w:rPr>
                    <w:t>19.9</w:t>
                  </w:r>
                </w:p>
              </w:tc>
            </w:tr>
          </w:tbl>
          <w:p w14:paraId="6CA65F8C">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由上表可知，地面初期雨水产生量为</w:t>
            </w:r>
            <w:r>
              <w:rPr>
                <w:rFonts w:hint="eastAsia" w:cs="Times New Roman"/>
                <w:b w:val="0"/>
                <w:bCs w:val="0"/>
                <w:color w:val="auto"/>
                <w:sz w:val="24"/>
                <w:szCs w:val="24"/>
                <w:lang w:val="en-US" w:eastAsia="zh-CN"/>
              </w:rPr>
              <w:t>0.815</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/d，1小时内最大暴雨量为</w:t>
            </w:r>
            <w:r>
              <w:rPr>
                <w:rFonts w:hint="eastAsia" w:cs="Times New Roman"/>
                <w:b w:val="0"/>
                <w:bCs w:val="0"/>
                <w:color w:val="auto"/>
                <w:sz w:val="24"/>
                <w:szCs w:val="24"/>
                <w:lang w:val="en-US" w:eastAsia="zh-CN"/>
              </w:rPr>
              <w:t>19.9</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，主要污染物为SS，浓度在500~1000mg/m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之间。</w:t>
            </w:r>
          </w:p>
          <w:p w14:paraId="6BCFFE68">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治理措施：项目区域修建1座</w:t>
            </w:r>
            <w:r>
              <w:rPr>
                <w:rFonts w:hint="eastAsia" w:cs="Times New Roman"/>
                <w:b w:val="0"/>
                <w:bCs w:val="0"/>
                <w:color w:val="auto"/>
                <w:sz w:val="24"/>
                <w:szCs w:val="24"/>
                <w:lang w:val="en-US" w:eastAsia="zh-CN"/>
              </w:rPr>
              <w:t>15</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的</w:t>
            </w:r>
            <w:r>
              <w:rPr>
                <w:rFonts w:hint="eastAsia" w:ascii="Times New Roman" w:hAnsi="Times New Roman" w:cs="Times New Roman"/>
                <w:b w:val="0"/>
                <w:bCs w:val="0"/>
                <w:color w:val="auto"/>
                <w:sz w:val="24"/>
                <w:szCs w:val="24"/>
                <w:lang w:val="en-US" w:eastAsia="zh-CN"/>
              </w:rPr>
              <w:t>沉淀池</w:t>
            </w:r>
            <w:r>
              <w:rPr>
                <w:rFonts w:hint="default" w:ascii="Times New Roman" w:hAnsi="Times New Roman" w:eastAsia="宋体"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可</w:t>
            </w:r>
            <w:r>
              <w:rPr>
                <w:rFonts w:hint="default" w:ascii="Times New Roman" w:hAnsi="Times New Roman" w:eastAsia="宋体" w:cs="Times New Roman"/>
                <w:b w:val="0"/>
                <w:bCs w:val="0"/>
                <w:color w:val="auto"/>
                <w:sz w:val="24"/>
                <w:szCs w:val="24"/>
              </w:rPr>
              <w:t>用于收集初期雨水</w:t>
            </w:r>
            <w:r>
              <w:rPr>
                <w:rFonts w:hint="eastAsia" w:ascii="Times New Roman" w:hAnsi="Times New Roman" w:cs="Times New Roman"/>
                <w:b w:val="0"/>
                <w:bCs w:val="0"/>
                <w:color w:val="auto"/>
                <w:sz w:val="24"/>
                <w:szCs w:val="24"/>
                <w:lang w:val="en-US" w:eastAsia="zh-CN"/>
              </w:rPr>
              <w:t>和冲洗废水</w:t>
            </w:r>
            <w:r>
              <w:rPr>
                <w:rFonts w:hint="default" w:ascii="Times New Roman" w:hAnsi="Times New Roman" w:eastAsia="宋体"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沉淀</w:t>
            </w:r>
            <w:r>
              <w:rPr>
                <w:rFonts w:hint="default" w:ascii="Times New Roman" w:hAnsi="Times New Roman" w:eastAsia="宋体" w:cs="Times New Roman"/>
                <w:b w:val="0"/>
                <w:bCs w:val="0"/>
                <w:color w:val="auto"/>
                <w:sz w:val="24"/>
                <w:szCs w:val="24"/>
              </w:rPr>
              <w:t>池水力停留时间应不低于暴雨时30min水量，</w:t>
            </w:r>
            <w:r>
              <w:rPr>
                <w:rFonts w:hint="eastAsia" w:ascii="Times New Roman" w:hAnsi="Times New Roman" w:cs="Times New Roman"/>
                <w:b w:val="0"/>
                <w:bCs w:val="0"/>
                <w:color w:val="auto"/>
                <w:sz w:val="24"/>
                <w:szCs w:val="24"/>
                <w:lang w:val="en-US" w:eastAsia="zh-CN"/>
              </w:rPr>
              <w:t>沉淀</w:t>
            </w:r>
            <w:r>
              <w:rPr>
                <w:rFonts w:hint="default" w:ascii="Times New Roman" w:hAnsi="Times New Roman" w:eastAsia="宋体" w:cs="Times New Roman"/>
                <w:b w:val="0"/>
                <w:bCs w:val="0"/>
                <w:color w:val="auto"/>
                <w:sz w:val="24"/>
                <w:szCs w:val="24"/>
              </w:rPr>
              <w:t>池能够满足初期雨水的收集。雨水经收集沉淀后回用于厂区的降尘喷淋使用</w:t>
            </w:r>
            <w:r>
              <w:rPr>
                <w:rFonts w:hint="eastAsia" w:ascii="Times New Roman" w:hAnsi="Times New Roman" w:cs="Times New Roman"/>
                <w:b w:val="0"/>
                <w:bCs w:val="0"/>
                <w:color w:val="auto"/>
                <w:sz w:val="24"/>
                <w:szCs w:val="24"/>
                <w:lang w:val="en-US" w:eastAsia="zh-CN"/>
              </w:rPr>
              <w:t>或用于生产</w:t>
            </w:r>
            <w:r>
              <w:rPr>
                <w:rFonts w:hint="default" w:ascii="Times New Roman" w:hAnsi="Times New Roman" w:eastAsia="宋体" w:cs="Times New Roman"/>
                <w:b w:val="0"/>
                <w:bCs w:val="0"/>
                <w:color w:val="auto"/>
                <w:sz w:val="24"/>
                <w:szCs w:val="24"/>
              </w:rPr>
              <w:t>，不外排。</w:t>
            </w:r>
          </w:p>
          <w:p w14:paraId="2363BF67">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环评要求本项目在厂区四周修建截排水沟，排水沟末端连接至</w:t>
            </w:r>
            <w:r>
              <w:rPr>
                <w:rFonts w:hint="eastAsia" w:ascii="Times New Roman" w:hAnsi="Times New Roman" w:cs="Times New Roman"/>
                <w:b w:val="0"/>
                <w:bCs w:val="0"/>
                <w:color w:val="auto"/>
                <w:sz w:val="24"/>
                <w:szCs w:val="24"/>
                <w:lang w:val="en-US" w:eastAsia="zh-CN"/>
              </w:rPr>
              <w:t>沉淀池</w:t>
            </w:r>
            <w:r>
              <w:rPr>
                <w:rFonts w:hint="default" w:ascii="Times New Roman" w:hAnsi="Times New Roman" w:eastAsia="宋体" w:cs="Times New Roman"/>
                <w:b w:val="0"/>
                <w:bCs w:val="0"/>
                <w:color w:val="auto"/>
                <w:sz w:val="24"/>
                <w:szCs w:val="24"/>
              </w:rPr>
              <w:t xml:space="preserve">，对初期雨水进行沉淀；同时，为防止废水外溢，评价要求：建设单位应在厂界设置围墙，将厂区围起来，围墙基脚应进行不低于0.5m高的硬化处理。 </w:t>
            </w:r>
          </w:p>
          <w:p w14:paraId="17153856">
            <w:pPr>
              <w:spacing w:line="360" w:lineRule="auto"/>
              <w:ind w:firstLine="480" w:firstLineChars="200"/>
              <w:rPr>
                <w:rFonts w:hint="default" w:ascii="Times New Roman" w:hAnsi="Times New Roman" w:eastAsia="宋体" w:cs="Times New Roman"/>
                <w:b/>
                <w:bCs/>
                <w:color w:val="C00000"/>
                <w:sz w:val="24"/>
                <w:szCs w:val="24"/>
                <w:lang w:val="en-US" w:eastAsia="zh-CN"/>
              </w:rPr>
            </w:pPr>
            <w:r>
              <w:rPr>
                <w:rFonts w:hint="default" w:ascii="Times New Roman" w:hAnsi="Times New Roman" w:eastAsia="宋体" w:cs="Times New Roman"/>
                <w:b w:val="0"/>
                <w:bCs w:val="0"/>
                <w:color w:val="auto"/>
                <w:sz w:val="24"/>
                <w:szCs w:val="24"/>
              </w:rPr>
              <w:t>因此，本项目生活污水、生产废水和初期雨水均得到合理处置，生产废水不外排，环评认为合理可行。</w:t>
            </w:r>
          </w:p>
          <w:p w14:paraId="6A176CEF">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3、噪声</w:t>
            </w:r>
          </w:p>
          <w:p w14:paraId="1099109C">
            <w:pPr>
              <w:spacing w:line="360" w:lineRule="auto"/>
              <w:ind w:firstLine="496" w:firstLineChars="200"/>
              <w:rPr>
                <w:rFonts w:hint="default" w:ascii="Times New Roman" w:hAnsi="Times New Roman" w:eastAsia="宋体" w:cs="Times New Roman"/>
                <w:color w:val="auto"/>
                <w:sz w:val="24"/>
                <w:szCs w:val="24"/>
              </w:rPr>
            </w:pPr>
            <w:r>
              <w:rPr>
                <w:rFonts w:ascii="宋体" w:hAnsi="宋体"/>
                <w:color w:val="auto"/>
                <w:spacing w:val="4"/>
                <w:sz w:val="24"/>
                <w:szCs w:val="24"/>
              </w:rPr>
              <w:t>本项目设备主要的噪声源为</w:t>
            </w:r>
            <w:r>
              <w:rPr>
                <w:rFonts w:hint="eastAsia" w:ascii="宋体" w:hAnsi="宋体"/>
                <w:color w:val="auto"/>
                <w:spacing w:val="4"/>
                <w:sz w:val="24"/>
                <w:szCs w:val="24"/>
                <w:lang w:val="en-US" w:eastAsia="zh-CN"/>
              </w:rPr>
              <w:t>钢筋调直</w:t>
            </w:r>
            <w:r>
              <w:rPr>
                <w:rFonts w:ascii="宋体" w:hAnsi="宋体"/>
                <w:color w:val="auto"/>
                <w:spacing w:val="4"/>
                <w:sz w:val="24"/>
                <w:szCs w:val="24"/>
              </w:rPr>
              <w:t>切割机、焊机、搅拌机、</w:t>
            </w:r>
            <w:r>
              <w:rPr>
                <w:rFonts w:hint="eastAsia" w:ascii="宋体" w:hAnsi="宋体"/>
                <w:color w:val="auto"/>
                <w:spacing w:val="4"/>
                <w:sz w:val="24"/>
                <w:szCs w:val="24"/>
                <w:lang w:val="en-US" w:eastAsia="zh-CN"/>
              </w:rPr>
              <w:t>水泥制品生产线</w:t>
            </w:r>
            <w:r>
              <w:rPr>
                <w:rFonts w:ascii="宋体" w:hAnsi="宋体"/>
                <w:color w:val="auto"/>
                <w:spacing w:val="4"/>
                <w:sz w:val="24"/>
                <w:szCs w:val="24"/>
              </w:rPr>
              <w:t>、</w:t>
            </w:r>
            <w:r>
              <w:rPr>
                <w:rFonts w:hint="eastAsia" w:ascii="宋体" w:hAnsi="宋体"/>
                <w:color w:val="auto"/>
                <w:spacing w:val="4"/>
                <w:sz w:val="24"/>
                <w:szCs w:val="24"/>
                <w:lang w:val="en-US" w:eastAsia="zh-CN"/>
              </w:rPr>
              <w:t>剪板机、空压机</w:t>
            </w:r>
            <w:r>
              <w:rPr>
                <w:rFonts w:ascii="宋体" w:hAnsi="宋体"/>
                <w:color w:val="auto"/>
                <w:spacing w:val="4"/>
                <w:sz w:val="24"/>
                <w:szCs w:val="24"/>
              </w:rPr>
              <w:t>等</w:t>
            </w:r>
            <w:r>
              <w:rPr>
                <w:rFonts w:hint="eastAsia"/>
                <w:bCs/>
                <w:color w:val="auto"/>
                <w:sz w:val="24"/>
              </w:rPr>
              <w:t>，</w:t>
            </w:r>
            <w:r>
              <w:rPr>
                <w:color w:val="auto"/>
                <w:sz w:val="24"/>
              </w:rPr>
              <w:t>其运行噪声值在</w:t>
            </w:r>
            <w:r>
              <w:rPr>
                <w:rFonts w:hint="eastAsia"/>
                <w:color w:val="auto"/>
                <w:sz w:val="24"/>
              </w:rPr>
              <w:t>70</w:t>
            </w:r>
            <w:r>
              <w:rPr>
                <w:color w:val="auto"/>
                <w:sz w:val="24"/>
              </w:rPr>
              <w:t>～1</w:t>
            </w:r>
            <w:r>
              <w:rPr>
                <w:rFonts w:hint="eastAsia"/>
                <w:color w:val="auto"/>
                <w:sz w:val="24"/>
              </w:rPr>
              <w:t>0</w:t>
            </w:r>
            <w:r>
              <w:rPr>
                <w:color w:val="auto"/>
                <w:sz w:val="24"/>
              </w:rPr>
              <w:t>0dB(A)之间</w:t>
            </w:r>
            <w:r>
              <w:rPr>
                <w:rFonts w:hint="default" w:ascii="Times New Roman" w:hAnsi="Times New Roman" w:eastAsia="宋体" w:cs="Times New Roman"/>
                <w:color w:val="auto"/>
                <w:sz w:val="24"/>
                <w:szCs w:val="24"/>
              </w:rPr>
              <w:t>。</w:t>
            </w:r>
          </w:p>
          <w:p w14:paraId="334E3FBB">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Cs w:val="21"/>
              </w:rPr>
              <w:t>表5-</w:t>
            </w:r>
            <w:r>
              <w:rPr>
                <w:rFonts w:hint="eastAsia" w:cs="Times New Roman"/>
                <w:b/>
                <w:bCs/>
                <w:color w:val="auto"/>
                <w:szCs w:val="21"/>
                <w:lang w:val="en-US" w:eastAsia="zh-CN"/>
              </w:rPr>
              <w:t>11</w:t>
            </w:r>
            <w:r>
              <w:rPr>
                <w:rFonts w:hint="default" w:ascii="Times New Roman" w:hAnsi="Times New Roman" w:eastAsia="宋体" w:cs="Times New Roman"/>
                <w:b/>
                <w:bCs/>
                <w:color w:val="auto"/>
                <w:szCs w:val="21"/>
              </w:rPr>
              <w:t xml:space="preserve">  本项目主要生产设备的噪声源强</w:t>
            </w:r>
            <w:r>
              <w:rPr>
                <w:rFonts w:hint="default" w:ascii="Times New Roman" w:hAnsi="Times New Roman" w:cs="Times New Roman"/>
                <w:b/>
                <w:bCs/>
                <w:color w:val="auto"/>
                <w:szCs w:val="21"/>
                <w:lang w:val="en-US" w:eastAsia="zh-CN"/>
              </w:rPr>
              <w:t xml:space="preserve">     </w:t>
            </w:r>
            <w:r>
              <w:rPr>
                <w:rFonts w:hint="default" w:ascii="Times New Roman" w:hAnsi="Times New Roman" w:eastAsia="宋体" w:cs="Times New Roman"/>
                <w:b/>
                <w:bCs/>
                <w:color w:val="auto"/>
                <w:szCs w:val="21"/>
              </w:rPr>
              <w:t>单位：dB（A）</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375"/>
              <w:gridCol w:w="1412"/>
              <w:gridCol w:w="3850"/>
              <w:gridCol w:w="1513"/>
            </w:tblGrid>
            <w:tr w14:paraId="138D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8" w:type="dxa"/>
                  <w:vAlign w:val="center"/>
                </w:tcPr>
                <w:p w14:paraId="27578610">
                  <w:pPr>
                    <w:jc w:val="center"/>
                    <w:outlineLvl w:val="1"/>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设备名称</w:t>
                  </w:r>
                </w:p>
              </w:tc>
              <w:tc>
                <w:tcPr>
                  <w:tcW w:w="1375" w:type="dxa"/>
                  <w:vAlign w:val="center"/>
                </w:tcPr>
                <w:p w14:paraId="1493F07F">
                  <w:pPr>
                    <w:jc w:val="center"/>
                    <w:outlineLvl w:val="1"/>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数量</w:t>
                  </w:r>
                  <w:r>
                    <w:rPr>
                      <w:rFonts w:hint="default" w:ascii="Times New Roman" w:hAnsi="Times New Roman" w:eastAsia="宋体" w:cs="Times New Roman"/>
                      <w:b/>
                      <w:color w:val="auto"/>
                      <w:sz w:val="21"/>
                      <w:szCs w:val="21"/>
                      <w:lang w:eastAsia="zh-CN"/>
                    </w:rPr>
                    <w:t>（台</w:t>
                  </w:r>
                  <w:r>
                    <w:rPr>
                      <w:rFonts w:hint="default" w:ascii="Times New Roman" w:hAnsi="Times New Roman" w:eastAsia="宋体" w:cs="Times New Roman"/>
                      <w:b/>
                      <w:color w:val="auto"/>
                      <w:sz w:val="21"/>
                      <w:szCs w:val="21"/>
                      <w:lang w:val="en-US" w:eastAsia="zh-CN"/>
                    </w:rPr>
                    <w:t>/套</w:t>
                  </w:r>
                  <w:r>
                    <w:rPr>
                      <w:rFonts w:hint="default" w:ascii="Times New Roman" w:hAnsi="Times New Roman" w:eastAsia="宋体" w:cs="Times New Roman"/>
                      <w:b/>
                      <w:color w:val="auto"/>
                      <w:sz w:val="21"/>
                      <w:szCs w:val="21"/>
                      <w:lang w:eastAsia="zh-CN"/>
                    </w:rPr>
                    <w:t>）</w:t>
                  </w:r>
                </w:p>
              </w:tc>
              <w:tc>
                <w:tcPr>
                  <w:tcW w:w="1412" w:type="dxa"/>
                  <w:vAlign w:val="center"/>
                </w:tcPr>
                <w:p w14:paraId="6D6F41D2">
                  <w:pPr>
                    <w:jc w:val="center"/>
                    <w:outlineLvl w:val="1"/>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声源强度值</w:t>
                  </w:r>
                </w:p>
              </w:tc>
              <w:tc>
                <w:tcPr>
                  <w:tcW w:w="3850" w:type="dxa"/>
                  <w:vAlign w:val="center"/>
                </w:tcPr>
                <w:p w14:paraId="446EF869">
                  <w:pPr>
                    <w:jc w:val="center"/>
                    <w:outlineLvl w:val="1"/>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处理措施</w:t>
                  </w:r>
                </w:p>
              </w:tc>
              <w:tc>
                <w:tcPr>
                  <w:tcW w:w="1513" w:type="dxa"/>
                  <w:vAlign w:val="center"/>
                </w:tcPr>
                <w:p w14:paraId="0FE6C400">
                  <w:pPr>
                    <w:jc w:val="center"/>
                    <w:outlineLvl w:val="1"/>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处理后噪声级</w:t>
                  </w:r>
                </w:p>
              </w:tc>
            </w:tr>
            <w:tr w14:paraId="6663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8" w:type="dxa"/>
                  <w:vAlign w:val="center"/>
                </w:tcPr>
                <w:p w14:paraId="67FEB4EF">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搅拌机</w:t>
                  </w:r>
                </w:p>
              </w:tc>
              <w:tc>
                <w:tcPr>
                  <w:tcW w:w="1375" w:type="dxa"/>
                  <w:vAlign w:val="center"/>
                </w:tcPr>
                <w:p w14:paraId="514893AD">
                  <w:pPr>
                    <w:jc w:val="center"/>
                    <w:outlineLvl w:val="1"/>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1412" w:type="dxa"/>
                  <w:vAlign w:val="center"/>
                </w:tcPr>
                <w:p w14:paraId="03D68467">
                  <w:pPr>
                    <w:jc w:val="center"/>
                    <w:outlineLvl w:val="1"/>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70~80</w:t>
                  </w:r>
                </w:p>
              </w:tc>
              <w:tc>
                <w:tcPr>
                  <w:tcW w:w="3850" w:type="dxa"/>
                  <w:vMerge w:val="restart"/>
                  <w:vAlign w:val="center"/>
                </w:tcPr>
                <w:p w14:paraId="217120B0">
                  <w:pPr>
                    <w:jc w:val="center"/>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厂房隔声；选择低噪声设备；底座安装减震垫；合理布局；加强维护保养</w:t>
                  </w:r>
                </w:p>
              </w:tc>
              <w:tc>
                <w:tcPr>
                  <w:tcW w:w="1513" w:type="dxa"/>
                  <w:vAlign w:val="center"/>
                </w:tcPr>
                <w:p w14:paraId="7D6B0951">
                  <w:pPr>
                    <w:jc w:val="center"/>
                    <w:outlineLvl w:val="1"/>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r>
            <w:tr w14:paraId="045C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88" w:type="dxa"/>
                  <w:vAlign w:val="center"/>
                </w:tcPr>
                <w:p w14:paraId="6EC9A39E">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钢筋调直切割机</w:t>
                  </w:r>
                </w:p>
              </w:tc>
              <w:tc>
                <w:tcPr>
                  <w:tcW w:w="1375" w:type="dxa"/>
                  <w:vAlign w:val="center"/>
                </w:tcPr>
                <w:p w14:paraId="0B55C497">
                  <w:pPr>
                    <w:jc w:val="center"/>
                    <w:outlineLvl w:val="1"/>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1412" w:type="dxa"/>
                  <w:vAlign w:val="center"/>
                </w:tcPr>
                <w:p w14:paraId="33EA8696">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100</w:t>
                  </w:r>
                </w:p>
              </w:tc>
              <w:tc>
                <w:tcPr>
                  <w:tcW w:w="3850" w:type="dxa"/>
                  <w:vMerge w:val="continue"/>
                  <w:vAlign w:val="center"/>
                </w:tcPr>
                <w:p w14:paraId="3DB2CF07">
                  <w:pPr>
                    <w:jc w:val="center"/>
                    <w:rPr>
                      <w:rFonts w:hint="default" w:ascii="Times New Roman" w:hAnsi="Times New Roman" w:eastAsia="宋体" w:cs="Times New Roman"/>
                      <w:color w:val="auto"/>
                      <w:sz w:val="21"/>
                      <w:szCs w:val="21"/>
                    </w:rPr>
                  </w:pPr>
                </w:p>
              </w:tc>
              <w:tc>
                <w:tcPr>
                  <w:tcW w:w="1513" w:type="dxa"/>
                  <w:vAlign w:val="center"/>
                </w:tcPr>
                <w:p w14:paraId="727A3D87">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80</w:t>
                  </w:r>
                </w:p>
              </w:tc>
            </w:tr>
            <w:tr w14:paraId="7CDF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88" w:type="dxa"/>
                  <w:vAlign w:val="center"/>
                </w:tcPr>
                <w:p w14:paraId="6E784F76">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焊机</w:t>
                  </w:r>
                </w:p>
              </w:tc>
              <w:tc>
                <w:tcPr>
                  <w:tcW w:w="1375" w:type="dxa"/>
                  <w:vAlign w:val="center"/>
                </w:tcPr>
                <w:p w14:paraId="6BF5247F">
                  <w:pPr>
                    <w:jc w:val="center"/>
                    <w:outlineLvl w:val="1"/>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1412" w:type="dxa"/>
                  <w:vAlign w:val="center"/>
                </w:tcPr>
                <w:p w14:paraId="628CA82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70~75</w:t>
                  </w:r>
                </w:p>
              </w:tc>
              <w:tc>
                <w:tcPr>
                  <w:tcW w:w="3850" w:type="dxa"/>
                  <w:vMerge w:val="continue"/>
                  <w:vAlign w:val="center"/>
                </w:tcPr>
                <w:p w14:paraId="4F090D7A">
                  <w:pPr>
                    <w:jc w:val="center"/>
                    <w:rPr>
                      <w:rFonts w:hint="default" w:ascii="Times New Roman" w:hAnsi="Times New Roman" w:eastAsia="宋体" w:cs="Times New Roman"/>
                      <w:color w:val="auto"/>
                      <w:sz w:val="21"/>
                      <w:szCs w:val="21"/>
                      <w:lang w:val="en-US" w:eastAsia="zh-CN"/>
                    </w:rPr>
                  </w:pPr>
                </w:p>
              </w:tc>
              <w:tc>
                <w:tcPr>
                  <w:tcW w:w="1513" w:type="dxa"/>
                  <w:vAlign w:val="center"/>
                </w:tcPr>
                <w:p w14:paraId="2743963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60</w:t>
                  </w:r>
                </w:p>
              </w:tc>
            </w:tr>
            <w:tr w14:paraId="6ED3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88" w:type="dxa"/>
                  <w:vAlign w:val="center"/>
                </w:tcPr>
                <w:p w14:paraId="25DC8199">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水泥制品生产线</w:t>
                  </w:r>
                </w:p>
              </w:tc>
              <w:tc>
                <w:tcPr>
                  <w:tcW w:w="1375" w:type="dxa"/>
                  <w:vAlign w:val="center"/>
                </w:tcPr>
                <w:p w14:paraId="225140BB">
                  <w:pPr>
                    <w:jc w:val="center"/>
                    <w:outlineLvl w:val="1"/>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1412" w:type="dxa"/>
                  <w:vAlign w:val="center"/>
                </w:tcPr>
                <w:p w14:paraId="03D8CBB7">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85</w:t>
                  </w:r>
                </w:p>
              </w:tc>
              <w:tc>
                <w:tcPr>
                  <w:tcW w:w="3850" w:type="dxa"/>
                  <w:vMerge w:val="continue"/>
                  <w:vAlign w:val="center"/>
                </w:tcPr>
                <w:p w14:paraId="176DED12">
                  <w:pPr>
                    <w:jc w:val="center"/>
                    <w:rPr>
                      <w:rFonts w:hint="default" w:ascii="Times New Roman" w:hAnsi="Times New Roman" w:eastAsia="宋体" w:cs="Times New Roman"/>
                      <w:color w:val="auto"/>
                      <w:sz w:val="21"/>
                      <w:szCs w:val="21"/>
                      <w:lang w:val="en-US" w:eastAsia="zh-CN"/>
                    </w:rPr>
                  </w:pPr>
                </w:p>
              </w:tc>
              <w:tc>
                <w:tcPr>
                  <w:tcW w:w="1513" w:type="dxa"/>
                  <w:vAlign w:val="center"/>
                </w:tcPr>
                <w:p w14:paraId="2B80060A">
                  <w:pPr>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≤75</w:t>
                  </w:r>
                </w:p>
              </w:tc>
            </w:tr>
            <w:tr w14:paraId="1787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88" w:type="dxa"/>
                  <w:vAlign w:val="center"/>
                </w:tcPr>
                <w:p w14:paraId="26887B8B">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剪板机</w:t>
                  </w:r>
                </w:p>
              </w:tc>
              <w:tc>
                <w:tcPr>
                  <w:tcW w:w="1375" w:type="dxa"/>
                  <w:vAlign w:val="center"/>
                </w:tcPr>
                <w:p w14:paraId="34E0BD87">
                  <w:pPr>
                    <w:jc w:val="center"/>
                    <w:outlineLvl w:val="1"/>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1412" w:type="dxa"/>
                  <w:vAlign w:val="center"/>
                </w:tcPr>
                <w:p w14:paraId="2BBCB18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75~85</w:t>
                  </w:r>
                </w:p>
              </w:tc>
              <w:tc>
                <w:tcPr>
                  <w:tcW w:w="3850" w:type="dxa"/>
                  <w:vMerge w:val="continue"/>
                  <w:vAlign w:val="center"/>
                </w:tcPr>
                <w:p w14:paraId="3934AC0E">
                  <w:pPr>
                    <w:jc w:val="center"/>
                    <w:rPr>
                      <w:rFonts w:hint="default" w:ascii="Times New Roman" w:hAnsi="Times New Roman" w:eastAsia="宋体" w:cs="Times New Roman"/>
                      <w:color w:val="auto"/>
                      <w:sz w:val="21"/>
                      <w:szCs w:val="21"/>
                      <w:lang w:val="en-US" w:eastAsia="zh-CN"/>
                    </w:rPr>
                  </w:pPr>
                </w:p>
              </w:tc>
              <w:tc>
                <w:tcPr>
                  <w:tcW w:w="1513" w:type="dxa"/>
                  <w:vAlign w:val="center"/>
                </w:tcPr>
                <w:p w14:paraId="3B28EE0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65</w:t>
                  </w:r>
                </w:p>
              </w:tc>
            </w:tr>
            <w:tr w14:paraId="1D8F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88" w:type="dxa"/>
                  <w:vAlign w:val="center"/>
                </w:tcPr>
                <w:p w14:paraId="397FE67E">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折弯机</w:t>
                  </w:r>
                </w:p>
              </w:tc>
              <w:tc>
                <w:tcPr>
                  <w:tcW w:w="1375" w:type="dxa"/>
                  <w:vAlign w:val="center"/>
                </w:tcPr>
                <w:p w14:paraId="384585E6">
                  <w:pPr>
                    <w:jc w:val="center"/>
                    <w:outlineLvl w:val="1"/>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1412" w:type="dxa"/>
                  <w:vAlign w:val="center"/>
                </w:tcPr>
                <w:p w14:paraId="0160C60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85~90</w:t>
                  </w:r>
                </w:p>
              </w:tc>
              <w:tc>
                <w:tcPr>
                  <w:tcW w:w="3850" w:type="dxa"/>
                  <w:vMerge w:val="continue"/>
                  <w:vAlign w:val="center"/>
                </w:tcPr>
                <w:p w14:paraId="0A6FA5A4">
                  <w:pPr>
                    <w:jc w:val="center"/>
                    <w:rPr>
                      <w:rFonts w:hint="default" w:ascii="Times New Roman" w:hAnsi="Times New Roman" w:eastAsia="宋体" w:cs="Times New Roman"/>
                      <w:color w:val="auto"/>
                      <w:sz w:val="21"/>
                      <w:szCs w:val="21"/>
                    </w:rPr>
                  </w:pPr>
                </w:p>
              </w:tc>
              <w:tc>
                <w:tcPr>
                  <w:tcW w:w="1513" w:type="dxa"/>
                  <w:vAlign w:val="center"/>
                </w:tcPr>
                <w:p w14:paraId="1E477B7C">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r>
            <w:tr w14:paraId="5E16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88" w:type="dxa"/>
                  <w:vAlign w:val="center"/>
                </w:tcPr>
                <w:p w14:paraId="18BAA8B4">
                  <w:pPr>
                    <w:jc w:val="center"/>
                    <w:outlineLvl w:val="1"/>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空压机</w:t>
                  </w:r>
                </w:p>
              </w:tc>
              <w:tc>
                <w:tcPr>
                  <w:tcW w:w="1375" w:type="dxa"/>
                  <w:vAlign w:val="center"/>
                </w:tcPr>
                <w:p w14:paraId="1C3504AA">
                  <w:pPr>
                    <w:jc w:val="center"/>
                    <w:outlineLvl w:val="1"/>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1412" w:type="dxa"/>
                  <w:vAlign w:val="center"/>
                </w:tcPr>
                <w:p w14:paraId="4697349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90-100</w:t>
                  </w:r>
                </w:p>
              </w:tc>
              <w:tc>
                <w:tcPr>
                  <w:tcW w:w="3850" w:type="dxa"/>
                  <w:vMerge w:val="continue"/>
                  <w:vAlign w:val="center"/>
                </w:tcPr>
                <w:p w14:paraId="18B8098C">
                  <w:pPr>
                    <w:jc w:val="center"/>
                    <w:rPr>
                      <w:rFonts w:hint="default" w:ascii="Times New Roman" w:hAnsi="Times New Roman" w:eastAsia="宋体" w:cs="Times New Roman"/>
                      <w:color w:val="auto"/>
                      <w:sz w:val="21"/>
                      <w:szCs w:val="21"/>
                      <w:lang w:val="en-US" w:eastAsia="zh-CN"/>
                    </w:rPr>
                  </w:pPr>
                </w:p>
              </w:tc>
              <w:tc>
                <w:tcPr>
                  <w:tcW w:w="1513" w:type="dxa"/>
                  <w:vAlign w:val="center"/>
                </w:tcPr>
                <w:p w14:paraId="7E76EA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80</w:t>
                  </w:r>
                </w:p>
              </w:tc>
            </w:tr>
          </w:tbl>
          <w:p w14:paraId="73EA1119">
            <w:pPr>
              <w:pStyle w:val="2"/>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ascii="Times New Roman" w:cs="Times New Roman"/>
                <w:b w:val="0"/>
                <w:bCs w:val="0"/>
                <w:color w:val="auto"/>
                <w:sz w:val="24"/>
                <w:szCs w:val="24"/>
                <w:lang w:val="en-US" w:eastAsia="zh-CN"/>
              </w:rPr>
              <w:t>（2）拟采取的措施</w:t>
            </w:r>
          </w:p>
          <w:p w14:paraId="36AF4A24">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 xml:space="preserve">①总平布置：从总平面布置的角度出发，建设单位将搅拌站设置于厂区中央远离厂界的位置；修建实体围墙，利用围墙的作用，使噪声受到不同程度的隔绝和吸收，做到尽可能屏蔽声源；在工厂总体布置上利用建筑物、构筑物来阻隔声波的传播。 </w:t>
            </w:r>
          </w:p>
          <w:p w14:paraId="42F00B6E">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②设备减震降噪措施：搅拌机、</w:t>
            </w:r>
            <w:r>
              <w:rPr>
                <w:rFonts w:hint="eastAsia" w:ascii="Times New Roman" w:hAnsi="Times New Roman" w:cs="Times New Roman"/>
                <w:b w:val="0"/>
                <w:bCs w:val="0"/>
                <w:color w:val="auto"/>
                <w:sz w:val="24"/>
                <w:szCs w:val="24"/>
                <w:lang w:val="en-US" w:eastAsia="zh-CN"/>
              </w:rPr>
              <w:t>空压机、剪板机、切割机</w:t>
            </w:r>
            <w:r>
              <w:rPr>
                <w:rFonts w:hint="default" w:ascii="Times New Roman" w:hAnsi="Times New Roman" w:eastAsia="宋体" w:cs="Times New Roman"/>
                <w:b w:val="0"/>
                <w:bCs w:val="0"/>
                <w:color w:val="auto"/>
                <w:sz w:val="24"/>
                <w:szCs w:val="24"/>
                <w:lang w:val="en-US" w:eastAsia="zh-CN"/>
              </w:rPr>
              <w:t>等设备设置基础减震、橡胶减震接头及减震垫等减震设施，并安装消声器。环评建议：</w:t>
            </w:r>
            <w:r>
              <w:rPr>
                <w:rFonts w:hint="eastAsia" w:ascii="Times New Roman" w:hAnsi="Times New Roman" w:cs="Times New Roman"/>
                <w:b w:val="0"/>
                <w:bCs w:val="0"/>
                <w:color w:val="auto"/>
                <w:sz w:val="24"/>
                <w:szCs w:val="24"/>
                <w:lang w:val="en-US" w:eastAsia="zh-CN"/>
              </w:rPr>
              <w:t>各类设备机械</w:t>
            </w:r>
            <w:r>
              <w:rPr>
                <w:rFonts w:hint="default" w:ascii="Times New Roman" w:hAnsi="Times New Roman" w:eastAsia="宋体" w:cs="Times New Roman"/>
                <w:b w:val="0"/>
                <w:bCs w:val="0"/>
                <w:color w:val="auto"/>
                <w:sz w:val="24"/>
                <w:szCs w:val="24"/>
                <w:lang w:val="en-US" w:eastAsia="zh-CN"/>
              </w:rPr>
              <w:t xml:space="preserve">定期在加润滑油，从而减少摩擦噪声产生。在生产运转时必须定期对其进行检查，保证设备正常运转。 </w:t>
            </w:r>
          </w:p>
          <w:p w14:paraId="197A5F24">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③项目料仓及</w:t>
            </w:r>
            <w:r>
              <w:rPr>
                <w:rFonts w:hint="eastAsia" w:ascii="Times New Roman" w:hAnsi="Times New Roman" w:cs="Times New Roman"/>
                <w:b w:val="0"/>
                <w:bCs w:val="0"/>
                <w:color w:val="auto"/>
                <w:sz w:val="24"/>
                <w:szCs w:val="24"/>
                <w:lang w:val="en-US" w:eastAsia="zh-CN"/>
              </w:rPr>
              <w:t>生产车间</w:t>
            </w:r>
            <w:r>
              <w:rPr>
                <w:rFonts w:hint="default" w:ascii="Times New Roman" w:hAnsi="Times New Roman" w:eastAsia="宋体" w:cs="Times New Roman"/>
                <w:b w:val="0"/>
                <w:bCs w:val="0"/>
                <w:color w:val="auto"/>
                <w:sz w:val="24"/>
                <w:szCs w:val="24"/>
                <w:lang w:val="en-US" w:eastAsia="zh-CN"/>
              </w:rPr>
              <w:t xml:space="preserve">全部采用彩钢封闭，如此可最大程度降低搅拌主机楼噪声对声环境的影响。 </w:t>
            </w:r>
          </w:p>
          <w:p w14:paraId="44D2D893">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 xml:space="preserve">④合理控制运输车辆的车速，减轻运输车辆在启动及行驶过程发动机轰鸣噪声；强化行车管理制度，规范厂内车辆行驶路线，设置降噪标准，严禁鸣号，进入厂区低速行驶，最大限度减少流动噪声源；加强装卸料管理。 </w:t>
            </w:r>
          </w:p>
          <w:p w14:paraId="6D769119">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 xml:space="preserve">⑤合理安排运输班次，选择合适的运输路线，合理选择运输时间，尤其是原料运输车辆注意运输过程中应绕开居民集中区，选择环境敏感点较少的路线，避免产生大的交通噪声。 </w:t>
            </w:r>
          </w:p>
          <w:p w14:paraId="792866FD">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 xml:space="preserve">⑥加强管理：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 </w:t>
            </w:r>
          </w:p>
          <w:p w14:paraId="7485CF95">
            <w:pPr>
              <w:pStyle w:val="2"/>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⑦加强绿化：建议在厂界处种植高大乔木以阻隔噪声的传播和干扰。</w:t>
            </w:r>
          </w:p>
          <w:p w14:paraId="456734A3">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在采取上述噪声防治措施后产生的噪声再经距离衰减后能够满足 GB12348-2008《工业企业厂界环境噪声排放标准》中的 2 类标准限值要求。</w:t>
            </w:r>
          </w:p>
          <w:p w14:paraId="69C78EA4">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val="en-US" w:eastAsia="zh-CN"/>
              </w:rPr>
              <w:t>固体废物</w:t>
            </w:r>
          </w:p>
          <w:p w14:paraId="47F339C3">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营运期间，本项目固体废物包括生活垃圾、一般固废和危险废物。</w:t>
            </w:r>
          </w:p>
          <w:p w14:paraId="4F430C4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一般固废为沉淀池</w:t>
            </w:r>
            <w:r>
              <w:rPr>
                <w:rFonts w:hint="default" w:ascii="Times New Roman" w:hAnsi="Times New Roman" w:eastAsia="宋体" w:cs="Times New Roman"/>
                <w:color w:val="auto"/>
                <w:sz w:val="24"/>
                <w:szCs w:val="24"/>
                <w:lang w:val="en-US" w:eastAsia="zh-CN"/>
              </w:rPr>
              <w:t>产生的沉渣和沉砂、废气处理系统收集的粉尘、</w:t>
            </w:r>
            <w:r>
              <w:rPr>
                <w:rFonts w:hint="eastAsia" w:ascii="Times New Roman" w:hAnsi="Times New Roman" w:eastAsia="宋体" w:cs="Times New Roman"/>
                <w:color w:val="auto"/>
                <w:sz w:val="24"/>
                <w:szCs w:val="24"/>
                <w:lang w:val="en-US" w:eastAsia="zh-CN"/>
              </w:rPr>
              <w:t>焊接工序产生的废焊丝熔渣等</w:t>
            </w:r>
            <w:r>
              <w:rPr>
                <w:rFonts w:hint="default" w:ascii="Times New Roman" w:hAnsi="Times New Roman" w:eastAsia="宋体" w:cs="Times New Roman"/>
                <w:color w:val="auto"/>
                <w:sz w:val="24"/>
                <w:szCs w:val="24"/>
                <w:lang w:val="en-US" w:eastAsia="zh-CN"/>
              </w:rPr>
              <w:t>、预处理池产生的污泥、</w:t>
            </w:r>
            <w:r>
              <w:rPr>
                <w:rFonts w:hint="eastAsia" w:ascii="Times New Roman" w:hAnsi="Times New Roman" w:eastAsia="宋体" w:cs="Times New Roman"/>
                <w:color w:val="auto"/>
                <w:sz w:val="24"/>
                <w:szCs w:val="24"/>
                <w:lang w:val="en-US" w:eastAsia="zh-CN"/>
              </w:rPr>
              <w:t>机加工工序产生的钢筋头和不锈钢边角料；危险废物主要为</w:t>
            </w:r>
            <w:r>
              <w:rPr>
                <w:rFonts w:hint="default" w:ascii="Times New Roman" w:hAnsi="Times New Roman" w:eastAsia="宋体" w:cs="Times New Roman"/>
                <w:color w:val="auto"/>
                <w:sz w:val="24"/>
                <w:szCs w:val="24"/>
                <w:lang w:val="en-US" w:eastAsia="zh-CN"/>
              </w:rPr>
              <w:t>机械维修保养过程中产生的废机油、废</w:t>
            </w:r>
            <w:r>
              <w:rPr>
                <w:rFonts w:hint="eastAsia" w:ascii="Times New Roman" w:hAnsi="Times New Roman" w:eastAsia="宋体" w:cs="Times New Roman"/>
                <w:color w:val="auto"/>
                <w:sz w:val="24"/>
                <w:szCs w:val="24"/>
                <w:lang w:val="en-US" w:eastAsia="zh-CN"/>
              </w:rPr>
              <w:t>含有抹布手套</w:t>
            </w:r>
            <w:r>
              <w:rPr>
                <w:rFonts w:hint="default" w:ascii="Times New Roman" w:hAnsi="Times New Roman" w:eastAsia="宋体" w:cs="Times New Roman"/>
                <w:color w:val="auto"/>
                <w:sz w:val="24"/>
                <w:szCs w:val="24"/>
                <w:lang w:val="en-US" w:eastAsia="zh-CN"/>
              </w:rPr>
              <w:t>等。</w:t>
            </w:r>
          </w:p>
          <w:p w14:paraId="4B0C0D45">
            <w:pPr>
              <w:spacing w:line="360" w:lineRule="auto"/>
              <w:ind w:firstLine="482" w:firstLineChars="200"/>
              <w:rPr>
                <w:rFonts w:hint="eastAsia" w:cs="Times New Roman"/>
                <w:b/>
                <w:bCs/>
                <w:color w:val="auto"/>
                <w:sz w:val="24"/>
                <w:szCs w:val="24"/>
                <w:lang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1</w:t>
            </w:r>
            <w:r>
              <w:rPr>
                <w:rFonts w:hint="eastAsia" w:cs="Times New Roman"/>
                <w:b/>
                <w:bCs/>
                <w:color w:val="auto"/>
                <w:sz w:val="24"/>
                <w:szCs w:val="24"/>
                <w:lang w:eastAsia="zh-CN"/>
              </w:rPr>
              <w:t>）生活垃圾</w:t>
            </w:r>
          </w:p>
          <w:p w14:paraId="2F6E8410">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根据《第一次全国污染源普查城镇生活源产排污系数手册》， 遂宁市属于四区4类，生活垃圾产生量 0.4kg/d•人，本项目劳动定员</w:t>
            </w:r>
            <w:r>
              <w:rPr>
                <w:rFonts w:hint="eastAsia" w:cs="Times New Roman"/>
                <w:b w:val="0"/>
                <w:bCs w:val="0"/>
                <w:color w:val="auto"/>
                <w:sz w:val="24"/>
                <w:szCs w:val="24"/>
                <w:lang w:val="en-US" w:eastAsia="zh-CN"/>
              </w:rPr>
              <w:t>6</w:t>
            </w:r>
            <w:r>
              <w:rPr>
                <w:rFonts w:hint="eastAsia" w:cs="Times New Roman"/>
                <w:b w:val="0"/>
                <w:bCs w:val="0"/>
                <w:color w:val="auto"/>
                <w:sz w:val="24"/>
                <w:szCs w:val="24"/>
                <w:lang w:eastAsia="zh-CN"/>
              </w:rPr>
              <w:t>人，则项目运营期间职工生活垃圾产生量为</w:t>
            </w:r>
            <w:r>
              <w:rPr>
                <w:rFonts w:hint="eastAsia" w:cs="Times New Roman"/>
                <w:b w:val="0"/>
                <w:bCs w:val="0"/>
                <w:color w:val="auto"/>
                <w:sz w:val="24"/>
                <w:szCs w:val="24"/>
                <w:lang w:val="en-US" w:eastAsia="zh-CN"/>
              </w:rPr>
              <w:t>2.4</w:t>
            </w:r>
            <w:r>
              <w:rPr>
                <w:rFonts w:hint="eastAsia" w:cs="Times New Roman"/>
                <w:b w:val="0"/>
                <w:bCs w:val="0"/>
                <w:color w:val="auto"/>
                <w:sz w:val="24"/>
                <w:szCs w:val="24"/>
                <w:lang w:eastAsia="zh-CN"/>
              </w:rPr>
              <w:t>kg/d，即</w:t>
            </w:r>
            <w:r>
              <w:rPr>
                <w:rFonts w:hint="eastAsia" w:cs="Times New Roman"/>
                <w:b w:val="0"/>
                <w:bCs w:val="0"/>
                <w:color w:val="auto"/>
                <w:sz w:val="24"/>
                <w:szCs w:val="24"/>
                <w:lang w:val="en-US" w:eastAsia="zh-CN"/>
              </w:rPr>
              <w:t>0.72</w:t>
            </w:r>
            <w:r>
              <w:rPr>
                <w:rFonts w:hint="eastAsia" w:cs="Times New Roman"/>
                <w:b w:val="0"/>
                <w:bCs w:val="0"/>
                <w:color w:val="auto"/>
                <w:sz w:val="24"/>
                <w:szCs w:val="24"/>
                <w:lang w:eastAsia="zh-CN"/>
              </w:rPr>
              <w:t>t/a，生活垃圾集中收集后由</w:t>
            </w:r>
            <w:r>
              <w:rPr>
                <w:rFonts w:hint="eastAsia" w:cs="Times New Roman"/>
                <w:b w:val="0"/>
                <w:bCs w:val="0"/>
                <w:color w:val="auto"/>
                <w:sz w:val="24"/>
                <w:szCs w:val="24"/>
                <w:lang w:val="en-US" w:eastAsia="zh-CN"/>
              </w:rPr>
              <w:t>当地</w:t>
            </w:r>
            <w:r>
              <w:rPr>
                <w:rFonts w:hint="eastAsia" w:cs="Times New Roman"/>
                <w:b w:val="0"/>
                <w:bCs w:val="0"/>
                <w:color w:val="auto"/>
                <w:sz w:val="24"/>
                <w:szCs w:val="24"/>
                <w:lang w:eastAsia="zh-CN"/>
              </w:rPr>
              <w:t>环卫部门统一处理。</w:t>
            </w:r>
          </w:p>
          <w:p w14:paraId="37333DEF">
            <w:pPr>
              <w:spacing w:line="360" w:lineRule="auto"/>
              <w:ind w:firstLine="482" w:firstLineChars="200"/>
              <w:rPr>
                <w:rFonts w:hint="default" w:cs="Times New Roman"/>
                <w:b/>
                <w:bCs/>
                <w:color w:val="auto"/>
                <w:sz w:val="24"/>
                <w:szCs w:val="24"/>
                <w:lang w:val="en-US"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2</w:t>
            </w:r>
            <w:r>
              <w:rPr>
                <w:rFonts w:hint="eastAsia" w:cs="Times New Roman"/>
                <w:b/>
                <w:bCs/>
                <w:color w:val="auto"/>
                <w:sz w:val="24"/>
                <w:szCs w:val="24"/>
                <w:lang w:eastAsia="zh-CN"/>
              </w:rPr>
              <w:t>）</w:t>
            </w:r>
            <w:r>
              <w:rPr>
                <w:rFonts w:hint="eastAsia" w:cs="Times New Roman"/>
                <w:b/>
                <w:bCs/>
                <w:color w:val="auto"/>
                <w:sz w:val="24"/>
                <w:szCs w:val="24"/>
                <w:lang w:val="en-US" w:eastAsia="zh-CN"/>
              </w:rPr>
              <w:t>一般固废</w:t>
            </w:r>
          </w:p>
          <w:p w14:paraId="4C76408C">
            <w:pPr>
              <w:spacing w:line="360" w:lineRule="auto"/>
              <w:ind w:firstLine="480" w:firstLineChars="200"/>
              <w:rPr>
                <w:rFonts w:hint="default"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一般固废为沉淀池</w:t>
            </w:r>
            <w:r>
              <w:rPr>
                <w:rFonts w:hint="default" w:ascii="Times New Roman" w:hAnsi="Times New Roman" w:eastAsia="宋体" w:cs="Times New Roman"/>
                <w:color w:val="auto"/>
                <w:sz w:val="24"/>
                <w:szCs w:val="24"/>
                <w:lang w:val="en-US" w:eastAsia="zh-CN"/>
              </w:rPr>
              <w:t>产生的沉渣和沉砂、废气处理系统收集的粉尘、</w:t>
            </w:r>
            <w:r>
              <w:rPr>
                <w:rFonts w:hint="eastAsia" w:ascii="Times New Roman" w:hAnsi="Times New Roman" w:eastAsia="宋体" w:cs="Times New Roman"/>
                <w:color w:val="auto"/>
                <w:sz w:val="24"/>
                <w:szCs w:val="24"/>
                <w:lang w:val="en-US" w:eastAsia="zh-CN"/>
              </w:rPr>
              <w:t>焊接工序产生的废焊丝熔渣等</w:t>
            </w:r>
            <w:r>
              <w:rPr>
                <w:rFonts w:hint="default" w:ascii="Times New Roman" w:hAnsi="Times New Roman" w:eastAsia="宋体" w:cs="Times New Roman"/>
                <w:color w:val="auto"/>
                <w:sz w:val="24"/>
                <w:szCs w:val="24"/>
                <w:lang w:val="en-US" w:eastAsia="zh-CN"/>
              </w:rPr>
              <w:t>、预处理池产生的污泥、</w:t>
            </w:r>
            <w:r>
              <w:rPr>
                <w:rFonts w:hint="eastAsia" w:ascii="Times New Roman" w:hAnsi="Times New Roman" w:cs="Times New Roman"/>
                <w:color w:val="auto"/>
                <w:sz w:val="24"/>
                <w:szCs w:val="24"/>
                <w:lang w:val="en-US" w:eastAsia="zh-CN"/>
              </w:rPr>
              <w:t>焊接烟尘净化器废滤芯、</w:t>
            </w:r>
            <w:r>
              <w:rPr>
                <w:rFonts w:hint="eastAsia" w:ascii="Times New Roman" w:hAnsi="Times New Roman" w:eastAsia="宋体" w:cs="Times New Roman"/>
                <w:color w:val="auto"/>
                <w:sz w:val="24"/>
                <w:szCs w:val="24"/>
                <w:lang w:val="en-US" w:eastAsia="zh-CN"/>
              </w:rPr>
              <w:t>机加工工序产生的钢筋头和不锈钢边角料</w:t>
            </w:r>
            <w:r>
              <w:rPr>
                <w:rFonts w:hint="eastAsia" w:ascii="Times New Roman" w:hAnsi="Times New Roman" w:cs="Times New Roman"/>
                <w:color w:val="auto"/>
                <w:sz w:val="24"/>
                <w:szCs w:val="24"/>
                <w:lang w:val="en-US" w:eastAsia="zh-CN"/>
              </w:rPr>
              <w:t>。</w:t>
            </w:r>
          </w:p>
          <w:p w14:paraId="1F6F7F96">
            <w:pPr>
              <w:spacing w:line="360" w:lineRule="auto"/>
              <w:ind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1）</w:t>
            </w:r>
            <w:r>
              <w:rPr>
                <w:rFonts w:hint="eastAsia" w:cs="Times New Roman"/>
                <w:b/>
                <w:bCs/>
                <w:color w:val="auto"/>
                <w:sz w:val="24"/>
                <w:szCs w:val="24"/>
                <w:lang w:eastAsia="zh-CN"/>
              </w:rPr>
              <w:t>沉淀池</w:t>
            </w:r>
            <w:r>
              <w:rPr>
                <w:rFonts w:hint="eastAsia" w:cs="Times New Roman"/>
                <w:b/>
                <w:bCs/>
                <w:color w:val="auto"/>
                <w:sz w:val="24"/>
                <w:szCs w:val="24"/>
                <w:lang w:val="en-US" w:eastAsia="zh-CN"/>
              </w:rPr>
              <w:t>沉渣和沉砂</w:t>
            </w:r>
          </w:p>
          <w:p w14:paraId="77270398">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本项目沉淀池处理</w:t>
            </w:r>
            <w:r>
              <w:rPr>
                <w:rFonts w:hint="eastAsia" w:cs="Times New Roman"/>
                <w:b w:val="0"/>
                <w:bCs w:val="0"/>
                <w:color w:val="auto"/>
                <w:sz w:val="24"/>
                <w:szCs w:val="24"/>
                <w:lang w:val="en-US" w:eastAsia="zh-CN"/>
              </w:rPr>
              <w:t>地面冲洗水</w:t>
            </w:r>
            <w:r>
              <w:rPr>
                <w:rFonts w:hint="eastAsia" w:cs="Times New Roman"/>
                <w:b w:val="0"/>
                <w:bCs w:val="0"/>
                <w:color w:val="auto"/>
                <w:sz w:val="24"/>
                <w:szCs w:val="24"/>
                <w:lang w:eastAsia="zh-CN"/>
              </w:rPr>
              <w:t>等，沉淀池处理过程中将产生</w:t>
            </w:r>
            <w:r>
              <w:rPr>
                <w:rFonts w:hint="eastAsia" w:cs="Times New Roman"/>
                <w:b w:val="0"/>
                <w:bCs w:val="0"/>
                <w:color w:val="auto"/>
                <w:sz w:val="24"/>
                <w:szCs w:val="24"/>
                <w:lang w:val="en-US" w:eastAsia="zh-CN"/>
              </w:rPr>
              <w:t>沉渣和沉沙</w:t>
            </w:r>
            <w:r>
              <w:rPr>
                <w:rFonts w:hint="eastAsia" w:cs="Times New Roman"/>
                <w:b w:val="0"/>
                <w:bCs w:val="0"/>
                <w:color w:val="auto"/>
                <w:sz w:val="24"/>
                <w:szCs w:val="24"/>
                <w:lang w:eastAsia="zh-CN"/>
              </w:rPr>
              <w:t>，产生量约为</w:t>
            </w:r>
            <w:r>
              <w:rPr>
                <w:rFonts w:hint="eastAsia" w:cs="Times New Roman"/>
                <w:b w:val="0"/>
                <w:bCs w:val="0"/>
                <w:color w:val="auto"/>
                <w:sz w:val="24"/>
                <w:szCs w:val="24"/>
                <w:lang w:val="en-US" w:eastAsia="zh-CN"/>
              </w:rPr>
              <w:t>1</w:t>
            </w:r>
            <w:r>
              <w:rPr>
                <w:rFonts w:hint="eastAsia" w:cs="Times New Roman"/>
                <w:b w:val="0"/>
                <w:bCs w:val="0"/>
                <w:color w:val="auto"/>
                <w:sz w:val="24"/>
                <w:szCs w:val="24"/>
                <w:lang w:eastAsia="zh-CN"/>
              </w:rPr>
              <w:t>t。</w:t>
            </w:r>
            <w:r>
              <w:rPr>
                <w:rFonts w:hint="eastAsia" w:cs="Times New Roman"/>
                <w:b w:val="0"/>
                <w:bCs w:val="0"/>
                <w:color w:val="auto"/>
                <w:sz w:val="24"/>
                <w:szCs w:val="24"/>
                <w:lang w:val="en-US" w:eastAsia="zh-CN"/>
              </w:rPr>
              <w:t>定期打捞回用于生产</w:t>
            </w:r>
            <w:r>
              <w:rPr>
                <w:rFonts w:hint="eastAsia" w:cs="Times New Roman"/>
                <w:b w:val="0"/>
                <w:bCs w:val="0"/>
                <w:color w:val="auto"/>
                <w:sz w:val="24"/>
                <w:szCs w:val="24"/>
                <w:lang w:eastAsia="zh-CN"/>
              </w:rPr>
              <w:t>。</w:t>
            </w:r>
          </w:p>
          <w:p w14:paraId="2B90369C">
            <w:pPr>
              <w:spacing w:line="360" w:lineRule="auto"/>
              <w:ind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2）废气处理系统收集的粉尘</w:t>
            </w:r>
          </w:p>
          <w:p w14:paraId="43BF7E9E">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①</w:t>
            </w:r>
            <w:r>
              <w:rPr>
                <w:rFonts w:hint="eastAsia" w:cs="Times New Roman"/>
                <w:b w:val="0"/>
                <w:bCs w:val="0"/>
                <w:color w:val="auto"/>
                <w:sz w:val="24"/>
                <w:szCs w:val="24"/>
                <w:lang w:eastAsia="zh-CN"/>
              </w:rPr>
              <w:t>搅拌机布袋除尘器收集粉尘</w:t>
            </w:r>
          </w:p>
          <w:p w14:paraId="77E3AE14">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本项目搅拌机布袋除尘器收集粉尘产生量约为</w:t>
            </w:r>
            <w:r>
              <w:rPr>
                <w:rFonts w:hint="eastAsia" w:cs="Times New Roman"/>
                <w:b w:val="0"/>
                <w:bCs w:val="0"/>
                <w:color w:val="auto"/>
                <w:sz w:val="24"/>
                <w:szCs w:val="24"/>
                <w:lang w:val="en-US" w:eastAsia="zh-CN"/>
              </w:rPr>
              <w:t>0.0228</w:t>
            </w:r>
            <w:r>
              <w:rPr>
                <w:rFonts w:hint="eastAsia" w:cs="Times New Roman"/>
                <w:b w:val="0"/>
                <w:bCs w:val="0"/>
                <w:color w:val="auto"/>
                <w:sz w:val="24"/>
                <w:szCs w:val="24"/>
                <w:lang w:eastAsia="zh-CN"/>
              </w:rPr>
              <w:t>t，经布袋除尘器自动清灰系统处理重新回到搅拌机作为原料回用于生产。</w:t>
            </w:r>
          </w:p>
          <w:p w14:paraId="77F77423">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②</w:t>
            </w:r>
            <w:r>
              <w:rPr>
                <w:rFonts w:hint="eastAsia" w:cs="Times New Roman"/>
                <w:b w:val="0"/>
                <w:bCs w:val="0"/>
                <w:color w:val="auto"/>
                <w:sz w:val="24"/>
                <w:szCs w:val="24"/>
                <w:lang w:eastAsia="zh-CN"/>
              </w:rPr>
              <w:t>筒仓布袋除尘器收集粉尘</w:t>
            </w:r>
          </w:p>
          <w:p w14:paraId="62E8659E">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 xml:space="preserve"> 本项目筒仓布袋除尘器收集粉尘产生量约为</w:t>
            </w:r>
            <w:r>
              <w:rPr>
                <w:rFonts w:hint="eastAsia" w:cs="Times New Roman"/>
                <w:b w:val="0"/>
                <w:bCs w:val="0"/>
                <w:color w:val="auto"/>
                <w:sz w:val="24"/>
                <w:szCs w:val="24"/>
                <w:lang w:val="en-US" w:eastAsia="zh-CN"/>
              </w:rPr>
              <w:t>0.1138865</w:t>
            </w:r>
            <w:r>
              <w:rPr>
                <w:rFonts w:hint="eastAsia" w:cs="Times New Roman"/>
                <w:b w:val="0"/>
                <w:bCs w:val="0"/>
                <w:color w:val="auto"/>
                <w:sz w:val="24"/>
                <w:szCs w:val="24"/>
                <w:lang w:eastAsia="zh-CN"/>
              </w:rPr>
              <w:t>t，经布袋除尘器自动清灰系统处理重新回到筒仓作为原料回用于生产。</w:t>
            </w:r>
          </w:p>
          <w:p w14:paraId="75D83FF1">
            <w:pPr>
              <w:spacing w:line="360" w:lineRule="auto"/>
              <w:ind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3</w:t>
            </w:r>
            <w:r>
              <w:rPr>
                <w:rFonts w:hint="eastAsia" w:cs="Times New Roman"/>
                <w:b/>
                <w:bCs/>
                <w:color w:val="auto"/>
                <w:sz w:val="24"/>
                <w:szCs w:val="24"/>
                <w:lang w:eastAsia="zh-CN"/>
              </w:rPr>
              <w:t>）</w:t>
            </w:r>
            <w:r>
              <w:rPr>
                <w:rFonts w:hint="eastAsia" w:cs="Times New Roman"/>
                <w:b/>
                <w:bCs/>
                <w:color w:val="auto"/>
                <w:sz w:val="24"/>
                <w:szCs w:val="24"/>
                <w:lang w:val="en-US" w:eastAsia="zh-CN"/>
              </w:rPr>
              <w:t>预处理池污泥</w:t>
            </w:r>
          </w:p>
          <w:p w14:paraId="3619DAF6">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本项目预处理池污泥产生量按 8kg/100 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 xml:space="preserve">·d（废水）计，则运营期污泥产生总量约为 </w:t>
            </w:r>
            <w:r>
              <w:rPr>
                <w:rFonts w:hint="eastAsia" w:cs="Times New Roman"/>
                <w:color w:val="auto"/>
                <w:sz w:val="24"/>
                <w:szCs w:val="24"/>
                <w:lang w:val="en-US" w:eastAsia="zh-CN"/>
              </w:rPr>
              <w:t>0.00576</w:t>
            </w:r>
            <w:r>
              <w:rPr>
                <w:rFonts w:hint="eastAsia" w:ascii="Times New Roman" w:hAnsi="Times New Roman" w:cs="Times New Roman"/>
                <w:color w:val="auto"/>
                <w:sz w:val="24"/>
                <w:szCs w:val="24"/>
                <w:lang w:val="en-US" w:eastAsia="zh-CN"/>
              </w:rPr>
              <w:t>t/a。</w:t>
            </w:r>
            <w:r>
              <w:rPr>
                <w:rFonts w:hint="eastAsia" w:cs="Times New Roman"/>
                <w:color w:val="auto"/>
                <w:sz w:val="24"/>
                <w:szCs w:val="24"/>
                <w:lang w:val="en-US" w:eastAsia="zh-CN"/>
              </w:rPr>
              <w:t>污泥用于周边农田农肥。</w:t>
            </w:r>
          </w:p>
          <w:p w14:paraId="3EE17D78">
            <w:pPr>
              <w:numPr>
                <w:ilvl w:val="0"/>
                <w:numId w:val="0"/>
              </w:numPr>
              <w:spacing w:line="360" w:lineRule="auto"/>
              <w:ind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4）废焊丝、熔渣</w:t>
            </w:r>
          </w:p>
          <w:p w14:paraId="0293B471">
            <w:pPr>
              <w:numPr>
                <w:ilvl w:val="0"/>
                <w:numId w:val="0"/>
              </w:num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项目所购焊丝（环评要求购买不含铅的焊丝），不属于危险固废，其产生量为 0.05t/a； 项目运营期焊丝、焊（熔）渣定期外售给废品收购站。</w:t>
            </w:r>
          </w:p>
          <w:p w14:paraId="1CF94C5D">
            <w:pPr>
              <w:numPr>
                <w:ilvl w:val="0"/>
                <w:numId w:val="0"/>
              </w:numPr>
              <w:spacing w:line="360" w:lineRule="auto"/>
              <w:ind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5）废滤芯</w:t>
            </w:r>
          </w:p>
          <w:p w14:paraId="3065F19A">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项目焊接烟尘处理过程中，会定期对焊接烟尘净化设备更换滤芯，废滤芯产生量约为 0.01t/a。废滤芯属于一般固废，经过收集后交环卫部门及时统一清运处理。</w:t>
            </w:r>
          </w:p>
          <w:p w14:paraId="299120E9">
            <w:pPr>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钢筋头和不锈钢边角料</w:t>
            </w:r>
          </w:p>
          <w:p w14:paraId="1928AC40">
            <w:pPr>
              <w:spacing w:line="360" w:lineRule="auto"/>
              <w:ind w:firstLine="480" w:firstLineChars="200"/>
              <w:rPr>
                <w:rFonts w:hint="default" w:ascii="Times New Roman" w:hAnsi="Times New Roman" w:eastAsia="宋体" w:cs="Times New Roman"/>
                <w:b w:val="0"/>
                <w:bCs w:val="0"/>
                <w:color w:val="auto"/>
                <w:sz w:val="24"/>
                <w:szCs w:val="24"/>
                <w:lang w:val="en-US"/>
              </w:rPr>
            </w:pPr>
            <w:r>
              <w:rPr>
                <w:rFonts w:hint="eastAsia" w:ascii="Times New Roman" w:hAnsi="Times New Roman" w:cs="Times New Roman"/>
                <w:color w:val="auto"/>
                <w:sz w:val="24"/>
                <w:szCs w:val="24"/>
                <w:lang w:val="en-US" w:eastAsia="zh-CN"/>
              </w:rPr>
              <w:t>项目在机加工过程中会产生钢筋头和废不锈钢边角料，产生量约5t/a。这部分废料定期外售给废品收购站。</w:t>
            </w:r>
          </w:p>
          <w:p w14:paraId="408F1061">
            <w:pPr>
              <w:spacing w:line="360" w:lineRule="auto"/>
              <w:ind w:firstLine="482" w:firstLineChars="200"/>
              <w:rPr>
                <w:rFonts w:hint="eastAsia" w:cs="Times New Roman"/>
                <w:b/>
                <w:bCs/>
                <w:color w:val="auto"/>
                <w:sz w:val="24"/>
                <w:szCs w:val="24"/>
                <w:lang w:eastAsia="zh-CN"/>
              </w:rPr>
            </w:pP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eastAsia" w:cs="Times New Roman"/>
                <w:b/>
                <w:bCs/>
                <w:color w:val="auto"/>
                <w:sz w:val="24"/>
                <w:szCs w:val="24"/>
                <w:lang w:eastAsia="zh-CN"/>
              </w:rPr>
              <w:t>危险废物</w:t>
            </w:r>
          </w:p>
          <w:p w14:paraId="6EA19289">
            <w:pPr>
              <w:pStyle w:val="2"/>
              <w:spacing w:line="360" w:lineRule="auto"/>
              <w:ind w:firstLine="482" w:firstLineChars="200"/>
              <w:jc w:val="both"/>
              <w:rPr>
                <w:rFonts w:hint="eastAsia" w:hAnsi="Times New Roman"/>
                <w:bCs/>
                <w:color w:val="auto"/>
                <w:lang w:val="en-US" w:eastAsia="zh-CN"/>
              </w:rPr>
            </w:pPr>
            <w:r>
              <w:rPr>
                <w:rFonts w:hint="eastAsia"/>
                <w:b/>
                <w:bCs w:val="0"/>
                <w:color w:val="auto"/>
                <w:lang w:val="en-US" w:eastAsia="zh-CN"/>
              </w:rPr>
              <w:t>①废机油：</w:t>
            </w:r>
            <w:r>
              <w:rPr>
                <w:rFonts w:hint="eastAsia"/>
                <w:bCs/>
                <w:color w:val="auto"/>
                <w:lang w:val="en-US" w:eastAsia="zh-CN"/>
              </w:rPr>
              <w:t>生产</w:t>
            </w:r>
            <w:r>
              <w:rPr>
                <w:rFonts w:hint="eastAsia" w:hAnsi="Times New Roman"/>
                <w:bCs/>
                <w:color w:val="auto"/>
                <w:lang w:val="en-US" w:eastAsia="zh-CN"/>
              </w:rPr>
              <w:t xml:space="preserve">设备使用过程中废机油产生量约 0.2t/a，其属于《国家危险废物名录（2021版）》中“HW08 废矿物油与含矿物油废物/非特定行业/900-249-08 其他生产、销售、使用过程中产生的废矿物油及沾染矿物油的废弃包装物”。本项目废机油经专用容器收集后，暂存于危废暂存间内，经收集储存后交由有危废处理资质的单处置。 </w:t>
            </w:r>
          </w:p>
          <w:p w14:paraId="35E9BCB1">
            <w:pPr>
              <w:pStyle w:val="2"/>
              <w:spacing w:line="360" w:lineRule="auto"/>
              <w:ind w:firstLine="482" w:firstLineChars="200"/>
              <w:jc w:val="both"/>
              <w:rPr>
                <w:rFonts w:hint="eastAsia"/>
                <w:bCs/>
                <w:color w:val="auto"/>
              </w:rPr>
            </w:pPr>
            <w:r>
              <w:rPr>
                <w:rFonts w:hint="eastAsia"/>
                <w:b/>
                <w:bCs w:val="0"/>
                <w:color w:val="auto"/>
                <w:lang w:val="en-US" w:eastAsia="zh-CN"/>
              </w:rPr>
              <w:t>②含油废棉纱、废手套：</w:t>
            </w:r>
            <w:r>
              <w:rPr>
                <w:rFonts w:hint="eastAsia"/>
                <w:bCs/>
                <w:color w:val="auto"/>
                <w:lang w:val="en-US" w:eastAsia="zh-CN"/>
              </w:rPr>
              <w:t>设备检修时产生的含油废棉纱、废手套等产生量为 0.01t/a，其属于《国家危险废物名录</w:t>
            </w:r>
            <w:r>
              <w:rPr>
                <w:rFonts w:hint="eastAsia" w:hAnsi="Times New Roman"/>
                <w:bCs/>
                <w:color w:val="auto"/>
                <w:lang w:val="en-US" w:eastAsia="zh-CN"/>
              </w:rPr>
              <w:t>（2021版）</w:t>
            </w:r>
            <w:r>
              <w:rPr>
                <w:rFonts w:hint="eastAsia"/>
                <w:bCs/>
                <w:color w:val="auto"/>
                <w:lang w:val="en-US" w:eastAsia="zh-CN"/>
              </w:rPr>
              <w:t>》中“HW49 其他废物 900-041-49 含有或沾染毒性、感染性危险废物的废弃包装物、容器、过滤吸附介质”。本项目含油废抹布、废手套桶装收集后，暂存于危废暂存间，定期交由有资质的单位进行处理。</w:t>
            </w:r>
          </w:p>
          <w:p w14:paraId="693EBE90">
            <w:pPr>
              <w:pStyle w:val="2"/>
              <w:spacing w:line="360" w:lineRule="auto"/>
              <w:ind w:firstLine="482" w:firstLineChars="200"/>
              <w:jc w:val="both"/>
              <w:rPr>
                <w:rFonts w:hint="eastAsia" w:hAnsi="Times New Roman"/>
                <w:b/>
                <w:bCs w:val="0"/>
                <w:color w:val="auto"/>
                <w:lang w:val="en-US" w:eastAsia="zh-CN"/>
              </w:rPr>
            </w:pPr>
            <w:r>
              <w:rPr>
                <w:rFonts w:hint="eastAsia" w:hAnsi="Times New Roman"/>
                <w:b/>
                <w:bCs w:val="0"/>
                <w:color w:val="auto"/>
                <w:lang w:val="en-US" w:eastAsia="zh-CN"/>
              </w:rPr>
              <w:t>项目危险废物均经危废暂存间暂存后，定期交资质单位处置。评价要求项目在竣工验收前应与有资质的危险废物处置单位签定危险废物处置协议。</w:t>
            </w:r>
          </w:p>
          <w:p w14:paraId="7AB9BF52">
            <w:pPr>
              <w:pStyle w:val="78"/>
              <w:spacing w:line="360" w:lineRule="auto"/>
              <w:ind w:left="0" w:firstLine="472" w:firstLineChars="196"/>
              <w:rPr>
                <w:color w:val="auto"/>
              </w:rPr>
            </w:pPr>
            <w:r>
              <w:rPr>
                <w:rFonts w:hint="eastAsia"/>
                <w:color w:val="auto"/>
              </w:rPr>
              <w:t>（</w:t>
            </w:r>
            <w:r>
              <w:rPr>
                <w:rFonts w:hint="eastAsia"/>
                <w:color w:val="auto"/>
                <w:lang w:val="en-US" w:eastAsia="zh-CN"/>
              </w:rPr>
              <w:t>9</w:t>
            </w:r>
            <w:r>
              <w:rPr>
                <w:rFonts w:hint="eastAsia"/>
                <w:color w:val="auto"/>
              </w:rPr>
              <w:t>）固体废物产生及排放情况汇总</w:t>
            </w:r>
          </w:p>
          <w:p w14:paraId="418093A1">
            <w:pPr>
              <w:pStyle w:val="78"/>
              <w:spacing w:line="240" w:lineRule="auto"/>
              <w:ind w:left="0" w:firstLine="470" w:firstLineChars="196"/>
              <w:rPr>
                <w:rFonts w:hint="eastAsia"/>
                <w:b w:val="0"/>
                <w:bCs/>
                <w:color w:val="auto"/>
              </w:rPr>
            </w:pPr>
            <w:r>
              <w:rPr>
                <w:rFonts w:hint="eastAsia"/>
                <w:b w:val="0"/>
                <w:bCs/>
                <w:color w:val="auto"/>
              </w:rPr>
              <w:t>固体废物产生排放情况一览见表5-</w:t>
            </w:r>
            <w:r>
              <w:rPr>
                <w:rFonts w:hint="eastAsia"/>
                <w:b w:val="0"/>
                <w:bCs/>
                <w:color w:val="auto"/>
                <w:lang w:val="en-US" w:eastAsia="zh-CN"/>
              </w:rPr>
              <w:t>12</w:t>
            </w:r>
            <w:r>
              <w:rPr>
                <w:rFonts w:hint="eastAsia"/>
                <w:b w:val="0"/>
                <w:bCs/>
                <w:color w:val="auto"/>
              </w:rPr>
              <w:t>。</w:t>
            </w:r>
          </w:p>
          <w:p w14:paraId="5588C225">
            <w:pPr>
              <w:spacing w:line="360" w:lineRule="auto"/>
              <w:jc w:val="center"/>
              <w:rPr>
                <w:rFonts w:hint="eastAsia"/>
                <w:lang w:val="fr-FR" w:eastAsia="zh-CN"/>
              </w:rPr>
            </w:pPr>
            <w:r>
              <w:rPr>
                <w:rFonts w:hint="eastAsia" w:ascii="Times New Roman" w:hAnsi="Times New Roman" w:cs="Times New Roman"/>
                <w:b/>
                <w:bCs/>
                <w:color w:val="auto"/>
                <w:szCs w:val="21"/>
                <w:lang w:val="fr-FR" w:eastAsia="zh-CN"/>
              </w:rPr>
              <w:t>表5-</w:t>
            </w:r>
            <w:r>
              <w:rPr>
                <w:rFonts w:hint="eastAsia" w:cs="Times New Roman"/>
                <w:b/>
                <w:bCs/>
                <w:color w:val="auto"/>
                <w:szCs w:val="21"/>
                <w:lang w:val="en-US" w:eastAsia="zh-CN"/>
              </w:rPr>
              <w:t>12</w:t>
            </w:r>
            <w:r>
              <w:rPr>
                <w:rFonts w:hint="eastAsia" w:ascii="Times New Roman" w:hAnsi="Times New Roman" w:cs="Times New Roman"/>
                <w:b/>
                <w:bCs/>
                <w:color w:val="auto"/>
                <w:szCs w:val="21"/>
                <w:lang w:val="fr-FR" w:eastAsia="zh-CN"/>
              </w:rPr>
              <w:t xml:space="preserve"> 固体废物产生及处理处置情况</w:t>
            </w:r>
          </w:p>
          <w:tbl>
            <w:tblPr>
              <w:tblStyle w:val="7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2363"/>
              <w:gridCol w:w="1202"/>
              <w:gridCol w:w="1707"/>
              <w:gridCol w:w="1254"/>
              <w:gridCol w:w="1575"/>
              <w:gridCol w:w="1249"/>
            </w:tblGrid>
            <w:tr w14:paraId="5CBD4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jc w:val="center"/>
              </w:trPr>
              <w:tc>
                <w:tcPr>
                  <w:tcW w:w="308" w:type="pct"/>
                  <w:vAlign w:val="center"/>
                </w:tcPr>
                <w:p w14:paraId="1E9D06A9">
                  <w:pPr>
                    <w:pStyle w:val="69"/>
                    <w:adjustRightInd w:val="0"/>
                    <w:snapToGrid w:val="0"/>
                    <w:jc w:val="center"/>
                    <w:rPr>
                      <w:color w:val="auto"/>
                    </w:rPr>
                  </w:pPr>
                  <w:r>
                    <w:rPr>
                      <w:color w:val="auto"/>
                    </w:rPr>
                    <w:t>类型</w:t>
                  </w:r>
                </w:p>
              </w:tc>
              <w:tc>
                <w:tcPr>
                  <w:tcW w:w="1185" w:type="pct"/>
                  <w:vAlign w:val="center"/>
                </w:tcPr>
                <w:p w14:paraId="20A0B8FF">
                  <w:pPr>
                    <w:pStyle w:val="69"/>
                    <w:adjustRightInd w:val="0"/>
                    <w:snapToGrid w:val="0"/>
                    <w:jc w:val="center"/>
                    <w:rPr>
                      <w:color w:val="auto"/>
                    </w:rPr>
                  </w:pPr>
                  <w:r>
                    <w:rPr>
                      <w:color w:val="auto"/>
                    </w:rPr>
                    <w:t>名称</w:t>
                  </w:r>
                </w:p>
              </w:tc>
              <w:tc>
                <w:tcPr>
                  <w:tcW w:w="603" w:type="pct"/>
                  <w:vAlign w:val="center"/>
                </w:tcPr>
                <w:p w14:paraId="4B3540D4">
                  <w:pPr>
                    <w:pStyle w:val="69"/>
                    <w:adjustRightInd w:val="0"/>
                    <w:snapToGrid w:val="0"/>
                    <w:jc w:val="center"/>
                    <w:rPr>
                      <w:color w:val="auto"/>
                    </w:rPr>
                  </w:pPr>
                  <w:r>
                    <w:rPr>
                      <w:color w:val="auto"/>
                    </w:rPr>
                    <w:t>形态</w:t>
                  </w:r>
                </w:p>
              </w:tc>
              <w:tc>
                <w:tcPr>
                  <w:tcW w:w="856" w:type="pct"/>
                  <w:vAlign w:val="center"/>
                </w:tcPr>
                <w:p w14:paraId="4B13F597">
                  <w:pPr>
                    <w:pStyle w:val="69"/>
                    <w:adjustRightInd w:val="0"/>
                    <w:snapToGrid w:val="0"/>
                    <w:jc w:val="center"/>
                    <w:rPr>
                      <w:color w:val="auto"/>
                    </w:rPr>
                  </w:pPr>
                  <w:r>
                    <w:rPr>
                      <w:color w:val="auto"/>
                    </w:rPr>
                    <w:t>主要成分</w:t>
                  </w:r>
                </w:p>
              </w:tc>
              <w:tc>
                <w:tcPr>
                  <w:tcW w:w="629" w:type="pct"/>
                  <w:vAlign w:val="center"/>
                </w:tcPr>
                <w:p w14:paraId="1430EE1C">
                  <w:pPr>
                    <w:pStyle w:val="69"/>
                    <w:adjustRightInd w:val="0"/>
                    <w:snapToGrid w:val="0"/>
                    <w:jc w:val="center"/>
                    <w:rPr>
                      <w:color w:val="auto"/>
                    </w:rPr>
                  </w:pPr>
                  <w:r>
                    <w:rPr>
                      <w:color w:val="auto"/>
                    </w:rPr>
                    <w:t>产生量</w:t>
                  </w:r>
                </w:p>
                <w:p w14:paraId="729B7B56">
                  <w:pPr>
                    <w:pStyle w:val="69"/>
                    <w:adjustRightInd w:val="0"/>
                    <w:snapToGrid w:val="0"/>
                    <w:jc w:val="center"/>
                    <w:rPr>
                      <w:color w:val="auto"/>
                    </w:rPr>
                  </w:pPr>
                  <w:r>
                    <w:rPr>
                      <w:color w:val="auto"/>
                    </w:rPr>
                    <w:t>（t/a）</w:t>
                  </w:r>
                </w:p>
              </w:tc>
              <w:tc>
                <w:tcPr>
                  <w:tcW w:w="790" w:type="pct"/>
                  <w:vAlign w:val="center"/>
                </w:tcPr>
                <w:p w14:paraId="3410900E">
                  <w:pPr>
                    <w:pStyle w:val="69"/>
                    <w:adjustRightInd w:val="0"/>
                    <w:snapToGrid w:val="0"/>
                    <w:jc w:val="center"/>
                    <w:rPr>
                      <w:color w:val="auto"/>
                    </w:rPr>
                  </w:pPr>
                  <w:r>
                    <w:rPr>
                      <w:color w:val="auto"/>
                    </w:rPr>
                    <w:t>危废类别代码</w:t>
                  </w:r>
                </w:p>
              </w:tc>
              <w:tc>
                <w:tcPr>
                  <w:tcW w:w="626" w:type="pct"/>
                  <w:vAlign w:val="center"/>
                </w:tcPr>
                <w:p w14:paraId="533F25CE">
                  <w:pPr>
                    <w:pStyle w:val="69"/>
                    <w:adjustRightInd w:val="0"/>
                    <w:snapToGrid w:val="0"/>
                    <w:jc w:val="center"/>
                    <w:rPr>
                      <w:color w:val="auto"/>
                    </w:rPr>
                  </w:pPr>
                  <w:r>
                    <w:rPr>
                      <w:color w:val="auto"/>
                    </w:rPr>
                    <w:t>处理措施</w:t>
                  </w:r>
                </w:p>
              </w:tc>
            </w:tr>
            <w:tr w14:paraId="1E755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exact"/>
                <w:jc w:val="center"/>
              </w:trPr>
              <w:tc>
                <w:tcPr>
                  <w:tcW w:w="308" w:type="pct"/>
                  <w:vAlign w:val="center"/>
                </w:tcPr>
                <w:p w14:paraId="44977B3F">
                  <w:pPr>
                    <w:pStyle w:val="69"/>
                    <w:adjustRightInd w:val="0"/>
                    <w:snapToGrid w:val="0"/>
                    <w:jc w:val="center"/>
                    <w:rPr>
                      <w:rFonts w:hint="default" w:eastAsia="宋体"/>
                      <w:color w:val="auto"/>
                      <w:lang w:val="en-US" w:eastAsia="zh-CN"/>
                    </w:rPr>
                  </w:pPr>
                  <w:r>
                    <w:rPr>
                      <w:rFonts w:hint="eastAsia"/>
                      <w:color w:val="auto"/>
                      <w:lang w:val="en-US" w:eastAsia="zh-CN"/>
                    </w:rPr>
                    <w:t>生活垃圾</w:t>
                  </w:r>
                </w:p>
              </w:tc>
              <w:tc>
                <w:tcPr>
                  <w:tcW w:w="1185" w:type="pct"/>
                  <w:vAlign w:val="center"/>
                </w:tcPr>
                <w:p w14:paraId="307C1ACE">
                  <w:pPr>
                    <w:pStyle w:val="69"/>
                    <w:adjustRightInd w:val="0"/>
                    <w:snapToGrid w:val="0"/>
                    <w:jc w:val="center"/>
                    <w:rPr>
                      <w:color w:val="auto"/>
                    </w:rPr>
                  </w:pPr>
                  <w:r>
                    <w:rPr>
                      <w:color w:val="auto"/>
                    </w:rPr>
                    <w:t>职工生活垃圾</w:t>
                  </w:r>
                </w:p>
              </w:tc>
              <w:tc>
                <w:tcPr>
                  <w:tcW w:w="603" w:type="pct"/>
                  <w:vAlign w:val="center"/>
                </w:tcPr>
                <w:p w14:paraId="461B3113">
                  <w:pPr>
                    <w:pStyle w:val="69"/>
                    <w:adjustRightInd w:val="0"/>
                    <w:snapToGrid w:val="0"/>
                    <w:jc w:val="center"/>
                    <w:rPr>
                      <w:color w:val="auto"/>
                    </w:rPr>
                  </w:pPr>
                  <w:r>
                    <w:rPr>
                      <w:color w:val="auto"/>
                    </w:rPr>
                    <w:t>固态</w:t>
                  </w:r>
                </w:p>
              </w:tc>
              <w:tc>
                <w:tcPr>
                  <w:tcW w:w="856" w:type="pct"/>
                  <w:vAlign w:val="center"/>
                </w:tcPr>
                <w:p w14:paraId="22DCCCF6">
                  <w:pPr>
                    <w:pStyle w:val="69"/>
                    <w:adjustRightInd w:val="0"/>
                    <w:snapToGrid w:val="0"/>
                    <w:jc w:val="center"/>
                    <w:rPr>
                      <w:color w:val="auto"/>
                      <w:lang w:eastAsia="zh-CN"/>
                    </w:rPr>
                  </w:pPr>
                  <w:r>
                    <w:rPr>
                      <w:color w:val="auto"/>
                      <w:lang w:eastAsia="zh-CN"/>
                    </w:rPr>
                    <w:t>废塑料、废纸</w:t>
                  </w:r>
                  <w:r>
                    <w:rPr>
                      <w:rFonts w:hint="eastAsia"/>
                      <w:color w:val="auto"/>
                      <w:lang w:eastAsia="zh-CN"/>
                    </w:rPr>
                    <w:t>、</w:t>
                  </w:r>
                  <w:r>
                    <w:rPr>
                      <w:color w:val="auto"/>
                      <w:lang w:eastAsia="zh-CN"/>
                    </w:rPr>
                    <w:t>垃圾</w:t>
                  </w:r>
                </w:p>
              </w:tc>
              <w:tc>
                <w:tcPr>
                  <w:tcW w:w="629" w:type="pct"/>
                  <w:vAlign w:val="center"/>
                </w:tcPr>
                <w:p w14:paraId="13ACE9FF">
                  <w:pPr>
                    <w:pStyle w:val="69"/>
                    <w:adjustRightInd w:val="0"/>
                    <w:snapToGrid w:val="0"/>
                    <w:jc w:val="center"/>
                    <w:rPr>
                      <w:rFonts w:hint="default"/>
                      <w:color w:val="auto"/>
                      <w:lang w:val="en-US" w:eastAsia="zh-CN"/>
                    </w:rPr>
                  </w:pPr>
                  <w:r>
                    <w:rPr>
                      <w:rFonts w:hint="eastAsia"/>
                      <w:color w:val="auto"/>
                      <w:lang w:val="en-US" w:eastAsia="zh-CN"/>
                    </w:rPr>
                    <w:t>2.4</w:t>
                  </w:r>
                </w:p>
              </w:tc>
              <w:tc>
                <w:tcPr>
                  <w:tcW w:w="790" w:type="pct"/>
                  <w:vAlign w:val="center"/>
                </w:tcPr>
                <w:p w14:paraId="07F13343">
                  <w:pPr>
                    <w:pStyle w:val="69"/>
                    <w:adjustRightInd w:val="0"/>
                    <w:snapToGrid w:val="0"/>
                    <w:jc w:val="center"/>
                    <w:rPr>
                      <w:color w:val="auto"/>
                    </w:rPr>
                  </w:pPr>
                  <w:r>
                    <w:rPr>
                      <w:color w:val="auto"/>
                    </w:rPr>
                    <w:t>--</w:t>
                  </w:r>
                </w:p>
              </w:tc>
              <w:tc>
                <w:tcPr>
                  <w:tcW w:w="626" w:type="pct"/>
                  <w:vAlign w:val="center"/>
                </w:tcPr>
                <w:p w14:paraId="0B33ED05">
                  <w:pPr>
                    <w:pStyle w:val="69"/>
                    <w:adjustRightInd w:val="0"/>
                    <w:snapToGrid w:val="0"/>
                    <w:jc w:val="center"/>
                    <w:rPr>
                      <w:color w:val="auto"/>
                    </w:rPr>
                  </w:pPr>
                  <w:r>
                    <w:rPr>
                      <w:color w:val="auto"/>
                    </w:rPr>
                    <w:t>环卫清运</w:t>
                  </w:r>
                </w:p>
              </w:tc>
            </w:tr>
            <w:tr w14:paraId="51AB9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exact"/>
                <w:jc w:val="center"/>
              </w:trPr>
              <w:tc>
                <w:tcPr>
                  <w:tcW w:w="308" w:type="pct"/>
                  <w:vMerge w:val="restart"/>
                  <w:vAlign w:val="center"/>
                </w:tcPr>
                <w:p w14:paraId="64BB3CA0">
                  <w:pPr>
                    <w:adjustRightInd w:val="0"/>
                    <w:snapToGrid w:val="0"/>
                    <w:jc w:val="center"/>
                    <w:rPr>
                      <w:rFonts w:hint="default" w:eastAsia="宋体"/>
                      <w:color w:val="auto"/>
                      <w:lang w:val="en-US" w:eastAsia="zh-CN"/>
                    </w:rPr>
                  </w:pPr>
                  <w:r>
                    <w:rPr>
                      <w:rFonts w:hint="eastAsia"/>
                      <w:color w:val="auto"/>
                      <w:lang w:val="en-US" w:eastAsia="zh-CN"/>
                    </w:rPr>
                    <w:t>一般固废</w:t>
                  </w:r>
                </w:p>
              </w:tc>
              <w:tc>
                <w:tcPr>
                  <w:tcW w:w="1185" w:type="pct"/>
                  <w:vAlign w:val="center"/>
                </w:tcPr>
                <w:p w14:paraId="448A24DA">
                  <w:pPr>
                    <w:pStyle w:val="69"/>
                    <w:adjustRightInd w:val="0"/>
                    <w:snapToGrid w:val="0"/>
                    <w:jc w:val="center"/>
                    <w:rPr>
                      <w:rFonts w:hint="default"/>
                      <w:color w:val="auto"/>
                      <w:lang w:val="en-US" w:eastAsia="zh-CN"/>
                    </w:rPr>
                  </w:pPr>
                  <w:r>
                    <w:rPr>
                      <w:rFonts w:hint="eastAsia"/>
                      <w:color w:val="auto"/>
                      <w:lang w:val="en-US" w:eastAsia="zh-CN"/>
                    </w:rPr>
                    <w:t>沉淀池沉渣和沉砂</w:t>
                  </w:r>
                </w:p>
              </w:tc>
              <w:tc>
                <w:tcPr>
                  <w:tcW w:w="603" w:type="pct"/>
                  <w:vAlign w:val="center"/>
                </w:tcPr>
                <w:p w14:paraId="272D2AF7">
                  <w:pPr>
                    <w:pStyle w:val="69"/>
                    <w:adjustRightInd w:val="0"/>
                    <w:snapToGrid w:val="0"/>
                    <w:jc w:val="center"/>
                    <w:rPr>
                      <w:color w:val="auto"/>
                    </w:rPr>
                  </w:pPr>
                  <w:r>
                    <w:rPr>
                      <w:color w:val="auto"/>
                    </w:rPr>
                    <w:t>固态</w:t>
                  </w:r>
                </w:p>
              </w:tc>
              <w:tc>
                <w:tcPr>
                  <w:tcW w:w="856" w:type="pct"/>
                  <w:vAlign w:val="center"/>
                </w:tcPr>
                <w:p w14:paraId="771A3142">
                  <w:pPr>
                    <w:pStyle w:val="69"/>
                    <w:adjustRightInd w:val="0"/>
                    <w:snapToGrid w:val="0"/>
                    <w:jc w:val="center"/>
                    <w:rPr>
                      <w:color w:val="auto"/>
                    </w:rPr>
                  </w:pPr>
                  <w:r>
                    <w:rPr>
                      <w:rFonts w:hint="eastAsia"/>
                      <w:color w:val="auto"/>
                      <w:lang w:val="en-US" w:eastAsia="zh-CN"/>
                    </w:rPr>
                    <w:t>泥沙</w:t>
                  </w:r>
                </w:p>
              </w:tc>
              <w:tc>
                <w:tcPr>
                  <w:tcW w:w="629" w:type="pct"/>
                  <w:vAlign w:val="center"/>
                </w:tcPr>
                <w:p w14:paraId="6B794AEE">
                  <w:pPr>
                    <w:pStyle w:val="69"/>
                    <w:adjustRightInd w:val="0"/>
                    <w:snapToGrid w:val="0"/>
                    <w:jc w:val="center"/>
                    <w:rPr>
                      <w:rFonts w:hint="default"/>
                      <w:bCs/>
                      <w:color w:val="auto"/>
                      <w:lang w:val="en-US" w:eastAsia="zh-CN"/>
                    </w:rPr>
                  </w:pPr>
                  <w:r>
                    <w:rPr>
                      <w:rFonts w:hint="eastAsia"/>
                      <w:bCs/>
                      <w:color w:val="auto"/>
                      <w:lang w:val="en-US" w:eastAsia="zh-CN"/>
                    </w:rPr>
                    <w:t>1.0</w:t>
                  </w:r>
                </w:p>
              </w:tc>
              <w:tc>
                <w:tcPr>
                  <w:tcW w:w="790" w:type="pct"/>
                  <w:vAlign w:val="center"/>
                </w:tcPr>
                <w:p w14:paraId="4353C977">
                  <w:pPr>
                    <w:adjustRightInd w:val="0"/>
                    <w:snapToGrid w:val="0"/>
                    <w:jc w:val="center"/>
                    <w:rPr>
                      <w:color w:val="auto"/>
                    </w:rPr>
                  </w:pPr>
                  <w:r>
                    <w:rPr>
                      <w:color w:val="auto"/>
                    </w:rPr>
                    <w:t>--</w:t>
                  </w:r>
                </w:p>
              </w:tc>
              <w:tc>
                <w:tcPr>
                  <w:tcW w:w="626" w:type="pct"/>
                  <w:vMerge w:val="restart"/>
                  <w:vAlign w:val="center"/>
                </w:tcPr>
                <w:p w14:paraId="62339CD4">
                  <w:pPr>
                    <w:pStyle w:val="69"/>
                    <w:adjustRightInd w:val="0"/>
                    <w:snapToGrid w:val="0"/>
                    <w:jc w:val="center"/>
                    <w:rPr>
                      <w:rFonts w:hint="default"/>
                      <w:color w:val="auto"/>
                      <w:lang w:val="en-US" w:eastAsia="zh-CN"/>
                    </w:rPr>
                  </w:pPr>
                  <w:r>
                    <w:rPr>
                      <w:rFonts w:hint="eastAsia"/>
                      <w:color w:val="auto"/>
                      <w:lang w:val="en-US" w:eastAsia="zh-CN"/>
                    </w:rPr>
                    <w:t>回用生产</w:t>
                  </w:r>
                </w:p>
              </w:tc>
            </w:tr>
            <w:tr w14:paraId="79DF7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exact"/>
                <w:jc w:val="center"/>
              </w:trPr>
              <w:tc>
                <w:tcPr>
                  <w:tcW w:w="308" w:type="pct"/>
                  <w:vMerge w:val="continue"/>
                  <w:vAlign w:val="center"/>
                </w:tcPr>
                <w:p w14:paraId="62ADDD78">
                  <w:pPr>
                    <w:adjustRightInd w:val="0"/>
                    <w:snapToGrid w:val="0"/>
                    <w:jc w:val="center"/>
                    <w:rPr>
                      <w:color w:val="auto"/>
                      <w:lang w:eastAsia="en-US"/>
                    </w:rPr>
                  </w:pPr>
                </w:p>
              </w:tc>
              <w:tc>
                <w:tcPr>
                  <w:tcW w:w="1185" w:type="pct"/>
                  <w:vAlign w:val="center"/>
                </w:tcPr>
                <w:p w14:paraId="27B9F1AA">
                  <w:pPr>
                    <w:pStyle w:val="69"/>
                    <w:adjustRightInd w:val="0"/>
                    <w:snapToGrid w:val="0"/>
                    <w:jc w:val="center"/>
                    <w:rPr>
                      <w:rFonts w:hint="default"/>
                      <w:color w:val="auto"/>
                      <w:lang w:val="en-US" w:eastAsia="zh-CN"/>
                    </w:rPr>
                  </w:pPr>
                  <w:r>
                    <w:rPr>
                      <w:rFonts w:hint="eastAsia"/>
                      <w:color w:val="auto"/>
                      <w:lang w:val="en-US" w:eastAsia="zh-CN"/>
                    </w:rPr>
                    <w:t>废气处理系统收集粉尘</w:t>
                  </w:r>
                </w:p>
              </w:tc>
              <w:tc>
                <w:tcPr>
                  <w:tcW w:w="603" w:type="pct"/>
                  <w:vAlign w:val="center"/>
                </w:tcPr>
                <w:p w14:paraId="1206DE5F">
                  <w:pPr>
                    <w:pStyle w:val="69"/>
                    <w:adjustRightInd w:val="0"/>
                    <w:snapToGrid w:val="0"/>
                    <w:jc w:val="center"/>
                    <w:rPr>
                      <w:color w:val="auto"/>
                    </w:rPr>
                  </w:pPr>
                  <w:r>
                    <w:rPr>
                      <w:color w:val="auto"/>
                    </w:rPr>
                    <w:t>固态</w:t>
                  </w:r>
                </w:p>
              </w:tc>
              <w:tc>
                <w:tcPr>
                  <w:tcW w:w="856" w:type="pct"/>
                  <w:vAlign w:val="center"/>
                </w:tcPr>
                <w:p w14:paraId="2412A98F">
                  <w:pPr>
                    <w:pStyle w:val="69"/>
                    <w:adjustRightInd w:val="0"/>
                    <w:snapToGrid w:val="0"/>
                    <w:jc w:val="center"/>
                    <w:rPr>
                      <w:rFonts w:hint="eastAsia" w:eastAsia="宋体"/>
                      <w:color w:val="auto"/>
                      <w:lang w:eastAsia="zh-CN"/>
                    </w:rPr>
                  </w:pPr>
                  <w:r>
                    <w:rPr>
                      <w:rFonts w:hint="eastAsia"/>
                      <w:color w:val="auto"/>
                      <w:lang w:val="en-US" w:eastAsia="zh-CN"/>
                    </w:rPr>
                    <w:t>粉尘</w:t>
                  </w:r>
                </w:p>
              </w:tc>
              <w:tc>
                <w:tcPr>
                  <w:tcW w:w="629" w:type="pct"/>
                  <w:vAlign w:val="center"/>
                </w:tcPr>
                <w:p w14:paraId="6D6FB0AE">
                  <w:pPr>
                    <w:pStyle w:val="69"/>
                    <w:adjustRightInd w:val="0"/>
                    <w:snapToGrid w:val="0"/>
                    <w:jc w:val="center"/>
                    <w:rPr>
                      <w:rFonts w:hint="default"/>
                      <w:bCs/>
                      <w:color w:val="auto"/>
                      <w:lang w:val="en-US" w:eastAsia="zh-CN"/>
                    </w:rPr>
                  </w:pPr>
                  <w:r>
                    <w:rPr>
                      <w:rFonts w:hint="eastAsia"/>
                      <w:bCs/>
                      <w:color w:val="auto"/>
                      <w:lang w:val="en-US" w:eastAsia="zh-CN"/>
                    </w:rPr>
                    <w:t>0.137</w:t>
                  </w:r>
                </w:p>
              </w:tc>
              <w:tc>
                <w:tcPr>
                  <w:tcW w:w="790" w:type="pct"/>
                  <w:vAlign w:val="center"/>
                </w:tcPr>
                <w:p w14:paraId="7D5066CD">
                  <w:pPr>
                    <w:adjustRightInd w:val="0"/>
                    <w:snapToGrid w:val="0"/>
                    <w:jc w:val="center"/>
                    <w:rPr>
                      <w:color w:val="auto"/>
                    </w:rPr>
                  </w:pPr>
                  <w:r>
                    <w:rPr>
                      <w:color w:val="auto"/>
                    </w:rPr>
                    <w:t>--</w:t>
                  </w:r>
                </w:p>
              </w:tc>
              <w:tc>
                <w:tcPr>
                  <w:tcW w:w="626" w:type="pct"/>
                  <w:vMerge w:val="continue"/>
                  <w:vAlign w:val="center"/>
                </w:tcPr>
                <w:p w14:paraId="332C02FC">
                  <w:pPr>
                    <w:pStyle w:val="69"/>
                    <w:adjustRightInd w:val="0"/>
                    <w:snapToGrid w:val="0"/>
                    <w:jc w:val="center"/>
                    <w:rPr>
                      <w:rFonts w:hint="default"/>
                      <w:color w:val="auto"/>
                      <w:lang w:val="en-US" w:eastAsia="zh-CN"/>
                    </w:rPr>
                  </w:pPr>
                </w:p>
              </w:tc>
            </w:tr>
            <w:tr w14:paraId="4492F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exact"/>
                <w:jc w:val="center"/>
              </w:trPr>
              <w:tc>
                <w:tcPr>
                  <w:tcW w:w="308" w:type="pct"/>
                  <w:vMerge w:val="continue"/>
                  <w:vAlign w:val="center"/>
                </w:tcPr>
                <w:p w14:paraId="067AB245">
                  <w:pPr>
                    <w:adjustRightInd w:val="0"/>
                    <w:snapToGrid w:val="0"/>
                    <w:jc w:val="center"/>
                    <w:rPr>
                      <w:color w:val="auto"/>
                      <w:lang w:eastAsia="en-US"/>
                    </w:rPr>
                  </w:pPr>
                </w:p>
              </w:tc>
              <w:tc>
                <w:tcPr>
                  <w:tcW w:w="1185" w:type="pct"/>
                  <w:vAlign w:val="center"/>
                </w:tcPr>
                <w:p w14:paraId="1F4D3D6E">
                  <w:pPr>
                    <w:pStyle w:val="69"/>
                    <w:adjustRightInd w:val="0"/>
                    <w:snapToGrid w:val="0"/>
                    <w:jc w:val="center"/>
                    <w:rPr>
                      <w:rFonts w:hint="eastAsia"/>
                      <w:color w:val="auto"/>
                      <w:lang w:val="en-US" w:eastAsia="zh-CN"/>
                    </w:rPr>
                  </w:pPr>
                  <w:r>
                    <w:rPr>
                      <w:rFonts w:hint="eastAsia"/>
                      <w:color w:val="auto"/>
                      <w:lang w:val="en-US" w:eastAsia="zh-CN"/>
                    </w:rPr>
                    <w:t>预处理池污泥</w:t>
                  </w:r>
                </w:p>
              </w:tc>
              <w:tc>
                <w:tcPr>
                  <w:tcW w:w="603" w:type="pct"/>
                  <w:vAlign w:val="center"/>
                </w:tcPr>
                <w:p w14:paraId="6874D172">
                  <w:pPr>
                    <w:adjustRightInd w:val="0"/>
                    <w:snapToGrid w:val="0"/>
                    <w:jc w:val="center"/>
                    <w:rPr>
                      <w:color w:val="auto"/>
                    </w:rPr>
                  </w:pPr>
                  <w:r>
                    <w:rPr>
                      <w:color w:val="auto"/>
                    </w:rPr>
                    <w:t>固态</w:t>
                  </w:r>
                </w:p>
              </w:tc>
              <w:tc>
                <w:tcPr>
                  <w:tcW w:w="856" w:type="pct"/>
                  <w:vAlign w:val="center"/>
                </w:tcPr>
                <w:p w14:paraId="19B2D023">
                  <w:pPr>
                    <w:pStyle w:val="69"/>
                    <w:adjustRightInd w:val="0"/>
                    <w:snapToGrid w:val="0"/>
                    <w:jc w:val="center"/>
                    <w:rPr>
                      <w:rFonts w:hint="default" w:eastAsia="宋体"/>
                      <w:color w:val="auto"/>
                      <w:lang w:val="en-US" w:eastAsia="zh-CN"/>
                    </w:rPr>
                  </w:pPr>
                  <w:r>
                    <w:rPr>
                      <w:rFonts w:hint="eastAsia"/>
                      <w:color w:val="auto"/>
                      <w:lang w:val="en-US" w:eastAsia="zh-CN"/>
                    </w:rPr>
                    <w:t>污泥</w:t>
                  </w:r>
                </w:p>
              </w:tc>
              <w:tc>
                <w:tcPr>
                  <w:tcW w:w="629" w:type="pct"/>
                  <w:vAlign w:val="center"/>
                </w:tcPr>
                <w:p w14:paraId="0426D8D9">
                  <w:pPr>
                    <w:pStyle w:val="69"/>
                    <w:adjustRightInd w:val="0"/>
                    <w:snapToGrid w:val="0"/>
                    <w:jc w:val="center"/>
                    <w:rPr>
                      <w:rFonts w:hint="default"/>
                      <w:bCs/>
                      <w:color w:val="auto"/>
                      <w:lang w:val="en-US" w:eastAsia="zh-CN"/>
                    </w:rPr>
                  </w:pPr>
                  <w:r>
                    <w:rPr>
                      <w:rFonts w:hint="eastAsia"/>
                      <w:bCs/>
                      <w:color w:val="auto"/>
                      <w:lang w:val="en-US" w:eastAsia="zh-CN"/>
                    </w:rPr>
                    <w:t>0.00576</w:t>
                  </w:r>
                </w:p>
              </w:tc>
              <w:tc>
                <w:tcPr>
                  <w:tcW w:w="790" w:type="pct"/>
                  <w:vAlign w:val="center"/>
                </w:tcPr>
                <w:p w14:paraId="596AE386">
                  <w:pPr>
                    <w:adjustRightInd w:val="0"/>
                    <w:snapToGrid w:val="0"/>
                    <w:jc w:val="center"/>
                    <w:rPr>
                      <w:color w:val="auto"/>
                    </w:rPr>
                  </w:pPr>
                  <w:r>
                    <w:rPr>
                      <w:color w:val="auto"/>
                    </w:rPr>
                    <w:t>--</w:t>
                  </w:r>
                </w:p>
              </w:tc>
              <w:tc>
                <w:tcPr>
                  <w:tcW w:w="626" w:type="pct"/>
                  <w:vAlign w:val="center"/>
                </w:tcPr>
                <w:p w14:paraId="7FC89518">
                  <w:pPr>
                    <w:pStyle w:val="69"/>
                    <w:adjustRightInd w:val="0"/>
                    <w:snapToGrid w:val="0"/>
                    <w:jc w:val="center"/>
                    <w:rPr>
                      <w:rFonts w:hint="default"/>
                      <w:color w:val="auto"/>
                      <w:lang w:val="en-US" w:eastAsia="zh-CN"/>
                    </w:rPr>
                  </w:pPr>
                  <w:r>
                    <w:rPr>
                      <w:rFonts w:hint="eastAsia"/>
                      <w:color w:val="auto"/>
                      <w:lang w:val="en-US" w:eastAsia="zh-CN"/>
                    </w:rPr>
                    <w:t>农田施肥</w:t>
                  </w:r>
                </w:p>
              </w:tc>
            </w:tr>
            <w:tr w14:paraId="3EF93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exact"/>
                <w:jc w:val="center"/>
              </w:trPr>
              <w:tc>
                <w:tcPr>
                  <w:tcW w:w="308" w:type="pct"/>
                  <w:vMerge w:val="continue"/>
                  <w:vAlign w:val="center"/>
                </w:tcPr>
                <w:p w14:paraId="16F7B17E">
                  <w:pPr>
                    <w:adjustRightInd w:val="0"/>
                    <w:snapToGrid w:val="0"/>
                    <w:jc w:val="center"/>
                    <w:rPr>
                      <w:color w:val="auto"/>
                      <w:lang w:eastAsia="en-US"/>
                    </w:rPr>
                  </w:pPr>
                </w:p>
              </w:tc>
              <w:tc>
                <w:tcPr>
                  <w:tcW w:w="1185" w:type="pct"/>
                  <w:vAlign w:val="center"/>
                </w:tcPr>
                <w:p w14:paraId="44349DA9">
                  <w:pPr>
                    <w:pStyle w:val="69"/>
                    <w:adjustRightInd w:val="0"/>
                    <w:snapToGrid w:val="0"/>
                    <w:jc w:val="center"/>
                    <w:rPr>
                      <w:rFonts w:hint="default"/>
                      <w:color w:val="auto"/>
                      <w:lang w:val="en-US" w:eastAsia="zh-CN"/>
                    </w:rPr>
                  </w:pPr>
                  <w:r>
                    <w:rPr>
                      <w:rFonts w:hint="eastAsia"/>
                      <w:color w:val="auto"/>
                      <w:lang w:val="en-US" w:eastAsia="zh-CN"/>
                    </w:rPr>
                    <w:t>废滤芯</w:t>
                  </w:r>
                </w:p>
              </w:tc>
              <w:tc>
                <w:tcPr>
                  <w:tcW w:w="603" w:type="pct"/>
                  <w:vAlign w:val="center"/>
                </w:tcPr>
                <w:p w14:paraId="06ECCFF5">
                  <w:pPr>
                    <w:adjustRightInd w:val="0"/>
                    <w:snapToGrid w:val="0"/>
                    <w:jc w:val="center"/>
                    <w:rPr>
                      <w:color w:val="auto"/>
                    </w:rPr>
                  </w:pPr>
                  <w:r>
                    <w:rPr>
                      <w:color w:val="auto"/>
                    </w:rPr>
                    <w:t>固态</w:t>
                  </w:r>
                </w:p>
              </w:tc>
              <w:tc>
                <w:tcPr>
                  <w:tcW w:w="856" w:type="pct"/>
                  <w:vAlign w:val="center"/>
                </w:tcPr>
                <w:p w14:paraId="70E19C2F">
                  <w:pPr>
                    <w:pStyle w:val="69"/>
                    <w:adjustRightInd w:val="0"/>
                    <w:snapToGrid w:val="0"/>
                    <w:jc w:val="center"/>
                    <w:rPr>
                      <w:rFonts w:hint="eastAsia" w:eastAsia="宋体"/>
                      <w:color w:val="auto"/>
                      <w:lang w:val="en-US" w:eastAsia="zh-CN"/>
                    </w:rPr>
                  </w:pPr>
                  <w:r>
                    <w:rPr>
                      <w:rFonts w:hint="eastAsia"/>
                      <w:color w:val="auto"/>
                      <w:lang w:val="en-US" w:eastAsia="zh-CN"/>
                    </w:rPr>
                    <w:t>废料</w:t>
                  </w:r>
                </w:p>
              </w:tc>
              <w:tc>
                <w:tcPr>
                  <w:tcW w:w="629" w:type="pct"/>
                  <w:vAlign w:val="center"/>
                </w:tcPr>
                <w:p w14:paraId="1CA98D32">
                  <w:pPr>
                    <w:pStyle w:val="69"/>
                    <w:adjustRightInd w:val="0"/>
                    <w:snapToGrid w:val="0"/>
                    <w:jc w:val="center"/>
                    <w:rPr>
                      <w:rFonts w:hint="default"/>
                      <w:bCs/>
                      <w:color w:val="auto"/>
                      <w:lang w:val="en-US" w:eastAsia="zh-CN"/>
                    </w:rPr>
                  </w:pPr>
                  <w:r>
                    <w:rPr>
                      <w:rFonts w:hint="eastAsia"/>
                      <w:bCs/>
                      <w:color w:val="auto"/>
                      <w:lang w:val="en-US" w:eastAsia="zh-CN"/>
                    </w:rPr>
                    <w:t>0.01</w:t>
                  </w:r>
                </w:p>
              </w:tc>
              <w:tc>
                <w:tcPr>
                  <w:tcW w:w="790" w:type="pct"/>
                  <w:vAlign w:val="center"/>
                </w:tcPr>
                <w:p w14:paraId="284501CE">
                  <w:pPr>
                    <w:adjustRightInd w:val="0"/>
                    <w:snapToGrid w:val="0"/>
                    <w:jc w:val="center"/>
                    <w:rPr>
                      <w:color w:val="auto"/>
                    </w:rPr>
                  </w:pPr>
                  <w:r>
                    <w:rPr>
                      <w:color w:val="auto"/>
                    </w:rPr>
                    <w:t>--</w:t>
                  </w:r>
                </w:p>
              </w:tc>
              <w:tc>
                <w:tcPr>
                  <w:tcW w:w="626" w:type="pct"/>
                  <w:vAlign w:val="center"/>
                </w:tcPr>
                <w:p w14:paraId="66CB5E98">
                  <w:pPr>
                    <w:pStyle w:val="69"/>
                    <w:adjustRightInd w:val="0"/>
                    <w:snapToGrid w:val="0"/>
                    <w:jc w:val="center"/>
                    <w:rPr>
                      <w:rFonts w:hint="eastAsia"/>
                      <w:color w:val="auto"/>
                      <w:lang w:val="en-US" w:eastAsia="zh-CN"/>
                    </w:rPr>
                  </w:pPr>
                  <w:r>
                    <w:rPr>
                      <w:color w:val="auto"/>
                    </w:rPr>
                    <w:t>环卫清运</w:t>
                  </w:r>
                </w:p>
              </w:tc>
            </w:tr>
            <w:tr w14:paraId="42CB5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exact"/>
                <w:jc w:val="center"/>
              </w:trPr>
              <w:tc>
                <w:tcPr>
                  <w:tcW w:w="308" w:type="pct"/>
                  <w:vMerge w:val="continue"/>
                  <w:vAlign w:val="center"/>
                </w:tcPr>
                <w:p w14:paraId="1ED4B908">
                  <w:pPr>
                    <w:adjustRightInd w:val="0"/>
                    <w:snapToGrid w:val="0"/>
                    <w:jc w:val="center"/>
                    <w:rPr>
                      <w:color w:val="auto"/>
                      <w:lang w:eastAsia="en-US"/>
                    </w:rPr>
                  </w:pPr>
                </w:p>
              </w:tc>
              <w:tc>
                <w:tcPr>
                  <w:tcW w:w="1185" w:type="pct"/>
                  <w:vAlign w:val="center"/>
                </w:tcPr>
                <w:p w14:paraId="5381BEDF">
                  <w:pPr>
                    <w:pStyle w:val="69"/>
                    <w:adjustRightInd w:val="0"/>
                    <w:snapToGrid w:val="0"/>
                    <w:jc w:val="center"/>
                    <w:rPr>
                      <w:rFonts w:hint="eastAsia"/>
                      <w:color w:val="auto"/>
                      <w:lang w:val="en-US" w:eastAsia="zh-CN"/>
                    </w:rPr>
                  </w:pPr>
                  <w:r>
                    <w:rPr>
                      <w:rFonts w:hint="eastAsia"/>
                      <w:color w:val="auto"/>
                      <w:lang w:val="en-US" w:eastAsia="zh-CN"/>
                    </w:rPr>
                    <w:t>废焊丝、熔渣</w:t>
                  </w:r>
                </w:p>
              </w:tc>
              <w:tc>
                <w:tcPr>
                  <w:tcW w:w="603" w:type="pct"/>
                  <w:vAlign w:val="center"/>
                </w:tcPr>
                <w:p w14:paraId="119D1312">
                  <w:pPr>
                    <w:adjustRightInd w:val="0"/>
                    <w:snapToGrid w:val="0"/>
                    <w:jc w:val="center"/>
                    <w:rPr>
                      <w:color w:val="auto"/>
                    </w:rPr>
                  </w:pPr>
                  <w:r>
                    <w:rPr>
                      <w:color w:val="auto"/>
                    </w:rPr>
                    <w:t>固态</w:t>
                  </w:r>
                </w:p>
              </w:tc>
              <w:tc>
                <w:tcPr>
                  <w:tcW w:w="856" w:type="pct"/>
                  <w:vAlign w:val="center"/>
                </w:tcPr>
                <w:p w14:paraId="35F07782">
                  <w:pPr>
                    <w:adjustRightInd w:val="0"/>
                    <w:snapToGrid w:val="0"/>
                    <w:jc w:val="center"/>
                    <w:rPr>
                      <w:color w:val="auto"/>
                    </w:rPr>
                  </w:pPr>
                  <w:r>
                    <w:rPr>
                      <w:rFonts w:hint="eastAsia"/>
                      <w:color w:val="auto"/>
                      <w:lang w:val="en-US" w:eastAsia="zh-CN"/>
                    </w:rPr>
                    <w:t>废料</w:t>
                  </w:r>
                </w:p>
              </w:tc>
              <w:tc>
                <w:tcPr>
                  <w:tcW w:w="629" w:type="pct"/>
                  <w:vAlign w:val="center"/>
                </w:tcPr>
                <w:p w14:paraId="3A4E0638">
                  <w:pPr>
                    <w:pStyle w:val="69"/>
                    <w:adjustRightInd w:val="0"/>
                    <w:snapToGrid w:val="0"/>
                    <w:jc w:val="center"/>
                    <w:rPr>
                      <w:rFonts w:hint="default"/>
                      <w:bCs/>
                      <w:color w:val="auto"/>
                      <w:lang w:val="en-US" w:eastAsia="zh-CN"/>
                    </w:rPr>
                  </w:pPr>
                  <w:r>
                    <w:rPr>
                      <w:rFonts w:hint="eastAsia"/>
                      <w:bCs/>
                      <w:color w:val="auto"/>
                      <w:lang w:val="en-US" w:eastAsia="zh-CN"/>
                    </w:rPr>
                    <w:t>0.01</w:t>
                  </w:r>
                </w:p>
              </w:tc>
              <w:tc>
                <w:tcPr>
                  <w:tcW w:w="790" w:type="pct"/>
                  <w:vAlign w:val="center"/>
                </w:tcPr>
                <w:p w14:paraId="77AAA0F1">
                  <w:pPr>
                    <w:adjustRightInd w:val="0"/>
                    <w:snapToGrid w:val="0"/>
                    <w:jc w:val="center"/>
                    <w:rPr>
                      <w:color w:val="auto"/>
                    </w:rPr>
                  </w:pPr>
                  <w:r>
                    <w:rPr>
                      <w:color w:val="auto"/>
                    </w:rPr>
                    <w:t>--</w:t>
                  </w:r>
                </w:p>
              </w:tc>
              <w:tc>
                <w:tcPr>
                  <w:tcW w:w="626" w:type="pct"/>
                  <w:vMerge w:val="restart"/>
                  <w:vAlign w:val="center"/>
                </w:tcPr>
                <w:p w14:paraId="05FCBC26">
                  <w:pPr>
                    <w:pStyle w:val="69"/>
                    <w:adjustRightInd w:val="0"/>
                    <w:snapToGrid w:val="0"/>
                    <w:jc w:val="center"/>
                    <w:rPr>
                      <w:rFonts w:hint="default"/>
                      <w:color w:val="auto"/>
                      <w:lang w:val="en-US" w:eastAsia="zh-CN"/>
                    </w:rPr>
                  </w:pPr>
                  <w:r>
                    <w:rPr>
                      <w:rFonts w:hint="eastAsia"/>
                      <w:color w:val="auto"/>
                      <w:lang w:val="en-US" w:eastAsia="zh-CN"/>
                    </w:rPr>
                    <w:t>外售废品收购站</w:t>
                  </w:r>
                </w:p>
              </w:tc>
            </w:tr>
            <w:tr w14:paraId="4A1D4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exact"/>
                <w:jc w:val="center"/>
              </w:trPr>
              <w:tc>
                <w:tcPr>
                  <w:tcW w:w="308" w:type="pct"/>
                  <w:vMerge w:val="continue"/>
                  <w:vAlign w:val="center"/>
                </w:tcPr>
                <w:p w14:paraId="764F0247">
                  <w:pPr>
                    <w:adjustRightInd w:val="0"/>
                    <w:snapToGrid w:val="0"/>
                    <w:jc w:val="center"/>
                    <w:rPr>
                      <w:color w:val="auto"/>
                      <w:lang w:eastAsia="en-US"/>
                    </w:rPr>
                  </w:pPr>
                </w:p>
              </w:tc>
              <w:tc>
                <w:tcPr>
                  <w:tcW w:w="1185" w:type="pct"/>
                  <w:vAlign w:val="center"/>
                </w:tcPr>
                <w:p w14:paraId="0C0EDE4F">
                  <w:pPr>
                    <w:pStyle w:val="69"/>
                    <w:adjustRightInd w:val="0"/>
                    <w:snapToGrid w:val="0"/>
                    <w:jc w:val="center"/>
                    <w:rPr>
                      <w:rFonts w:hint="eastAsia"/>
                      <w:color w:val="auto"/>
                      <w:lang w:val="en-US" w:eastAsia="zh-CN"/>
                    </w:rPr>
                  </w:pPr>
                  <w:r>
                    <w:rPr>
                      <w:rFonts w:hint="eastAsia"/>
                      <w:color w:val="auto"/>
                      <w:lang w:val="en-US" w:eastAsia="zh-CN"/>
                    </w:rPr>
                    <w:t>钢筋头和不锈钢边角料</w:t>
                  </w:r>
                </w:p>
              </w:tc>
              <w:tc>
                <w:tcPr>
                  <w:tcW w:w="603" w:type="pct"/>
                  <w:vAlign w:val="center"/>
                </w:tcPr>
                <w:p w14:paraId="5EB2C40C">
                  <w:pPr>
                    <w:adjustRightInd w:val="0"/>
                    <w:snapToGrid w:val="0"/>
                    <w:jc w:val="center"/>
                    <w:rPr>
                      <w:color w:val="auto"/>
                    </w:rPr>
                  </w:pPr>
                  <w:r>
                    <w:rPr>
                      <w:color w:val="auto"/>
                    </w:rPr>
                    <w:t>固态</w:t>
                  </w:r>
                </w:p>
              </w:tc>
              <w:tc>
                <w:tcPr>
                  <w:tcW w:w="856" w:type="pct"/>
                  <w:vAlign w:val="center"/>
                </w:tcPr>
                <w:p w14:paraId="78B3510E">
                  <w:pPr>
                    <w:adjustRightInd w:val="0"/>
                    <w:snapToGrid w:val="0"/>
                    <w:jc w:val="center"/>
                    <w:rPr>
                      <w:color w:val="auto"/>
                    </w:rPr>
                  </w:pPr>
                  <w:r>
                    <w:rPr>
                      <w:rFonts w:hint="eastAsia"/>
                      <w:color w:val="auto"/>
                      <w:lang w:val="en-US" w:eastAsia="zh-CN"/>
                    </w:rPr>
                    <w:t>废料</w:t>
                  </w:r>
                </w:p>
              </w:tc>
              <w:tc>
                <w:tcPr>
                  <w:tcW w:w="629" w:type="pct"/>
                  <w:vAlign w:val="center"/>
                </w:tcPr>
                <w:p w14:paraId="4DD71435">
                  <w:pPr>
                    <w:pStyle w:val="69"/>
                    <w:adjustRightInd w:val="0"/>
                    <w:snapToGrid w:val="0"/>
                    <w:jc w:val="center"/>
                    <w:rPr>
                      <w:rFonts w:hint="default"/>
                      <w:bCs/>
                      <w:color w:val="auto"/>
                      <w:lang w:val="en-US" w:eastAsia="zh-CN"/>
                    </w:rPr>
                  </w:pPr>
                  <w:r>
                    <w:rPr>
                      <w:rFonts w:hint="eastAsia"/>
                      <w:bCs/>
                      <w:color w:val="auto"/>
                      <w:lang w:val="en-US" w:eastAsia="zh-CN"/>
                    </w:rPr>
                    <w:t>5</w:t>
                  </w:r>
                </w:p>
              </w:tc>
              <w:tc>
                <w:tcPr>
                  <w:tcW w:w="790" w:type="pct"/>
                  <w:vAlign w:val="center"/>
                </w:tcPr>
                <w:p w14:paraId="5A4E805F">
                  <w:pPr>
                    <w:adjustRightInd w:val="0"/>
                    <w:snapToGrid w:val="0"/>
                    <w:jc w:val="center"/>
                    <w:rPr>
                      <w:color w:val="auto"/>
                    </w:rPr>
                  </w:pPr>
                  <w:r>
                    <w:rPr>
                      <w:color w:val="auto"/>
                    </w:rPr>
                    <w:t>--</w:t>
                  </w:r>
                </w:p>
              </w:tc>
              <w:tc>
                <w:tcPr>
                  <w:tcW w:w="626" w:type="pct"/>
                  <w:vMerge w:val="continue"/>
                  <w:vAlign w:val="center"/>
                </w:tcPr>
                <w:p w14:paraId="5D9304BC">
                  <w:pPr>
                    <w:pStyle w:val="69"/>
                    <w:adjustRightInd w:val="0"/>
                    <w:snapToGrid w:val="0"/>
                    <w:jc w:val="center"/>
                    <w:rPr>
                      <w:rFonts w:hint="eastAsia"/>
                      <w:color w:val="auto"/>
                      <w:lang w:val="en-US" w:eastAsia="zh-CN"/>
                    </w:rPr>
                  </w:pPr>
                </w:p>
              </w:tc>
            </w:tr>
            <w:tr w14:paraId="51107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jc w:val="center"/>
              </w:trPr>
              <w:tc>
                <w:tcPr>
                  <w:tcW w:w="308" w:type="pct"/>
                  <w:vMerge w:val="continue"/>
                  <w:vAlign w:val="center"/>
                </w:tcPr>
                <w:p w14:paraId="3AF1DA89">
                  <w:pPr>
                    <w:adjustRightInd w:val="0"/>
                    <w:snapToGrid w:val="0"/>
                    <w:jc w:val="center"/>
                    <w:rPr>
                      <w:color w:val="auto"/>
                      <w:lang w:eastAsia="en-US"/>
                    </w:rPr>
                  </w:pPr>
                </w:p>
              </w:tc>
              <w:tc>
                <w:tcPr>
                  <w:tcW w:w="1185" w:type="pct"/>
                  <w:vAlign w:val="center"/>
                </w:tcPr>
                <w:p w14:paraId="019AD58B">
                  <w:pPr>
                    <w:pStyle w:val="69"/>
                    <w:adjustRightInd w:val="0"/>
                    <w:snapToGrid w:val="0"/>
                    <w:jc w:val="center"/>
                    <w:rPr>
                      <w:color w:val="auto"/>
                    </w:rPr>
                  </w:pPr>
                  <w:r>
                    <w:rPr>
                      <w:color w:val="auto"/>
                    </w:rPr>
                    <w:t>合计</w:t>
                  </w:r>
                </w:p>
              </w:tc>
              <w:tc>
                <w:tcPr>
                  <w:tcW w:w="603" w:type="pct"/>
                  <w:vAlign w:val="center"/>
                </w:tcPr>
                <w:p w14:paraId="729320ED">
                  <w:pPr>
                    <w:pStyle w:val="69"/>
                    <w:adjustRightInd w:val="0"/>
                    <w:snapToGrid w:val="0"/>
                    <w:jc w:val="center"/>
                    <w:rPr>
                      <w:color w:val="auto"/>
                    </w:rPr>
                  </w:pPr>
                  <w:r>
                    <w:rPr>
                      <w:color w:val="auto"/>
                    </w:rPr>
                    <w:t>--</w:t>
                  </w:r>
                </w:p>
              </w:tc>
              <w:tc>
                <w:tcPr>
                  <w:tcW w:w="856" w:type="pct"/>
                  <w:vAlign w:val="center"/>
                </w:tcPr>
                <w:p w14:paraId="79431D7F">
                  <w:pPr>
                    <w:pStyle w:val="69"/>
                    <w:adjustRightInd w:val="0"/>
                    <w:snapToGrid w:val="0"/>
                    <w:jc w:val="center"/>
                    <w:rPr>
                      <w:color w:val="auto"/>
                    </w:rPr>
                  </w:pPr>
                  <w:r>
                    <w:rPr>
                      <w:color w:val="auto"/>
                    </w:rPr>
                    <w:t>--</w:t>
                  </w:r>
                </w:p>
              </w:tc>
              <w:tc>
                <w:tcPr>
                  <w:tcW w:w="629" w:type="pct"/>
                  <w:vAlign w:val="center"/>
                </w:tcPr>
                <w:p w14:paraId="743DB235">
                  <w:pPr>
                    <w:pStyle w:val="69"/>
                    <w:adjustRightInd w:val="0"/>
                    <w:snapToGrid w:val="0"/>
                    <w:jc w:val="center"/>
                    <w:rPr>
                      <w:rFonts w:hint="default"/>
                      <w:color w:val="auto"/>
                      <w:lang w:val="en-US" w:eastAsia="zh-CN"/>
                    </w:rPr>
                  </w:pPr>
                  <w:r>
                    <w:rPr>
                      <w:rFonts w:hint="eastAsia"/>
                      <w:color w:val="auto"/>
                      <w:lang w:val="en-US" w:eastAsia="zh-CN"/>
                    </w:rPr>
                    <w:t>6.16276</w:t>
                  </w:r>
                </w:p>
              </w:tc>
              <w:tc>
                <w:tcPr>
                  <w:tcW w:w="790" w:type="pct"/>
                  <w:vAlign w:val="center"/>
                </w:tcPr>
                <w:p w14:paraId="33347C4B">
                  <w:pPr>
                    <w:pStyle w:val="69"/>
                    <w:adjustRightInd w:val="0"/>
                    <w:snapToGrid w:val="0"/>
                    <w:jc w:val="center"/>
                    <w:rPr>
                      <w:color w:val="auto"/>
                    </w:rPr>
                  </w:pPr>
                  <w:r>
                    <w:rPr>
                      <w:color w:val="auto"/>
                    </w:rPr>
                    <w:t>--</w:t>
                  </w:r>
                </w:p>
              </w:tc>
              <w:tc>
                <w:tcPr>
                  <w:tcW w:w="626" w:type="pct"/>
                  <w:vAlign w:val="center"/>
                </w:tcPr>
                <w:p w14:paraId="38FC180B">
                  <w:pPr>
                    <w:pStyle w:val="69"/>
                    <w:adjustRightInd w:val="0"/>
                    <w:snapToGrid w:val="0"/>
                    <w:jc w:val="center"/>
                    <w:rPr>
                      <w:color w:val="auto"/>
                    </w:rPr>
                  </w:pPr>
                  <w:r>
                    <w:rPr>
                      <w:color w:val="auto"/>
                    </w:rPr>
                    <w:t>--</w:t>
                  </w:r>
                </w:p>
              </w:tc>
            </w:tr>
            <w:tr w14:paraId="3A22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exact"/>
                <w:jc w:val="center"/>
              </w:trPr>
              <w:tc>
                <w:tcPr>
                  <w:tcW w:w="308" w:type="pct"/>
                  <w:vMerge w:val="restart"/>
                  <w:vAlign w:val="center"/>
                </w:tcPr>
                <w:p w14:paraId="1D9EC21C">
                  <w:pPr>
                    <w:adjustRightInd w:val="0"/>
                    <w:snapToGrid w:val="0"/>
                    <w:jc w:val="center"/>
                    <w:rPr>
                      <w:color w:val="auto"/>
                      <w:lang w:eastAsia="zh-CN"/>
                    </w:rPr>
                  </w:pPr>
                  <w:r>
                    <w:rPr>
                      <w:color w:val="auto"/>
                    </w:rPr>
                    <w:t>危险 废物</w:t>
                  </w:r>
                </w:p>
              </w:tc>
              <w:tc>
                <w:tcPr>
                  <w:tcW w:w="1185" w:type="pct"/>
                  <w:vAlign w:val="center"/>
                </w:tcPr>
                <w:p w14:paraId="07D8831A">
                  <w:pPr>
                    <w:pStyle w:val="69"/>
                    <w:adjustRightInd w:val="0"/>
                    <w:snapToGrid w:val="0"/>
                    <w:jc w:val="center"/>
                    <w:rPr>
                      <w:rFonts w:hint="default"/>
                      <w:color w:val="auto"/>
                      <w:lang w:val="en-US" w:eastAsia="zh-CN"/>
                    </w:rPr>
                  </w:pPr>
                  <w:r>
                    <w:rPr>
                      <w:rFonts w:hint="eastAsia"/>
                      <w:color w:val="auto"/>
                      <w:lang w:eastAsia="zh-CN"/>
                    </w:rPr>
                    <w:t>废抹布、手套</w:t>
                  </w:r>
                </w:p>
              </w:tc>
              <w:tc>
                <w:tcPr>
                  <w:tcW w:w="603" w:type="pct"/>
                  <w:vAlign w:val="center"/>
                </w:tcPr>
                <w:p w14:paraId="33424D02">
                  <w:pPr>
                    <w:pStyle w:val="69"/>
                    <w:adjustRightInd w:val="0"/>
                    <w:snapToGrid w:val="0"/>
                    <w:jc w:val="center"/>
                    <w:rPr>
                      <w:rFonts w:hint="eastAsia"/>
                      <w:color w:val="auto"/>
                      <w:lang w:eastAsia="zh-CN"/>
                    </w:rPr>
                  </w:pPr>
                  <w:r>
                    <w:rPr>
                      <w:rFonts w:hint="eastAsia"/>
                      <w:color w:val="auto"/>
                      <w:lang w:eastAsia="zh-CN"/>
                    </w:rPr>
                    <w:t>固态</w:t>
                  </w:r>
                </w:p>
              </w:tc>
              <w:tc>
                <w:tcPr>
                  <w:tcW w:w="856" w:type="pct"/>
                  <w:vAlign w:val="center"/>
                </w:tcPr>
                <w:p w14:paraId="136633D5">
                  <w:pPr>
                    <w:pStyle w:val="69"/>
                    <w:adjustRightInd w:val="0"/>
                    <w:snapToGrid w:val="0"/>
                    <w:jc w:val="center"/>
                    <w:rPr>
                      <w:rFonts w:hint="default"/>
                      <w:color w:val="auto"/>
                      <w:lang w:val="en-US" w:eastAsia="zh-CN"/>
                    </w:rPr>
                  </w:pPr>
                  <w:r>
                    <w:rPr>
                      <w:rFonts w:hint="eastAsia"/>
                      <w:color w:val="auto"/>
                      <w:lang w:val="en-US" w:eastAsia="zh-CN"/>
                    </w:rPr>
                    <w:t>油污</w:t>
                  </w:r>
                </w:p>
              </w:tc>
              <w:tc>
                <w:tcPr>
                  <w:tcW w:w="629" w:type="pct"/>
                  <w:tcBorders>
                    <w:top w:val="single" w:color="auto" w:sz="4" w:space="0"/>
                    <w:bottom w:val="single" w:color="auto" w:sz="4" w:space="0"/>
                  </w:tcBorders>
                  <w:vAlign w:val="center"/>
                </w:tcPr>
                <w:p w14:paraId="3F5D579C">
                  <w:pPr>
                    <w:pStyle w:val="69"/>
                    <w:adjustRightInd w:val="0"/>
                    <w:snapToGrid w:val="0"/>
                    <w:jc w:val="center"/>
                    <w:rPr>
                      <w:rFonts w:hint="default"/>
                      <w:color w:val="auto"/>
                      <w:lang w:val="en-US" w:eastAsia="zh-CN"/>
                    </w:rPr>
                  </w:pPr>
                  <w:r>
                    <w:rPr>
                      <w:rFonts w:hint="eastAsia"/>
                      <w:color w:val="auto"/>
                      <w:lang w:val="en-US" w:eastAsia="zh-CN"/>
                    </w:rPr>
                    <w:t>0.01</w:t>
                  </w:r>
                </w:p>
              </w:tc>
              <w:tc>
                <w:tcPr>
                  <w:tcW w:w="790" w:type="pct"/>
                  <w:tcBorders>
                    <w:top w:val="single" w:color="auto" w:sz="4" w:space="0"/>
                    <w:bottom w:val="single" w:color="auto" w:sz="4" w:space="0"/>
                  </w:tcBorders>
                  <w:vAlign w:val="center"/>
                </w:tcPr>
                <w:p w14:paraId="01189C25">
                  <w:pPr>
                    <w:pStyle w:val="69"/>
                    <w:adjustRightInd w:val="0"/>
                    <w:snapToGrid w:val="0"/>
                    <w:jc w:val="center"/>
                    <w:rPr>
                      <w:rFonts w:hint="default"/>
                      <w:color w:val="auto"/>
                      <w:lang w:val="en-US" w:eastAsia="zh-CN"/>
                    </w:rPr>
                  </w:pPr>
                  <w:r>
                    <w:rPr>
                      <w:color w:val="auto"/>
                      <w:lang w:eastAsia="zh-CN"/>
                    </w:rPr>
                    <w:t>HW</w:t>
                  </w:r>
                  <w:r>
                    <w:rPr>
                      <w:rFonts w:hint="eastAsia"/>
                      <w:color w:val="auto"/>
                      <w:lang w:eastAsia="zh-CN"/>
                    </w:rPr>
                    <w:t>49</w:t>
                  </w:r>
                </w:p>
              </w:tc>
              <w:tc>
                <w:tcPr>
                  <w:tcW w:w="626" w:type="pct"/>
                  <w:vMerge w:val="restart"/>
                  <w:vAlign w:val="center"/>
                </w:tcPr>
                <w:p w14:paraId="46E15597">
                  <w:pPr>
                    <w:pStyle w:val="69"/>
                    <w:adjustRightInd w:val="0"/>
                    <w:snapToGrid w:val="0"/>
                    <w:jc w:val="center"/>
                    <w:rPr>
                      <w:color w:val="auto"/>
                      <w:lang w:eastAsia="zh-CN"/>
                    </w:rPr>
                  </w:pPr>
                  <w:r>
                    <w:rPr>
                      <w:color w:val="auto"/>
                    </w:rPr>
                    <w:t>暂存危废暂存间，定期交由有资质单位处理</w:t>
                  </w:r>
                </w:p>
              </w:tc>
            </w:tr>
            <w:tr w14:paraId="0812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exact"/>
                <w:jc w:val="center"/>
              </w:trPr>
              <w:tc>
                <w:tcPr>
                  <w:tcW w:w="308" w:type="pct"/>
                  <w:vMerge w:val="continue"/>
                  <w:vAlign w:val="center"/>
                </w:tcPr>
                <w:p w14:paraId="25BB7F02">
                  <w:pPr>
                    <w:adjustRightInd w:val="0"/>
                    <w:snapToGrid w:val="0"/>
                    <w:jc w:val="center"/>
                    <w:rPr>
                      <w:color w:val="auto"/>
                      <w:lang w:eastAsia="zh-CN"/>
                    </w:rPr>
                  </w:pPr>
                </w:p>
              </w:tc>
              <w:tc>
                <w:tcPr>
                  <w:tcW w:w="1185" w:type="pct"/>
                  <w:vAlign w:val="center"/>
                </w:tcPr>
                <w:p w14:paraId="7635A6D5">
                  <w:pPr>
                    <w:pStyle w:val="69"/>
                    <w:adjustRightInd w:val="0"/>
                    <w:snapToGrid w:val="0"/>
                    <w:jc w:val="center"/>
                    <w:rPr>
                      <w:rFonts w:hint="default"/>
                      <w:color w:val="auto"/>
                      <w:lang w:val="en-US" w:eastAsia="zh-CN"/>
                    </w:rPr>
                  </w:pPr>
                  <w:r>
                    <w:rPr>
                      <w:rFonts w:hint="eastAsia"/>
                      <w:color w:val="auto"/>
                      <w:lang w:eastAsia="zh-CN"/>
                    </w:rPr>
                    <w:t>废机油</w:t>
                  </w:r>
                </w:p>
              </w:tc>
              <w:tc>
                <w:tcPr>
                  <w:tcW w:w="603" w:type="pct"/>
                  <w:vAlign w:val="center"/>
                </w:tcPr>
                <w:p w14:paraId="0B3015D3">
                  <w:pPr>
                    <w:pStyle w:val="69"/>
                    <w:adjustRightInd w:val="0"/>
                    <w:snapToGrid w:val="0"/>
                    <w:jc w:val="center"/>
                    <w:rPr>
                      <w:color w:val="auto"/>
                      <w:lang w:eastAsia="zh-CN"/>
                    </w:rPr>
                  </w:pPr>
                  <w:r>
                    <w:rPr>
                      <w:rFonts w:hint="eastAsia"/>
                      <w:color w:val="auto"/>
                      <w:lang w:eastAsia="zh-CN"/>
                    </w:rPr>
                    <w:t>液态</w:t>
                  </w:r>
                </w:p>
              </w:tc>
              <w:tc>
                <w:tcPr>
                  <w:tcW w:w="856" w:type="pct"/>
                  <w:vAlign w:val="center"/>
                </w:tcPr>
                <w:p w14:paraId="0763975C">
                  <w:pPr>
                    <w:pStyle w:val="69"/>
                    <w:adjustRightInd w:val="0"/>
                    <w:snapToGrid w:val="0"/>
                    <w:jc w:val="center"/>
                    <w:rPr>
                      <w:color w:val="auto"/>
                      <w:lang w:eastAsia="zh-CN"/>
                    </w:rPr>
                  </w:pPr>
                  <w:r>
                    <w:rPr>
                      <w:rFonts w:hint="eastAsia"/>
                      <w:color w:val="auto"/>
                      <w:lang w:eastAsia="zh-CN"/>
                    </w:rPr>
                    <w:t>油污</w:t>
                  </w:r>
                </w:p>
              </w:tc>
              <w:tc>
                <w:tcPr>
                  <w:tcW w:w="629" w:type="pct"/>
                  <w:tcBorders>
                    <w:top w:val="single" w:color="auto" w:sz="4" w:space="0"/>
                    <w:bottom w:val="single" w:color="auto" w:sz="4" w:space="0"/>
                  </w:tcBorders>
                  <w:vAlign w:val="center"/>
                </w:tcPr>
                <w:p w14:paraId="5B5D1D37">
                  <w:pPr>
                    <w:pStyle w:val="69"/>
                    <w:adjustRightInd w:val="0"/>
                    <w:snapToGrid w:val="0"/>
                    <w:jc w:val="center"/>
                    <w:rPr>
                      <w:rFonts w:hint="default"/>
                      <w:color w:val="auto"/>
                      <w:lang w:val="en-US" w:eastAsia="zh-CN"/>
                    </w:rPr>
                  </w:pPr>
                  <w:r>
                    <w:rPr>
                      <w:rFonts w:hint="eastAsia"/>
                      <w:color w:val="auto"/>
                      <w:lang w:val="en-US" w:eastAsia="zh-CN"/>
                    </w:rPr>
                    <w:t>0.2</w:t>
                  </w:r>
                </w:p>
              </w:tc>
              <w:tc>
                <w:tcPr>
                  <w:tcW w:w="790" w:type="pct"/>
                  <w:tcBorders>
                    <w:top w:val="single" w:color="auto" w:sz="4" w:space="0"/>
                    <w:bottom w:val="single" w:color="auto" w:sz="4" w:space="0"/>
                  </w:tcBorders>
                  <w:vAlign w:val="center"/>
                </w:tcPr>
                <w:p w14:paraId="24BF73B6">
                  <w:pPr>
                    <w:pStyle w:val="69"/>
                    <w:adjustRightInd w:val="0"/>
                    <w:snapToGrid w:val="0"/>
                    <w:jc w:val="center"/>
                    <w:rPr>
                      <w:color w:val="auto"/>
                      <w:lang w:eastAsia="zh-CN"/>
                    </w:rPr>
                  </w:pPr>
                  <w:r>
                    <w:rPr>
                      <w:color w:val="auto"/>
                      <w:lang w:eastAsia="zh-CN"/>
                    </w:rPr>
                    <w:t>HW</w:t>
                  </w:r>
                  <w:r>
                    <w:rPr>
                      <w:rFonts w:hint="eastAsia"/>
                      <w:color w:val="auto"/>
                      <w:lang w:eastAsia="zh-CN"/>
                    </w:rPr>
                    <w:t>08</w:t>
                  </w:r>
                </w:p>
              </w:tc>
              <w:tc>
                <w:tcPr>
                  <w:tcW w:w="626" w:type="pct"/>
                  <w:vMerge w:val="continue"/>
                  <w:vAlign w:val="center"/>
                </w:tcPr>
                <w:p w14:paraId="4ADB873A">
                  <w:pPr>
                    <w:pStyle w:val="69"/>
                    <w:adjustRightInd w:val="0"/>
                    <w:snapToGrid w:val="0"/>
                    <w:jc w:val="center"/>
                    <w:rPr>
                      <w:color w:val="auto"/>
                      <w:lang w:eastAsia="zh-CN"/>
                    </w:rPr>
                  </w:pPr>
                </w:p>
              </w:tc>
            </w:tr>
            <w:tr w14:paraId="0C471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exact"/>
                <w:jc w:val="center"/>
              </w:trPr>
              <w:tc>
                <w:tcPr>
                  <w:tcW w:w="308" w:type="pct"/>
                  <w:vMerge w:val="continue"/>
                  <w:vAlign w:val="center"/>
                </w:tcPr>
                <w:p w14:paraId="34EF13E7">
                  <w:pPr>
                    <w:adjustRightInd w:val="0"/>
                    <w:snapToGrid w:val="0"/>
                    <w:jc w:val="center"/>
                    <w:rPr>
                      <w:color w:val="auto"/>
                      <w:lang w:eastAsia="zh-CN"/>
                    </w:rPr>
                  </w:pPr>
                </w:p>
              </w:tc>
              <w:tc>
                <w:tcPr>
                  <w:tcW w:w="1185" w:type="pct"/>
                  <w:vAlign w:val="center"/>
                </w:tcPr>
                <w:p w14:paraId="55FAC880">
                  <w:pPr>
                    <w:pStyle w:val="69"/>
                    <w:adjustRightInd w:val="0"/>
                    <w:snapToGrid w:val="0"/>
                    <w:jc w:val="center"/>
                    <w:rPr>
                      <w:color w:val="auto"/>
                      <w:lang w:eastAsia="zh-CN"/>
                    </w:rPr>
                  </w:pPr>
                  <w:r>
                    <w:rPr>
                      <w:color w:val="auto"/>
                      <w:lang w:eastAsia="zh-CN"/>
                    </w:rPr>
                    <w:t>合计</w:t>
                  </w:r>
                </w:p>
              </w:tc>
              <w:tc>
                <w:tcPr>
                  <w:tcW w:w="603" w:type="pct"/>
                  <w:vAlign w:val="center"/>
                </w:tcPr>
                <w:p w14:paraId="19D5803B">
                  <w:pPr>
                    <w:pStyle w:val="69"/>
                    <w:adjustRightInd w:val="0"/>
                    <w:snapToGrid w:val="0"/>
                    <w:jc w:val="center"/>
                    <w:rPr>
                      <w:color w:val="auto"/>
                      <w:lang w:eastAsia="zh-CN"/>
                    </w:rPr>
                  </w:pPr>
                  <w:r>
                    <w:rPr>
                      <w:color w:val="auto"/>
                      <w:lang w:eastAsia="zh-CN"/>
                    </w:rPr>
                    <w:t>--</w:t>
                  </w:r>
                </w:p>
              </w:tc>
              <w:tc>
                <w:tcPr>
                  <w:tcW w:w="856" w:type="pct"/>
                  <w:vAlign w:val="center"/>
                </w:tcPr>
                <w:p w14:paraId="38522EBE">
                  <w:pPr>
                    <w:pStyle w:val="69"/>
                    <w:adjustRightInd w:val="0"/>
                    <w:snapToGrid w:val="0"/>
                    <w:jc w:val="center"/>
                    <w:rPr>
                      <w:color w:val="auto"/>
                      <w:lang w:eastAsia="zh-CN"/>
                    </w:rPr>
                  </w:pPr>
                  <w:r>
                    <w:rPr>
                      <w:color w:val="auto"/>
                      <w:lang w:eastAsia="zh-CN"/>
                    </w:rPr>
                    <w:t>--</w:t>
                  </w:r>
                </w:p>
              </w:tc>
              <w:tc>
                <w:tcPr>
                  <w:tcW w:w="629" w:type="pct"/>
                  <w:vAlign w:val="center"/>
                </w:tcPr>
                <w:p w14:paraId="65EAA7B2">
                  <w:pPr>
                    <w:pStyle w:val="69"/>
                    <w:adjustRightInd w:val="0"/>
                    <w:snapToGrid w:val="0"/>
                    <w:jc w:val="center"/>
                    <w:rPr>
                      <w:rFonts w:hint="default"/>
                      <w:color w:val="auto"/>
                      <w:lang w:val="en-US" w:eastAsia="zh-CN"/>
                    </w:rPr>
                  </w:pPr>
                  <w:r>
                    <w:rPr>
                      <w:rFonts w:hint="eastAsia"/>
                      <w:color w:val="auto"/>
                      <w:lang w:val="en-US" w:eastAsia="zh-CN"/>
                    </w:rPr>
                    <w:t>0.21</w:t>
                  </w:r>
                </w:p>
              </w:tc>
              <w:tc>
                <w:tcPr>
                  <w:tcW w:w="790" w:type="pct"/>
                  <w:vAlign w:val="center"/>
                </w:tcPr>
                <w:p w14:paraId="7149EB45">
                  <w:pPr>
                    <w:pStyle w:val="69"/>
                    <w:adjustRightInd w:val="0"/>
                    <w:snapToGrid w:val="0"/>
                    <w:jc w:val="center"/>
                    <w:rPr>
                      <w:color w:val="auto"/>
                      <w:lang w:eastAsia="zh-CN"/>
                    </w:rPr>
                  </w:pPr>
                  <w:r>
                    <w:rPr>
                      <w:color w:val="auto"/>
                      <w:lang w:eastAsia="zh-CN"/>
                    </w:rPr>
                    <w:t>--</w:t>
                  </w:r>
                </w:p>
              </w:tc>
              <w:tc>
                <w:tcPr>
                  <w:tcW w:w="626" w:type="pct"/>
                  <w:vAlign w:val="center"/>
                </w:tcPr>
                <w:p w14:paraId="16D32E09">
                  <w:pPr>
                    <w:pStyle w:val="69"/>
                    <w:adjustRightInd w:val="0"/>
                    <w:snapToGrid w:val="0"/>
                    <w:jc w:val="center"/>
                    <w:rPr>
                      <w:color w:val="auto"/>
                      <w:lang w:eastAsia="zh-CN"/>
                    </w:rPr>
                  </w:pPr>
                  <w:r>
                    <w:rPr>
                      <w:color w:val="auto"/>
                      <w:lang w:eastAsia="zh-CN"/>
                    </w:rPr>
                    <w:t>--</w:t>
                  </w:r>
                </w:p>
              </w:tc>
            </w:tr>
          </w:tbl>
          <w:p w14:paraId="3F0FD0FE">
            <w:pPr>
              <w:pStyle w:val="27"/>
              <w:rPr>
                <w:rFonts w:hint="eastAsia"/>
                <w:color w:val="auto"/>
                <w:lang w:val="fr-FR"/>
              </w:rPr>
            </w:pPr>
          </w:p>
          <w:p w14:paraId="71BAB08B">
            <w:pPr>
              <w:pStyle w:val="2"/>
              <w:spacing w:line="360" w:lineRule="auto"/>
              <w:ind w:firstLine="480" w:firstLineChars="200"/>
              <w:rPr>
                <w:color w:val="auto"/>
              </w:rPr>
            </w:pPr>
            <w:r>
              <w:rPr>
                <w:color w:val="auto"/>
              </w:rPr>
              <w:t>本项目危险废物产生及处置情况汇总见下表5-</w:t>
            </w:r>
            <w:r>
              <w:rPr>
                <w:rFonts w:hint="eastAsia"/>
                <w:color w:val="auto"/>
                <w:lang w:val="en-US" w:eastAsia="zh-CN"/>
              </w:rPr>
              <w:t>13</w:t>
            </w:r>
            <w:r>
              <w:rPr>
                <w:color w:val="auto"/>
              </w:rPr>
              <w:t>。</w:t>
            </w:r>
          </w:p>
          <w:p w14:paraId="6400D94F">
            <w:pPr>
              <w:jc w:val="center"/>
              <w:rPr>
                <w:b/>
                <w:bCs/>
                <w:color w:val="auto"/>
              </w:rPr>
            </w:pPr>
            <w:r>
              <w:rPr>
                <w:b/>
                <w:bCs/>
                <w:color w:val="auto"/>
              </w:rPr>
              <w:t>表5-</w:t>
            </w:r>
            <w:r>
              <w:rPr>
                <w:rFonts w:hint="eastAsia"/>
                <w:b/>
                <w:bCs/>
                <w:color w:val="auto"/>
                <w:lang w:val="en-US" w:eastAsia="zh-CN"/>
              </w:rPr>
              <w:t>13</w:t>
            </w:r>
            <w:r>
              <w:rPr>
                <w:b/>
                <w:bCs/>
                <w:color w:val="auto"/>
              </w:rPr>
              <w:t xml:space="preserve"> 危险废物产生及处置情况汇总表</w:t>
            </w:r>
          </w:p>
          <w:tbl>
            <w:tblPr>
              <w:tblStyle w:val="22"/>
              <w:tblW w:w="9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2"/>
              <w:gridCol w:w="609"/>
              <w:gridCol w:w="594"/>
              <w:gridCol w:w="1060"/>
              <w:gridCol w:w="882"/>
              <w:gridCol w:w="882"/>
              <w:gridCol w:w="575"/>
              <w:gridCol w:w="898"/>
              <w:gridCol w:w="918"/>
              <w:gridCol w:w="675"/>
              <w:gridCol w:w="792"/>
              <w:gridCol w:w="1236"/>
            </w:tblGrid>
            <w:tr w14:paraId="558D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8" w:hRule="atLeast"/>
                <w:jc w:val="center"/>
              </w:trPr>
              <w:tc>
                <w:tcPr>
                  <w:tcW w:w="322" w:type="dxa"/>
                  <w:vAlign w:val="center"/>
                </w:tcPr>
                <w:p w14:paraId="22705BB8">
                  <w:pPr>
                    <w:spacing w:line="276" w:lineRule="auto"/>
                    <w:jc w:val="center"/>
                    <w:rPr>
                      <w:color w:val="auto"/>
                    </w:rPr>
                  </w:pPr>
                  <w:r>
                    <w:rPr>
                      <w:color w:val="auto"/>
                    </w:rPr>
                    <w:t>序号</w:t>
                  </w:r>
                </w:p>
              </w:tc>
              <w:tc>
                <w:tcPr>
                  <w:tcW w:w="609" w:type="dxa"/>
                  <w:vAlign w:val="center"/>
                </w:tcPr>
                <w:p w14:paraId="276B9461">
                  <w:pPr>
                    <w:spacing w:line="276" w:lineRule="auto"/>
                    <w:jc w:val="center"/>
                    <w:rPr>
                      <w:color w:val="auto"/>
                    </w:rPr>
                  </w:pPr>
                  <w:r>
                    <w:rPr>
                      <w:color w:val="auto"/>
                    </w:rPr>
                    <w:t>危险废物</w:t>
                  </w:r>
                </w:p>
                <w:p w14:paraId="6ABFE882">
                  <w:pPr>
                    <w:spacing w:line="276" w:lineRule="auto"/>
                    <w:jc w:val="center"/>
                    <w:rPr>
                      <w:color w:val="auto"/>
                    </w:rPr>
                  </w:pPr>
                  <w:r>
                    <w:rPr>
                      <w:color w:val="auto"/>
                    </w:rPr>
                    <w:t>名称</w:t>
                  </w:r>
                </w:p>
              </w:tc>
              <w:tc>
                <w:tcPr>
                  <w:tcW w:w="594" w:type="dxa"/>
                  <w:vAlign w:val="center"/>
                </w:tcPr>
                <w:p w14:paraId="58DAAC76">
                  <w:pPr>
                    <w:spacing w:line="276" w:lineRule="auto"/>
                    <w:jc w:val="center"/>
                    <w:rPr>
                      <w:color w:val="auto"/>
                    </w:rPr>
                  </w:pPr>
                  <w:r>
                    <w:rPr>
                      <w:color w:val="auto"/>
                    </w:rPr>
                    <w:t>危险废物类别</w:t>
                  </w:r>
                </w:p>
              </w:tc>
              <w:tc>
                <w:tcPr>
                  <w:tcW w:w="1060" w:type="dxa"/>
                  <w:vAlign w:val="center"/>
                </w:tcPr>
                <w:p w14:paraId="2B5B7944">
                  <w:pPr>
                    <w:spacing w:line="276" w:lineRule="auto"/>
                    <w:jc w:val="center"/>
                    <w:rPr>
                      <w:color w:val="auto"/>
                    </w:rPr>
                  </w:pPr>
                  <w:r>
                    <w:rPr>
                      <w:color w:val="auto"/>
                    </w:rPr>
                    <w:t>危险废物</w:t>
                  </w:r>
                </w:p>
                <w:p w14:paraId="3E62D585">
                  <w:pPr>
                    <w:spacing w:line="276" w:lineRule="auto"/>
                    <w:jc w:val="center"/>
                    <w:rPr>
                      <w:color w:val="auto"/>
                    </w:rPr>
                  </w:pPr>
                  <w:r>
                    <w:rPr>
                      <w:color w:val="auto"/>
                    </w:rPr>
                    <w:t>代码</w:t>
                  </w:r>
                </w:p>
              </w:tc>
              <w:tc>
                <w:tcPr>
                  <w:tcW w:w="882" w:type="dxa"/>
                  <w:vAlign w:val="center"/>
                </w:tcPr>
                <w:p w14:paraId="22DF7F4F">
                  <w:pPr>
                    <w:spacing w:line="276" w:lineRule="auto"/>
                    <w:jc w:val="center"/>
                    <w:rPr>
                      <w:color w:val="auto"/>
                    </w:rPr>
                  </w:pPr>
                  <w:r>
                    <w:rPr>
                      <w:color w:val="auto"/>
                    </w:rPr>
                    <w:t>产生量</w:t>
                  </w:r>
                </w:p>
              </w:tc>
              <w:tc>
                <w:tcPr>
                  <w:tcW w:w="882" w:type="dxa"/>
                  <w:vAlign w:val="center"/>
                </w:tcPr>
                <w:p w14:paraId="24C992C7">
                  <w:pPr>
                    <w:spacing w:line="276" w:lineRule="auto"/>
                    <w:jc w:val="center"/>
                    <w:rPr>
                      <w:color w:val="auto"/>
                    </w:rPr>
                  </w:pPr>
                  <w:r>
                    <w:rPr>
                      <w:color w:val="auto"/>
                    </w:rPr>
                    <w:t>产生工序</w:t>
                  </w:r>
                </w:p>
                <w:p w14:paraId="2AB7ECC6">
                  <w:pPr>
                    <w:spacing w:line="276" w:lineRule="auto"/>
                    <w:jc w:val="center"/>
                    <w:rPr>
                      <w:color w:val="auto"/>
                    </w:rPr>
                  </w:pPr>
                  <w:r>
                    <w:rPr>
                      <w:color w:val="auto"/>
                    </w:rPr>
                    <w:t>及装置</w:t>
                  </w:r>
                </w:p>
              </w:tc>
              <w:tc>
                <w:tcPr>
                  <w:tcW w:w="575" w:type="dxa"/>
                  <w:vAlign w:val="center"/>
                </w:tcPr>
                <w:p w14:paraId="6D4AC8FC">
                  <w:pPr>
                    <w:spacing w:line="276" w:lineRule="auto"/>
                    <w:jc w:val="center"/>
                    <w:rPr>
                      <w:color w:val="auto"/>
                    </w:rPr>
                  </w:pPr>
                  <w:r>
                    <w:rPr>
                      <w:rFonts w:hint="eastAsia"/>
                      <w:color w:val="auto"/>
                    </w:rPr>
                    <w:t>形态</w:t>
                  </w:r>
                </w:p>
              </w:tc>
              <w:tc>
                <w:tcPr>
                  <w:tcW w:w="898" w:type="dxa"/>
                  <w:vAlign w:val="center"/>
                </w:tcPr>
                <w:p w14:paraId="616BCF1F">
                  <w:pPr>
                    <w:spacing w:line="276" w:lineRule="auto"/>
                    <w:jc w:val="center"/>
                    <w:rPr>
                      <w:color w:val="auto"/>
                    </w:rPr>
                  </w:pPr>
                  <w:r>
                    <w:rPr>
                      <w:rFonts w:hint="eastAsia"/>
                      <w:color w:val="auto"/>
                    </w:rPr>
                    <w:t>主要</w:t>
                  </w:r>
                </w:p>
                <w:p w14:paraId="208BE22A">
                  <w:pPr>
                    <w:spacing w:line="276" w:lineRule="auto"/>
                    <w:jc w:val="center"/>
                    <w:rPr>
                      <w:color w:val="auto"/>
                    </w:rPr>
                  </w:pPr>
                  <w:r>
                    <w:rPr>
                      <w:rFonts w:hint="eastAsia"/>
                      <w:color w:val="auto"/>
                    </w:rPr>
                    <w:t>成分</w:t>
                  </w:r>
                </w:p>
              </w:tc>
              <w:tc>
                <w:tcPr>
                  <w:tcW w:w="918" w:type="dxa"/>
                  <w:vAlign w:val="center"/>
                </w:tcPr>
                <w:p w14:paraId="1F27296F">
                  <w:pPr>
                    <w:spacing w:line="276" w:lineRule="auto"/>
                    <w:jc w:val="center"/>
                    <w:rPr>
                      <w:color w:val="auto"/>
                    </w:rPr>
                  </w:pPr>
                  <w:r>
                    <w:rPr>
                      <w:color w:val="auto"/>
                    </w:rPr>
                    <w:t>有害成分</w:t>
                  </w:r>
                </w:p>
              </w:tc>
              <w:tc>
                <w:tcPr>
                  <w:tcW w:w="675" w:type="dxa"/>
                  <w:vAlign w:val="center"/>
                </w:tcPr>
                <w:p w14:paraId="344927AD">
                  <w:pPr>
                    <w:spacing w:line="276" w:lineRule="auto"/>
                    <w:jc w:val="center"/>
                    <w:rPr>
                      <w:color w:val="auto"/>
                    </w:rPr>
                  </w:pPr>
                  <w:r>
                    <w:rPr>
                      <w:rFonts w:hint="eastAsia"/>
                      <w:color w:val="auto"/>
                    </w:rPr>
                    <w:t>产废</w:t>
                  </w:r>
                </w:p>
                <w:p w14:paraId="48074791">
                  <w:pPr>
                    <w:spacing w:line="276" w:lineRule="auto"/>
                    <w:jc w:val="center"/>
                    <w:rPr>
                      <w:color w:val="auto"/>
                    </w:rPr>
                  </w:pPr>
                  <w:r>
                    <w:rPr>
                      <w:rFonts w:hint="eastAsia"/>
                      <w:color w:val="auto"/>
                    </w:rPr>
                    <w:t>周期</w:t>
                  </w:r>
                </w:p>
              </w:tc>
              <w:tc>
                <w:tcPr>
                  <w:tcW w:w="792" w:type="dxa"/>
                  <w:vAlign w:val="center"/>
                </w:tcPr>
                <w:p w14:paraId="1AB17240">
                  <w:pPr>
                    <w:spacing w:line="276" w:lineRule="auto"/>
                    <w:jc w:val="center"/>
                    <w:rPr>
                      <w:color w:val="auto"/>
                    </w:rPr>
                  </w:pPr>
                  <w:r>
                    <w:rPr>
                      <w:color w:val="auto"/>
                    </w:rPr>
                    <w:t>危险</w:t>
                  </w:r>
                </w:p>
                <w:p w14:paraId="54D1076B">
                  <w:pPr>
                    <w:spacing w:line="276" w:lineRule="auto"/>
                    <w:jc w:val="center"/>
                    <w:rPr>
                      <w:color w:val="auto"/>
                    </w:rPr>
                  </w:pPr>
                  <w:r>
                    <w:rPr>
                      <w:color w:val="auto"/>
                    </w:rPr>
                    <w:t>特性</w:t>
                  </w:r>
                </w:p>
              </w:tc>
              <w:tc>
                <w:tcPr>
                  <w:tcW w:w="1236" w:type="dxa"/>
                  <w:vAlign w:val="center"/>
                </w:tcPr>
                <w:p w14:paraId="013894DF">
                  <w:pPr>
                    <w:spacing w:line="276" w:lineRule="auto"/>
                    <w:jc w:val="center"/>
                    <w:rPr>
                      <w:color w:val="auto"/>
                    </w:rPr>
                  </w:pPr>
                  <w:r>
                    <w:rPr>
                      <w:rFonts w:hint="eastAsia"/>
                      <w:color w:val="auto"/>
                    </w:rPr>
                    <w:t>污染</w:t>
                  </w:r>
                </w:p>
                <w:p w14:paraId="3288195F">
                  <w:pPr>
                    <w:spacing w:line="276" w:lineRule="auto"/>
                    <w:jc w:val="center"/>
                    <w:rPr>
                      <w:color w:val="auto"/>
                    </w:rPr>
                  </w:pPr>
                  <w:r>
                    <w:rPr>
                      <w:rFonts w:hint="eastAsia"/>
                      <w:color w:val="auto"/>
                    </w:rPr>
                    <w:t>防治措施</w:t>
                  </w:r>
                </w:p>
              </w:tc>
            </w:tr>
            <w:tr w14:paraId="6F73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322" w:type="dxa"/>
                  <w:vAlign w:val="center"/>
                </w:tcPr>
                <w:p w14:paraId="6B4B2074">
                  <w:pPr>
                    <w:spacing w:line="276" w:lineRule="auto"/>
                    <w:jc w:val="center"/>
                    <w:rPr>
                      <w:color w:val="auto"/>
                    </w:rPr>
                  </w:pPr>
                  <w:r>
                    <w:rPr>
                      <w:color w:val="auto"/>
                    </w:rPr>
                    <w:t>1</w:t>
                  </w:r>
                </w:p>
              </w:tc>
              <w:tc>
                <w:tcPr>
                  <w:tcW w:w="609" w:type="dxa"/>
                  <w:vAlign w:val="center"/>
                </w:tcPr>
                <w:p w14:paraId="59559A6B">
                  <w:pPr>
                    <w:spacing w:line="276" w:lineRule="auto"/>
                    <w:jc w:val="center"/>
                    <w:rPr>
                      <w:color w:val="auto"/>
                    </w:rPr>
                  </w:pPr>
                  <w:r>
                    <w:rPr>
                      <w:rFonts w:hint="eastAsia"/>
                      <w:color w:val="auto"/>
                    </w:rPr>
                    <w:t>废抹布、手套</w:t>
                  </w:r>
                </w:p>
              </w:tc>
              <w:tc>
                <w:tcPr>
                  <w:tcW w:w="594" w:type="dxa"/>
                  <w:vAlign w:val="center"/>
                </w:tcPr>
                <w:p w14:paraId="6B6561EB">
                  <w:pPr>
                    <w:spacing w:line="276" w:lineRule="auto"/>
                    <w:jc w:val="center"/>
                    <w:rPr>
                      <w:color w:val="auto"/>
                    </w:rPr>
                  </w:pPr>
                  <w:r>
                    <w:rPr>
                      <w:color w:val="auto"/>
                    </w:rPr>
                    <w:t>HW49</w:t>
                  </w:r>
                </w:p>
              </w:tc>
              <w:tc>
                <w:tcPr>
                  <w:tcW w:w="1060" w:type="dxa"/>
                  <w:vAlign w:val="center"/>
                </w:tcPr>
                <w:p w14:paraId="621A5EE2">
                  <w:pPr>
                    <w:spacing w:line="276" w:lineRule="auto"/>
                    <w:jc w:val="center"/>
                    <w:rPr>
                      <w:color w:val="auto"/>
                    </w:rPr>
                  </w:pPr>
                  <w:r>
                    <w:rPr>
                      <w:color w:val="auto"/>
                    </w:rPr>
                    <w:t>900-041-49</w:t>
                  </w:r>
                </w:p>
              </w:tc>
              <w:tc>
                <w:tcPr>
                  <w:tcW w:w="882" w:type="dxa"/>
                  <w:vAlign w:val="center"/>
                </w:tcPr>
                <w:p w14:paraId="01E86EC8">
                  <w:pPr>
                    <w:spacing w:line="276" w:lineRule="auto"/>
                    <w:jc w:val="center"/>
                    <w:rPr>
                      <w:color w:val="auto"/>
                    </w:rPr>
                  </w:pPr>
                  <w:r>
                    <w:rPr>
                      <w:rFonts w:hint="eastAsia"/>
                      <w:color w:val="auto"/>
                    </w:rPr>
                    <w:t>0.0</w:t>
                  </w:r>
                  <w:r>
                    <w:rPr>
                      <w:rFonts w:hint="eastAsia"/>
                      <w:color w:val="auto"/>
                      <w:lang w:val="en-US" w:eastAsia="zh-CN"/>
                    </w:rPr>
                    <w:t>1</w:t>
                  </w:r>
                  <w:r>
                    <w:rPr>
                      <w:color w:val="auto"/>
                    </w:rPr>
                    <w:t>t/a</w:t>
                  </w:r>
                </w:p>
              </w:tc>
              <w:tc>
                <w:tcPr>
                  <w:tcW w:w="882" w:type="dxa"/>
                  <w:vAlign w:val="center"/>
                </w:tcPr>
                <w:p w14:paraId="54FB230C">
                  <w:pPr>
                    <w:spacing w:line="276" w:lineRule="auto"/>
                    <w:jc w:val="center"/>
                    <w:rPr>
                      <w:color w:val="auto"/>
                    </w:rPr>
                  </w:pPr>
                  <w:r>
                    <w:rPr>
                      <w:rFonts w:hint="eastAsia"/>
                      <w:color w:val="auto"/>
                    </w:rPr>
                    <w:t>设备</w:t>
                  </w:r>
                  <w:r>
                    <w:rPr>
                      <w:color w:val="auto"/>
                    </w:rPr>
                    <w:t>维护</w:t>
                  </w:r>
                </w:p>
              </w:tc>
              <w:tc>
                <w:tcPr>
                  <w:tcW w:w="575" w:type="dxa"/>
                  <w:vAlign w:val="center"/>
                </w:tcPr>
                <w:p w14:paraId="5010B02D">
                  <w:pPr>
                    <w:spacing w:line="276" w:lineRule="auto"/>
                    <w:jc w:val="center"/>
                    <w:rPr>
                      <w:color w:val="auto"/>
                    </w:rPr>
                  </w:pPr>
                  <w:r>
                    <w:rPr>
                      <w:rFonts w:hint="eastAsia"/>
                      <w:color w:val="auto"/>
                    </w:rPr>
                    <w:t>固态</w:t>
                  </w:r>
                </w:p>
              </w:tc>
              <w:tc>
                <w:tcPr>
                  <w:tcW w:w="898" w:type="dxa"/>
                  <w:vMerge w:val="restart"/>
                  <w:vAlign w:val="center"/>
                </w:tcPr>
                <w:p w14:paraId="72C761B4">
                  <w:pPr>
                    <w:spacing w:line="276" w:lineRule="auto"/>
                    <w:jc w:val="center"/>
                    <w:rPr>
                      <w:color w:val="auto"/>
                    </w:rPr>
                  </w:pPr>
                  <w:r>
                    <w:rPr>
                      <w:color w:val="auto"/>
                    </w:rPr>
                    <w:t>基础油、添加剂</w:t>
                  </w:r>
                </w:p>
              </w:tc>
              <w:tc>
                <w:tcPr>
                  <w:tcW w:w="918" w:type="dxa"/>
                  <w:vAlign w:val="center"/>
                </w:tcPr>
                <w:p w14:paraId="7B2FC98B">
                  <w:pPr>
                    <w:spacing w:line="276" w:lineRule="auto"/>
                    <w:jc w:val="center"/>
                    <w:rPr>
                      <w:color w:val="auto"/>
                    </w:rPr>
                  </w:pPr>
                  <w:r>
                    <w:rPr>
                      <w:color w:val="auto"/>
                    </w:rPr>
                    <w:t>添加剂</w:t>
                  </w:r>
                </w:p>
              </w:tc>
              <w:tc>
                <w:tcPr>
                  <w:tcW w:w="675" w:type="dxa"/>
                  <w:vAlign w:val="center"/>
                </w:tcPr>
                <w:p w14:paraId="70224A3A">
                  <w:pPr>
                    <w:spacing w:line="276" w:lineRule="auto"/>
                    <w:jc w:val="center"/>
                    <w:rPr>
                      <w:color w:val="auto"/>
                    </w:rPr>
                  </w:pPr>
                  <w:r>
                    <w:rPr>
                      <w:rFonts w:hint="eastAsia"/>
                      <w:color w:val="auto"/>
                    </w:rPr>
                    <w:t>3</w:t>
                  </w:r>
                  <w:r>
                    <w:rPr>
                      <w:color w:val="auto"/>
                    </w:rPr>
                    <w:t>个月</w:t>
                  </w:r>
                </w:p>
              </w:tc>
              <w:tc>
                <w:tcPr>
                  <w:tcW w:w="792" w:type="dxa"/>
                  <w:vAlign w:val="center"/>
                </w:tcPr>
                <w:p w14:paraId="0EAA947B">
                  <w:pPr>
                    <w:spacing w:line="276" w:lineRule="auto"/>
                    <w:jc w:val="center"/>
                    <w:rPr>
                      <w:color w:val="auto"/>
                    </w:rPr>
                  </w:pPr>
                  <w:r>
                    <w:rPr>
                      <w:color w:val="auto"/>
                    </w:rPr>
                    <w:t>T，I</w:t>
                  </w:r>
                </w:p>
              </w:tc>
              <w:tc>
                <w:tcPr>
                  <w:tcW w:w="1236" w:type="dxa"/>
                  <w:vMerge w:val="restart"/>
                  <w:vAlign w:val="center"/>
                </w:tcPr>
                <w:p w14:paraId="65305920">
                  <w:pPr>
                    <w:spacing w:line="276" w:lineRule="auto"/>
                    <w:jc w:val="center"/>
                    <w:rPr>
                      <w:color w:val="auto"/>
                    </w:rPr>
                  </w:pPr>
                  <w:r>
                    <w:rPr>
                      <w:color w:val="auto"/>
                    </w:rPr>
                    <w:t>暂存危废暂存间，定期交由有资质单位处理。</w:t>
                  </w:r>
                </w:p>
              </w:tc>
            </w:tr>
            <w:tr w14:paraId="3DA1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322" w:type="dxa"/>
                  <w:vAlign w:val="center"/>
                </w:tcPr>
                <w:p w14:paraId="5F3B688E">
                  <w:pPr>
                    <w:spacing w:line="276" w:lineRule="auto"/>
                    <w:jc w:val="center"/>
                    <w:rPr>
                      <w:color w:val="auto"/>
                    </w:rPr>
                  </w:pPr>
                  <w:r>
                    <w:rPr>
                      <w:rFonts w:hint="eastAsia"/>
                      <w:color w:val="auto"/>
                    </w:rPr>
                    <w:t>2</w:t>
                  </w:r>
                </w:p>
              </w:tc>
              <w:tc>
                <w:tcPr>
                  <w:tcW w:w="609" w:type="dxa"/>
                  <w:vAlign w:val="center"/>
                </w:tcPr>
                <w:p w14:paraId="3BA4B218">
                  <w:pPr>
                    <w:spacing w:line="276" w:lineRule="auto"/>
                    <w:jc w:val="center"/>
                    <w:rPr>
                      <w:rFonts w:hint="default" w:eastAsia="宋体"/>
                      <w:color w:val="auto"/>
                      <w:lang w:val="en-US" w:eastAsia="zh-CN"/>
                    </w:rPr>
                  </w:pPr>
                  <w:r>
                    <w:rPr>
                      <w:rFonts w:hint="eastAsia"/>
                      <w:color w:val="auto"/>
                    </w:rPr>
                    <w:t>废机油</w:t>
                  </w:r>
                </w:p>
              </w:tc>
              <w:tc>
                <w:tcPr>
                  <w:tcW w:w="594" w:type="dxa"/>
                  <w:vAlign w:val="center"/>
                </w:tcPr>
                <w:p w14:paraId="3EA1CECA">
                  <w:pPr>
                    <w:spacing w:line="276" w:lineRule="auto"/>
                    <w:jc w:val="center"/>
                    <w:rPr>
                      <w:color w:val="auto"/>
                    </w:rPr>
                  </w:pPr>
                  <w:r>
                    <w:rPr>
                      <w:color w:val="auto"/>
                    </w:rPr>
                    <w:t>HW</w:t>
                  </w:r>
                  <w:r>
                    <w:rPr>
                      <w:rFonts w:hint="eastAsia"/>
                      <w:color w:val="auto"/>
                    </w:rPr>
                    <w:t>08</w:t>
                  </w:r>
                </w:p>
              </w:tc>
              <w:tc>
                <w:tcPr>
                  <w:tcW w:w="1060" w:type="dxa"/>
                  <w:vAlign w:val="center"/>
                </w:tcPr>
                <w:p w14:paraId="03AD7CD6">
                  <w:pPr>
                    <w:spacing w:line="276" w:lineRule="auto"/>
                    <w:jc w:val="center"/>
                    <w:rPr>
                      <w:color w:val="auto"/>
                    </w:rPr>
                  </w:pPr>
                  <w:r>
                    <w:rPr>
                      <w:color w:val="auto"/>
                    </w:rPr>
                    <w:t>900-</w:t>
                  </w:r>
                  <w:r>
                    <w:rPr>
                      <w:rFonts w:hint="eastAsia"/>
                      <w:color w:val="auto"/>
                    </w:rPr>
                    <w:t>24</w:t>
                  </w:r>
                  <w:r>
                    <w:rPr>
                      <w:rFonts w:hint="eastAsia"/>
                      <w:color w:val="auto"/>
                      <w:lang w:val="en-US" w:eastAsia="zh-CN"/>
                    </w:rPr>
                    <w:t>9</w:t>
                  </w:r>
                  <w:r>
                    <w:rPr>
                      <w:color w:val="auto"/>
                    </w:rPr>
                    <w:t>-</w:t>
                  </w:r>
                  <w:r>
                    <w:rPr>
                      <w:rFonts w:hint="eastAsia"/>
                      <w:color w:val="auto"/>
                    </w:rPr>
                    <w:t>08</w:t>
                  </w:r>
                </w:p>
              </w:tc>
              <w:tc>
                <w:tcPr>
                  <w:tcW w:w="882" w:type="dxa"/>
                  <w:vAlign w:val="center"/>
                </w:tcPr>
                <w:p w14:paraId="0C592E02">
                  <w:pPr>
                    <w:spacing w:line="276" w:lineRule="auto"/>
                    <w:jc w:val="center"/>
                    <w:rPr>
                      <w:color w:val="auto"/>
                    </w:rPr>
                  </w:pPr>
                  <w:r>
                    <w:rPr>
                      <w:rFonts w:hint="eastAsia"/>
                      <w:color w:val="auto"/>
                    </w:rPr>
                    <w:t>0.</w:t>
                  </w:r>
                  <w:r>
                    <w:rPr>
                      <w:rFonts w:hint="eastAsia"/>
                      <w:color w:val="auto"/>
                      <w:lang w:val="en-US" w:eastAsia="zh-CN"/>
                    </w:rPr>
                    <w:t>2</w:t>
                  </w:r>
                  <w:r>
                    <w:rPr>
                      <w:color w:val="auto"/>
                    </w:rPr>
                    <w:t>t/a</w:t>
                  </w:r>
                </w:p>
              </w:tc>
              <w:tc>
                <w:tcPr>
                  <w:tcW w:w="882" w:type="dxa"/>
                  <w:vAlign w:val="center"/>
                </w:tcPr>
                <w:p w14:paraId="0ECF0760">
                  <w:pPr>
                    <w:spacing w:line="276" w:lineRule="auto"/>
                    <w:jc w:val="center"/>
                    <w:rPr>
                      <w:color w:val="auto"/>
                    </w:rPr>
                  </w:pPr>
                  <w:r>
                    <w:rPr>
                      <w:rFonts w:hint="eastAsia"/>
                      <w:color w:val="auto"/>
                    </w:rPr>
                    <w:t>设备</w:t>
                  </w:r>
                  <w:r>
                    <w:rPr>
                      <w:color w:val="auto"/>
                    </w:rPr>
                    <w:t>维护</w:t>
                  </w:r>
                </w:p>
              </w:tc>
              <w:tc>
                <w:tcPr>
                  <w:tcW w:w="575" w:type="dxa"/>
                  <w:vAlign w:val="center"/>
                </w:tcPr>
                <w:p w14:paraId="1104BF8E">
                  <w:pPr>
                    <w:spacing w:line="276" w:lineRule="auto"/>
                    <w:jc w:val="center"/>
                    <w:rPr>
                      <w:color w:val="auto"/>
                    </w:rPr>
                  </w:pPr>
                  <w:r>
                    <w:rPr>
                      <w:rFonts w:hint="eastAsia"/>
                      <w:color w:val="auto"/>
                    </w:rPr>
                    <w:t>液态</w:t>
                  </w:r>
                </w:p>
              </w:tc>
              <w:tc>
                <w:tcPr>
                  <w:tcW w:w="898" w:type="dxa"/>
                  <w:vMerge w:val="continue"/>
                  <w:vAlign w:val="center"/>
                </w:tcPr>
                <w:p w14:paraId="0C229E68">
                  <w:pPr>
                    <w:spacing w:line="276" w:lineRule="auto"/>
                    <w:jc w:val="center"/>
                    <w:rPr>
                      <w:color w:val="auto"/>
                    </w:rPr>
                  </w:pPr>
                </w:p>
              </w:tc>
              <w:tc>
                <w:tcPr>
                  <w:tcW w:w="918" w:type="dxa"/>
                  <w:vAlign w:val="center"/>
                </w:tcPr>
                <w:p w14:paraId="70ECF8B8">
                  <w:pPr>
                    <w:spacing w:line="276" w:lineRule="auto"/>
                    <w:jc w:val="center"/>
                    <w:rPr>
                      <w:color w:val="auto"/>
                    </w:rPr>
                  </w:pPr>
                  <w:r>
                    <w:rPr>
                      <w:color w:val="auto"/>
                    </w:rPr>
                    <w:t>添加剂</w:t>
                  </w:r>
                </w:p>
              </w:tc>
              <w:tc>
                <w:tcPr>
                  <w:tcW w:w="675" w:type="dxa"/>
                  <w:vAlign w:val="center"/>
                </w:tcPr>
                <w:p w14:paraId="4F27B6A3">
                  <w:pPr>
                    <w:spacing w:line="276" w:lineRule="auto"/>
                    <w:jc w:val="center"/>
                    <w:rPr>
                      <w:color w:val="auto"/>
                    </w:rPr>
                  </w:pPr>
                  <w:r>
                    <w:rPr>
                      <w:rFonts w:hint="eastAsia"/>
                      <w:color w:val="auto"/>
                    </w:rPr>
                    <w:t>6</w:t>
                  </w:r>
                  <w:r>
                    <w:rPr>
                      <w:color w:val="auto"/>
                    </w:rPr>
                    <w:t>个月</w:t>
                  </w:r>
                </w:p>
              </w:tc>
              <w:tc>
                <w:tcPr>
                  <w:tcW w:w="792" w:type="dxa"/>
                  <w:vAlign w:val="center"/>
                </w:tcPr>
                <w:p w14:paraId="589086E5">
                  <w:pPr>
                    <w:spacing w:line="276" w:lineRule="auto"/>
                    <w:jc w:val="center"/>
                    <w:rPr>
                      <w:color w:val="auto"/>
                    </w:rPr>
                  </w:pPr>
                  <w:r>
                    <w:rPr>
                      <w:color w:val="auto"/>
                    </w:rPr>
                    <w:t>T，I</w:t>
                  </w:r>
                </w:p>
              </w:tc>
              <w:tc>
                <w:tcPr>
                  <w:tcW w:w="1236" w:type="dxa"/>
                  <w:vMerge w:val="continue"/>
                  <w:vAlign w:val="center"/>
                </w:tcPr>
                <w:p w14:paraId="44CAC69C">
                  <w:pPr>
                    <w:spacing w:line="276" w:lineRule="auto"/>
                    <w:jc w:val="center"/>
                    <w:rPr>
                      <w:color w:val="auto"/>
                    </w:rPr>
                  </w:pPr>
                </w:p>
              </w:tc>
            </w:tr>
          </w:tbl>
          <w:p w14:paraId="1FDB0AAF">
            <w:pPr>
              <w:pStyle w:val="2"/>
              <w:spacing w:line="360" w:lineRule="auto"/>
              <w:ind w:firstLine="480" w:firstLineChars="200"/>
              <w:rPr>
                <w:color w:val="auto"/>
              </w:rPr>
            </w:pPr>
            <w:r>
              <w:rPr>
                <w:color w:val="auto"/>
              </w:rPr>
              <w:t>本项目危废暂存间设置情况见下表5-</w:t>
            </w:r>
            <w:r>
              <w:rPr>
                <w:rFonts w:hint="eastAsia"/>
                <w:color w:val="auto"/>
                <w:lang w:val="en-US" w:eastAsia="zh-CN"/>
              </w:rPr>
              <w:t>14</w:t>
            </w:r>
            <w:r>
              <w:rPr>
                <w:color w:val="auto"/>
              </w:rPr>
              <w:t>。</w:t>
            </w:r>
          </w:p>
          <w:p w14:paraId="28BAD54A">
            <w:pPr>
              <w:jc w:val="center"/>
              <w:rPr>
                <w:b/>
                <w:bCs/>
                <w:color w:val="auto"/>
              </w:rPr>
            </w:pPr>
            <w:r>
              <w:rPr>
                <w:b/>
                <w:bCs/>
                <w:color w:val="auto"/>
              </w:rPr>
              <w:t>表5-</w:t>
            </w:r>
            <w:r>
              <w:rPr>
                <w:rFonts w:hint="eastAsia"/>
                <w:b/>
                <w:bCs/>
                <w:color w:val="auto"/>
                <w:lang w:val="en-US" w:eastAsia="zh-CN"/>
              </w:rPr>
              <w:t>14</w:t>
            </w:r>
            <w:r>
              <w:rPr>
                <w:b/>
                <w:bCs/>
                <w:color w:val="auto"/>
              </w:rPr>
              <w:tab/>
            </w:r>
            <w:r>
              <w:rPr>
                <w:b/>
                <w:bCs/>
                <w:color w:val="auto"/>
              </w:rPr>
              <w:t>项目危废暂存间基本情况</w:t>
            </w:r>
          </w:p>
          <w:tbl>
            <w:tblPr>
              <w:tblStyle w:val="22"/>
              <w:tblW w:w="95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99"/>
              <w:gridCol w:w="1158"/>
              <w:gridCol w:w="889"/>
              <w:gridCol w:w="1196"/>
              <w:gridCol w:w="900"/>
              <w:gridCol w:w="829"/>
              <w:gridCol w:w="1050"/>
              <w:gridCol w:w="855"/>
              <w:gridCol w:w="869"/>
            </w:tblGrid>
            <w:tr w14:paraId="36560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33" w:type="dxa"/>
                  <w:vAlign w:val="center"/>
                </w:tcPr>
                <w:p w14:paraId="3A4CCEB9">
                  <w:pPr>
                    <w:topLinePunct/>
                    <w:adjustRightInd w:val="0"/>
                    <w:snapToGrid w:val="0"/>
                    <w:jc w:val="center"/>
                    <w:rPr>
                      <w:color w:val="auto"/>
                    </w:rPr>
                  </w:pPr>
                  <w:r>
                    <w:rPr>
                      <w:rFonts w:hint="eastAsia"/>
                      <w:color w:val="auto"/>
                    </w:rPr>
                    <w:t>序号</w:t>
                  </w:r>
                </w:p>
              </w:tc>
              <w:tc>
                <w:tcPr>
                  <w:tcW w:w="1299" w:type="dxa"/>
                  <w:vAlign w:val="center"/>
                </w:tcPr>
                <w:p w14:paraId="0AB50278">
                  <w:pPr>
                    <w:topLinePunct/>
                    <w:adjustRightInd w:val="0"/>
                    <w:snapToGrid w:val="0"/>
                    <w:jc w:val="center"/>
                    <w:rPr>
                      <w:color w:val="auto"/>
                    </w:rPr>
                  </w:pPr>
                  <w:r>
                    <w:rPr>
                      <w:rFonts w:hint="eastAsia"/>
                      <w:color w:val="auto"/>
                    </w:rPr>
                    <w:t>贮存场所（设施）</w:t>
                  </w:r>
                </w:p>
                <w:p w14:paraId="74C2E1F1">
                  <w:pPr>
                    <w:topLinePunct/>
                    <w:adjustRightInd w:val="0"/>
                    <w:snapToGrid w:val="0"/>
                    <w:jc w:val="center"/>
                    <w:rPr>
                      <w:color w:val="auto"/>
                    </w:rPr>
                  </w:pPr>
                  <w:r>
                    <w:rPr>
                      <w:rFonts w:hint="eastAsia"/>
                      <w:color w:val="auto"/>
                    </w:rPr>
                    <w:t>名称</w:t>
                  </w:r>
                </w:p>
              </w:tc>
              <w:tc>
                <w:tcPr>
                  <w:tcW w:w="1158" w:type="dxa"/>
                  <w:vAlign w:val="center"/>
                </w:tcPr>
                <w:p w14:paraId="79B025B9">
                  <w:pPr>
                    <w:topLinePunct/>
                    <w:adjustRightInd w:val="0"/>
                    <w:snapToGrid w:val="0"/>
                    <w:jc w:val="center"/>
                    <w:rPr>
                      <w:color w:val="auto"/>
                    </w:rPr>
                  </w:pPr>
                  <w:r>
                    <w:rPr>
                      <w:rFonts w:hint="eastAsia"/>
                      <w:color w:val="auto"/>
                    </w:rPr>
                    <w:t>危险废物名称</w:t>
                  </w:r>
                </w:p>
              </w:tc>
              <w:tc>
                <w:tcPr>
                  <w:tcW w:w="889" w:type="dxa"/>
                  <w:vAlign w:val="center"/>
                </w:tcPr>
                <w:p w14:paraId="75F89DF2">
                  <w:pPr>
                    <w:topLinePunct/>
                    <w:adjustRightInd w:val="0"/>
                    <w:snapToGrid w:val="0"/>
                    <w:jc w:val="center"/>
                    <w:rPr>
                      <w:color w:val="auto"/>
                    </w:rPr>
                  </w:pPr>
                  <w:r>
                    <w:rPr>
                      <w:rFonts w:hint="eastAsia"/>
                      <w:color w:val="auto"/>
                    </w:rPr>
                    <w:t>危险废物类别</w:t>
                  </w:r>
                </w:p>
              </w:tc>
              <w:tc>
                <w:tcPr>
                  <w:tcW w:w="1196" w:type="dxa"/>
                  <w:vAlign w:val="center"/>
                </w:tcPr>
                <w:p w14:paraId="236B06D7">
                  <w:pPr>
                    <w:topLinePunct/>
                    <w:adjustRightInd w:val="0"/>
                    <w:snapToGrid w:val="0"/>
                    <w:jc w:val="center"/>
                    <w:rPr>
                      <w:color w:val="auto"/>
                    </w:rPr>
                  </w:pPr>
                  <w:r>
                    <w:rPr>
                      <w:rFonts w:hint="eastAsia"/>
                      <w:color w:val="auto"/>
                    </w:rPr>
                    <w:t>危险废物代码</w:t>
                  </w:r>
                </w:p>
              </w:tc>
              <w:tc>
                <w:tcPr>
                  <w:tcW w:w="900" w:type="dxa"/>
                  <w:vAlign w:val="center"/>
                </w:tcPr>
                <w:p w14:paraId="5C22F27C">
                  <w:pPr>
                    <w:topLinePunct/>
                    <w:adjustRightInd w:val="0"/>
                    <w:snapToGrid w:val="0"/>
                    <w:jc w:val="center"/>
                    <w:rPr>
                      <w:color w:val="auto"/>
                    </w:rPr>
                  </w:pPr>
                  <w:r>
                    <w:rPr>
                      <w:rFonts w:hint="eastAsia"/>
                      <w:color w:val="auto"/>
                    </w:rPr>
                    <w:t>位置</w:t>
                  </w:r>
                </w:p>
              </w:tc>
              <w:tc>
                <w:tcPr>
                  <w:tcW w:w="829" w:type="dxa"/>
                  <w:vAlign w:val="center"/>
                </w:tcPr>
                <w:p w14:paraId="55696276">
                  <w:pPr>
                    <w:topLinePunct/>
                    <w:adjustRightInd w:val="0"/>
                    <w:snapToGrid w:val="0"/>
                    <w:jc w:val="center"/>
                    <w:rPr>
                      <w:color w:val="auto"/>
                    </w:rPr>
                  </w:pPr>
                  <w:r>
                    <w:rPr>
                      <w:rFonts w:hint="eastAsia"/>
                      <w:color w:val="auto"/>
                    </w:rPr>
                    <w:t>占地</w:t>
                  </w:r>
                </w:p>
                <w:p w14:paraId="65CA2ED6">
                  <w:pPr>
                    <w:topLinePunct/>
                    <w:adjustRightInd w:val="0"/>
                    <w:snapToGrid w:val="0"/>
                    <w:jc w:val="center"/>
                    <w:rPr>
                      <w:color w:val="auto"/>
                    </w:rPr>
                  </w:pPr>
                  <w:r>
                    <w:rPr>
                      <w:rFonts w:hint="eastAsia"/>
                      <w:color w:val="auto"/>
                    </w:rPr>
                    <w:t>面积</w:t>
                  </w:r>
                </w:p>
              </w:tc>
              <w:tc>
                <w:tcPr>
                  <w:tcW w:w="1050" w:type="dxa"/>
                  <w:vAlign w:val="center"/>
                </w:tcPr>
                <w:p w14:paraId="14311413">
                  <w:pPr>
                    <w:topLinePunct/>
                    <w:adjustRightInd w:val="0"/>
                    <w:snapToGrid w:val="0"/>
                    <w:jc w:val="center"/>
                    <w:rPr>
                      <w:color w:val="auto"/>
                    </w:rPr>
                  </w:pPr>
                  <w:r>
                    <w:rPr>
                      <w:rFonts w:hint="eastAsia"/>
                      <w:color w:val="auto"/>
                    </w:rPr>
                    <w:t>贮存方式</w:t>
                  </w:r>
                </w:p>
              </w:tc>
              <w:tc>
                <w:tcPr>
                  <w:tcW w:w="855" w:type="dxa"/>
                  <w:vAlign w:val="center"/>
                </w:tcPr>
                <w:p w14:paraId="768D9541">
                  <w:pPr>
                    <w:topLinePunct/>
                    <w:adjustRightInd w:val="0"/>
                    <w:snapToGrid w:val="0"/>
                    <w:jc w:val="center"/>
                    <w:rPr>
                      <w:color w:val="auto"/>
                    </w:rPr>
                  </w:pPr>
                  <w:r>
                    <w:rPr>
                      <w:rFonts w:hint="eastAsia"/>
                      <w:color w:val="auto"/>
                    </w:rPr>
                    <w:t>贮存</w:t>
                  </w:r>
                </w:p>
                <w:p w14:paraId="1BA23DF9">
                  <w:pPr>
                    <w:topLinePunct/>
                    <w:adjustRightInd w:val="0"/>
                    <w:snapToGrid w:val="0"/>
                    <w:jc w:val="center"/>
                    <w:rPr>
                      <w:color w:val="auto"/>
                    </w:rPr>
                  </w:pPr>
                  <w:r>
                    <w:rPr>
                      <w:rFonts w:hint="eastAsia"/>
                      <w:color w:val="auto"/>
                    </w:rPr>
                    <w:t>能力</w:t>
                  </w:r>
                </w:p>
              </w:tc>
              <w:tc>
                <w:tcPr>
                  <w:tcW w:w="869" w:type="dxa"/>
                  <w:vAlign w:val="center"/>
                </w:tcPr>
                <w:p w14:paraId="4C319614">
                  <w:pPr>
                    <w:topLinePunct/>
                    <w:adjustRightInd w:val="0"/>
                    <w:snapToGrid w:val="0"/>
                    <w:jc w:val="center"/>
                    <w:rPr>
                      <w:color w:val="auto"/>
                    </w:rPr>
                  </w:pPr>
                  <w:r>
                    <w:rPr>
                      <w:rFonts w:hint="eastAsia"/>
                      <w:color w:val="auto"/>
                    </w:rPr>
                    <w:t>贮存</w:t>
                  </w:r>
                </w:p>
                <w:p w14:paraId="61F42069">
                  <w:pPr>
                    <w:topLinePunct/>
                    <w:adjustRightInd w:val="0"/>
                    <w:snapToGrid w:val="0"/>
                    <w:jc w:val="center"/>
                    <w:rPr>
                      <w:color w:val="auto"/>
                    </w:rPr>
                  </w:pPr>
                  <w:r>
                    <w:rPr>
                      <w:rFonts w:hint="eastAsia"/>
                      <w:color w:val="auto"/>
                    </w:rPr>
                    <w:t>周期</w:t>
                  </w:r>
                </w:p>
              </w:tc>
            </w:tr>
            <w:tr w14:paraId="21062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533" w:type="dxa"/>
                  <w:vAlign w:val="center"/>
                </w:tcPr>
                <w:p w14:paraId="472A0007">
                  <w:pPr>
                    <w:topLinePunct/>
                    <w:adjustRightInd w:val="0"/>
                    <w:snapToGrid w:val="0"/>
                    <w:jc w:val="center"/>
                    <w:rPr>
                      <w:color w:val="auto"/>
                    </w:rPr>
                  </w:pPr>
                  <w:r>
                    <w:rPr>
                      <w:rFonts w:hint="eastAsia"/>
                      <w:color w:val="auto"/>
                    </w:rPr>
                    <w:t>1</w:t>
                  </w:r>
                </w:p>
              </w:tc>
              <w:tc>
                <w:tcPr>
                  <w:tcW w:w="1299" w:type="dxa"/>
                  <w:vAlign w:val="center"/>
                </w:tcPr>
                <w:p w14:paraId="7B9AE5EE">
                  <w:pPr>
                    <w:topLinePunct/>
                    <w:adjustRightInd w:val="0"/>
                    <w:snapToGrid w:val="0"/>
                    <w:jc w:val="center"/>
                    <w:rPr>
                      <w:color w:val="auto"/>
                    </w:rPr>
                  </w:pPr>
                  <w:r>
                    <w:rPr>
                      <w:rFonts w:hint="eastAsia"/>
                      <w:color w:val="auto"/>
                    </w:rPr>
                    <w:t>危废暂存间</w:t>
                  </w:r>
                </w:p>
              </w:tc>
              <w:tc>
                <w:tcPr>
                  <w:tcW w:w="1158" w:type="dxa"/>
                  <w:vAlign w:val="center"/>
                </w:tcPr>
                <w:p w14:paraId="5A27432C">
                  <w:pPr>
                    <w:spacing w:line="276" w:lineRule="auto"/>
                    <w:jc w:val="center"/>
                    <w:rPr>
                      <w:color w:val="auto"/>
                    </w:rPr>
                  </w:pPr>
                  <w:r>
                    <w:rPr>
                      <w:rFonts w:hint="eastAsia"/>
                      <w:color w:val="auto"/>
                    </w:rPr>
                    <w:t>废抹布、手套</w:t>
                  </w:r>
                </w:p>
              </w:tc>
              <w:tc>
                <w:tcPr>
                  <w:tcW w:w="889" w:type="dxa"/>
                  <w:vAlign w:val="center"/>
                </w:tcPr>
                <w:p w14:paraId="5988C550">
                  <w:pPr>
                    <w:spacing w:line="276" w:lineRule="auto"/>
                    <w:jc w:val="center"/>
                    <w:rPr>
                      <w:color w:val="auto"/>
                    </w:rPr>
                  </w:pPr>
                  <w:r>
                    <w:rPr>
                      <w:color w:val="auto"/>
                    </w:rPr>
                    <w:t>HW49</w:t>
                  </w:r>
                </w:p>
              </w:tc>
              <w:tc>
                <w:tcPr>
                  <w:tcW w:w="1196" w:type="dxa"/>
                  <w:vAlign w:val="center"/>
                </w:tcPr>
                <w:p w14:paraId="0CEE71DB">
                  <w:pPr>
                    <w:spacing w:line="276" w:lineRule="auto"/>
                    <w:jc w:val="center"/>
                    <w:rPr>
                      <w:color w:val="auto"/>
                    </w:rPr>
                  </w:pPr>
                  <w:r>
                    <w:rPr>
                      <w:color w:val="auto"/>
                    </w:rPr>
                    <w:t>900-041-49</w:t>
                  </w:r>
                </w:p>
              </w:tc>
              <w:tc>
                <w:tcPr>
                  <w:tcW w:w="900" w:type="dxa"/>
                  <w:vMerge w:val="restart"/>
                  <w:vAlign w:val="center"/>
                </w:tcPr>
                <w:p w14:paraId="7D14F89B">
                  <w:pPr>
                    <w:topLinePunct/>
                    <w:adjustRightInd w:val="0"/>
                    <w:snapToGrid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办公楼1楼</w:t>
                  </w:r>
                </w:p>
              </w:tc>
              <w:tc>
                <w:tcPr>
                  <w:tcW w:w="829" w:type="dxa"/>
                  <w:vAlign w:val="center"/>
                </w:tcPr>
                <w:p w14:paraId="6FDE049A">
                  <w:pPr>
                    <w:topLinePunct/>
                    <w:adjustRightInd w:val="0"/>
                    <w:snapToGrid w:val="0"/>
                    <w:jc w:val="center"/>
                    <w:rPr>
                      <w:color w:val="auto"/>
                    </w:rPr>
                  </w:pPr>
                  <w:r>
                    <w:rPr>
                      <w:rFonts w:hint="eastAsia"/>
                      <w:color w:val="auto"/>
                      <w:lang w:val="en-US" w:eastAsia="zh-CN"/>
                    </w:rPr>
                    <w:t>10</w:t>
                  </w:r>
                  <w:r>
                    <w:rPr>
                      <w:rFonts w:hint="eastAsia"/>
                      <w:color w:val="auto"/>
                    </w:rPr>
                    <w:t>m</w:t>
                  </w:r>
                  <w:r>
                    <w:rPr>
                      <w:rFonts w:hint="eastAsia"/>
                      <w:color w:val="auto"/>
                      <w:vertAlign w:val="superscript"/>
                    </w:rPr>
                    <w:t>2</w:t>
                  </w:r>
                </w:p>
              </w:tc>
              <w:tc>
                <w:tcPr>
                  <w:tcW w:w="1050" w:type="dxa"/>
                  <w:vAlign w:val="center"/>
                </w:tcPr>
                <w:p w14:paraId="140244F8">
                  <w:pPr>
                    <w:topLinePunct/>
                    <w:adjustRightInd w:val="0"/>
                    <w:snapToGrid w:val="0"/>
                    <w:jc w:val="center"/>
                    <w:rPr>
                      <w:color w:val="auto"/>
                    </w:rPr>
                  </w:pPr>
                  <w:r>
                    <w:rPr>
                      <w:rFonts w:hint="eastAsia"/>
                      <w:color w:val="auto"/>
                    </w:rPr>
                    <w:t>桶装</w:t>
                  </w:r>
                </w:p>
              </w:tc>
              <w:tc>
                <w:tcPr>
                  <w:tcW w:w="855" w:type="dxa"/>
                  <w:vAlign w:val="center"/>
                </w:tcPr>
                <w:p w14:paraId="07D1DAC5">
                  <w:pPr>
                    <w:topLinePunct/>
                    <w:adjustRightInd w:val="0"/>
                    <w:snapToGrid w:val="0"/>
                    <w:jc w:val="center"/>
                    <w:rPr>
                      <w:color w:val="auto"/>
                    </w:rPr>
                  </w:pPr>
                  <w:r>
                    <w:rPr>
                      <w:rFonts w:hint="eastAsia"/>
                      <w:color w:val="auto"/>
                    </w:rPr>
                    <w:t>1t/a</w:t>
                  </w:r>
                </w:p>
              </w:tc>
              <w:tc>
                <w:tcPr>
                  <w:tcW w:w="869" w:type="dxa"/>
                  <w:vAlign w:val="center"/>
                </w:tcPr>
                <w:p w14:paraId="31878822">
                  <w:pPr>
                    <w:topLinePunct/>
                    <w:adjustRightInd w:val="0"/>
                    <w:snapToGrid w:val="0"/>
                    <w:jc w:val="center"/>
                    <w:rPr>
                      <w:color w:val="auto"/>
                    </w:rPr>
                  </w:pPr>
                  <w:r>
                    <w:rPr>
                      <w:rFonts w:hint="eastAsia"/>
                      <w:color w:val="auto"/>
                    </w:rPr>
                    <w:t>6个月</w:t>
                  </w:r>
                </w:p>
              </w:tc>
            </w:tr>
            <w:tr w14:paraId="6D658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33" w:type="dxa"/>
                  <w:vAlign w:val="center"/>
                </w:tcPr>
                <w:p w14:paraId="24FDDC90">
                  <w:pPr>
                    <w:topLinePunct/>
                    <w:adjustRightInd w:val="0"/>
                    <w:snapToGrid w:val="0"/>
                    <w:jc w:val="center"/>
                    <w:rPr>
                      <w:color w:val="auto"/>
                    </w:rPr>
                  </w:pPr>
                  <w:r>
                    <w:rPr>
                      <w:rFonts w:hint="eastAsia"/>
                      <w:color w:val="auto"/>
                    </w:rPr>
                    <w:t>2</w:t>
                  </w:r>
                </w:p>
              </w:tc>
              <w:tc>
                <w:tcPr>
                  <w:tcW w:w="1299" w:type="dxa"/>
                  <w:vAlign w:val="center"/>
                </w:tcPr>
                <w:p w14:paraId="64F20DAD">
                  <w:pPr>
                    <w:topLinePunct/>
                    <w:adjustRightInd w:val="0"/>
                    <w:snapToGrid w:val="0"/>
                    <w:jc w:val="center"/>
                    <w:rPr>
                      <w:color w:val="auto"/>
                    </w:rPr>
                  </w:pPr>
                  <w:r>
                    <w:rPr>
                      <w:rFonts w:hint="eastAsia"/>
                      <w:color w:val="auto"/>
                    </w:rPr>
                    <w:t>危废暂存间</w:t>
                  </w:r>
                </w:p>
              </w:tc>
              <w:tc>
                <w:tcPr>
                  <w:tcW w:w="1158" w:type="dxa"/>
                  <w:vAlign w:val="center"/>
                </w:tcPr>
                <w:p w14:paraId="0FCB8D1A">
                  <w:pPr>
                    <w:spacing w:line="276" w:lineRule="auto"/>
                    <w:jc w:val="center"/>
                    <w:rPr>
                      <w:color w:val="auto"/>
                    </w:rPr>
                  </w:pPr>
                  <w:r>
                    <w:rPr>
                      <w:rFonts w:hint="eastAsia"/>
                      <w:color w:val="auto"/>
                    </w:rPr>
                    <w:t>废机油</w:t>
                  </w:r>
                </w:p>
              </w:tc>
              <w:tc>
                <w:tcPr>
                  <w:tcW w:w="889" w:type="dxa"/>
                  <w:vAlign w:val="center"/>
                </w:tcPr>
                <w:p w14:paraId="3DE823AB">
                  <w:pPr>
                    <w:spacing w:line="276" w:lineRule="auto"/>
                    <w:jc w:val="center"/>
                    <w:rPr>
                      <w:color w:val="auto"/>
                    </w:rPr>
                  </w:pPr>
                  <w:r>
                    <w:rPr>
                      <w:color w:val="auto"/>
                    </w:rPr>
                    <w:t>HW</w:t>
                  </w:r>
                  <w:r>
                    <w:rPr>
                      <w:rFonts w:hint="eastAsia"/>
                      <w:color w:val="auto"/>
                    </w:rPr>
                    <w:t>08</w:t>
                  </w:r>
                </w:p>
              </w:tc>
              <w:tc>
                <w:tcPr>
                  <w:tcW w:w="1196" w:type="dxa"/>
                  <w:vAlign w:val="center"/>
                </w:tcPr>
                <w:p w14:paraId="0034E6B6">
                  <w:pPr>
                    <w:spacing w:line="276" w:lineRule="auto"/>
                    <w:jc w:val="center"/>
                    <w:rPr>
                      <w:color w:val="auto"/>
                    </w:rPr>
                  </w:pPr>
                  <w:r>
                    <w:rPr>
                      <w:color w:val="auto"/>
                    </w:rPr>
                    <w:t>900-</w:t>
                  </w:r>
                  <w:r>
                    <w:rPr>
                      <w:rFonts w:hint="eastAsia"/>
                      <w:color w:val="auto"/>
                    </w:rPr>
                    <w:t>24</w:t>
                  </w:r>
                  <w:r>
                    <w:rPr>
                      <w:rFonts w:hint="eastAsia"/>
                      <w:color w:val="auto"/>
                      <w:lang w:val="en-US" w:eastAsia="zh-CN"/>
                    </w:rPr>
                    <w:t>9</w:t>
                  </w:r>
                  <w:r>
                    <w:rPr>
                      <w:color w:val="auto"/>
                    </w:rPr>
                    <w:t>-</w:t>
                  </w:r>
                  <w:r>
                    <w:rPr>
                      <w:rFonts w:hint="eastAsia"/>
                      <w:color w:val="auto"/>
                    </w:rPr>
                    <w:t>08</w:t>
                  </w:r>
                </w:p>
              </w:tc>
              <w:tc>
                <w:tcPr>
                  <w:tcW w:w="900" w:type="dxa"/>
                  <w:vMerge w:val="continue"/>
                  <w:vAlign w:val="center"/>
                </w:tcPr>
                <w:p w14:paraId="5A89059B">
                  <w:pPr>
                    <w:topLinePunct/>
                    <w:adjustRightInd w:val="0"/>
                    <w:snapToGrid w:val="0"/>
                    <w:jc w:val="center"/>
                    <w:rPr>
                      <w:rFonts w:hint="eastAsia" w:ascii="Times New Roman" w:hAnsi="Times New Roman" w:cs="Times New Roman"/>
                      <w:color w:val="auto"/>
                      <w:lang w:val="en-US" w:eastAsia="zh-CN"/>
                    </w:rPr>
                  </w:pPr>
                </w:p>
              </w:tc>
              <w:tc>
                <w:tcPr>
                  <w:tcW w:w="829" w:type="dxa"/>
                  <w:vAlign w:val="center"/>
                </w:tcPr>
                <w:p w14:paraId="536D008B">
                  <w:pPr>
                    <w:topLinePunct/>
                    <w:adjustRightInd w:val="0"/>
                    <w:snapToGrid w:val="0"/>
                    <w:jc w:val="center"/>
                    <w:rPr>
                      <w:color w:val="auto"/>
                    </w:rPr>
                  </w:pPr>
                  <w:r>
                    <w:rPr>
                      <w:rFonts w:hint="eastAsia"/>
                      <w:color w:val="auto"/>
                      <w:lang w:val="en-US" w:eastAsia="zh-CN"/>
                    </w:rPr>
                    <w:t>10</w:t>
                  </w:r>
                  <w:r>
                    <w:rPr>
                      <w:rFonts w:hint="eastAsia"/>
                      <w:color w:val="auto"/>
                    </w:rPr>
                    <w:t>m</w:t>
                  </w:r>
                  <w:r>
                    <w:rPr>
                      <w:rFonts w:hint="eastAsia"/>
                      <w:color w:val="auto"/>
                      <w:vertAlign w:val="superscript"/>
                    </w:rPr>
                    <w:t>2</w:t>
                  </w:r>
                </w:p>
              </w:tc>
              <w:tc>
                <w:tcPr>
                  <w:tcW w:w="1050" w:type="dxa"/>
                  <w:vAlign w:val="center"/>
                </w:tcPr>
                <w:p w14:paraId="3E62D73A">
                  <w:pPr>
                    <w:topLinePunct/>
                    <w:adjustRightInd w:val="0"/>
                    <w:snapToGrid w:val="0"/>
                    <w:jc w:val="center"/>
                    <w:rPr>
                      <w:color w:val="auto"/>
                    </w:rPr>
                  </w:pPr>
                  <w:r>
                    <w:rPr>
                      <w:rFonts w:hint="eastAsia"/>
                      <w:color w:val="auto"/>
                    </w:rPr>
                    <w:t>桶装</w:t>
                  </w:r>
                </w:p>
              </w:tc>
              <w:tc>
                <w:tcPr>
                  <w:tcW w:w="855" w:type="dxa"/>
                  <w:vAlign w:val="center"/>
                </w:tcPr>
                <w:p w14:paraId="319FCA22">
                  <w:pPr>
                    <w:topLinePunct/>
                    <w:adjustRightInd w:val="0"/>
                    <w:snapToGrid w:val="0"/>
                    <w:jc w:val="center"/>
                    <w:rPr>
                      <w:color w:val="auto"/>
                    </w:rPr>
                  </w:pPr>
                  <w:r>
                    <w:rPr>
                      <w:rFonts w:hint="eastAsia"/>
                      <w:color w:val="auto"/>
                    </w:rPr>
                    <w:t>1t/a</w:t>
                  </w:r>
                </w:p>
              </w:tc>
              <w:tc>
                <w:tcPr>
                  <w:tcW w:w="869" w:type="dxa"/>
                  <w:vAlign w:val="center"/>
                </w:tcPr>
                <w:p w14:paraId="0C8BCA62">
                  <w:pPr>
                    <w:topLinePunct/>
                    <w:adjustRightInd w:val="0"/>
                    <w:snapToGrid w:val="0"/>
                    <w:jc w:val="center"/>
                    <w:rPr>
                      <w:color w:val="auto"/>
                    </w:rPr>
                  </w:pPr>
                  <w:r>
                    <w:rPr>
                      <w:rFonts w:hint="eastAsia"/>
                      <w:color w:val="auto"/>
                    </w:rPr>
                    <w:t>6个月</w:t>
                  </w:r>
                </w:p>
              </w:tc>
            </w:tr>
          </w:tbl>
          <w:p w14:paraId="58732E9A">
            <w:pPr>
              <w:spacing w:line="360" w:lineRule="auto"/>
              <w:ind w:firstLine="480" w:firstLineChars="200"/>
              <w:rPr>
                <w:rFonts w:ascii="宋体" w:hAnsi="宋体" w:cs="宋体"/>
                <w:color w:val="auto"/>
                <w:sz w:val="24"/>
              </w:rPr>
            </w:pPr>
            <w:r>
              <w:rPr>
                <w:rFonts w:hint="eastAsia" w:ascii="宋体" w:hAnsi="宋体" w:cs="宋体"/>
                <w:color w:val="auto"/>
                <w:sz w:val="24"/>
              </w:rPr>
              <w:t>环评对危废暂存间和固废管理提出以下要求。</w:t>
            </w:r>
          </w:p>
          <w:p w14:paraId="2BA8F68D">
            <w:pPr>
              <w:spacing w:line="360" w:lineRule="auto"/>
              <w:ind w:firstLine="480" w:firstLineChars="200"/>
              <w:rPr>
                <w:rFonts w:ascii="宋体" w:hAnsi="宋体" w:cs="宋体"/>
                <w:color w:val="auto"/>
                <w:sz w:val="24"/>
              </w:rPr>
            </w:pPr>
            <w:r>
              <w:rPr>
                <w:rFonts w:hint="eastAsia" w:ascii="宋体" w:hAnsi="宋体" w:cs="宋体"/>
                <w:color w:val="auto"/>
                <w:sz w:val="24"/>
              </w:rPr>
              <w:t>①危废暂存间设计要求</w:t>
            </w:r>
          </w:p>
          <w:p w14:paraId="180D7D17">
            <w:pPr>
              <w:spacing w:line="360" w:lineRule="auto"/>
              <w:ind w:firstLine="480" w:firstLineChars="200"/>
              <w:rPr>
                <w:rFonts w:ascii="宋体" w:hAnsi="宋体" w:cs="宋体"/>
                <w:color w:val="auto"/>
                <w:sz w:val="24"/>
              </w:rPr>
            </w:pPr>
            <w:r>
              <w:rPr>
                <w:rFonts w:hint="eastAsia" w:ascii="宋体" w:hAnsi="宋体" w:cs="宋体"/>
                <w:color w:val="auto"/>
                <w:sz w:val="24"/>
              </w:rPr>
              <w:t>为减小危险废物的储运风险，防止危废流失污染环境，本项目</w:t>
            </w:r>
            <w:r>
              <w:rPr>
                <w:rFonts w:hint="eastAsia" w:ascii="宋体" w:hAnsi="宋体" w:cs="宋体"/>
                <w:color w:val="auto"/>
                <w:sz w:val="24"/>
                <w:lang w:val="en-US" w:eastAsia="zh-CN"/>
              </w:rPr>
              <w:t>利用办公楼1楼房间作为危废暂存间，约10m</w:t>
            </w:r>
            <w:r>
              <w:rPr>
                <w:rFonts w:hint="eastAsia" w:ascii="宋体" w:hAnsi="宋体" w:cs="宋体"/>
                <w:color w:val="auto"/>
                <w:sz w:val="24"/>
                <w:vertAlign w:val="superscript"/>
                <w:lang w:val="en-US" w:eastAsia="zh-CN"/>
              </w:rPr>
              <w:t>3</w:t>
            </w:r>
            <w:r>
              <w:rPr>
                <w:rFonts w:hint="eastAsia" w:ascii="宋体" w:hAnsi="宋体" w:cs="宋体"/>
                <w:color w:val="auto"/>
                <w:sz w:val="24"/>
              </w:rPr>
              <w:t>，专门用于临时存放外委前的危废。危废暂存间为封闭区域，按照危废储存场所设置。危险废物贮存间根据《危险废物贮存污染控制标准》（GB18597-2001），危废暂存间将严格按照《危险废物贮存污染控制标准》的要求设计，做好防雨、防渗，防止二次污染。地面采用坚固、防渗、耐腐蚀的材料建造，拟设计堵截泄漏的裙脚、围堰等设施。</w:t>
            </w:r>
            <w:r>
              <w:rPr>
                <w:rFonts w:hint="eastAsia" w:ascii="宋体" w:hAnsi="宋体" w:cs="宋体"/>
                <w:color w:val="auto"/>
                <w:sz w:val="24"/>
                <w:lang w:val="en-US" w:eastAsia="zh-CN"/>
              </w:rPr>
              <w:t>泄漏</w:t>
            </w:r>
            <w:r>
              <w:rPr>
                <w:rFonts w:hint="eastAsia" w:ascii="宋体" w:hAnsi="宋体" w:cs="宋体"/>
                <w:color w:val="auto"/>
                <w:sz w:val="24"/>
              </w:rPr>
              <w:t>物、冲洗水经裙脚、围堰等设施收集后，桶装或罐装后与库内废物一起由有危废处理资质的单位的专用运输车辆运至危险固废处置单位。</w:t>
            </w:r>
          </w:p>
          <w:p w14:paraId="593DD813">
            <w:pPr>
              <w:spacing w:line="360" w:lineRule="auto"/>
              <w:ind w:firstLine="480" w:firstLineChars="200"/>
              <w:rPr>
                <w:rFonts w:ascii="宋体" w:hAnsi="宋体" w:cs="宋体"/>
                <w:color w:val="auto"/>
                <w:sz w:val="24"/>
              </w:rPr>
            </w:pPr>
            <w:r>
              <w:rPr>
                <w:rFonts w:hint="eastAsia" w:ascii="宋体" w:hAnsi="宋体" w:cs="宋体"/>
                <w:color w:val="auto"/>
                <w:sz w:val="24"/>
              </w:rPr>
              <w:t>②固废暂存管理措施</w:t>
            </w:r>
          </w:p>
          <w:p w14:paraId="3521DB5E">
            <w:pPr>
              <w:spacing w:line="360" w:lineRule="auto"/>
              <w:ind w:firstLine="480" w:firstLineChars="200"/>
              <w:rPr>
                <w:rFonts w:ascii="宋体" w:hAnsi="宋体" w:cs="宋体"/>
                <w:color w:val="auto"/>
                <w:sz w:val="24"/>
              </w:rPr>
            </w:pPr>
            <w:r>
              <w:rPr>
                <w:rFonts w:hint="eastAsia" w:ascii="宋体" w:hAnsi="宋体" w:cs="宋体"/>
                <w:color w:val="auto"/>
                <w:sz w:val="24"/>
              </w:rPr>
              <w:t>为了防止固体废物对区域环境从产生不利影响，评价要求企业应对固体废物处置采用综合利用，充分回收，最大限度地合理使用资源，尽可能减少固体废物的最终产生量，并对固体废物进行安全、合理、卫生地处理和处置。项目应采取的固废暂存管理措施如下：</w:t>
            </w:r>
          </w:p>
          <w:p w14:paraId="2CF01B12">
            <w:pPr>
              <w:spacing w:line="360" w:lineRule="auto"/>
              <w:ind w:firstLine="480" w:firstLineChars="200"/>
              <w:rPr>
                <w:rFonts w:ascii="宋体" w:hAnsi="宋体" w:cs="宋体"/>
                <w:color w:val="auto"/>
                <w:sz w:val="24"/>
              </w:rPr>
            </w:pPr>
            <w:r>
              <w:rPr>
                <w:rFonts w:hint="eastAsia" w:ascii="宋体" w:hAnsi="宋体" w:cs="宋体"/>
                <w:color w:val="auto"/>
                <w:sz w:val="24"/>
              </w:rPr>
              <w:t>①设置专门人员负责将废弃物运输到暂存间，进行分类堆放，在运输过程中，确保不撒漏、不混放。对有毒有害废弃物，利用密闭容器储运；并加强固体废弃物的分类存放管理，确保各类固废分类存放于固废暂存间内，不散乱堆放。</w:t>
            </w:r>
          </w:p>
          <w:p w14:paraId="11C25413">
            <w:pPr>
              <w:spacing w:line="360" w:lineRule="auto"/>
              <w:ind w:firstLine="480" w:firstLineChars="200"/>
              <w:rPr>
                <w:rFonts w:ascii="宋体" w:hAnsi="宋体" w:cs="宋体"/>
                <w:color w:val="auto"/>
                <w:sz w:val="24"/>
              </w:rPr>
            </w:pPr>
            <w:r>
              <w:rPr>
                <w:rFonts w:hint="eastAsia" w:ascii="宋体" w:hAnsi="宋体" w:cs="宋体"/>
                <w:color w:val="auto"/>
                <w:sz w:val="24"/>
              </w:rPr>
              <w:t>② 危废暂存间按规定设立标志牌，并对废物暂存区的地面作“三防”处理，铺设防渗层，加强防雨、防渗、防漏及防溢流措施。且必须按危险废物收集、储存、运输原则进行处理，送有危废处理资质的单位进行处置，杜绝企业自行处理或排放。固废暂存间的固废应及时处置，不得停留较长时间。禁止在厂区内焚烧各类固废。</w:t>
            </w:r>
          </w:p>
          <w:p w14:paraId="3E924D8D">
            <w:pPr>
              <w:spacing w:line="360" w:lineRule="auto"/>
              <w:ind w:firstLine="480" w:firstLineChars="200"/>
              <w:rPr>
                <w:rFonts w:ascii="宋体" w:hAnsi="宋体" w:cs="宋体"/>
                <w:color w:val="auto"/>
                <w:sz w:val="24"/>
              </w:rPr>
            </w:pPr>
            <w:r>
              <w:rPr>
                <w:rFonts w:hint="eastAsia" w:ascii="宋体" w:hAnsi="宋体" w:cs="宋体"/>
                <w:color w:val="auto"/>
                <w:sz w:val="24"/>
              </w:rPr>
              <w:t>③ 对危险固体废弃物，将严格按照《危险废弃物管理规定》清理、转运、处置，不得</w:t>
            </w:r>
            <w:r>
              <w:rPr>
                <w:rFonts w:hint="eastAsia" w:ascii="宋体" w:hAnsi="宋体" w:cs="宋体"/>
                <w:color w:val="auto"/>
                <w:sz w:val="24"/>
                <w:lang w:val="en-US" w:eastAsia="zh-CN"/>
              </w:rPr>
              <w:t>泄漏</w:t>
            </w:r>
            <w:r>
              <w:rPr>
                <w:rFonts w:hint="eastAsia" w:ascii="宋体" w:hAnsi="宋体" w:cs="宋体"/>
                <w:color w:val="auto"/>
                <w:sz w:val="24"/>
              </w:rPr>
              <w:t>至外界造成污染。如实按《危险废弃物管理规定》填写转运联单，做好台帐记录归档。做好防雨、防渗、防</w:t>
            </w:r>
            <w:r>
              <w:rPr>
                <w:rFonts w:hint="eastAsia" w:ascii="宋体" w:hAnsi="宋体" w:cs="宋体"/>
                <w:color w:val="auto"/>
                <w:sz w:val="24"/>
                <w:lang w:val="en-US" w:eastAsia="zh-CN"/>
              </w:rPr>
              <w:t>泄漏</w:t>
            </w:r>
            <w:r>
              <w:rPr>
                <w:rFonts w:hint="eastAsia" w:ascii="宋体" w:hAnsi="宋体" w:cs="宋体"/>
                <w:color w:val="auto"/>
                <w:sz w:val="24"/>
              </w:rPr>
              <w:t>的工作，雨天不得转运。污染事故一旦发生，立即启动《危险废弃物应急预案》。</w:t>
            </w:r>
          </w:p>
          <w:p w14:paraId="66E5A9B8">
            <w:pPr>
              <w:spacing w:line="360" w:lineRule="auto"/>
              <w:ind w:firstLine="480" w:firstLineChars="200"/>
              <w:rPr>
                <w:rFonts w:ascii="宋体" w:hAnsi="宋体" w:cs="宋体"/>
                <w:color w:val="auto"/>
                <w:sz w:val="24"/>
              </w:rPr>
            </w:pPr>
            <w:r>
              <w:rPr>
                <w:rFonts w:hint="eastAsia" w:ascii="宋体" w:hAnsi="宋体" w:cs="宋体"/>
                <w:color w:val="auto"/>
                <w:sz w:val="24"/>
              </w:rPr>
              <w:t>④ 车间地面应收拾干净，各工段产生的废弃物应及时分类收集，不得外溢，及时转运。废弃物转运时，运输车辆需密闭，严禁泄漏。</w:t>
            </w:r>
          </w:p>
          <w:p w14:paraId="62B382E3">
            <w:pPr>
              <w:spacing w:line="460" w:lineRule="exact"/>
              <w:ind w:firstLine="480" w:firstLineChars="200"/>
              <w:rPr>
                <w:rFonts w:ascii="宋体" w:hAnsi="宋体" w:cs="宋体"/>
                <w:color w:val="auto"/>
                <w:sz w:val="24"/>
              </w:rPr>
            </w:pPr>
            <w:r>
              <w:rPr>
                <w:rFonts w:hint="eastAsia" w:ascii="宋体" w:hAnsi="宋体" w:cs="宋体"/>
                <w:color w:val="auto"/>
                <w:sz w:val="24"/>
              </w:rPr>
              <w:t>⑤ 定期对所贮存的危险废物包装容器及贮存设施进行检查，发现破损，应及时采取措施清理更换，务必确保危废不外泄。</w:t>
            </w:r>
          </w:p>
          <w:p w14:paraId="177A635F">
            <w:pPr>
              <w:spacing w:line="460" w:lineRule="exact"/>
              <w:ind w:firstLine="480" w:firstLineChars="200"/>
              <w:rPr>
                <w:rFonts w:ascii="宋体" w:hAnsi="宋体" w:cs="宋体"/>
                <w:color w:val="auto"/>
                <w:sz w:val="24"/>
              </w:rPr>
            </w:pPr>
            <w:r>
              <w:rPr>
                <w:rFonts w:hint="eastAsia" w:ascii="宋体" w:hAnsi="宋体" w:cs="宋体"/>
                <w:color w:val="auto"/>
                <w:sz w:val="24"/>
              </w:rPr>
              <w:t>⑥ 出厂外委进行处理的危险废物，须由有危废处理资质的单位采用专用车辆运进、运出。运输路线避免经过居民集中区和饮用水源地，运输途中防治扬尘、洒落和</w:t>
            </w:r>
            <w:r>
              <w:rPr>
                <w:rFonts w:hint="eastAsia" w:ascii="宋体" w:hAnsi="宋体" w:cs="宋体"/>
                <w:color w:val="auto"/>
                <w:sz w:val="24"/>
                <w:lang w:val="en-US" w:eastAsia="zh-CN"/>
              </w:rPr>
              <w:t>泄漏</w:t>
            </w:r>
            <w:r>
              <w:rPr>
                <w:rFonts w:hint="eastAsia" w:ascii="宋体" w:hAnsi="宋体" w:cs="宋体"/>
                <w:color w:val="auto"/>
                <w:sz w:val="24"/>
              </w:rPr>
              <w:t>造成严重污染。</w:t>
            </w:r>
          </w:p>
          <w:p w14:paraId="652931E4">
            <w:pPr>
              <w:spacing w:line="460" w:lineRule="exact"/>
              <w:ind w:firstLine="480" w:firstLineChars="200"/>
              <w:rPr>
                <w:rFonts w:ascii="宋体" w:hAnsi="宋体" w:cs="宋体"/>
                <w:color w:val="auto"/>
                <w:sz w:val="24"/>
              </w:rPr>
            </w:pPr>
            <w:r>
              <w:rPr>
                <w:rFonts w:hint="eastAsia" w:ascii="宋体" w:hAnsi="宋体" w:cs="宋体"/>
                <w:color w:val="auto"/>
                <w:sz w:val="24"/>
              </w:rPr>
              <w:t>③危险废物运输要求</w:t>
            </w:r>
          </w:p>
          <w:p w14:paraId="58866D18">
            <w:pPr>
              <w:spacing w:line="460" w:lineRule="exact"/>
              <w:ind w:firstLine="480" w:firstLineChars="200"/>
              <w:rPr>
                <w:rFonts w:ascii="宋体" w:hAnsi="宋体" w:cs="宋体"/>
                <w:color w:val="auto"/>
                <w:sz w:val="24"/>
              </w:rPr>
            </w:pPr>
            <w:r>
              <w:rPr>
                <w:rFonts w:hint="eastAsia" w:ascii="宋体" w:hAnsi="宋体" w:cs="宋体"/>
                <w:color w:val="auto"/>
                <w:sz w:val="24"/>
              </w:rPr>
              <w:t>①做好每次外运处置废弃物的运输登记、认真填写危险废物转移联单（每种废物填写一份联单），并加盖公司公章，经运输单位核实验收签字后，将联单第一联副联自留存档，将联单第二联交移出当地环境保护行政主管部门，第三联及其余各联交付运输单位，随危险废物转移运行。第四联交接收单位，第五联交接受地环保局。</w:t>
            </w:r>
          </w:p>
          <w:p w14:paraId="61202570">
            <w:pPr>
              <w:spacing w:line="460" w:lineRule="exact"/>
              <w:ind w:firstLine="480" w:firstLineChars="200"/>
              <w:rPr>
                <w:rFonts w:ascii="宋体" w:hAnsi="宋体" w:cs="宋体"/>
                <w:color w:val="auto"/>
                <w:sz w:val="24"/>
              </w:rPr>
            </w:pPr>
            <w:r>
              <w:rPr>
                <w:rFonts w:hint="eastAsia" w:ascii="宋体" w:hAnsi="宋体" w:cs="宋体"/>
                <w:color w:val="auto"/>
                <w:sz w:val="24"/>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取得驾驶执照的熟练人员担任。</w:t>
            </w:r>
          </w:p>
          <w:p w14:paraId="0413B629">
            <w:pPr>
              <w:spacing w:line="460" w:lineRule="exact"/>
              <w:ind w:firstLine="480" w:firstLineChars="200"/>
              <w:rPr>
                <w:rFonts w:ascii="宋体" w:hAnsi="宋体" w:cs="宋体"/>
                <w:color w:val="auto"/>
                <w:sz w:val="24"/>
              </w:rPr>
            </w:pPr>
            <w:r>
              <w:rPr>
                <w:rFonts w:hint="eastAsia" w:ascii="宋体" w:hAnsi="宋体" w:cs="宋体"/>
                <w:color w:val="auto"/>
                <w:sz w:val="24"/>
              </w:rPr>
              <w:t>③处置单位在运输危险废物时，必须配备押运人员，并随时处于押运人员的监管之下，不得超载、超装，不得进入危险品运输车辆禁止通行的区域；确需进入禁止通行区域的，应当向当地公安部门报告，由公安部门为其指定行车时间和路线，运输车辆必须遵守公安部门规定的行车时间和路线。</w:t>
            </w:r>
          </w:p>
          <w:p w14:paraId="70E40AB6">
            <w:pPr>
              <w:spacing w:line="460" w:lineRule="exact"/>
              <w:ind w:firstLine="480" w:firstLineChars="200"/>
              <w:rPr>
                <w:rFonts w:ascii="宋体" w:hAnsi="宋体" w:cs="宋体"/>
                <w:color w:val="auto"/>
                <w:sz w:val="24"/>
              </w:rPr>
            </w:pPr>
            <w:r>
              <w:rPr>
                <w:rFonts w:hint="eastAsia" w:ascii="宋体" w:hAnsi="宋体" w:cs="宋体"/>
                <w:color w:val="auto"/>
                <w:sz w:val="24"/>
              </w:rPr>
              <w:t>④危险废物运输过程中若发生被盗、丢失、流散、</w:t>
            </w:r>
            <w:r>
              <w:rPr>
                <w:rFonts w:hint="eastAsia" w:ascii="宋体" w:hAnsi="宋体" w:cs="宋体"/>
                <w:color w:val="auto"/>
                <w:sz w:val="24"/>
                <w:lang w:val="en-US" w:eastAsia="zh-CN"/>
              </w:rPr>
              <w:t>泄漏</w:t>
            </w:r>
            <w:r>
              <w:rPr>
                <w:rFonts w:hint="eastAsia" w:ascii="宋体" w:hAnsi="宋体" w:cs="宋体"/>
                <w:color w:val="auto"/>
                <w:sz w:val="24"/>
              </w:rPr>
              <w:t>等情况时，公司及押运人员必须立即向公安部门报告，并采取一切可能的警示措施。</w:t>
            </w:r>
          </w:p>
          <w:p w14:paraId="2B4965C0">
            <w:pPr>
              <w:spacing w:line="360" w:lineRule="auto"/>
              <w:ind w:firstLine="480" w:firstLineChars="200"/>
              <w:rPr>
                <w:rFonts w:ascii="宋体" w:hAnsi="宋体" w:cs="宋体"/>
                <w:color w:val="auto"/>
                <w:sz w:val="24"/>
              </w:rPr>
            </w:pPr>
            <w:r>
              <w:rPr>
                <w:rFonts w:hint="eastAsia" w:ascii="宋体" w:hAnsi="宋体" w:cs="宋体"/>
                <w:color w:val="auto"/>
                <w:sz w:val="24"/>
              </w:rPr>
              <w:t>⑤一旦发生危险废物</w:t>
            </w:r>
            <w:r>
              <w:rPr>
                <w:rFonts w:hint="eastAsia" w:ascii="宋体" w:hAnsi="宋体" w:cs="宋体"/>
                <w:color w:val="auto"/>
                <w:sz w:val="24"/>
                <w:lang w:val="en-US" w:eastAsia="zh-CN"/>
              </w:rPr>
              <w:t>泄漏</w:t>
            </w:r>
            <w:r>
              <w:rPr>
                <w:rFonts w:hint="eastAsia" w:ascii="宋体" w:hAnsi="宋体" w:cs="宋体"/>
                <w:color w:val="auto"/>
                <w:sz w:val="24"/>
              </w:rPr>
              <w:t>事故，公司和危险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36E2DCF9">
            <w:pPr>
              <w:spacing w:line="360" w:lineRule="auto"/>
              <w:ind w:firstLine="480" w:firstLineChars="200"/>
              <w:rPr>
                <w:rFonts w:hint="default" w:ascii="Times New Roman" w:hAnsi="Times New Roman" w:eastAsia="宋体" w:cs="Times New Roman"/>
                <w:b/>
                <w:color w:val="auto"/>
                <w:sz w:val="24"/>
                <w:szCs w:val="24"/>
              </w:rPr>
            </w:pPr>
            <w:r>
              <w:rPr>
                <w:rFonts w:hint="eastAsia" w:ascii="宋体" w:hAnsi="宋体" w:cs="宋体"/>
                <w:color w:val="auto"/>
                <w:sz w:val="24"/>
              </w:rPr>
              <w:t>在采取以上措施后，本项目产生的固体废物能得到合理处置，不会对环境造成不利影响。</w:t>
            </w:r>
          </w:p>
          <w:p w14:paraId="11CA6E13">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5、地下水污染防治措施</w:t>
            </w:r>
          </w:p>
          <w:p w14:paraId="036B846D">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（1）地下水污染途径 </w:t>
            </w:r>
          </w:p>
          <w:p w14:paraId="3F8EC022">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本项目运营期污染物进入地下水环境的途径主要是废水排放或危险废物泄漏等通过垂直渗透进入包气带，进入包气带的污染物在物理、化学和生物作用下经吸附、转化、迁移和分解后输入地下水。根据本项目特点，运营期因渗漏可能产生的污染地下水环节有： </w:t>
            </w:r>
          </w:p>
          <w:p w14:paraId="3C928A9E">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①危废暂存间发生“跑、冒、滴、漏”使危险废物进入地下水环境。 </w:t>
            </w:r>
          </w:p>
          <w:p w14:paraId="54B22673">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②突发环境风险事故导致废水或危险废物外溢，进入地下水环境。 </w:t>
            </w:r>
          </w:p>
          <w:p w14:paraId="15C848BC">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（2）地下水防渗分区 </w:t>
            </w:r>
          </w:p>
          <w:p w14:paraId="492266CE">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根据《环境影响评价技术导则 地下水环境》（HJ610-2016）防渗分区原则，将本项目分划为重点防渗区、一般防渗区和简单防渗区，划分区域如下：</w:t>
            </w:r>
          </w:p>
          <w:p w14:paraId="4406EDA7">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重点防渗区：危废暂存间。</w:t>
            </w:r>
          </w:p>
          <w:p w14:paraId="3F068080">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一般防渗区：</w:t>
            </w:r>
            <w:r>
              <w:rPr>
                <w:rFonts w:hint="eastAsia" w:ascii="宋体" w:hAnsi="宋体" w:cs="宋体"/>
                <w:color w:val="auto"/>
                <w:sz w:val="24"/>
                <w:lang w:val="en-US" w:eastAsia="zh-CN"/>
              </w:rPr>
              <w:t>预处理池、沉淀池</w:t>
            </w:r>
            <w:r>
              <w:rPr>
                <w:rFonts w:hint="default" w:ascii="宋体" w:hAnsi="宋体" w:cs="宋体"/>
                <w:color w:val="auto"/>
                <w:sz w:val="24"/>
                <w:lang w:val="en-US" w:eastAsia="zh-CN"/>
              </w:rPr>
              <w:t>。</w:t>
            </w:r>
          </w:p>
          <w:p w14:paraId="5C55F8D7">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简单防渗区：除重点防渗区、一般防渗区以外的区域。防渗技术要求为一般地面硬化。 </w:t>
            </w:r>
          </w:p>
          <w:p w14:paraId="0A830452">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（3）地下水防治措施 </w:t>
            </w:r>
          </w:p>
          <w:p w14:paraId="5AE7DE8F">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①源头控制措施 </w:t>
            </w:r>
          </w:p>
          <w:p w14:paraId="0AF90A5B">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本项目生产工艺采用国内成熟的工艺，减少污染物的排放；隔油池采取购买市面上的成品钢构隔油池，预处理池采取了“防渗、防腐”措施，污水管道等选用做防渗、防腐处理的管道，将污染物“跑、冒、滴、漏”降到最低程度。 </w:t>
            </w:r>
          </w:p>
          <w:p w14:paraId="1D80EE83">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环评要求危废暂存间采取防雨、防腐、防渗、防晒等措施，危险废物使用专用容器存储，下衬托盘。 </w:t>
            </w:r>
          </w:p>
          <w:p w14:paraId="5A475F9F">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②分区防渗措施 </w:t>
            </w:r>
          </w:p>
          <w:p w14:paraId="6999DB5C">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本次评价要求建设单位： </w:t>
            </w:r>
          </w:p>
          <w:p w14:paraId="1489C3B0">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a、</w:t>
            </w:r>
            <w:r>
              <w:rPr>
                <w:rFonts w:hint="eastAsia" w:ascii="宋体" w:hAnsi="宋体" w:cs="宋体"/>
                <w:color w:val="auto"/>
                <w:sz w:val="24"/>
                <w:lang w:val="en-US" w:eastAsia="zh-CN"/>
              </w:rPr>
              <w:t>重点防渗区</w:t>
            </w:r>
            <w:r>
              <w:rPr>
                <w:rFonts w:hint="default" w:ascii="宋体" w:hAnsi="宋体" w:cs="宋体"/>
                <w:color w:val="auto"/>
                <w:sz w:val="24"/>
                <w:lang w:val="en-US" w:eastAsia="zh-CN"/>
              </w:rPr>
              <w:t>确保其防渗技术要求达到《危险废物贮存污染控制标准》（GB18597-2001） 中要求：基础必须防渗，防渗层为至少1m 厚黏土层（渗透系数≤10</w:t>
            </w:r>
            <w:r>
              <w:rPr>
                <w:rFonts w:hint="default" w:ascii="宋体" w:hAnsi="宋体" w:cs="宋体"/>
                <w:color w:val="auto"/>
                <w:sz w:val="24"/>
                <w:vertAlign w:val="superscript"/>
                <w:lang w:val="en-US" w:eastAsia="zh-CN"/>
              </w:rPr>
              <w:t>-</w:t>
            </w:r>
            <w:r>
              <w:rPr>
                <w:rFonts w:hint="eastAsia" w:ascii="宋体" w:hAnsi="宋体" w:cs="宋体"/>
                <w:color w:val="auto"/>
                <w:sz w:val="24"/>
                <w:vertAlign w:val="superscript"/>
                <w:lang w:val="en-US" w:eastAsia="zh-CN"/>
              </w:rPr>
              <w:t>10</w:t>
            </w:r>
            <w:r>
              <w:rPr>
                <w:rFonts w:hint="default" w:ascii="宋体" w:hAnsi="宋体" w:cs="宋体"/>
                <w:color w:val="auto"/>
                <w:sz w:val="24"/>
                <w:lang w:val="en-US" w:eastAsia="zh-CN"/>
              </w:rPr>
              <w:t>cm/s）或 2mm 厚高密度聚乙烯，或至少 2mm 厚的其他人工材料，确保渗透系数≤10</w:t>
            </w:r>
            <w:r>
              <w:rPr>
                <w:rFonts w:hint="default" w:ascii="宋体" w:hAnsi="宋体" w:cs="宋体"/>
                <w:color w:val="auto"/>
                <w:sz w:val="24"/>
                <w:vertAlign w:val="superscript"/>
                <w:lang w:val="en-US" w:eastAsia="zh-CN"/>
              </w:rPr>
              <w:t>-10</w:t>
            </w:r>
            <w:r>
              <w:rPr>
                <w:rFonts w:hint="default" w:ascii="宋体" w:hAnsi="宋体" w:cs="宋体"/>
                <w:color w:val="auto"/>
                <w:sz w:val="24"/>
                <w:lang w:val="en-US" w:eastAsia="zh-CN"/>
              </w:rPr>
              <w:t xml:space="preserve">cm/s； </w:t>
            </w:r>
          </w:p>
          <w:p w14:paraId="145ECD3F">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b、按照一般防渗区的要求，将除重点防渗区的</w:t>
            </w:r>
            <w:r>
              <w:rPr>
                <w:rFonts w:hint="eastAsia" w:ascii="宋体" w:hAnsi="宋体" w:cs="宋体"/>
                <w:color w:val="auto"/>
                <w:sz w:val="24"/>
                <w:lang w:val="en-US" w:eastAsia="zh-CN"/>
              </w:rPr>
              <w:t>沉淀池</w:t>
            </w:r>
            <w:r>
              <w:rPr>
                <w:rFonts w:hint="default" w:ascii="宋体" w:hAnsi="宋体" w:cs="宋体"/>
                <w:color w:val="auto"/>
                <w:sz w:val="24"/>
                <w:lang w:val="en-US" w:eastAsia="zh-CN"/>
              </w:rPr>
              <w:t>、</w:t>
            </w:r>
            <w:r>
              <w:rPr>
                <w:rFonts w:hint="eastAsia" w:ascii="宋体" w:hAnsi="宋体" w:cs="宋体"/>
                <w:color w:val="auto"/>
                <w:sz w:val="24"/>
                <w:lang w:val="en-US" w:eastAsia="zh-CN"/>
              </w:rPr>
              <w:t>预处理池</w:t>
            </w:r>
            <w:r>
              <w:rPr>
                <w:rFonts w:hint="default" w:ascii="宋体" w:hAnsi="宋体" w:cs="宋体"/>
                <w:color w:val="auto"/>
                <w:sz w:val="24"/>
                <w:lang w:val="en-US" w:eastAsia="zh-CN"/>
              </w:rPr>
              <w:t>区域进行一般防渗。防渗技术要求为等效粘土防渗层 Mb≥1.5m，K≤10</w:t>
            </w:r>
            <w:r>
              <w:rPr>
                <w:rFonts w:hint="default" w:ascii="宋体" w:hAnsi="宋体" w:cs="宋体"/>
                <w:color w:val="auto"/>
                <w:sz w:val="24"/>
                <w:vertAlign w:val="superscript"/>
                <w:lang w:val="en-US" w:eastAsia="zh-CN"/>
              </w:rPr>
              <w:t>-7</w:t>
            </w:r>
            <w:r>
              <w:rPr>
                <w:rFonts w:hint="default" w:ascii="宋体" w:hAnsi="宋体" w:cs="宋体"/>
                <w:color w:val="auto"/>
                <w:sz w:val="24"/>
                <w:lang w:val="en-US" w:eastAsia="zh-CN"/>
              </w:rPr>
              <w:t>cm/s</w:t>
            </w:r>
            <w:r>
              <w:rPr>
                <w:rFonts w:hint="eastAsia" w:ascii="宋体" w:hAnsi="宋体" w:cs="宋体"/>
                <w:color w:val="auto"/>
                <w:sz w:val="24"/>
                <w:lang w:val="en-US" w:eastAsia="zh-CN"/>
              </w:rPr>
              <w:t>；</w:t>
            </w:r>
            <w:r>
              <w:rPr>
                <w:rFonts w:hint="default" w:ascii="宋体" w:hAnsi="宋体" w:cs="宋体"/>
                <w:color w:val="auto"/>
                <w:sz w:val="24"/>
                <w:lang w:val="en-US" w:eastAsia="zh-CN"/>
              </w:rPr>
              <w:t xml:space="preserve"> </w:t>
            </w:r>
          </w:p>
          <w:p w14:paraId="696C6FE4">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c、按照简单防渗区的要求，除重点防渗区、一般防渗区以外的区域进行简单防渗。防渗技术要求为一般地面硬化。 </w:t>
            </w:r>
          </w:p>
          <w:p w14:paraId="6458167E">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 xml:space="preserve">③管理措施 </w:t>
            </w:r>
          </w:p>
          <w:p w14:paraId="65330909">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生产期间对生产设备、污染治理设备定期检查，以便于及时发生问题，防止因污水渗、漏造成地下水污染</w:t>
            </w:r>
            <w:r>
              <w:rPr>
                <w:rFonts w:hint="eastAsia" w:ascii="宋体" w:hAnsi="宋体" w:cs="宋体"/>
                <w:color w:val="auto"/>
                <w:sz w:val="24"/>
                <w:lang w:val="en-US" w:eastAsia="zh-CN"/>
              </w:rPr>
              <w:t>。</w:t>
            </w:r>
          </w:p>
          <w:p w14:paraId="362DCD90">
            <w:pPr>
              <w:spacing w:line="360" w:lineRule="auto"/>
              <w:rPr>
                <w:rFonts w:hint="default" w:ascii="Times New Roman" w:hAnsi="Times New Roman" w:eastAsia="宋体" w:cs="Times New Roman"/>
                <w:color w:val="C00000"/>
                <w:szCs w:val="21"/>
              </w:rPr>
            </w:pPr>
          </w:p>
        </w:tc>
      </w:tr>
    </w:tbl>
    <w:p w14:paraId="5AF36014">
      <w:pPr>
        <w:spacing w:line="360" w:lineRule="auto"/>
        <w:rPr>
          <w:rFonts w:hint="default" w:ascii="Times New Roman" w:hAnsi="Times New Roman" w:eastAsia="宋体" w:cs="Times New Roman"/>
          <w:b/>
          <w:color w:val="C00000"/>
          <w:sz w:val="28"/>
          <w:szCs w:val="28"/>
        </w:rPr>
      </w:pPr>
    </w:p>
    <w:p w14:paraId="0ACDF998">
      <w:pPr>
        <w:spacing w:line="360" w:lineRule="auto"/>
        <w:ind w:firstLine="281" w:firstLineChars="100"/>
        <w:rPr>
          <w:rFonts w:hint="default" w:ascii="Times New Roman" w:hAnsi="Times New Roman" w:eastAsia="宋体" w:cs="Times New Roman"/>
          <w:b/>
          <w:color w:val="C00000"/>
          <w:sz w:val="28"/>
          <w:szCs w:val="28"/>
        </w:rPr>
      </w:pPr>
    </w:p>
    <w:p w14:paraId="02184BD6">
      <w:pPr>
        <w:spacing w:line="360" w:lineRule="auto"/>
        <w:ind w:firstLine="281" w:firstLineChars="100"/>
        <w:outlineLvl w:val="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 xml:space="preserve">项目主要污染物产生及预计排放情况                           </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（表六）</w:t>
      </w:r>
    </w:p>
    <w:tbl>
      <w:tblPr>
        <w:tblStyle w:val="23"/>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79"/>
        <w:gridCol w:w="1251"/>
        <w:gridCol w:w="1232"/>
        <w:gridCol w:w="3925"/>
        <w:gridCol w:w="1288"/>
        <w:gridCol w:w="1278"/>
      </w:tblGrid>
      <w:tr w14:paraId="706F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gridSpan w:val="2"/>
            <w:vAlign w:val="center"/>
          </w:tcPr>
          <w:p w14:paraId="32D670B3">
            <w:pPr>
              <w:spacing w:line="240" w:lineRule="auto"/>
              <w:ind w:firstLine="181" w:firstLineChars="10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-635</wp:posOffset>
                      </wp:positionV>
                      <wp:extent cx="748665" cy="396240"/>
                      <wp:effectExtent l="2540" t="4445" r="10795" b="18415"/>
                      <wp:wrapNone/>
                      <wp:docPr id="7" name="直接连接符 7"/>
                      <wp:cNvGraphicFramePr/>
                      <a:graphic xmlns:a="http://schemas.openxmlformats.org/drawingml/2006/main">
                        <a:graphicData uri="http://schemas.microsoft.com/office/word/2010/wordprocessingShape">
                          <wps:wsp>
                            <wps:cNvCnPr/>
                            <wps:spPr>
                              <a:xfrm>
                                <a:off x="0" y="0"/>
                                <a:ext cx="748665" cy="396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5pt;margin-top:-0.05pt;height:31.2pt;width:58.95pt;z-index:251659264;mso-width-relative:page;mso-height-relative:page;" filled="f" stroked="t" coordsize="21600,21600" o:gfxdata="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fiMItUA&#10;AAAHAQAADwAAAAAAAAABACAAAAAiAAAAZHJzL2Rvd25yZXYueG1sUEsBAhQAFAAAAAgAh07iQLiw&#10;AMTpAQAAtQMAAA4AAAAAAAAAAQAgAAAAJAEAAGRycy9lMm9Eb2MueG1sUEsFBgAAAAAGAAYAWQEA&#10;AH8FAAAAAA==&#10;">
                      <v:fill on="f" focussize="0,0"/>
                      <v:stroke weight="0.5pt" color="#000000 [3213]" miterlimit="8" joinstyle="miter"/>
                      <v:imagedata o:title=""/>
                      <o:lock v:ext="edit" aspectratio="f"/>
                    </v:line>
                  </w:pict>
                </mc:Fallback>
              </mc:AlternateContent>
            </w:r>
            <w:r>
              <w:rPr>
                <w:rFonts w:hint="default" w:ascii="Times New Roman" w:hAnsi="Times New Roman" w:cs="Times New Roman"/>
                <w:color w:val="auto"/>
                <w:sz w:val="18"/>
                <w:szCs w:val="18"/>
                <w:lang w:val="en-US" w:eastAsia="zh-CN"/>
              </w:rPr>
              <w:t xml:space="preserve"> </w:t>
            </w:r>
            <w:r>
              <w:rPr>
                <w:rFonts w:hint="default" w:ascii="Times New Roman" w:hAnsi="Times New Roman" w:eastAsia="宋体" w:cs="Times New Roman"/>
                <w:color w:val="auto"/>
                <w:sz w:val="18"/>
                <w:szCs w:val="18"/>
              </w:rPr>
              <w:t>内容</w:t>
            </w:r>
          </w:p>
          <w:p w14:paraId="71921043">
            <w:pPr>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p>
        </w:tc>
        <w:tc>
          <w:tcPr>
            <w:tcW w:w="1251" w:type="dxa"/>
            <w:vAlign w:val="center"/>
          </w:tcPr>
          <w:p w14:paraId="06E22C5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w:t>
            </w:r>
          </w:p>
          <w:p w14:paraId="185859A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1232" w:type="dxa"/>
            <w:vAlign w:val="center"/>
          </w:tcPr>
          <w:p w14:paraId="58F778B3">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处理前产生量及浓度</w:t>
            </w:r>
          </w:p>
        </w:tc>
        <w:tc>
          <w:tcPr>
            <w:tcW w:w="3925" w:type="dxa"/>
            <w:vAlign w:val="center"/>
          </w:tcPr>
          <w:p w14:paraId="69EE17E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处置方式</w:t>
            </w:r>
          </w:p>
        </w:tc>
        <w:tc>
          <w:tcPr>
            <w:tcW w:w="1288" w:type="dxa"/>
            <w:vAlign w:val="center"/>
          </w:tcPr>
          <w:p w14:paraId="64DF528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处理后排放量及浓度</w:t>
            </w:r>
          </w:p>
        </w:tc>
        <w:tc>
          <w:tcPr>
            <w:tcW w:w="1278" w:type="dxa"/>
            <w:vAlign w:val="center"/>
          </w:tcPr>
          <w:p w14:paraId="5E28DAB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处理效率及排放去向</w:t>
            </w:r>
          </w:p>
        </w:tc>
      </w:tr>
      <w:tr w14:paraId="2C72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restart"/>
            <w:vAlign w:val="center"/>
          </w:tcPr>
          <w:p w14:paraId="2D9E7C15">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废气</w:t>
            </w:r>
          </w:p>
        </w:tc>
        <w:tc>
          <w:tcPr>
            <w:tcW w:w="579" w:type="dxa"/>
            <w:vMerge w:val="restart"/>
            <w:vAlign w:val="center"/>
          </w:tcPr>
          <w:p w14:paraId="62B115E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营运期</w:t>
            </w:r>
          </w:p>
        </w:tc>
        <w:tc>
          <w:tcPr>
            <w:tcW w:w="1251" w:type="dxa"/>
            <w:vAlign w:val="center"/>
          </w:tcPr>
          <w:p w14:paraId="2CB34A54">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原料堆存</w:t>
            </w:r>
            <w:r>
              <w:rPr>
                <w:rFonts w:hint="default" w:ascii="Times New Roman" w:hAnsi="Times New Roman" w:cs="Times New Roman"/>
                <w:color w:val="auto"/>
                <w:sz w:val="18"/>
                <w:szCs w:val="18"/>
                <w:lang w:val="en-US" w:eastAsia="zh-CN"/>
              </w:rPr>
              <w:t>粉尘</w:t>
            </w:r>
          </w:p>
        </w:tc>
        <w:tc>
          <w:tcPr>
            <w:tcW w:w="1232" w:type="dxa"/>
            <w:vAlign w:val="center"/>
          </w:tcPr>
          <w:p w14:paraId="3310E243">
            <w:pPr>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lang w:val="en-US" w:eastAsia="zh-CN"/>
              </w:rPr>
              <w:t>1.6487t/a，0.7020kg/h</w:t>
            </w:r>
          </w:p>
        </w:tc>
        <w:tc>
          <w:tcPr>
            <w:tcW w:w="3925" w:type="dxa"/>
            <w:vAlign w:val="center"/>
          </w:tcPr>
          <w:p w14:paraId="2FE07BD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将原料堆场设置在密闭厂棚内，并在厂棚内设置</w:t>
            </w:r>
            <w:r>
              <w:rPr>
                <w:rFonts w:hint="eastAsia"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lang w:val="en-US" w:eastAsia="zh-CN"/>
              </w:rPr>
              <w:t>个喷淋装置对卸料和堆存过程产生的粉尘进行喷淋降尘，要求卸料车辆做到轻装倾卸，及时进行洒水降尘</w:t>
            </w:r>
          </w:p>
        </w:tc>
        <w:tc>
          <w:tcPr>
            <w:tcW w:w="1288" w:type="dxa"/>
            <w:vAlign w:val="center"/>
          </w:tcPr>
          <w:p w14:paraId="6DAF8DE6">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无组织：</w:t>
            </w:r>
            <w:r>
              <w:rPr>
                <w:rFonts w:hint="eastAsia" w:ascii="Times New Roman" w:hAnsi="Times New Roman" w:cs="Times New Roman"/>
                <w:sz w:val="18"/>
                <w:szCs w:val="18"/>
                <w:lang w:val="en-US" w:eastAsia="zh-CN"/>
              </w:rPr>
              <w:t>0.0233</w:t>
            </w:r>
            <w:r>
              <w:rPr>
                <w:rFonts w:hint="default" w:ascii="Times New Roman" w:hAnsi="Times New Roman" w:cs="Times New Roman"/>
                <w:color w:val="auto"/>
                <w:sz w:val="18"/>
                <w:szCs w:val="18"/>
                <w:lang w:val="en-US" w:eastAsia="zh-CN"/>
              </w:rPr>
              <w:t>t</w:t>
            </w:r>
            <w:r>
              <w:rPr>
                <w:rFonts w:hint="default" w:ascii="Times New Roman" w:hAnsi="Times New Roman" w:eastAsia="宋体" w:cs="Times New Roman"/>
                <w:color w:val="auto"/>
                <w:sz w:val="18"/>
                <w:szCs w:val="18"/>
                <w:lang w:val="en-US" w:eastAsia="zh-CN"/>
              </w:rPr>
              <w:t>/a，</w:t>
            </w:r>
            <w:r>
              <w:rPr>
                <w:rFonts w:hint="eastAsia" w:ascii="Times New Roman" w:hAnsi="Times New Roman" w:cs="Times New Roman"/>
                <w:sz w:val="18"/>
                <w:szCs w:val="18"/>
                <w:lang w:val="en-US" w:eastAsia="zh-CN"/>
              </w:rPr>
              <w:t>0.0097</w:t>
            </w:r>
            <w:r>
              <w:rPr>
                <w:rFonts w:hint="default" w:ascii="Times New Roman" w:hAnsi="Times New Roman" w:eastAsia="宋体" w:cs="Times New Roman"/>
                <w:color w:val="auto"/>
                <w:sz w:val="18"/>
                <w:szCs w:val="18"/>
                <w:lang w:val="en-US" w:eastAsia="zh-CN"/>
              </w:rPr>
              <w:t>kg/h</w:t>
            </w:r>
          </w:p>
        </w:tc>
        <w:tc>
          <w:tcPr>
            <w:tcW w:w="1278" w:type="dxa"/>
            <w:vAlign w:val="center"/>
          </w:tcPr>
          <w:p w14:paraId="0C6F535E">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达标排放</w:t>
            </w:r>
          </w:p>
        </w:tc>
      </w:tr>
      <w:tr w14:paraId="0BDC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03F69C5D">
            <w:pPr>
              <w:spacing w:line="240" w:lineRule="auto"/>
              <w:jc w:val="center"/>
              <w:rPr>
                <w:rFonts w:hint="default" w:ascii="Times New Roman" w:hAnsi="Times New Roman" w:eastAsia="宋体" w:cs="Times New Roman"/>
                <w:color w:val="auto"/>
                <w:sz w:val="18"/>
                <w:szCs w:val="18"/>
                <w:lang w:eastAsia="zh-CN"/>
              </w:rPr>
            </w:pPr>
          </w:p>
        </w:tc>
        <w:tc>
          <w:tcPr>
            <w:tcW w:w="579" w:type="dxa"/>
            <w:vMerge w:val="continue"/>
            <w:vAlign w:val="center"/>
          </w:tcPr>
          <w:p w14:paraId="3E81E7C0">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5D41B197">
            <w:pPr>
              <w:spacing w:line="240" w:lineRule="auto"/>
              <w:jc w:val="center"/>
              <w:rPr>
                <w:rFonts w:hint="default" w:ascii="Times New Roman" w:hAnsi="Times New Roman" w:eastAsia="宋体" w:cs="Times New Roman"/>
                <w:color w:val="auto"/>
                <w:sz w:val="18"/>
                <w:szCs w:val="18"/>
                <w:lang w:eastAsia="zh-CN"/>
              </w:rPr>
            </w:pPr>
            <w:r>
              <w:rPr>
                <w:rFonts w:hint="eastAsia" w:ascii="Times New Roman" w:hAnsi="Times New Roman" w:cs="Times New Roman"/>
                <w:sz w:val="18"/>
                <w:szCs w:val="18"/>
                <w:lang w:val="en-US" w:eastAsia="zh-CN"/>
              </w:rPr>
              <w:t>物料输送</w:t>
            </w:r>
            <w:r>
              <w:rPr>
                <w:rFonts w:hint="default" w:ascii="Times New Roman" w:hAnsi="Times New Roman" w:cs="Times New Roman"/>
                <w:sz w:val="18"/>
                <w:szCs w:val="18"/>
                <w:lang w:val="en-US" w:eastAsia="zh-CN"/>
              </w:rPr>
              <w:t>转运环节</w:t>
            </w:r>
            <w:r>
              <w:rPr>
                <w:rFonts w:hint="default" w:ascii="Times New Roman" w:hAnsi="Times New Roman" w:eastAsia="宋体" w:cs="Times New Roman"/>
                <w:color w:val="auto"/>
                <w:sz w:val="18"/>
                <w:szCs w:val="18"/>
                <w:lang w:eastAsia="zh-CN"/>
              </w:rPr>
              <w:t>粉尘</w:t>
            </w:r>
          </w:p>
        </w:tc>
        <w:tc>
          <w:tcPr>
            <w:tcW w:w="1232" w:type="dxa"/>
            <w:vAlign w:val="center"/>
          </w:tcPr>
          <w:p w14:paraId="522814F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0.756t/a，0.315kg/h</w:t>
            </w:r>
          </w:p>
        </w:tc>
        <w:tc>
          <w:tcPr>
            <w:tcW w:w="3925" w:type="dxa"/>
            <w:vAlign w:val="center"/>
          </w:tcPr>
          <w:p w14:paraId="3265E34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生产车间</w:t>
            </w:r>
            <w:r>
              <w:rPr>
                <w:rFonts w:hint="eastAsia" w:ascii="Times New Roman" w:hAnsi="Times New Roman" w:eastAsia="宋体" w:cs="Times New Roman"/>
                <w:color w:val="auto"/>
                <w:sz w:val="18"/>
                <w:szCs w:val="18"/>
                <w:lang w:val="en-US" w:eastAsia="zh-CN"/>
              </w:rPr>
              <w:t>设置</w:t>
            </w:r>
            <w:r>
              <w:rPr>
                <w:rFonts w:hint="default" w:ascii="Times New Roman" w:hAnsi="Times New Roman" w:eastAsia="宋体" w:cs="Times New Roman"/>
                <w:color w:val="auto"/>
                <w:sz w:val="18"/>
                <w:szCs w:val="18"/>
                <w:lang w:val="en-US" w:eastAsia="zh-CN"/>
              </w:rPr>
              <w:t>为密闭结构</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并在车间上方设置喷淋装置</w:t>
            </w:r>
            <w:r>
              <w:rPr>
                <w:rFonts w:hint="eastAsia" w:ascii="Times New Roman" w:hAnsi="Times New Roman" w:eastAsia="宋体" w:cs="Times New Roman"/>
                <w:color w:val="auto"/>
                <w:sz w:val="18"/>
                <w:szCs w:val="18"/>
                <w:lang w:val="en-US" w:eastAsia="zh-CN"/>
              </w:rPr>
              <w:t>，在</w:t>
            </w:r>
            <w:r>
              <w:rPr>
                <w:rFonts w:hint="default" w:ascii="Times New Roman" w:hAnsi="Times New Roman" w:eastAsia="宋体" w:cs="Times New Roman"/>
                <w:color w:val="auto"/>
                <w:sz w:val="18"/>
                <w:szCs w:val="18"/>
                <w:lang w:val="en-US" w:eastAsia="zh-CN"/>
              </w:rPr>
              <w:t>上料斗</w:t>
            </w:r>
            <w:r>
              <w:rPr>
                <w:rFonts w:hint="eastAsia" w:ascii="Times New Roman" w:hAnsi="Times New Roman" w:eastAsia="宋体" w:cs="Times New Roman"/>
                <w:color w:val="auto"/>
                <w:sz w:val="18"/>
                <w:szCs w:val="18"/>
                <w:lang w:val="en-US" w:eastAsia="zh-CN"/>
              </w:rPr>
              <w:t>和搅拌机</w:t>
            </w:r>
            <w:r>
              <w:rPr>
                <w:rFonts w:hint="default" w:ascii="Times New Roman" w:hAnsi="Times New Roman" w:eastAsia="宋体" w:cs="Times New Roman"/>
                <w:color w:val="auto"/>
                <w:sz w:val="18"/>
                <w:szCs w:val="18"/>
                <w:lang w:val="en-US" w:eastAsia="zh-CN"/>
              </w:rPr>
              <w:t>设置喷淋装置，</w:t>
            </w:r>
            <w:r>
              <w:rPr>
                <w:rFonts w:hint="eastAsia" w:ascii="Times New Roman" w:hAnsi="Times New Roman" w:eastAsia="宋体" w:cs="Times New Roman"/>
                <w:color w:val="auto"/>
                <w:sz w:val="18"/>
                <w:szCs w:val="18"/>
                <w:lang w:val="en-US" w:eastAsia="zh-CN"/>
              </w:rPr>
              <w:t>水泥在输送、转运环节采用密闭输送和管式螺旋输送机</w:t>
            </w:r>
          </w:p>
        </w:tc>
        <w:tc>
          <w:tcPr>
            <w:tcW w:w="1288" w:type="dxa"/>
            <w:vAlign w:val="center"/>
          </w:tcPr>
          <w:p w14:paraId="4A90A1F0">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无组织：</w:t>
            </w:r>
            <w:r>
              <w:rPr>
                <w:rFonts w:hint="eastAsia" w:ascii="Times New Roman" w:hAnsi="Times New Roman" w:cs="Times New Roman"/>
                <w:sz w:val="18"/>
                <w:szCs w:val="18"/>
                <w:lang w:val="en-US" w:eastAsia="zh-CN"/>
              </w:rPr>
              <w:t>0.002</w:t>
            </w:r>
            <w:r>
              <w:rPr>
                <w:rFonts w:hint="default" w:ascii="Times New Roman" w:hAnsi="Times New Roman" w:cs="Times New Roman"/>
                <w:color w:val="auto"/>
                <w:sz w:val="18"/>
                <w:szCs w:val="18"/>
                <w:lang w:val="en-US" w:eastAsia="zh-CN"/>
              </w:rPr>
              <w:t>t/a，</w:t>
            </w:r>
            <w:r>
              <w:rPr>
                <w:rFonts w:hint="eastAsia" w:ascii="Times New Roman" w:hAnsi="Times New Roman" w:cs="Times New Roman"/>
                <w:sz w:val="18"/>
                <w:szCs w:val="18"/>
                <w:lang w:val="en-US" w:eastAsia="zh-CN"/>
              </w:rPr>
              <w:t>0.00475</w:t>
            </w:r>
            <w:r>
              <w:rPr>
                <w:rFonts w:hint="default" w:ascii="Times New Roman" w:hAnsi="Times New Roman" w:cs="Times New Roman"/>
                <w:color w:val="auto"/>
                <w:sz w:val="18"/>
                <w:szCs w:val="18"/>
                <w:lang w:val="en-US" w:eastAsia="zh-CN"/>
              </w:rPr>
              <w:t>kg/h</w:t>
            </w:r>
          </w:p>
        </w:tc>
        <w:tc>
          <w:tcPr>
            <w:tcW w:w="1278" w:type="dxa"/>
            <w:vAlign w:val="center"/>
          </w:tcPr>
          <w:p w14:paraId="0CCD392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5BA0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41" w:type="dxa"/>
            <w:vMerge w:val="continue"/>
            <w:vAlign w:val="center"/>
          </w:tcPr>
          <w:p w14:paraId="45CC515C">
            <w:pPr>
              <w:spacing w:line="240" w:lineRule="auto"/>
              <w:jc w:val="center"/>
              <w:rPr>
                <w:rFonts w:hint="default" w:ascii="Times New Roman" w:hAnsi="Times New Roman" w:eastAsia="宋体" w:cs="Times New Roman"/>
                <w:color w:val="auto"/>
                <w:sz w:val="18"/>
                <w:szCs w:val="18"/>
                <w:lang w:eastAsia="zh-CN"/>
              </w:rPr>
            </w:pPr>
          </w:p>
        </w:tc>
        <w:tc>
          <w:tcPr>
            <w:tcW w:w="579" w:type="dxa"/>
            <w:vMerge w:val="continue"/>
            <w:vAlign w:val="center"/>
          </w:tcPr>
          <w:p w14:paraId="698DEB6D">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5EEBEF8F">
            <w:pPr>
              <w:spacing w:line="240" w:lineRule="auto"/>
              <w:jc w:val="center"/>
              <w:rPr>
                <w:rFonts w:hint="default" w:ascii="Times New Roman" w:hAnsi="Times New Roman" w:eastAsia="宋体" w:cs="Times New Roman"/>
                <w:color w:val="auto"/>
                <w:sz w:val="18"/>
                <w:szCs w:val="18"/>
                <w:lang w:val="en-US" w:eastAsia="zh-CN"/>
              </w:rPr>
            </w:pPr>
            <w:r>
              <w:rPr>
                <w:rFonts w:hint="eastAsia"/>
                <w:color w:val="auto"/>
                <w:sz w:val="18"/>
                <w:szCs w:val="18"/>
                <w:shd w:val="clear" w:color="auto" w:fill="auto"/>
                <w:lang w:val="en-US" w:eastAsia="zh-CN"/>
              </w:rPr>
              <w:t>水泥筒仓装卸粉尘</w:t>
            </w:r>
          </w:p>
        </w:tc>
        <w:tc>
          <w:tcPr>
            <w:tcW w:w="1232" w:type="dxa"/>
            <w:vAlign w:val="center"/>
          </w:tcPr>
          <w:p w14:paraId="7D98043B">
            <w:pPr>
              <w:spacing w:line="240" w:lineRule="auto"/>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0.114</w:t>
            </w:r>
            <w:r>
              <w:rPr>
                <w:rFonts w:hint="default" w:ascii="Times New Roman" w:hAnsi="Times New Roman" w:cs="Times New Roman"/>
                <w:color w:val="auto"/>
                <w:sz w:val="18"/>
                <w:szCs w:val="18"/>
                <w:lang w:val="en-US" w:eastAsia="zh-CN"/>
              </w:rPr>
              <w:t>t/a，</w:t>
            </w:r>
            <w:r>
              <w:rPr>
                <w:rFonts w:hint="eastAsia"/>
                <w:color w:val="auto"/>
                <w:sz w:val="18"/>
                <w:szCs w:val="18"/>
                <w:lang w:val="en-US" w:eastAsia="zh-CN"/>
              </w:rPr>
              <w:t>10.1</w:t>
            </w:r>
            <w:r>
              <w:rPr>
                <w:rFonts w:hint="default" w:ascii="Times New Roman" w:hAnsi="Times New Roman" w:cs="Times New Roman"/>
                <w:color w:val="auto"/>
                <w:sz w:val="18"/>
                <w:szCs w:val="18"/>
                <w:lang w:val="en-US" w:eastAsia="zh-CN"/>
              </w:rPr>
              <w:t>kg/h</w:t>
            </w:r>
          </w:p>
        </w:tc>
        <w:tc>
          <w:tcPr>
            <w:tcW w:w="3925" w:type="dxa"/>
            <w:vAlign w:val="center"/>
          </w:tcPr>
          <w:p w14:paraId="3EBB5B4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生产车间为密闭结构，设置 1 台仓顶</w:t>
            </w:r>
            <w:r>
              <w:rPr>
                <w:rFonts w:hint="eastAsia"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lang w:val="en-US" w:eastAsia="zh-CN"/>
              </w:rPr>
              <w:t>废气收集效率以100%计，除尘效率均以 99.</w:t>
            </w:r>
            <w:r>
              <w:rPr>
                <w:rFonts w:hint="eastAsia" w:ascii="Times New Roman" w:hAnsi="Times New Roman" w:eastAsia="宋体" w:cs="Times New Roman"/>
                <w:color w:val="auto"/>
                <w:sz w:val="18"/>
                <w:szCs w:val="18"/>
                <w:lang w:val="en-US" w:eastAsia="zh-CN"/>
              </w:rPr>
              <w:t>9</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，筒仓</w:t>
            </w:r>
            <w:r>
              <w:rPr>
                <w:rFonts w:hint="default" w:ascii="Times New Roman" w:hAnsi="Times New Roman" w:eastAsia="宋体" w:cs="Times New Roman"/>
                <w:color w:val="auto"/>
                <w:sz w:val="18"/>
                <w:szCs w:val="18"/>
                <w:lang w:val="en-US" w:eastAsia="zh-CN"/>
              </w:rPr>
              <w:t>粉尘经过仓顶</w:t>
            </w:r>
            <w:r>
              <w:rPr>
                <w:rFonts w:hint="eastAsia"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lang w:val="en-US" w:eastAsia="zh-CN"/>
              </w:rPr>
              <w:t>处理后经仓顶排气口排放</w:t>
            </w:r>
            <w:r>
              <w:rPr>
                <w:rFonts w:hint="eastAsia" w:ascii="Times New Roman" w:hAnsi="Times New Roman" w:eastAsia="宋体" w:cs="Times New Roman"/>
                <w:color w:val="auto"/>
                <w:sz w:val="18"/>
                <w:szCs w:val="18"/>
                <w:lang w:val="en-US" w:eastAsia="zh-CN"/>
              </w:rPr>
              <w:t>（1#排气筒）</w:t>
            </w:r>
          </w:p>
        </w:tc>
        <w:tc>
          <w:tcPr>
            <w:tcW w:w="1288" w:type="dxa"/>
            <w:vAlign w:val="center"/>
          </w:tcPr>
          <w:p w14:paraId="1B4E038E">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有</w:t>
            </w:r>
            <w:r>
              <w:rPr>
                <w:rFonts w:hint="default" w:ascii="Times New Roman" w:hAnsi="Times New Roman" w:eastAsia="宋体" w:cs="Times New Roman"/>
                <w:color w:val="auto"/>
                <w:sz w:val="18"/>
                <w:szCs w:val="18"/>
                <w:lang w:eastAsia="zh-CN"/>
              </w:rPr>
              <w:t>组织：</w:t>
            </w:r>
            <w:r>
              <w:rPr>
                <w:rFonts w:hint="eastAsia"/>
                <w:color w:val="auto"/>
                <w:sz w:val="18"/>
                <w:szCs w:val="18"/>
                <w:shd w:val="clear" w:color="auto" w:fill="auto"/>
                <w:lang w:val="en-US" w:eastAsia="zh-CN"/>
              </w:rPr>
              <w:t>0.000114</w:t>
            </w:r>
            <w:r>
              <w:rPr>
                <w:rFonts w:hint="default" w:ascii="Times New Roman" w:hAnsi="Times New Roman" w:cs="Times New Roman"/>
                <w:color w:val="auto"/>
                <w:sz w:val="18"/>
                <w:szCs w:val="18"/>
                <w:lang w:val="en-US" w:eastAsia="zh-CN"/>
              </w:rPr>
              <w:t>t/a，</w:t>
            </w:r>
            <w:r>
              <w:rPr>
                <w:rFonts w:hint="eastAsia"/>
                <w:color w:val="auto"/>
                <w:sz w:val="18"/>
                <w:szCs w:val="18"/>
                <w:lang w:val="en-US" w:eastAsia="zh-CN"/>
              </w:rPr>
              <w:t>0.0101</w:t>
            </w:r>
            <w:r>
              <w:rPr>
                <w:rFonts w:hint="default" w:ascii="Times New Roman" w:hAnsi="Times New Roman" w:cs="Times New Roman"/>
                <w:color w:val="auto"/>
                <w:sz w:val="18"/>
                <w:szCs w:val="18"/>
                <w:lang w:val="en-US" w:eastAsia="zh-CN"/>
              </w:rPr>
              <w:t>kg/h</w:t>
            </w:r>
          </w:p>
        </w:tc>
        <w:tc>
          <w:tcPr>
            <w:tcW w:w="1278" w:type="dxa"/>
            <w:vAlign w:val="center"/>
          </w:tcPr>
          <w:p w14:paraId="0196C35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0210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0D504ECE">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69151E41">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55198DF2">
            <w:pPr>
              <w:spacing w:line="240" w:lineRule="auto"/>
              <w:jc w:val="center"/>
              <w:rPr>
                <w:rFonts w:hint="default" w:ascii="Times New Roman" w:hAnsi="Times New Roman" w:eastAsia="宋体" w:cs="Times New Roman"/>
                <w:color w:val="auto"/>
                <w:sz w:val="18"/>
                <w:szCs w:val="18"/>
                <w:lang w:val="en-US" w:eastAsia="zh-CN"/>
              </w:rPr>
            </w:pPr>
            <w:r>
              <w:rPr>
                <w:rFonts w:hint="eastAsia"/>
                <w:color w:val="auto"/>
                <w:sz w:val="18"/>
                <w:szCs w:val="18"/>
                <w:shd w:val="clear" w:color="auto" w:fill="auto"/>
                <w:lang w:val="en-US" w:eastAsia="zh-CN"/>
              </w:rPr>
              <w:t>搅拌粉尘</w:t>
            </w:r>
            <w:r>
              <w:rPr>
                <w:rFonts w:hint="default" w:ascii="Times New Roman" w:hAnsi="Times New Roman" w:cs="Times New Roman"/>
                <w:color w:val="auto"/>
                <w:sz w:val="18"/>
                <w:szCs w:val="18"/>
                <w:lang w:eastAsia="zh-CN"/>
              </w:rPr>
              <w:t>粉尘</w:t>
            </w:r>
          </w:p>
        </w:tc>
        <w:tc>
          <w:tcPr>
            <w:tcW w:w="1232" w:type="dxa"/>
            <w:vAlign w:val="center"/>
          </w:tcPr>
          <w:p w14:paraId="782D1650">
            <w:pPr>
              <w:spacing w:line="240" w:lineRule="auto"/>
              <w:jc w:val="center"/>
              <w:rPr>
                <w:rFonts w:hint="default" w:ascii="Times New Roman" w:hAnsi="Times New Roman" w:eastAsia="宋体" w:cs="Times New Roman"/>
                <w:color w:val="auto"/>
                <w:sz w:val="18"/>
                <w:szCs w:val="18"/>
                <w:lang w:val="en-US" w:eastAsia="zh-CN"/>
              </w:rPr>
            </w:pPr>
            <w:r>
              <w:rPr>
                <w:rFonts w:hint="eastAsia"/>
                <w:color w:val="auto"/>
                <w:sz w:val="18"/>
                <w:szCs w:val="18"/>
                <w:shd w:val="clear" w:color="auto" w:fill="auto"/>
                <w:lang w:val="en-US" w:eastAsia="zh-CN"/>
              </w:rPr>
              <w:t>0.114</w:t>
            </w:r>
            <w:r>
              <w:rPr>
                <w:rFonts w:hint="default" w:ascii="Times New Roman" w:hAnsi="Times New Roman" w:cs="Times New Roman"/>
                <w:color w:val="auto"/>
                <w:sz w:val="18"/>
                <w:szCs w:val="18"/>
                <w:lang w:val="en-US" w:eastAsia="zh-CN"/>
              </w:rPr>
              <w:t>t/a，</w:t>
            </w:r>
            <w:r>
              <w:rPr>
                <w:rFonts w:hint="eastAsia"/>
                <w:color w:val="auto"/>
                <w:sz w:val="18"/>
                <w:szCs w:val="18"/>
                <w:lang w:val="en-US" w:eastAsia="zh-CN"/>
              </w:rPr>
              <w:t>0.0475</w:t>
            </w:r>
            <w:r>
              <w:rPr>
                <w:rFonts w:hint="default" w:ascii="Times New Roman" w:hAnsi="Times New Roman" w:cs="Times New Roman"/>
                <w:color w:val="auto"/>
                <w:sz w:val="18"/>
                <w:szCs w:val="18"/>
                <w:lang w:val="en-US" w:eastAsia="zh-CN"/>
              </w:rPr>
              <w:t>kg/h</w:t>
            </w:r>
          </w:p>
        </w:tc>
        <w:tc>
          <w:tcPr>
            <w:tcW w:w="3925" w:type="dxa"/>
            <w:vAlign w:val="center"/>
          </w:tcPr>
          <w:p w14:paraId="7F5678E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生产车间为密闭结构，</w:t>
            </w:r>
            <w:r>
              <w:rPr>
                <w:rFonts w:hint="eastAsia" w:ascii="Times New Roman" w:hAnsi="Times New Roman" w:eastAsia="宋体" w:cs="Times New Roman"/>
                <w:color w:val="auto"/>
                <w:sz w:val="18"/>
                <w:szCs w:val="18"/>
                <w:lang w:val="en-US" w:eastAsia="zh-CN"/>
              </w:rPr>
              <w:t>在搅拌机上方各设置一个2m2的集气罩，收集搅拌过程中产生的粉尘。收集的粉尘经</w:t>
            </w:r>
            <w:r>
              <w:rPr>
                <w:rFonts w:hint="default" w:ascii="Times New Roman" w:hAnsi="Times New Roman" w:eastAsia="宋体" w:cs="Times New Roman"/>
                <w:color w:val="auto"/>
                <w:sz w:val="18"/>
                <w:szCs w:val="18"/>
                <w:lang w:val="en-US" w:eastAsia="zh-CN"/>
              </w:rPr>
              <w:t>仓顶</w:t>
            </w:r>
            <w:r>
              <w:rPr>
                <w:rFonts w:hint="eastAsia" w:ascii="Times New Roman" w:hAnsi="Times New Roman" w:eastAsia="宋体" w:cs="Times New Roman"/>
                <w:color w:val="auto"/>
                <w:sz w:val="18"/>
                <w:szCs w:val="18"/>
                <w:lang w:val="en-US" w:eastAsia="zh-CN"/>
              </w:rPr>
              <w:t>脉冲除尘器处理后，通过15m搞排气筒排放（</w:t>
            </w:r>
            <w:r>
              <w:rPr>
                <w:rFonts w:hint="eastAsia"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#排气筒）</w:t>
            </w:r>
          </w:p>
        </w:tc>
        <w:tc>
          <w:tcPr>
            <w:tcW w:w="1288" w:type="dxa"/>
            <w:vAlign w:val="center"/>
          </w:tcPr>
          <w:p w14:paraId="28F826C3">
            <w:pPr>
              <w:spacing w:line="240" w:lineRule="auto"/>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lang w:val="en-US" w:eastAsia="zh-CN"/>
              </w:rPr>
              <w:t>有</w:t>
            </w:r>
            <w:r>
              <w:rPr>
                <w:rFonts w:hint="default" w:ascii="Times New Roman" w:hAnsi="Times New Roman" w:eastAsia="宋体" w:cs="Times New Roman"/>
                <w:color w:val="auto"/>
                <w:sz w:val="18"/>
                <w:szCs w:val="18"/>
                <w:lang w:eastAsia="zh-CN"/>
              </w:rPr>
              <w:t>组织：</w:t>
            </w:r>
            <w:r>
              <w:rPr>
                <w:rFonts w:hint="eastAsia"/>
                <w:color w:val="auto"/>
                <w:sz w:val="18"/>
                <w:szCs w:val="18"/>
                <w:shd w:val="clear" w:color="auto" w:fill="auto"/>
                <w:lang w:val="en-US" w:eastAsia="zh-CN"/>
              </w:rPr>
              <w:t>0.00912</w:t>
            </w:r>
            <w:r>
              <w:rPr>
                <w:rFonts w:hint="default" w:ascii="Times New Roman" w:hAnsi="Times New Roman" w:cs="Times New Roman"/>
                <w:color w:val="auto"/>
                <w:sz w:val="18"/>
                <w:szCs w:val="18"/>
                <w:lang w:val="en-US" w:eastAsia="zh-CN"/>
              </w:rPr>
              <w:t>t/a，</w:t>
            </w:r>
            <w:r>
              <w:rPr>
                <w:rFonts w:hint="eastAsia"/>
                <w:color w:val="auto"/>
                <w:sz w:val="18"/>
                <w:szCs w:val="18"/>
                <w:lang w:eastAsia="zh-CN"/>
              </w:rPr>
              <w:t>0.</w:t>
            </w:r>
            <w:r>
              <w:rPr>
                <w:rFonts w:hint="eastAsia"/>
                <w:color w:val="auto"/>
                <w:sz w:val="18"/>
                <w:szCs w:val="18"/>
                <w:lang w:val="en-US" w:eastAsia="zh-CN"/>
              </w:rPr>
              <w:t>0038</w:t>
            </w:r>
            <w:r>
              <w:rPr>
                <w:rFonts w:hint="default" w:ascii="Times New Roman" w:hAnsi="Times New Roman" w:cs="Times New Roman"/>
                <w:color w:val="auto"/>
                <w:sz w:val="18"/>
                <w:szCs w:val="18"/>
                <w:lang w:val="en-US" w:eastAsia="zh-CN"/>
              </w:rPr>
              <w:t>kg/h</w:t>
            </w:r>
          </w:p>
        </w:tc>
        <w:tc>
          <w:tcPr>
            <w:tcW w:w="1278" w:type="dxa"/>
            <w:vAlign w:val="center"/>
          </w:tcPr>
          <w:p w14:paraId="515F0AF5">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50F3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785204F2">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62BE127D">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64EA87CA">
            <w:pPr>
              <w:spacing w:line="240" w:lineRule="auto"/>
              <w:jc w:val="center"/>
              <w:rPr>
                <w:rFonts w:hint="eastAsia"/>
                <w:color w:val="auto"/>
                <w:sz w:val="18"/>
                <w:szCs w:val="18"/>
                <w:shd w:val="clear" w:color="auto" w:fill="auto"/>
                <w:lang w:val="en-US" w:eastAsia="zh-CN"/>
              </w:rPr>
            </w:pPr>
            <w:r>
              <w:rPr>
                <w:rFonts w:hint="eastAsia"/>
                <w:color w:val="auto"/>
                <w:sz w:val="18"/>
                <w:szCs w:val="18"/>
                <w:shd w:val="clear" w:color="auto" w:fill="auto"/>
                <w:lang w:val="en-US" w:eastAsia="zh-CN"/>
              </w:rPr>
              <w:t>焊接烟尘</w:t>
            </w:r>
          </w:p>
        </w:tc>
        <w:tc>
          <w:tcPr>
            <w:tcW w:w="1232" w:type="dxa"/>
            <w:vAlign w:val="center"/>
          </w:tcPr>
          <w:p w14:paraId="5F93CE8F">
            <w:pPr>
              <w:spacing w:line="240" w:lineRule="auto"/>
              <w:jc w:val="center"/>
              <w:rPr>
                <w:rFonts w:hint="eastAsia"/>
                <w:color w:val="auto"/>
                <w:sz w:val="18"/>
                <w:szCs w:val="18"/>
                <w:shd w:val="clear" w:color="auto" w:fill="auto"/>
                <w:lang w:val="en-US" w:eastAsia="zh-CN"/>
              </w:rPr>
            </w:pPr>
            <w:r>
              <w:rPr>
                <w:rFonts w:hint="eastAsia"/>
                <w:color w:val="auto"/>
                <w:sz w:val="18"/>
                <w:szCs w:val="18"/>
                <w:shd w:val="clear" w:color="auto" w:fill="auto"/>
                <w:lang w:val="en-US" w:eastAsia="zh-CN"/>
              </w:rPr>
              <w:t>0.024</w:t>
            </w:r>
            <w:r>
              <w:rPr>
                <w:rFonts w:hint="default" w:ascii="Times New Roman" w:hAnsi="Times New Roman" w:cs="Times New Roman"/>
                <w:color w:val="auto"/>
                <w:sz w:val="18"/>
                <w:szCs w:val="18"/>
                <w:lang w:val="en-US" w:eastAsia="zh-CN"/>
              </w:rPr>
              <w:t>t/a，</w:t>
            </w:r>
            <w:r>
              <w:rPr>
                <w:rFonts w:hint="eastAsia"/>
                <w:color w:val="auto"/>
                <w:sz w:val="18"/>
                <w:szCs w:val="18"/>
                <w:lang w:val="en-US" w:eastAsia="zh-CN"/>
              </w:rPr>
              <w:t>0.02</w:t>
            </w:r>
            <w:r>
              <w:rPr>
                <w:rFonts w:hint="default" w:ascii="Times New Roman" w:hAnsi="Times New Roman" w:cs="Times New Roman"/>
                <w:color w:val="auto"/>
                <w:sz w:val="18"/>
                <w:szCs w:val="18"/>
                <w:lang w:val="en-US" w:eastAsia="zh-CN"/>
              </w:rPr>
              <w:t>kg/h</w:t>
            </w:r>
          </w:p>
        </w:tc>
        <w:tc>
          <w:tcPr>
            <w:tcW w:w="3925" w:type="dxa"/>
            <w:vAlign w:val="center"/>
          </w:tcPr>
          <w:p w14:paraId="4FD13850">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每个焊接工位上方设置集气罩（收集效率按90%），焊接烟尘经收集后，通过焊接烟尘净化器处理（处理效率90%），处理后经15m高排气筒（</w:t>
            </w:r>
            <w:r>
              <w:rPr>
                <w:rFonts w:hint="eastAsia"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#）排放</w:t>
            </w:r>
          </w:p>
        </w:tc>
        <w:tc>
          <w:tcPr>
            <w:tcW w:w="1288" w:type="dxa"/>
            <w:vAlign w:val="center"/>
          </w:tcPr>
          <w:p w14:paraId="6B4EB4ED">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有</w:t>
            </w:r>
            <w:r>
              <w:rPr>
                <w:rFonts w:hint="default" w:ascii="Times New Roman" w:hAnsi="Times New Roman" w:eastAsia="宋体" w:cs="Times New Roman"/>
                <w:color w:val="auto"/>
                <w:sz w:val="18"/>
                <w:szCs w:val="18"/>
                <w:lang w:eastAsia="zh-CN"/>
              </w:rPr>
              <w:t>组织：</w:t>
            </w:r>
            <w:r>
              <w:rPr>
                <w:rFonts w:hint="eastAsia"/>
                <w:color w:val="auto"/>
                <w:sz w:val="18"/>
                <w:szCs w:val="18"/>
                <w:shd w:val="clear" w:color="auto" w:fill="auto"/>
                <w:lang w:val="en-US" w:eastAsia="zh-CN"/>
              </w:rPr>
              <w:t>0.00216</w:t>
            </w:r>
            <w:r>
              <w:rPr>
                <w:rFonts w:hint="default" w:ascii="Times New Roman" w:hAnsi="Times New Roman" w:cs="Times New Roman"/>
                <w:color w:val="auto"/>
                <w:sz w:val="18"/>
                <w:szCs w:val="18"/>
                <w:lang w:val="en-US" w:eastAsia="zh-CN"/>
              </w:rPr>
              <w:t>t/a，</w:t>
            </w:r>
            <w:r>
              <w:rPr>
                <w:rFonts w:hint="eastAsia"/>
                <w:color w:val="auto"/>
                <w:sz w:val="18"/>
                <w:szCs w:val="18"/>
                <w:lang w:val="en-US" w:eastAsia="zh-CN"/>
              </w:rPr>
              <w:t>0.0018</w:t>
            </w:r>
            <w:r>
              <w:rPr>
                <w:rFonts w:hint="default" w:ascii="Times New Roman" w:hAnsi="Times New Roman" w:cs="Times New Roman"/>
                <w:color w:val="auto"/>
                <w:sz w:val="18"/>
                <w:szCs w:val="18"/>
                <w:lang w:val="en-US" w:eastAsia="zh-CN"/>
              </w:rPr>
              <w:t>kg/h</w:t>
            </w:r>
          </w:p>
        </w:tc>
        <w:tc>
          <w:tcPr>
            <w:tcW w:w="1278" w:type="dxa"/>
            <w:vAlign w:val="center"/>
          </w:tcPr>
          <w:p w14:paraId="7AFB5C0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0107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5779C94C">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77F22D70">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078D345E">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汽车运输扬尘</w:t>
            </w:r>
          </w:p>
        </w:tc>
        <w:tc>
          <w:tcPr>
            <w:tcW w:w="1232" w:type="dxa"/>
            <w:vAlign w:val="center"/>
          </w:tcPr>
          <w:p w14:paraId="6B4D6B33">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sz w:val="18"/>
                <w:szCs w:val="18"/>
                <w:lang w:val="en-US" w:eastAsia="zh-CN"/>
              </w:rPr>
              <w:t>0.5876</w:t>
            </w:r>
            <w:r>
              <w:rPr>
                <w:rFonts w:hint="default" w:ascii="Times New Roman" w:hAnsi="Times New Roman" w:cs="Times New Roman"/>
                <w:color w:val="auto"/>
                <w:sz w:val="18"/>
                <w:szCs w:val="18"/>
                <w:lang w:val="en-US" w:eastAsia="zh-CN"/>
              </w:rPr>
              <w:t>t/a，</w:t>
            </w:r>
            <w:r>
              <w:rPr>
                <w:rFonts w:hint="eastAsia" w:ascii="Times New Roman" w:hAnsi="Times New Roman" w:cs="Times New Roman"/>
                <w:sz w:val="18"/>
                <w:szCs w:val="18"/>
                <w:lang w:val="en-US" w:eastAsia="zh-CN"/>
              </w:rPr>
              <w:t>0.245</w:t>
            </w:r>
            <w:r>
              <w:rPr>
                <w:rFonts w:hint="default" w:ascii="Times New Roman" w:hAnsi="Times New Roman" w:cs="Times New Roman"/>
                <w:color w:val="auto"/>
                <w:sz w:val="18"/>
                <w:szCs w:val="18"/>
                <w:lang w:val="en-US" w:eastAsia="zh-CN"/>
              </w:rPr>
              <w:t>kg/h</w:t>
            </w:r>
          </w:p>
        </w:tc>
        <w:tc>
          <w:tcPr>
            <w:tcW w:w="3925" w:type="dxa"/>
            <w:vAlign w:val="center"/>
          </w:tcPr>
          <w:p w14:paraId="3761F7D2">
            <w:pPr>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限制运输车辆车速，对厂区内地面派专人定期进行清扫，以减少道路扬尘</w:t>
            </w:r>
          </w:p>
        </w:tc>
        <w:tc>
          <w:tcPr>
            <w:tcW w:w="1288" w:type="dxa"/>
            <w:vAlign w:val="center"/>
          </w:tcPr>
          <w:p w14:paraId="7BFDDE1B">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eastAsia="zh-CN"/>
              </w:rPr>
              <w:t>无组织：</w:t>
            </w:r>
            <w:r>
              <w:rPr>
                <w:rFonts w:hint="eastAsia" w:ascii="Times New Roman" w:hAnsi="Times New Roman" w:cs="Times New Roman"/>
                <w:sz w:val="18"/>
                <w:szCs w:val="18"/>
                <w:lang w:val="en-US" w:eastAsia="zh-CN"/>
              </w:rPr>
              <w:t>0.5876</w:t>
            </w:r>
            <w:r>
              <w:rPr>
                <w:rFonts w:hint="default" w:ascii="Times New Roman" w:hAnsi="Times New Roman" w:cs="Times New Roman"/>
                <w:color w:val="auto"/>
                <w:sz w:val="18"/>
                <w:szCs w:val="18"/>
                <w:lang w:val="en-US" w:eastAsia="zh-CN"/>
              </w:rPr>
              <w:t>t/a，</w:t>
            </w:r>
            <w:r>
              <w:rPr>
                <w:rFonts w:hint="eastAsia" w:ascii="Times New Roman" w:hAnsi="Times New Roman" w:cs="Times New Roman"/>
                <w:sz w:val="18"/>
                <w:szCs w:val="18"/>
                <w:lang w:val="en-US" w:eastAsia="zh-CN"/>
              </w:rPr>
              <w:t>0.245</w:t>
            </w:r>
            <w:r>
              <w:rPr>
                <w:rFonts w:hint="default" w:ascii="Times New Roman" w:hAnsi="Times New Roman" w:cs="Times New Roman"/>
                <w:color w:val="auto"/>
                <w:sz w:val="18"/>
                <w:szCs w:val="18"/>
                <w:lang w:val="en-US" w:eastAsia="zh-CN"/>
              </w:rPr>
              <w:t>kg/h</w:t>
            </w:r>
          </w:p>
        </w:tc>
        <w:tc>
          <w:tcPr>
            <w:tcW w:w="1278" w:type="dxa"/>
            <w:vAlign w:val="center"/>
          </w:tcPr>
          <w:p w14:paraId="34B0AA8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4D15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558A982E">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2D464B89">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02121E2D">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汽车尾气</w:t>
            </w:r>
          </w:p>
        </w:tc>
        <w:tc>
          <w:tcPr>
            <w:tcW w:w="1232" w:type="dxa"/>
            <w:vAlign w:val="center"/>
          </w:tcPr>
          <w:p w14:paraId="12F0836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少量</w:t>
            </w:r>
          </w:p>
        </w:tc>
        <w:tc>
          <w:tcPr>
            <w:tcW w:w="3925" w:type="dxa"/>
            <w:vAlign w:val="center"/>
          </w:tcPr>
          <w:p w14:paraId="06CBCBB2">
            <w:pPr>
              <w:spacing w:line="24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通过加强管理，限制车速，严禁车辆超限超载，加强装载车辆保养，减少滞留时间</w:t>
            </w:r>
          </w:p>
        </w:tc>
        <w:tc>
          <w:tcPr>
            <w:tcW w:w="1288" w:type="dxa"/>
            <w:vAlign w:val="center"/>
          </w:tcPr>
          <w:p w14:paraId="29CE4FB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少量</w:t>
            </w:r>
          </w:p>
        </w:tc>
        <w:tc>
          <w:tcPr>
            <w:tcW w:w="1278" w:type="dxa"/>
            <w:vAlign w:val="center"/>
          </w:tcPr>
          <w:p w14:paraId="377BE731">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28C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restart"/>
            <w:vAlign w:val="center"/>
          </w:tcPr>
          <w:p w14:paraId="6A30BB0C">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废水</w:t>
            </w:r>
          </w:p>
        </w:tc>
        <w:tc>
          <w:tcPr>
            <w:tcW w:w="579" w:type="dxa"/>
            <w:vMerge w:val="restart"/>
            <w:vAlign w:val="center"/>
          </w:tcPr>
          <w:p w14:paraId="66711ED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营运期</w:t>
            </w:r>
          </w:p>
        </w:tc>
        <w:tc>
          <w:tcPr>
            <w:tcW w:w="1251" w:type="dxa"/>
            <w:vAlign w:val="center"/>
          </w:tcPr>
          <w:p w14:paraId="05C621A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生活污水</w:t>
            </w:r>
          </w:p>
        </w:tc>
        <w:tc>
          <w:tcPr>
            <w:tcW w:w="1232" w:type="dxa"/>
            <w:vAlign w:val="center"/>
          </w:tcPr>
          <w:p w14:paraId="69A0CC22">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废水量：</w:t>
            </w:r>
            <w:r>
              <w:rPr>
                <w:rFonts w:hint="eastAsia" w:cs="Times New Roman"/>
                <w:color w:val="auto"/>
                <w:sz w:val="18"/>
                <w:szCs w:val="18"/>
                <w:lang w:val="en-US" w:eastAsia="zh-CN"/>
              </w:rPr>
              <w:t>72</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w:t>
            </w:r>
            <w:r>
              <w:rPr>
                <w:rFonts w:hint="eastAsia" w:cs="Times New Roman"/>
                <w:color w:val="auto"/>
                <w:sz w:val="18"/>
                <w:szCs w:val="18"/>
                <w:vertAlign w:val="baseline"/>
                <w:lang w:val="en-US" w:eastAsia="zh-CN"/>
              </w:rPr>
              <w:t>a</w:t>
            </w:r>
          </w:p>
        </w:tc>
        <w:tc>
          <w:tcPr>
            <w:tcW w:w="3925" w:type="dxa"/>
            <w:vAlign w:val="center"/>
          </w:tcPr>
          <w:p w14:paraId="4CCA8EA7">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生活污水经</w:t>
            </w:r>
            <w:r>
              <w:rPr>
                <w:rFonts w:hint="default" w:ascii="Times New Roman" w:hAnsi="Times New Roman" w:eastAsia="宋体" w:cs="Times New Roman"/>
                <w:color w:val="auto"/>
                <w:sz w:val="18"/>
                <w:szCs w:val="18"/>
                <w:lang w:eastAsia="zh-CN"/>
              </w:rPr>
              <w:t>化粪池</w:t>
            </w:r>
            <w:r>
              <w:rPr>
                <w:rFonts w:hint="default" w:ascii="Times New Roman" w:hAnsi="Times New Roman" w:cs="Times New Roman"/>
                <w:color w:val="auto"/>
                <w:sz w:val="18"/>
                <w:szCs w:val="18"/>
                <w:lang w:val="en-US" w:eastAsia="zh-CN"/>
              </w:rPr>
              <w:t>收集</w:t>
            </w:r>
            <w:r>
              <w:rPr>
                <w:rFonts w:hint="default" w:ascii="Times New Roman" w:hAnsi="Times New Roman" w:eastAsia="宋体" w:cs="Times New Roman"/>
                <w:color w:val="auto"/>
                <w:sz w:val="18"/>
                <w:szCs w:val="18"/>
              </w:rPr>
              <w:t>处理</w:t>
            </w:r>
            <w:r>
              <w:rPr>
                <w:rFonts w:hint="default" w:ascii="Times New Roman" w:hAnsi="Times New Roman" w:cs="Times New Roman"/>
                <w:color w:val="auto"/>
                <w:sz w:val="18"/>
                <w:szCs w:val="18"/>
                <w:lang w:val="en-US" w:eastAsia="zh-CN"/>
              </w:rPr>
              <w:t>后定期又周边农户清掏用于农肥</w:t>
            </w:r>
          </w:p>
        </w:tc>
        <w:tc>
          <w:tcPr>
            <w:tcW w:w="1288" w:type="dxa"/>
            <w:vAlign w:val="center"/>
          </w:tcPr>
          <w:p w14:paraId="2FFB8E3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废水量：</w:t>
            </w:r>
            <w:r>
              <w:rPr>
                <w:rFonts w:hint="eastAsia" w:cs="Times New Roman"/>
                <w:color w:val="auto"/>
                <w:sz w:val="18"/>
                <w:szCs w:val="18"/>
                <w:lang w:val="en-US" w:eastAsia="zh-CN"/>
              </w:rPr>
              <w:t>72</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w:t>
            </w:r>
            <w:r>
              <w:rPr>
                <w:rFonts w:hint="eastAsia" w:cs="Times New Roman"/>
                <w:color w:val="auto"/>
                <w:sz w:val="18"/>
                <w:szCs w:val="18"/>
                <w:vertAlign w:val="baseline"/>
                <w:lang w:val="en-US" w:eastAsia="zh-CN"/>
              </w:rPr>
              <w:t>a</w:t>
            </w:r>
          </w:p>
        </w:tc>
        <w:tc>
          <w:tcPr>
            <w:tcW w:w="1278" w:type="dxa"/>
            <w:vAlign w:val="center"/>
          </w:tcPr>
          <w:p w14:paraId="7561A827">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合理处置</w:t>
            </w:r>
          </w:p>
        </w:tc>
      </w:tr>
      <w:tr w14:paraId="764F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1E4E23CF">
            <w:pPr>
              <w:spacing w:line="240" w:lineRule="auto"/>
              <w:jc w:val="center"/>
              <w:rPr>
                <w:rFonts w:hint="default" w:ascii="Times New Roman" w:hAnsi="Times New Roman" w:eastAsia="宋体" w:cs="Times New Roman"/>
                <w:color w:val="auto"/>
                <w:sz w:val="18"/>
                <w:szCs w:val="18"/>
                <w:lang w:eastAsia="zh-CN"/>
              </w:rPr>
            </w:pPr>
          </w:p>
        </w:tc>
        <w:tc>
          <w:tcPr>
            <w:tcW w:w="579" w:type="dxa"/>
            <w:vMerge w:val="continue"/>
            <w:vAlign w:val="center"/>
          </w:tcPr>
          <w:p w14:paraId="4E94E1AE">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05B771BD">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作业区地面冲洗</w:t>
            </w:r>
            <w:r>
              <w:rPr>
                <w:rFonts w:hint="default" w:ascii="Times New Roman" w:hAnsi="Times New Roman" w:eastAsia="宋体" w:cs="Times New Roman"/>
                <w:color w:val="auto"/>
                <w:sz w:val="18"/>
                <w:szCs w:val="18"/>
                <w:lang w:val="en-US" w:eastAsia="zh-CN"/>
              </w:rPr>
              <w:t>废水</w:t>
            </w:r>
          </w:p>
        </w:tc>
        <w:tc>
          <w:tcPr>
            <w:tcW w:w="1232" w:type="dxa"/>
            <w:vAlign w:val="center"/>
          </w:tcPr>
          <w:p w14:paraId="2A7AB788">
            <w:pPr>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lang w:val="en-US" w:eastAsia="zh-CN"/>
              </w:rPr>
              <w:t>废水量：</w:t>
            </w:r>
            <w:r>
              <w:rPr>
                <w:rFonts w:hint="eastAsia" w:ascii="Times New Roman" w:hAnsi="Times New Roman" w:cs="Times New Roman"/>
                <w:color w:val="auto"/>
                <w:sz w:val="18"/>
                <w:szCs w:val="18"/>
                <w:lang w:val="en-US" w:eastAsia="zh-CN"/>
              </w:rPr>
              <w:t>446.25</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w:t>
            </w:r>
            <w:r>
              <w:rPr>
                <w:rFonts w:hint="eastAsia" w:cs="Times New Roman"/>
                <w:color w:val="auto"/>
                <w:sz w:val="18"/>
                <w:szCs w:val="18"/>
                <w:vertAlign w:val="baseline"/>
                <w:lang w:val="en-US" w:eastAsia="zh-CN"/>
              </w:rPr>
              <w:t>a</w:t>
            </w:r>
          </w:p>
        </w:tc>
        <w:tc>
          <w:tcPr>
            <w:tcW w:w="3925" w:type="dxa"/>
            <w:vAlign w:val="center"/>
          </w:tcPr>
          <w:p w14:paraId="01EB722D">
            <w:pPr>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lang w:val="en-US" w:eastAsia="zh-CN"/>
              </w:rPr>
              <w:t>经容积为</w:t>
            </w:r>
            <w:r>
              <w:rPr>
                <w:rFonts w:hint="eastAsia" w:cs="Times New Roman"/>
                <w:color w:val="auto"/>
                <w:sz w:val="18"/>
                <w:szCs w:val="18"/>
                <w:lang w:val="en-US" w:eastAsia="zh-CN"/>
              </w:rPr>
              <w:t>15</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沉淀池沉淀后</w:t>
            </w:r>
            <w:r>
              <w:rPr>
                <w:rFonts w:hint="eastAsia" w:cs="Times New Roman"/>
                <w:color w:val="auto"/>
                <w:sz w:val="18"/>
                <w:szCs w:val="18"/>
                <w:vertAlign w:val="baseline"/>
                <w:lang w:val="en-US" w:eastAsia="zh-CN"/>
              </w:rPr>
              <w:t>回用生产</w:t>
            </w:r>
          </w:p>
        </w:tc>
        <w:tc>
          <w:tcPr>
            <w:tcW w:w="1288" w:type="dxa"/>
            <w:vAlign w:val="center"/>
          </w:tcPr>
          <w:p w14:paraId="4ED500E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废水量：</w:t>
            </w:r>
            <w:r>
              <w:rPr>
                <w:rFonts w:hint="eastAsia" w:ascii="Times New Roman" w:hAnsi="Times New Roman" w:cs="Times New Roman"/>
                <w:color w:val="auto"/>
                <w:sz w:val="18"/>
                <w:szCs w:val="18"/>
                <w:lang w:val="en-US" w:eastAsia="zh-CN"/>
              </w:rPr>
              <w:t>446.25</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vertAlign w:val="baseline"/>
                <w:lang w:val="en-US" w:eastAsia="zh-CN"/>
              </w:rPr>
              <w:t>/d</w:t>
            </w:r>
          </w:p>
        </w:tc>
        <w:tc>
          <w:tcPr>
            <w:tcW w:w="1278" w:type="dxa"/>
            <w:vAlign w:val="center"/>
          </w:tcPr>
          <w:p w14:paraId="220BDEF4">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用于生产</w:t>
            </w:r>
          </w:p>
        </w:tc>
      </w:tr>
      <w:tr w14:paraId="0784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restart"/>
            <w:vAlign w:val="center"/>
          </w:tcPr>
          <w:p w14:paraId="3B116AF1">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tc>
        <w:tc>
          <w:tcPr>
            <w:tcW w:w="579" w:type="dxa"/>
            <w:vMerge w:val="restart"/>
            <w:vAlign w:val="center"/>
          </w:tcPr>
          <w:p w14:paraId="73B3914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营运期</w:t>
            </w:r>
          </w:p>
        </w:tc>
        <w:tc>
          <w:tcPr>
            <w:tcW w:w="1251" w:type="dxa"/>
            <w:vAlign w:val="center"/>
          </w:tcPr>
          <w:p w14:paraId="25BBC72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设备噪声</w:t>
            </w:r>
          </w:p>
        </w:tc>
        <w:tc>
          <w:tcPr>
            <w:tcW w:w="1232" w:type="dxa"/>
            <w:vAlign w:val="center"/>
          </w:tcPr>
          <w:p w14:paraId="5EC6886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70</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100</w:t>
            </w:r>
            <w:r>
              <w:rPr>
                <w:rFonts w:hint="default" w:ascii="Times New Roman" w:hAnsi="Times New Roman" w:eastAsia="宋体" w:cs="Times New Roman"/>
                <w:color w:val="auto"/>
                <w:sz w:val="18"/>
                <w:szCs w:val="18"/>
              </w:rPr>
              <w:t>dB</w:t>
            </w:r>
          </w:p>
        </w:tc>
        <w:tc>
          <w:tcPr>
            <w:tcW w:w="3925" w:type="dxa"/>
            <w:vAlign w:val="center"/>
          </w:tcPr>
          <w:p w14:paraId="590EA50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厂房隔声，采取减振、消音措施</w:t>
            </w:r>
          </w:p>
        </w:tc>
        <w:tc>
          <w:tcPr>
            <w:tcW w:w="1288" w:type="dxa"/>
            <w:vAlign w:val="center"/>
          </w:tcPr>
          <w:p w14:paraId="345E0486">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昼间≤6</w:t>
            </w:r>
            <w:r>
              <w:rPr>
                <w:rFonts w:hint="default" w:ascii="Times New Roman" w:hAnsi="Times New Roman" w:cs="Times New Roman"/>
                <w:color w:val="auto"/>
                <w:sz w:val="18"/>
                <w:szCs w:val="18"/>
                <w:lang w:val="en-US" w:eastAsia="zh-CN"/>
              </w:rPr>
              <w:t>0</w:t>
            </w:r>
            <w:r>
              <w:rPr>
                <w:rFonts w:hint="default" w:ascii="Times New Roman" w:hAnsi="Times New Roman" w:eastAsia="宋体" w:cs="Times New Roman"/>
                <w:color w:val="auto"/>
                <w:sz w:val="18"/>
                <w:szCs w:val="18"/>
              </w:rPr>
              <w:t>dB</w:t>
            </w:r>
          </w:p>
          <w:p w14:paraId="78B87FA1">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夜间≤5</w:t>
            </w:r>
            <w:r>
              <w:rPr>
                <w:rFonts w:hint="default" w:ascii="Times New Roman" w:hAnsi="Times New Roman" w:cs="Times New Roman"/>
                <w:color w:val="auto"/>
                <w:sz w:val="18"/>
                <w:szCs w:val="18"/>
                <w:lang w:val="en-US" w:eastAsia="zh-CN"/>
              </w:rPr>
              <w:t>0</w:t>
            </w:r>
            <w:r>
              <w:rPr>
                <w:rFonts w:hint="default" w:ascii="Times New Roman" w:hAnsi="Times New Roman" w:eastAsia="宋体" w:cs="Times New Roman"/>
                <w:color w:val="auto"/>
                <w:sz w:val="18"/>
                <w:szCs w:val="18"/>
              </w:rPr>
              <w:t>dB</w:t>
            </w:r>
          </w:p>
        </w:tc>
        <w:tc>
          <w:tcPr>
            <w:tcW w:w="1278" w:type="dxa"/>
            <w:vAlign w:val="center"/>
          </w:tcPr>
          <w:p w14:paraId="1C5A047F">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20C4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77C743FD">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02722716">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745BF33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运输车辆噪声</w:t>
            </w:r>
          </w:p>
        </w:tc>
        <w:tc>
          <w:tcPr>
            <w:tcW w:w="1232" w:type="dxa"/>
            <w:vAlign w:val="center"/>
          </w:tcPr>
          <w:p w14:paraId="76D77C78">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70~90</w:t>
            </w:r>
            <w:r>
              <w:rPr>
                <w:rFonts w:hint="default" w:ascii="Times New Roman" w:hAnsi="Times New Roman" w:eastAsia="宋体" w:cs="Times New Roman"/>
                <w:color w:val="auto"/>
                <w:sz w:val="18"/>
                <w:szCs w:val="18"/>
              </w:rPr>
              <w:t>dB</w:t>
            </w:r>
          </w:p>
        </w:tc>
        <w:tc>
          <w:tcPr>
            <w:tcW w:w="3925" w:type="dxa"/>
            <w:vAlign w:val="center"/>
          </w:tcPr>
          <w:p w14:paraId="59F80DC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加强管理，控制车速，禁止鸣笛</w:t>
            </w:r>
          </w:p>
        </w:tc>
        <w:tc>
          <w:tcPr>
            <w:tcW w:w="1288" w:type="dxa"/>
            <w:vAlign w:val="center"/>
          </w:tcPr>
          <w:p w14:paraId="6984B7EC">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昼间≤6</w:t>
            </w:r>
            <w:r>
              <w:rPr>
                <w:rFonts w:hint="default" w:ascii="Times New Roman" w:hAnsi="Times New Roman" w:cs="Times New Roman"/>
                <w:color w:val="auto"/>
                <w:sz w:val="18"/>
                <w:szCs w:val="18"/>
                <w:lang w:val="en-US" w:eastAsia="zh-CN"/>
              </w:rPr>
              <w:t>0</w:t>
            </w:r>
            <w:r>
              <w:rPr>
                <w:rFonts w:hint="default" w:ascii="Times New Roman" w:hAnsi="Times New Roman" w:eastAsia="宋体" w:cs="Times New Roman"/>
                <w:color w:val="auto"/>
                <w:sz w:val="18"/>
                <w:szCs w:val="18"/>
              </w:rPr>
              <w:t>dB</w:t>
            </w:r>
          </w:p>
          <w:p w14:paraId="3E83ED27">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夜间≤5</w:t>
            </w:r>
            <w:r>
              <w:rPr>
                <w:rFonts w:hint="default" w:ascii="Times New Roman" w:hAnsi="Times New Roman" w:cs="Times New Roman"/>
                <w:color w:val="auto"/>
                <w:sz w:val="18"/>
                <w:szCs w:val="18"/>
                <w:lang w:val="en-US" w:eastAsia="zh-CN"/>
              </w:rPr>
              <w:t>0</w:t>
            </w:r>
            <w:r>
              <w:rPr>
                <w:rFonts w:hint="default" w:ascii="Times New Roman" w:hAnsi="Times New Roman" w:eastAsia="宋体" w:cs="Times New Roman"/>
                <w:color w:val="auto"/>
                <w:sz w:val="18"/>
                <w:szCs w:val="18"/>
              </w:rPr>
              <w:t>dB</w:t>
            </w:r>
          </w:p>
        </w:tc>
        <w:tc>
          <w:tcPr>
            <w:tcW w:w="1278" w:type="dxa"/>
            <w:vAlign w:val="center"/>
          </w:tcPr>
          <w:p w14:paraId="3972A155">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达标排放</w:t>
            </w:r>
          </w:p>
        </w:tc>
      </w:tr>
      <w:tr w14:paraId="6DB9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vAlign w:val="center"/>
          </w:tcPr>
          <w:p w14:paraId="502D854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固体废物</w:t>
            </w:r>
          </w:p>
        </w:tc>
        <w:tc>
          <w:tcPr>
            <w:tcW w:w="579" w:type="dxa"/>
            <w:vMerge w:val="restart"/>
            <w:vAlign w:val="center"/>
          </w:tcPr>
          <w:p w14:paraId="46E4346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营运期</w:t>
            </w:r>
          </w:p>
        </w:tc>
        <w:tc>
          <w:tcPr>
            <w:tcW w:w="1251" w:type="dxa"/>
            <w:vAlign w:val="center"/>
          </w:tcPr>
          <w:p w14:paraId="47AB38B4">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1232" w:type="dxa"/>
            <w:vAlign w:val="center"/>
          </w:tcPr>
          <w:p w14:paraId="7D88DBCA">
            <w:pPr>
              <w:spacing w:line="240" w:lineRule="auto"/>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2.4</w:t>
            </w:r>
            <w:r>
              <w:rPr>
                <w:rFonts w:hint="default" w:ascii="Times New Roman" w:hAnsi="Times New Roman" w:eastAsia="宋体" w:cs="Times New Roman"/>
                <w:color w:val="auto"/>
                <w:sz w:val="18"/>
                <w:szCs w:val="18"/>
              </w:rPr>
              <w:t>t/a</w:t>
            </w:r>
          </w:p>
        </w:tc>
        <w:tc>
          <w:tcPr>
            <w:tcW w:w="3925" w:type="dxa"/>
            <w:vAlign w:val="center"/>
          </w:tcPr>
          <w:p w14:paraId="7A76F76B">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环卫部门清运处理</w:t>
            </w:r>
          </w:p>
        </w:tc>
        <w:tc>
          <w:tcPr>
            <w:tcW w:w="1288" w:type="dxa"/>
            <w:vAlign w:val="center"/>
          </w:tcPr>
          <w:p w14:paraId="229856E5">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restart"/>
            <w:vAlign w:val="center"/>
          </w:tcPr>
          <w:p w14:paraId="0D0737F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资源化、</w:t>
            </w:r>
            <w:r>
              <w:rPr>
                <w:rFonts w:hint="default" w:ascii="Times New Roman" w:hAnsi="Times New Roman" w:eastAsia="宋体" w:cs="Times New Roman"/>
                <w:color w:val="auto"/>
                <w:sz w:val="18"/>
                <w:szCs w:val="18"/>
              </w:rPr>
              <w:t>无害化处置</w:t>
            </w:r>
          </w:p>
        </w:tc>
      </w:tr>
      <w:tr w14:paraId="577D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vAlign w:val="center"/>
          </w:tcPr>
          <w:p w14:paraId="4CEDD057">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4F1DCD26">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2F2FB546">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沉淀泥沙</w:t>
            </w:r>
          </w:p>
        </w:tc>
        <w:tc>
          <w:tcPr>
            <w:tcW w:w="1232" w:type="dxa"/>
            <w:vAlign w:val="center"/>
          </w:tcPr>
          <w:p w14:paraId="5EEA1D45">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r>
              <w:rPr>
                <w:rFonts w:hint="default" w:ascii="Times New Roman" w:hAnsi="Times New Roman" w:cs="Times New Roman"/>
                <w:color w:val="auto"/>
                <w:sz w:val="18"/>
                <w:szCs w:val="18"/>
                <w:lang w:val="en-US" w:eastAsia="zh-CN"/>
              </w:rPr>
              <w:t>t</w:t>
            </w:r>
            <w:r>
              <w:rPr>
                <w:rFonts w:hint="default" w:ascii="Times New Roman" w:hAnsi="Times New Roman" w:eastAsia="宋体" w:cs="Times New Roman"/>
                <w:color w:val="auto"/>
                <w:sz w:val="18"/>
                <w:szCs w:val="18"/>
              </w:rPr>
              <w:t>/a</w:t>
            </w:r>
          </w:p>
        </w:tc>
        <w:tc>
          <w:tcPr>
            <w:tcW w:w="3925" w:type="dxa"/>
            <w:vMerge w:val="restart"/>
            <w:vAlign w:val="center"/>
          </w:tcPr>
          <w:p w14:paraId="1EB97EF1">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回用生产</w:t>
            </w:r>
          </w:p>
        </w:tc>
        <w:tc>
          <w:tcPr>
            <w:tcW w:w="1288" w:type="dxa"/>
            <w:vAlign w:val="center"/>
          </w:tcPr>
          <w:p w14:paraId="1A06738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28E350C7">
            <w:pPr>
              <w:spacing w:line="240" w:lineRule="auto"/>
              <w:jc w:val="center"/>
              <w:rPr>
                <w:rFonts w:hint="default" w:ascii="Times New Roman" w:hAnsi="Times New Roman" w:eastAsia="宋体" w:cs="Times New Roman"/>
                <w:color w:val="auto"/>
                <w:sz w:val="18"/>
                <w:szCs w:val="18"/>
              </w:rPr>
            </w:pPr>
          </w:p>
        </w:tc>
      </w:tr>
      <w:tr w14:paraId="6772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0C714EE5">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2517615D">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4E1CBE1D">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废气处理系统收集</w:t>
            </w:r>
            <w:r>
              <w:rPr>
                <w:rFonts w:hint="default" w:ascii="Times New Roman" w:hAnsi="Times New Roman" w:cs="Times New Roman"/>
                <w:color w:val="auto"/>
                <w:sz w:val="18"/>
                <w:szCs w:val="18"/>
                <w:lang w:val="en-US" w:eastAsia="zh-CN"/>
              </w:rPr>
              <w:t>粉尘</w:t>
            </w:r>
          </w:p>
        </w:tc>
        <w:tc>
          <w:tcPr>
            <w:tcW w:w="1232" w:type="dxa"/>
            <w:vAlign w:val="center"/>
          </w:tcPr>
          <w:p w14:paraId="0DFA27D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137</w:t>
            </w:r>
            <w:r>
              <w:rPr>
                <w:rFonts w:hint="default" w:ascii="Times New Roman" w:hAnsi="Times New Roman" w:eastAsia="宋体" w:cs="Times New Roman"/>
                <w:color w:val="auto"/>
                <w:sz w:val="18"/>
                <w:szCs w:val="18"/>
              </w:rPr>
              <w:t>t/a</w:t>
            </w:r>
          </w:p>
        </w:tc>
        <w:tc>
          <w:tcPr>
            <w:tcW w:w="3925" w:type="dxa"/>
            <w:vMerge w:val="continue"/>
            <w:vAlign w:val="center"/>
          </w:tcPr>
          <w:p w14:paraId="79A6EF8E">
            <w:pPr>
              <w:spacing w:line="240" w:lineRule="auto"/>
              <w:jc w:val="center"/>
              <w:rPr>
                <w:rFonts w:hint="default" w:ascii="Times New Roman" w:hAnsi="Times New Roman" w:eastAsia="宋体" w:cs="Times New Roman"/>
                <w:color w:val="auto"/>
                <w:sz w:val="18"/>
                <w:szCs w:val="18"/>
                <w:lang w:val="en-US" w:eastAsia="zh-CN"/>
              </w:rPr>
            </w:pPr>
          </w:p>
        </w:tc>
        <w:tc>
          <w:tcPr>
            <w:tcW w:w="1288" w:type="dxa"/>
            <w:vAlign w:val="center"/>
          </w:tcPr>
          <w:p w14:paraId="2B5B76A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76CC4BD5">
            <w:pPr>
              <w:spacing w:line="240" w:lineRule="auto"/>
              <w:jc w:val="center"/>
              <w:rPr>
                <w:rFonts w:hint="default" w:ascii="Times New Roman" w:hAnsi="Times New Roman" w:eastAsia="宋体" w:cs="Times New Roman"/>
                <w:color w:val="auto"/>
                <w:sz w:val="18"/>
                <w:szCs w:val="18"/>
              </w:rPr>
            </w:pPr>
          </w:p>
        </w:tc>
      </w:tr>
      <w:tr w14:paraId="37B3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23C6D814">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71B2C154">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6023690A">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预处理池污泥</w:t>
            </w:r>
          </w:p>
        </w:tc>
        <w:tc>
          <w:tcPr>
            <w:tcW w:w="1232" w:type="dxa"/>
            <w:vAlign w:val="center"/>
          </w:tcPr>
          <w:p w14:paraId="2E77040E">
            <w:pPr>
              <w:spacing w:line="240" w:lineRule="auto"/>
              <w:jc w:val="center"/>
              <w:rPr>
                <w:rFonts w:hint="default" w:cs="Times New Roman"/>
                <w:color w:val="auto"/>
                <w:sz w:val="18"/>
                <w:szCs w:val="18"/>
                <w:lang w:val="en-US" w:eastAsia="zh-CN"/>
              </w:rPr>
            </w:pPr>
            <w:r>
              <w:rPr>
                <w:rFonts w:hint="eastAsia" w:cs="Times New Roman"/>
                <w:color w:val="auto"/>
                <w:sz w:val="18"/>
                <w:szCs w:val="18"/>
                <w:lang w:val="en-US" w:eastAsia="zh-CN"/>
              </w:rPr>
              <w:t>0.00576</w:t>
            </w:r>
            <w:r>
              <w:rPr>
                <w:rFonts w:hint="default" w:cs="Times New Roman"/>
                <w:color w:val="auto"/>
                <w:sz w:val="18"/>
                <w:szCs w:val="18"/>
                <w:lang w:val="en-US" w:eastAsia="zh-CN"/>
              </w:rPr>
              <w:t>t/a</w:t>
            </w:r>
          </w:p>
        </w:tc>
        <w:tc>
          <w:tcPr>
            <w:tcW w:w="3925" w:type="dxa"/>
            <w:vAlign w:val="center"/>
          </w:tcPr>
          <w:p w14:paraId="0D0678C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农田施肥</w:t>
            </w:r>
          </w:p>
        </w:tc>
        <w:tc>
          <w:tcPr>
            <w:tcW w:w="1288" w:type="dxa"/>
            <w:vAlign w:val="center"/>
          </w:tcPr>
          <w:p w14:paraId="0EC2736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1FFDE1E3">
            <w:pPr>
              <w:spacing w:line="240" w:lineRule="auto"/>
              <w:jc w:val="center"/>
              <w:rPr>
                <w:rFonts w:hint="default" w:ascii="Times New Roman" w:hAnsi="Times New Roman" w:eastAsia="宋体" w:cs="Times New Roman"/>
                <w:color w:val="auto"/>
                <w:sz w:val="18"/>
                <w:szCs w:val="18"/>
              </w:rPr>
            </w:pPr>
          </w:p>
        </w:tc>
      </w:tr>
      <w:tr w14:paraId="3C01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289217A2">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172CB9A2">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0252CEF3">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废滤芯</w:t>
            </w:r>
          </w:p>
        </w:tc>
        <w:tc>
          <w:tcPr>
            <w:tcW w:w="1232" w:type="dxa"/>
            <w:vAlign w:val="center"/>
          </w:tcPr>
          <w:p w14:paraId="4EC8A5C0">
            <w:pPr>
              <w:spacing w:line="240" w:lineRule="auto"/>
              <w:jc w:val="center"/>
              <w:rPr>
                <w:rFonts w:hint="default" w:cs="Times New Roman"/>
                <w:color w:val="auto"/>
                <w:sz w:val="18"/>
                <w:szCs w:val="18"/>
                <w:lang w:val="en-US" w:eastAsia="zh-CN"/>
              </w:rPr>
            </w:pPr>
            <w:r>
              <w:rPr>
                <w:rFonts w:hint="eastAsia" w:cs="Times New Roman"/>
                <w:color w:val="auto"/>
                <w:sz w:val="18"/>
                <w:szCs w:val="18"/>
                <w:lang w:val="en-US" w:eastAsia="zh-CN"/>
              </w:rPr>
              <w:t>0.01</w:t>
            </w:r>
            <w:r>
              <w:rPr>
                <w:rFonts w:hint="default" w:cs="Times New Roman"/>
                <w:color w:val="auto"/>
                <w:sz w:val="18"/>
                <w:szCs w:val="18"/>
                <w:lang w:val="en-US" w:eastAsia="zh-CN"/>
              </w:rPr>
              <w:t>t/a</w:t>
            </w:r>
          </w:p>
        </w:tc>
        <w:tc>
          <w:tcPr>
            <w:tcW w:w="3925" w:type="dxa"/>
            <w:vAlign w:val="center"/>
          </w:tcPr>
          <w:p w14:paraId="6D2A90CC">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环卫部门清运处理</w:t>
            </w:r>
          </w:p>
        </w:tc>
        <w:tc>
          <w:tcPr>
            <w:tcW w:w="1288" w:type="dxa"/>
            <w:vAlign w:val="center"/>
          </w:tcPr>
          <w:p w14:paraId="337BBF51">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46624945">
            <w:pPr>
              <w:spacing w:line="240" w:lineRule="auto"/>
              <w:jc w:val="center"/>
              <w:rPr>
                <w:rFonts w:hint="default" w:ascii="Times New Roman" w:hAnsi="Times New Roman" w:eastAsia="宋体" w:cs="Times New Roman"/>
                <w:color w:val="auto"/>
                <w:sz w:val="18"/>
                <w:szCs w:val="18"/>
              </w:rPr>
            </w:pPr>
          </w:p>
        </w:tc>
      </w:tr>
      <w:tr w14:paraId="21D0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42C44E04">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0180E447">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33AEBAEB">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废焊丝、熔渣</w:t>
            </w:r>
          </w:p>
        </w:tc>
        <w:tc>
          <w:tcPr>
            <w:tcW w:w="1232" w:type="dxa"/>
            <w:vAlign w:val="center"/>
          </w:tcPr>
          <w:p w14:paraId="3FE96906">
            <w:pPr>
              <w:spacing w:line="240" w:lineRule="auto"/>
              <w:jc w:val="center"/>
              <w:rPr>
                <w:rFonts w:hint="default" w:cs="Times New Roman"/>
                <w:color w:val="auto"/>
                <w:sz w:val="18"/>
                <w:szCs w:val="18"/>
                <w:lang w:val="en-US" w:eastAsia="zh-CN"/>
              </w:rPr>
            </w:pPr>
            <w:r>
              <w:rPr>
                <w:rFonts w:hint="eastAsia" w:cs="Times New Roman"/>
                <w:color w:val="auto"/>
                <w:sz w:val="18"/>
                <w:szCs w:val="18"/>
                <w:lang w:val="en-US" w:eastAsia="zh-CN"/>
              </w:rPr>
              <w:t>0.01</w:t>
            </w:r>
            <w:r>
              <w:rPr>
                <w:rFonts w:hint="default" w:cs="Times New Roman"/>
                <w:color w:val="auto"/>
                <w:sz w:val="18"/>
                <w:szCs w:val="18"/>
                <w:lang w:val="en-US" w:eastAsia="zh-CN"/>
              </w:rPr>
              <w:t>t/a</w:t>
            </w:r>
          </w:p>
        </w:tc>
        <w:tc>
          <w:tcPr>
            <w:tcW w:w="3925" w:type="dxa"/>
            <w:vMerge w:val="restart"/>
            <w:vAlign w:val="center"/>
          </w:tcPr>
          <w:p w14:paraId="22CEE104">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外售废品收购站</w:t>
            </w:r>
          </w:p>
        </w:tc>
        <w:tc>
          <w:tcPr>
            <w:tcW w:w="1288" w:type="dxa"/>
            <w:vAlign w:val="center"/>
          </w:tcPr>
          <w:p w14:paraId="1686FD67">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0CC5C5C4">
            <w:pPr>
              <w:spacing w:line="240" w:lineRule="auto"/>
              <w:jc w:val="center"/>
              <w:rPr>
                <w:rFonts w:hint="default" w:ascii="Times New Roman" w:hAnsi="Times New Roman" w:eastAsia="宋体" w:cs="Times New Roman"/>
                <w:color w:val="auto"/>
                <w:sz w:val="18"/>
                <w:szCs w:val="18"/>
              </w:rPr>
            </w:pPr>
          </w:p>
        </w:tc>
      </w:tr>
      <w:tr w14:paraId="32F3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415E16AB">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68B2AD0C">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4030D68E">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钢筋头和不锈钢边角料</w:t>
            </w:r>
          </w:p>
        </w:tc>
        <w:tc>
          <w:tcPr>
            <w:tcW w:w="1232" w:type="dxa"/>
            <w:vAlign w:val="center"/>
          </w:tcPr>
          <w:p w14:paraId="29D9A705">
            <w:pPr>
              <w:spacing w:line="240" w:lineRule="auto"/>
              <w:jc w:val="center"/>
              <w:rPr>
                <w:rFonts w:hint="default" w:cs="Times New Roman"/>
                <w:color w:val="auto"/>
                <w:sz w:val="18"/>
                <w:szCs w:val="18"/>
                <w:lang w:val="en-US" w:eastAsia="zh-CN"/>
              </w:rPr>
            </w:pPr>
            <w:r>
              <w:rPr>
                <w:rFonts w:hint="eastAsia" w:cs="Times New Roman"/>
                <w:color w:val="auto"/>
                <w:sz w:val="18"/>
                <w:szCs w:val="18"/>
                <w:lang w:val="en-US" w:eastAsia="zh-CN"/>
              </w:rPr>
              <w:t>5</w:t>
            </w:r>
            <w:r>
              <w:rPr>
                <w:rFonts w:hint="default" w:cs="Times New Roman"/>
                <w:color w:val="auto"/>
                <w:sz w:val="18"/>
                <w:szCs w:val="18"/>
                <w:lang w:val="en-US" w:eastAsia="zh-CN"/>
              </w:rPr>
              <w:t>t/a</w:t>
            </w:r>
          </w:p>
        </w:tc>
        <w:tc>
          <w:tcPr>
            <w:tcW w:w="3925" w:type="dxa"/>
            <w:vMerge w:val="continue"/>
            <w:vAlign w:val="center"/>
          </w:tcPr>
          <w:p w14:paraId="76AE6AFE">
            <w:pPr>
              <w:spacing w:line="240" w:lineRule="auto"/>
              <w:jc w:val="center"/>
              <w:rPr>
                <w:rFonts w:hint="default" w:ascii="Times New Roman" w:hAnsi="Times New Roman" w:eastAsia="宋体" w:cs="Times New Roman"/>
                <w:color w:val="auto"/>
                <w:sz w:val="18"/>
                <w:szCs w:val="18"/>
                <w:lang w:val="en-US" w:eastAsia="zh-CN"/>
              </w:rPr>
            </w:pPr>
          </w:p>
        </w:tc>
        <w:tc>
          <w:tcPr>
            <w:tcW w:w="1288" w:type="dxa"/>
            <w:vAlign w:val="center"/>
          </w:tcPr>
          <w:p w14:paraId="3EE0DED2">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22CF1479">
            <w:pPr>
              <w:spacing w:line="240" w:lineRule="auto"/>
              <w:jc w:val="center"/>
              <w:rPr>
                <w:rFonts w:hint="default" w:ascii="Times New Roman" w:hAnsi="Times New Roman" w:eastAsia="宋体" w:cs="Times New Roman"/>
                <w:color w:val="auto"/>
                <w:sz w:val="18"/>
                <w:szCs w:val="18"/>
              </w:rPr>
            </w:pPr>
          </w:p>
        </w:tc>
      </w:tr>
      <w:tr w14:paraId="2D93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50CA349B">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79F93890">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4F595160">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废抹布、手套</w:t>
            </w:r>
          </w:p>
        </w:tc>
        <w:tc>
          <w:tcPr>
            <w:tcW w:w="1232" w:type="dxa"/>
            <w:vAlign w:val="center"/>
          </w:tcPr>
          <w:p w14:paraId="0418DA17">
            <w:pPr>
              <w:spacing w:line="240" w:lineRule="auto"/>
              <w:jc w:val="center"/>
              <w:rPr>
                <w:rFonts w:hint="default" w:cs="Times New Roman"/>
                <w:color w:val="auto"/>
                <w:sz w:val="18"/>
                <w:szCs w:val="18"/>
                <w:lang w:val="en-US" w:eastAsia="zh-CN"/>
              </w:rPr>
            </w:pPr>
            <w:r>
              <w:rPr>
                <w:rFonts w:hint="eastAsia" w:cs="Times New Roman"/>
                <w:color w:val="auto"/>
                <w:sz w:val="18"/>
                <w:szCs w:val="18"/>
                <w:lang w:val="en-US" w:eastAsia="zh-CN"/>
              </w:rPr>
              <w:t>0.01</w:t>
            </w:r>
            <w:r>
              <w:rPr>
                <w:rFonts w:hint="default" w:cs="Times New Roman"/>
                <w:color w:val="auto"/>
                <w:sz w:val="18"/>
                <w:szCs w:val="18"/>
                <w:lang w:val="en-US" w:eastAsia="zh-CN"/>
              </w:rPr>
              <w:t>t/a</w:t>
            </w:r>
          </w:p>
        </w:tc>
        <w:tc>
          <w:tcPr>
            <w:tcW w:w="3925" w:type="dxa"/>
            <w:vMerge w:val="restart"/>
            <w:vAlign w:val="center"/>
          </w:tcPr>
          <w:p w14:paraId="41805B22">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暂存危废暂存间，定期交由有资质单位处理</w:t>
            </w:r>
          </w:p>
        </w:tc>
        <w:tc>
          <w:tcPr>
            <w:tcW w:w="1288" w:type="dxa"/>
            <w:vAlign w:val="center"/>
          </w:tcPr>
          <w:p w14:paraId="17B8988F">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78" w:type="dxa"/>
            <w:vMerge w:val="continue"/>
            <w:vAlign w:val="center"/>
          </w:tcPr>
          <w:p w14:paraId="7D29A821">
            <w:pPr>
              <w:spacing w:line="240" w:lineRule="auto"/>
              <w:jc w:val="center"/>
              <w:rPr>
                <w:rFonts w:hint="default" w:ascii="Times New Roman" w:hAnsi="Times New Roman" w:eastAsia="宋体" w:cs="Times New Roman"/>
                <w:color w:val="auto"/>
                <w:sz w:val="18"/>
                <w:szCs w:val="18"/>
              </w:rPr>
            </w:pPr>
          </w:p>
        </w:tc>
      </w:tr>
      <w:tr w14:paraId="3167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446C35AC">
            <w:pPr>
              <w:spacing w:line="240" w:lineRule="auto"/>
              <w:jc w:val="center"/>
              <w:rPr>
                <w:rFonts w:hint="default" w:ascii="Times New Roman" w:hAnsi="Times New Roman" w:eastAsia="宋体" w:cs="Times New Roman"/>
                <w:color w:val="auto"/>
                <w:sz w:val="18"/>
                <w:szCs w:val="18"/>
              </w:rPr>
            </w:pPr>
          </w:p>
        </w:tc>
        <w:tc>
          <w:tcPr>
            <w:tcW w:w="579" w:type="dxa"/>
            <w:vMerge w:val="continue"/>
            <w:vAlign w:val="center"/>
          </w:tcPr>
          <w:p w14:paraId="32CCC746">
            <w:pPr>
              <w:spacing w:line="240" w:lineRule="auto"/>
              <w:jc w:val="center"/>
              <w:rPr>
                <w:rFonts w:hint="default" w:ascii="Times New Roman" w:hAnsi="Times New Roman" w:eastAsia="宋体" w:cs="Times New Roman"/>
                <w:color w:val="auto"/>
                <w:sz w:val="18"/>
                <w:szCs w:val="18"/>
              </w:rPr>
            </w:pPr>
          </w:p>
        </w:tc>
        <w:tc>
          <w:tcPr>
            <w:tcW w:w="1251" w:type="dxa"/>
            <w:vAlign w:val="center"/>
          </w:tcPr>
          <w:p w14:paraId="16A10EAF">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废机油</w:t>
            </w:r>
          </w:p>
        </w:tc>
        <w:tc>
          <w:tcPr>
            <w:tcW w:w="1232" w:type="dxa"/>
            <w:vAlign w:val="center"/>
          </w:tcPr>
          <w:p w14:paraId="143E1433">
            <w:pPr>
              <w:spacing w:line="240" w:lineRule="auto"/>
              <w:jc w:val="center"/>
              <w:rPr>
                <w:rFonts w:hint="default" w:cs="Times New Roman"/>
                <w:color w:val="auto"/>
                <w:sz w:val="18"/>
                <w:szCs w:val="18"/>
                <w:lang w:val="en-US" w:eastAsia="zh-CN"/>
              </w:rPr>
            </w:pPr>
            <w:r>
              <w:rPr>
                <w:rFonts w:hint="eastAsia" w:cs="Times New Roman"/>
                <w:color w:val="auto"/>
                <w:sz w:val="18"/>
                <w:szCs w:val="18"/>
                <w:lang w:val="en-US" w:eastAsia="zh-CN"/>
              </w:rPr>
              <w:t>0.2</w:t>
            </w:r>
            <w:r>
              <w:rPr>
                <w:rFonts w:hint="default" w:cs="Times New Roman"/>
                <w:color w:val="auto"/>
                <w:sz w:val="18"/>
                <w:szCs w:val="18"/>
                <w:lang w:val="en-US" w:eastAsia="zh-CN"/>
              </w:rPr>
              <w:t>t/a</w:t>
            </w:r>
          </w:p>
        </w:tc>
        <w:tc>
          <w:tcPr>
            <w:tcW w:w="3925" w:type="dxa"/>
            <w:vMerge w:val="continue"/>
            <w:vAlign w:val="center"/>
          </w:tcPr>
          <w:p w14:paraId="777B9CB6">
            <w:pPr>
              <w:spacing w:line="240" w:lineRule="auto"/>
              <w:jc w:val="center"/>
              <w:rPr>
                <w:rFonts w:hint="default" w:ascii="Times New Roman" w:hAnsi="Times New Roman" w:eastAsia="宋体" w:cs="Times New Roman"/>
                <w:color w:val="auto"/>
                <w:sz w:val="18"/>
                <w:szCs w:val="18"/>
                <w:lang w:val="en-US" w:eastAsia="zh-CN"/>
              </w:rPr>
            </w:pPr>
          </w:p>
        </w:tc>
        <w:tc>
          <w:tcPr>
            <w:tcW w:w="1288" w:type="dxa"/>
            <w:vAlign w:val="center"/>
          </w:tcPr>
          <w:p w14:paraId="217E7159">
            <w:pPr>
              <w:spacing w:line="240" w:lineRule="auto"/>
              <w:jc w:val="center"/>
              <w:rPr>
                <w:rFonts w:hint="default" w:ascii="Times New Roman" w:hAnsi="Times New Roman" w:cs="Times New Roman"/>
                <w:color w:val="auto"/>
                <w:sz w:val="18"/>
                <w:szCs w:val="18"/>
                <w:lang w:val="en-US" w:eastAsia="zh-CN"/>
              </w:rPr>
            </w:pPr>
          </w:p>
        </w:tc>
        <w:tc>
          <w:tcPr>
            <w:tcW w:w="1278" w:type="dxa"/>
            <w:vMerge w:val="continue"/>
            <w:vAlign w:val="center"/>
          </w:tcPr>
          <w:p w14:paraId="75C71418">
            <w:pPr>
              <w:spacing w:line="240" w:lineRule="auto"/>
              <w:jc w:val="center"/>
              <w:rPr>
                <w:rFonts w:hint="default" w:ascii="Times New Roman" w:hAnsi="Times New Roman" w:eastAsia="宋体" w:cs="Times New Roman"/>
                <w:color w:val="auto"/>
                <w:sz w:val="18"/>
                <w:szCs w:val="18"/>
              </w:rPr>
            </w:pPr>
          </w:p>
        </w:tc>
      </w:tr>
      <w:tr w14:paraId="7BA1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4" w:type="dxa"/>
            <w:gridSpan w:val="7"/>
            <w:vAlign w:val="center"/>
          </w:tcPr>
          <w:p w14:paraId="0C18E672">
            <w:pPr>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主要生态影响、保护措施及预期效果</w:t>
            </w:r>
          </w:p>
          <w:p w14:paraId="78E2D07F">
            <w:pPr>
              <w:spacing w:line="360" w:lineRule="auto"/>
              <w:ind w:firstLine="480" w:firstLineChars="200"/>
              <w:rPr>
                <w:rFonts w:hint="default" w:ascii="Times New Roman" w:hAnsi="Times New Roman" w:eastAsia="宋体" w:cs="Times New Roman"/>
                <w:color w:val="auto"/>
                <w:sz w:val="18"/>
                <w:szCs w:val="18"/>
                <w:lang w:eastAsia="zh-CN"/>
              </w:rPr>
            </w:pPr>
            <w:r>
              <w:rPr>
                <w:rFonts w:hint="eastAsia" w:asciiTheme="minorEastAsia" w:hAnsiTheme="minorEastAsia" w:eastAsiaTheme="minorEastAsia" w:cstheme="minorEastAsia"/>
                <w:sz w:val="24"/>
                <w:szCs w:val="24"/>
              </w:rPr>
              <w:t>本项目位于</w:t>
            </w:r>
            <w:r>
              <w:rPr>
                <w:rFonts w:hint="eastAsia" w:cs="Times New Roman"/>
                <w:bCs/>
                <w:color w:val="auto"/>
                <w:sz w:val="24"/>
                <w:szCs w:val="24"/>
                <w:lang w:val="en-US" w:eastAsia="zh-CN"/>
              </w:rPr>
              <w:t>四川省遂宁市蓬溪县蓬南镇长石村3社</w:t>
            </w:r>
            <w:r>
              <w:rPr>
                <w:rFonts w:hint="eastAsia" w:asciiTheme="minorEastAsia" w:hAnsiTheme="minorEastAsia" w:eastAsiaTheme="minorEastAsia" w:cstheme="minorEastAsia"/>
                <w:sz w:val="24"/>
                <w:szCs w:val="24"/>
              </w:rPr>
              <w:t>，项目所在地主要为</w:t>
            </w:r>
            <w:r>
              <w:rPr>
                <w:rFonts w:hint="eastAsia" w:asciiTheme="minorEastAsia" w:hAnsiTheme="minorEastAsia" w:eastAsiaTheme="minorEastAsia" w:cstheme="minorEastAsia"/>
                <w:sz w:val="24"/>
                <w:szCs w:val="24"/>
                <w:lang w:val="en-US" w:eastAsia="zh-CN"/>
              </w:rPr>
              <w:t>乡镇</w:t>
            </w:r>
            <w:r>
              <w:rPr>
                <w:rFonts w:hint="eastAsia" w:asciiTheme="minorEastAsia" w:hAnsiTheme="minorEastAsia" w:eastAsiaTheme="minorEastAsia" w:cstheme="minorEastAsia"/>
                <w:sz w:val="24"/>
                <w:szCs w:val="24"/>
              </w:rPr>
              <w:t>生态环境，区域内人类活动频繁，不存在原生植被。项目所在区域内无野生动物及珍惜植物，无文物古迹等需特殊保护的目标</w:t>
            </w:r>
            <w:r>
              <w:rPr>
                <w:rFonts w:hint="default" w:ascii="Times New Roman" w:hAnsi="Times New Roman" w:cs="Times New Roman"/>
                <w:color w:val="auto"/>
                <w:sz w:val="18"/>
                <w:szCs w:val="18"/>
                <w:lang w:eastAsia="zh-CN"/>
              </w:rPr>
              <w:t>。</w:t>
            </w:r>
          </w:p>
        </w:tc>
      </w:tr>
    </w:tbl>
    <w:p w14:paraId="47DBE6D5">
      <w:pPr>
        <w:spacing w:line="360" w:lineRule="auto"/>
        <w:rPr>
          <w:rFonts w:hint="default" w:ascii="Times New Roman" w:hAnsi="Times New Roman" w:eastAsia="宋体" w:cs="Times New Roman"/>
          <w:b/>
          <w:color w:val="C00000"/>
          <w:sz w:val="28"/>
          <w:szCs w:val="28"/>
        </w:rPr>
      </w:pPr>
    </w:p>
    <w:p w14:paraId="5C8EC0A9">
      <w:pPr>
        <w:spacing w:line="360" w:lineRule="auto"/>
        <w:ind w:firstLine="281" w:firstLineChars="100"/>
        <w:outlineLvl w:val="0"/>
        <w:rPr>
          <w:rFonts w:hint="default" w:ascii="Times New Roman" w:hAnsi="Times New Roman" w:eastAsia="宋体" w:cs="Times New Roman"/>
          <w:b/>
          <w:color w:val="auto"/>
          <w:sz w:val="28"/>
          <w:szCs w:val="28"/>
        </w:rPr>
      </w:pPr>
    </w:p>
    <w:p w14:paraId="36C5BA6B">
      <w:pPr>
        <w:spacing w:line="360" w:lineRule="auto"/>
        <w:ind w:firstLine="281" w:firstLineChars="100"/>
        <w:outlineLvl w:val="0"/>
        <w:rPr>
          <w:rFonts w:hint="default" w:ascii="Times New Roman" w:hAnsi="Times New Roman" w:eastAsia="宋体" w:cs="Times New Roman"/>
          <w:b/>
          <w:color w:val="auto"/>
          <w:sz w:val="28"/>
          <w:szCs w:val="28"/>
        </w:rPr>
      </w:pPr>
    </w:p>
    <w:p w14:paraId="78FA1D70">
      <w:pPr>
        <w:spacing w:line="360" w:lineRule="auto"/>
        <w:ind w:firstLine="281" w:firstLineChars="100"/>
        <w:outlineLvl w:val="0"/>
        <w:rPr>
          <w:rFonts w:hint="default" w:ascii="Times New Roman" w:hAnsi="Times New Roman" w:eastAsia="宋体" w:cs="Times New Roman"/>
          <w:b/>
          <w:color w:val="auto"/>
          <w:sz w:val="28"/>
          <w:szCs w:val="28"/>
        </w:rPr>
      </w:pPr>
    </w:p>
    <w:p w14:paraId="0525CB1E">
      <w:pPr>
        <w:spacing w:line="360" w:lineRule="auto"/>
        <w:ind w:firstLine="281" w:firstLineChars="100"/>
        <w:outlineLvl w:val="0"/>
        <w:rPr>
          <w:rFonts w:hint="default" w:ascii="Times New Roman" w:hAnsi="Times New Roman" w:eastAsia="宋体" w:cs="Times New Roman"/>
          <w:b/>
          <w:color w:val="auto"/>
          <w:sz w:val="28"/>
          <w:szCs w:val="28"/>
        </w:rPr>
      </w:pPr>
    </w:p>
    <w:p w14:paraId="01B04D7A">
      <w:pPr>
        <w:spacing w:line="360" w:lineRule="auto"/>
        <w:ind w:firstLine="281" w:firstLineChars="100"/>
        <w:outlineLvl w:val="0"/>
        <w:rPr>
          <w:rFonts w:hint="default" w:ascii="Times New Roman" w:hAnsi="Times New Roman" w:eastAsia="宋体" w:cs="Times New Roman"/>
          <w:b/>
          <w:color w:val="auto"/>
          <w:sz w:val="28"/>
          <w:szCs w:val="28"/>
        </w:rPr>
      </w:pPr>
    </w:p>
    <w:p w14:paraId="63735ECC">
      <w:pPr>
        <w:spacing w:line="360" w:lineRule="auto"/>
        <w:ind w:firstLine="281" w:firstLineChars="100"/>
        <w:outlineLvl w:val="0"/>
        <w:rPr>
          <w:rFonts w:hint="default" w:ascii="Times New Roman" w:hAnsi="Times New Roman" w:eastAsia="宋体" w:cs="Times New Roman"/>
          <w:b/>
          <w:color w:val="auto"/>
          <w:sz w:val="28"/>
          <w:szCs w:val="28"/>
        </w:rPr>
      </w:pPr>
    </w:p>
    <w:p w14:paraId="6F4F37F5">
      <w:pPr>
        <w:spacing w:line="360" w:lineRule="auto"/>
        <w:ind w:firstLine="281" w:firstLineChars="100"/>
        <w:outlineLvl w:val="0"/>
        <w:rPr>
          <w:rFonts w:hint="default" w:ascii="Times New Roman" w:hAnsi="Times New Roman" w:eastAsia="宋体" w:cs="Times New Roman"/>
          <w:b/>
          <w:color w:val="auto"/>
          <w:sz w:val="28"/>
          <w:szCs w:val="28"/>
        </w:rPr>
      </w:pPr>
    </w:p>
    <w:p w14:paraId="36F0BB51">
      <w:pPr>
        <w:spacing w:line="360" w:lineRule="auto"/>
        <w:ind w:firstLine="281" w:firstLineChars="100"/>
        <w:outlineLvl w:val="0"/>
        <w:rPr>
          <w:rFonts w:hint="default" w:ascii="Times New Roman" w:hAnsi="Times New Roman" w:eastAsia="宋体" w:cs="Times New Roman"/>
          <w:b/>
          <w:color w:val="auto"/>
          <w:sz w:val="28"/>
          <w:szCs w:val="28"/>
        </w:rPr>
      </w:pPr>
    </w:p>
    <w:p w14:paraId="7E455A4B">
      <w:pPr>
        <w:spacing w:line="360" w:lineRule="auto"/>
        <w:ind w:firstLine="281" w:firstLineChars="100"/>
        <w:outlineLvl w:val="0"/>
        <w:rPr>
          <w:rFonts w:hint="default" w:ascii="Times New Roman" w:hAnsi="Times New Roman" w:eastAsia="宋体" w:cs="Times New Roman"/>
          <w:b/>
          <w:color w:val="auto"/>
          <w:sz w:val="28"/>
          <w:szCs w:val="28"/>
        </w:rPr>
      </w:pPr>
    </w:p>
    <w:p w14:paraId="37348E80">
      <w:pPr>
        <w:spacing w:line="360" w:lineRule="auto"/>
        <w:ind w:firstLine="281" w:firstLineChars="100"/>
        <w:outlineLvl w:val="0"/>
        <w:rPr>
          <w:rFonts w:hint="default" w:ascii="Times New Roman" w:hAnsi="Times New Roman" w:eastAsia="宋体" w:cs="Times New Roman"/>
          <w:b/>
          <w:color w:val="auto"/>
          <w:sz w:val="28"/>
          <w:szCs w:val="28"/>
        </w:rPr>
      </w:pPr>
    </w:p>
    <w:p w14:paraId="7B96C8AC">
      <w:pPr>
        <w:spacing w:line="360" w:lineRule="auto"/>
        <w:ind w:firstLine="281" w:firstLineChars="100"/>
        <w:outlineLvl w:val="0"/>
        <w:rPr>
          <w:rFonts w:hint="default" w:ascii="Times New Roman" w:hAnsi="Times New Roman" w:eastAsia="宋体" w:cs="Times New Roman"/>
          <w:b/>
          <w:color w:val="auto"/>
          <w:sz w:val="28"/>
          <w:szCs w:val="28"/>
        </w:rPr>
      </w:pPr>
    </w:p>
    <w:p w14:paraId="3E9F6CD9">
      <w:pPr>
        <w:spacing w:line="360" w:lineRule="auto"/>
        <w:ind w:firstLine="281" w:firstLineChars="100"/>
        <w:outlineLvl w:val="0"/>
        <w:rPr>
          <w:rFonts w:hint="default" w:ascii="Times New Roman" w:hAnsi="Times New Roman" w:eastAsia="宋体" w:cs="Times New Roman"/>
          <w:b/>
          <w:color w:val="auto"/>
          <w:sz w:val="28"/>
          <w:szCs w:val="28"/>
        </w:rPr>
      </w:pPr>
    </w:p>
    <w:p w14:paraId="122B6A1A">
      <w:pPr>
        <w:spacing w:line="360" w:lineRule="auto"/>
        <w:ind w:firstLine="281" w:firstLineChars="100"/>
        <w:outlineLvl w:val="0"/>
        <w:rPr>
          <w:rFonts w:hint="default" w:ascii="Times New Roman" w:hAnsi="Times New Roman" w:eastAsia="宋体" w:cs="Times New Roman"/>
          <w:b/>
          <w:color w:val="auto"/>
          <w:sz w:val="28"/>
          <w:szCs w:val="28"/>
        </w:rPr>
      </w:pPr>
    </w:p>
    <w:p w14:paraId="2808199B">
      <w:pPr>
        <w:spacing w:line="360" w:lineRule="auto"/>
        <w:ind w:firstLine="281" w:firstLineChars="100"/>
        <w:outlineLvl w:val="0"/>
        <w:rPr>
          <w:rFonts w:hint="default" w:ascii="Times New Roman" w:hAnsi="Times New Roman" w:eastAsia="宋体" w:cs="Times New Roman"/>
          <w:b/>
          <w:color w:val="auto"/>
          <w:sz w:val="28"/>
          <w:szCs w:val="28"/>
        </w:rPr>
      </w:pPr>
    </w:p>
    <w:p w14:paraId="53EEFEED">
      <w:pPr>
        <w:spacing w:line="360" w:lineRule="auto"/>
        <w:ind w:firstLine="281" w:firstLineChars="100"/>
        <w:outlineLvl w:val="0"/>
        <w:rPr>
          <w:rFonts w:hint="default" w:ascii="Times New Roman" w:hAnsi="Times New Roman" w:eastAsia="宋体" w:cs="Times New Roman"/>
          <w:b/>
          <w:color w:val="auto"/>
          <w:sz w:val="28"/>
          <w:szCs w:val="28"/>
        </w:rPr>
      </w:pPr>
    </w:p>
    <w:p w14:paraId="25FE9273">
      <w:pPr>
        <w:spacing w:line="360" w:lineRule="auto"/>
        <w:ind w:firstLine="281" w:firstLineChars="100"/>
        <w:outlineLvl w:val="0"/>
        <w:rPr>
          <w:rFonts w:hint="default" w:ascii="Times New Roman" w:hAnsi="Times New Roman" w:eastAsia="宋体" w:cs="Times New Roman"/>
          <w:b/>
          <w:color w:val="auto"/>
          <w:sz w:val="28"/>
          <w:szCs w:val="28"/>
        </w:rPr>
      </w:pPr>
    </w:p>
    <w:p w14:paraId="6DCD4DC0">
      <w:pPr>
        <w:spacing w:line="360" w:lineRule="auto"/>
        <w:ind w:firstLine="281" w:firstLineChars="100"/>
        <w:outlineLvl w:val="0"/>
        <w:rPr>
          <w:rFonts w:hint="default" w:ascii="Times New Roman" w:hAnsi="Times New Roman" w:eastAsia="宋体" w:cs="Times New Roman"/>
          <w:b/>
          <w:color w:val="auto"/>
          <w:sz w:val="28"/>
          <w:szCs w:val="28"/>
        </w:rPr>
      </w:pPr>
    </w:p>
    <w:p w14:paraId="11895939">
      <w:pPr>
        <w:spacing w:line="360" w:lineRule="auto"/>
        <w:ind w:firstLine="281" w:firstLineChars="100"/>
        <w:outlineLvl w:val="0"/>
        <w:rPr>
          <w:rFonts w:hint="default" w:ascii="Times New Roman" w:hAnsi="Times New Roman" w:eastAsia="宋体" w:cs="Times New Roman"/>
          <w:color w:val="auto"/>
          <w:szCs w:val="21"/>
        </w:rPr>
      </w:pPr>
      <w:r>
        <w:rPr>
          <w:rFonts w:hint="default" w:ascii="Times New Roman" w:hAnsi="Times New Roman" w:eastAsia="宋体" w:cs="Times New Roman"/>
          <w:b/>
          <w:color w:val="auto"/>
          <w:sz w:val="28"/>
          <w:szCs w:val="28"/>
        </w:rPr>
        <w:t xml:space="preserve">环境影响分析                                               </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（表七）</w:t>
      </w:r>
    </w:p>
    <w:tbl>
      <w:tblPr>
        <w:tblStyle w:val="22"/>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14:paraId="1119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94" w:type="dxa"/>
            <w:shd w:val="clear" w:color="auto" w:fill="auto"/>
            <w:vAlign w:val="center"/>
          </w:tcPr>
          <w:p w14:paraId="5E0E5ACD">
            <w:pPr>
              <w:spacing w:line="360" w:lineRule="auto"/>
              <w:outlineLvl w:val="0"/>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rPr>
              <w:t>一、施工期环境影响分析</w:t>
            </w:r>
          </w:p>
          <w:p w14:paraId="1B66EE1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1、施工期大气环境影响分析</w:t>
            </w:r>
          </w:p>
          <w:p w14:paraId="711AEC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（1）扬尘影响</w:t>
            </w:r>
          </w:p>
          <w:p w14:paraId="12DEC2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施工期间的扬尘主要集中在土建施工阶段，按照起尘的原因分为风力起尘和动力起尘，其中风力起尘主要是由于露天堆放的建筑材料及裸露的施工区表层附土，由于天气干燥及大风产生风力扬尘；动力扬尘主要是建筑材料的装卸、搅拌过程，由于外力产生尘粒再悬浮而造成，其中施工及装卸车辆造成的扬尘最为严重。 </w:t>
            </w:r>
          </w:p>
          <w:p w14:paraId="4FB6C0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1）运输扬尘的影响分析 </w:t>
            </w:r>
          </w:p>
          <w:p w14:paraId="44ACC5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根据类比及相关资料介绍，汽车运输造成的扬尘占扬尘总量的60%，在完全干燥情况下，按照经验公式计算：Q=0.123(V/5)(W/6.8)</w:t>
            </w:r>
            <w:r>
              <w:rPr>
                <w:rFonts w:hint="eastAsia" w:ascii="宋体" w:hAnsi="宋体" w:eastAsia="宋体" w:cs="宋体"/>
                <w:sz w:val="24"/>
                <w:szCs w:val="24"/>
                <w:vertAlign w:val="superscript"/>
              </w:rPr>
              <w:t>0.85</w:t>
            </w:r>
            <w:r>
              <w:rPr>
                <w:rFonts w:hint="eastAsia" w:ascii="宋体" w:hAnsi="宋体" w:eastAsia="宋体" w:cs="宋体"/>
                <w:sz w:val="24"/>
                <w:szCs w:val="24"/>
              </w:rPr>
              <w:t>(P/0.5)</w:t>
            </w:r>
            <w:r>
              <w:rPr>
                <w:rFonts w:hint="eastAsia" w:ascii="宋体" w:hAnsi="宋体" w:eastAsia="宋体" w:cs="宋体"/>
                <w:sz w:val="24"/>
                <w:szCs w:val="24"/>
                <w:vertAlign w:val="superscript"/>
              </w:rPr>
              <w:t>0.75</w:t>
            </w:r>
          </w:p>
          <w:p w14:paraId="4EF483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式中：Q—汽车行驶的扬尘，kg/km·辆；</w:t>
            </w:r>
          </w:p>
          <w:p w14:paraId="22BD33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V—汽车速度，km/h；</w:t>
            </w:r>
          </w:p>
          <w:p w14:paraId="750244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W—汽车载重量，t；</w:t>
            </w:r>
          </w:p>
          <w:p w14:paraId="0089F3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P—道路表面粉尘量，kg/m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14:paraId="78AB57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下表为一辆载重5t的卡车通过长度为500m的路面，在不同清洁程度的路面（道路表面粉尘量）、不同行驶速度情况下产生的扬尘量。</w:t>
            </w:r>
          </w:p>
          <w:p w14:paraId="4975596B">
            <w:pPr>
              <w:pStyle w:val="27"/>
              <w:jc w:val="center"/>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表7-1 不同车速和地面清洁程度时的汽车扬尘   单位：kg/辆·km</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313"/>
              <w:gridCol w:w="1313"/>
              <w:gridCol w:w="1314"/>
              <w:gridCol w:w="1313"/>
              <w:gridCol w:w="1313"/>
              <w:gridCol w:w="1313"/>
            </w:tblGrid>
            <w:tr w14:paraId="6476F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noWrap w:val="0"/>
                  <w:vAlign w:val="center"/>
                </w:tcPr>
                <w:p w14:paraId="19ED32C3">
                  <w:pPr>
                    <w:pStyle w:val="2"/>
                    <w:ind w:left="420" w:hanging="420" w:hangingChars="200"/>
                    <w:jc w:val="both"/>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74624" behindDoc="0" locked="0" layoutInCell="1" allowOverlap="1">
                            <wp:simplePos x="0" y="0"/>
                            <wp:positionH relativeFrom="column">
                              <wp:posOffset>4489450</wp:posOffset>
                            </wp:positionH>
                            <wp:positionV relativeFrom="paragraph">
                              <wp:posOffset>-197277355</wp:posOffset>
                            </wp:positionV>
                            <wp:extent cx="262890" cy="6350"/>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262890" cy="63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3.5pt;margin-top:-15533.65pt;height:0.5pt;width:20.7pt;z-index:251674624;mso-width-relative:page;mso-height-relative:page;" filled="f" stroked="t" coordsize="21600,21600" o:gfxdata="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cFtg3QAAABEBAAAPAAAAAAAAAAEAIAAAACIAAABk&#10;cnMvZG93bnJldi54bWxQSwECFAAUAAAACACHTuJAysZvCAECAADuAwAADgAAAAAAAAABACAAAAAs&#10;AQAAZHJzL2Uyb0RvYy54bWxQSwUGAAAAAAYABgBZAQAAnwUAAAAA&#10;">
                            <v:fill on="f" focussize="0,0"/>
                            <v:stroke color="#000000" joinstyle="round"/>
                            <v:imagedata o:title=""/>
                            <o:lock v:ext="edit" aspectratio="f"/>
                          </v:shape>
                        </w:pict>
                      </mc:Fallback>
                    </mc:AlternateContent>
                  </w:r>
                  <w:r>
                    <w:rPr>
                      <w:rFonts w:hint="eastAsia" w:ascii="宋体" w:hAnsi="宋体" w:eastAsia="宋体" w:cs="宋体"/>
                      <w:color w:val="auto"/>
                      <w:sz w:val="21"/>
                      <w:szCs w:val="21"/>
                    </w:rPr>
                    <w:t xml:space="preserve"> 道路表面粉尘量</w:t>
                  </w:r>
                </w:p>
                <w:p w14:paraId="3F9C0287">
                  <w:pPr>
                    <w:pStyle w:val="2"/>
                    <w:jc w:val="both"/>
                    <w:rPr>
                      <w:rFonts w:hint="eastAsia" w:ascii="宋体" w:hAnsi="宋体" w:eastAsia="宋体" w:cs="宋体"/>
                      <w:color w:val="auto"/>
                      <w:sz w:val="21"/>
                      <w:szCs w:val="21"/>
                    </w:rPr>
                  </w:pPr>
                  <w:r>
                    <w:rPr>
                      <w:rFonts w:hint="eastAsia" w:ascii="宋体" w:hAnsi="宋体" w:eastAsia="宋体" w:cs="宋体"/>
                      <w:color w:val="auto"/>
                      <w:sz w:val="21"/>
                      <w:szCs w:val="21"/>
                    </w:rPr>
                    <w:t>车速</w:t>
                  </w:r>
                </w:p>
              </w:tc>
              <w:tc>
                <w:tcPr>
                  <w:tcW w:w="1313" w:type="dxa"/>
                  <w:noWrap w:val="0"/>
                  <w:vAlign w:val="center"/>
                </w:tcPr>
                <w:p w14:paraId="2170A32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0.1（kg/m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313" w:type="dxa"/>
                  <w:noWrap w:val="0"/>
                  <w:vAlign w:val="center"/>
                </w:tcPr>
                <w:p w14:paraId="2DCF1F40">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0.2（kg/m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314" w:type="dxa"/>
                  <w:noWrap w:val="0"/>
                  <w:vAlign w:val="center"/>
                </w:tcPr>
                <w:p w14:paraId="1D51099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0.3（kg/m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313" w:type="dxa"/>
                  <w:noWrap w:val="0"/>
                  <w:vAlign w:val="center"/>
                </w:tcPr>
                <w:p w14:paraId="3B51A8F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0.4（kg/m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313" w:type="dxa"/>
                  <w:noWrap w:val="0"/>
                  <w:vAlign w:val="center"/>
                </w:tcPr>
                <w:p w14:paraId="5D6CE5C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0.5（kg/m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313" w:type="dxa"/>
                  <w:noWrap w:val="0"/>
                  <w:vAlign w:val="center"/>
                </w:tcPr>
                <w:p w14:paraId="7DFF3C5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1.0（kg/m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r>
            <w:tr w14:paraId="4BBCE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noWrap w:val="0"/>
                  <w:vAlign w:val="center"/>
                </w:tcPr>
                <w:p w14:paraId="20E80961">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5（km/h）</w:t>
                  </w:r>
                </w:p>
              </w:tc>
              <w:tc>
                <w:tcPr>
                  <w:tcW w:w="1313" w:type="dxa"/>
                  <w:noWrap w:val="0"/>
                  <w:vAlign w:val="center"/>
                </w:tcPr>
                <w:p w14:paraId="0E8CCAD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0.0283</w:t>
                  </w:r>
                </w:p>
              </w:tc>
              <w:tc>
                <w:tcPr>
                  <w:tcW w:w="1313" w:type="dxa"/>
                  <w:noWrap w:val="0"/>
                  <w:vAlign w:val="center"/>
                </w:tcPr>
                <w:p w14:paraId="72B0C08D">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0.0476</w:t>
                  </w:r>
                </w:p>
              </w:tc>
              <w:tc>
                <w:tcPr>
                  <w:tcW w:w="1314" w:type="dxa"/>
                  <w:noWrap w:val="0"/>
                  <w:vAlign w:val="center"/>
                </w:tcPr>
                <w:p w14:paraId="611FC894">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0.0646</w:t>
                  </w:r>
                </w:p>
              </w:tc>
              <w:tc>
                <w:tcPr>
                  <w:tcW w:w="1313" w:type="dxa"/>
                  <w:noWrap w:val="0"/>
                  <w:vAlign w:val="center"/>
                </w:tcPr>
                <w:p w14:paraId="1FBBB4F8">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0.0801</w:t>
                  </w:r>
                </w:p>
              </w:tc>
              <w:tc>
                <w:tcPr>
                  <w:tcW w:w="1313" w:type="dxa"/>
                  <w:noWrap w:val="0"/>
                  <w:vAlign w:val="center"/>
                </w:tcPr>
                <w:p w14:paraId="789DF0B4">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0.0947</w:t>
                  </w:r>
                </w:p>
              </w:tc>
              <w:tc>
                <w:tcPr>
                  <w:tcW w:w="1313" w:type="dxa"/>
                  <w:noWrap w:val="0"/>
                  <w:vAlign w:val="center"/>
                </w:tcPr>
                <w:p w14:paraId="7EA13E0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0.1593</w:t>
                  </w:r>
                </w:p>
              </w:tc>
            </w:tr>
            <w:tr w14:paraId="0F7DD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noWrap w:val="0"/>
                  <w:vAlign w:val="center"/>
                </w:tcPr>
                <w:p w14:paraId="18A8AE0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10（km/h）</w:t>
                  </w:r>
                </w:p>
              </w:tc>
              <w:tc>
                <w:tcPr>
                  <w:tcW w:w="1313" w:type="dxa"/>
                  <w:noWrap w:val="0"/>
                  <w:vAlign w:val="center"/>
                </w:tcPr>
                <w:p w14:paraId="417ABFA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0.0566</w:t>
                  </w:r>
                </w:p>
              </w:tc>
              <w:tc>
                <w:tcPr>
                  <w:tcW w:w="1313" w:type="dxa"/>
                  <w:noWrap w:val="0"/>
                  <w:vAlign w:val="center"/>
                </w:tcPr>
                <w:p w14:paraId="20E0A190">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0.0953</w:t>
                  </w:r>
                </w:p>
              </w:tc>
              <w:tc>
                <w:tcPr>
                  <w:tcW w:w="1314" w:type="dxa"/>
                  <w:noWrap w:val="0"/>
                  <w:vAlign w:val="center"/>
                </w:tcPr>
                <w:p w14:paraId="291960C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0.1291</w:t>
                  </w:r>
                </w:p>
              </w:tc>
              <w:tc>
                <w:tcPr>
                  <w:tcW w:w="1313" w:type="dxa"/>
                  <w:noWrap w:val="0"/>
                  <w:vAlign w:val="center"/>
                </w:tcPr>
                <w:p w14:paraId="48EDFA67">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0.1602</w:t>
                  </w:r>
                </w:p>
              </w:tc>
              <w:tc>
                <w:tcPr>
                  <w:tcW w:w="1313" w:type="dxa"/>
                  <w:noWrap w:val="0"/>
                  <w:vAlign w:val="center"/>
                </w:tcPr>
                <w:p w14:paraId="1AAA9E3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0.1894</w:t>
                  </w:r>
                </w:p>
              </w:tc>
              <w:tc>
                <w:tcPr>
                  <w:tcW w:w="1313" w:type="dxa"/>
                  <w:noWrap w:val="0"/>
                  <w:vAlign w:val="center"/>
                </w:tcPr>
                <w:p w14:paraId="360A0D9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0.3186</w:t>
                  </w:r>
                </w:p>
              </w:tc>
            </w:tr>
            <w:tr w14:paraId="0B1FD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noWrap w:val="0"/>
                  <w:vAlign w:val="center"/>
                </w:tcPr>
                <w:p w14:paraId="5107F69F">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15（km/h）</w:t>
                  </w:r>
                </w:p>
              </w:tc>
              <w:tc>
                <w:tcPr>
                  <w:tcW w:w="1313" w:type="dxa"/>
                  <w:noWrap w:val="0"/>
                  <w:vAlign w:val="center"/>
                </w:tcPr>
                <w:p w14:paraId="3FE51A9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0.0850</w:t>
                  </w:r>
                </w:p>
              </w:tc>
              <w:tc>
                <w:tcPr>
                  <w:tcW w:w="1313" w:type="dxa"/>
                  <w:noWrap w:val="0"/>
                  <w:vAlign w:val="center"/>
                </w:tcPr>
                <w:p w14:paraId="4AB6D822">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0.1429</w:t>
                  </w:r>
                </w:p>
              </w:tc>
              <w:tc>
                <w:tcPr>
                  <w:tcW w:w="1314" w:type="dxa"/>
                  <w:noWrap w:val="0"/>
                  <w:vAlign w:val="center"/>
                </w:tcPr>
                <w:p w14:paraId="103C55D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0.1937</w:t>
                  </w:r>
                </w:p>
              </w:tc>
              <w:tc>
                <w:tcPr>
                  <w:tcW w:w="1313" w:type="dxa"/>
                  <w:noWrap w:val="0"/>
                  <w:vAlign w:val="center"/>
                </w:tcPr>
                <w:p w14:paraId="73BCC63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0.2403</w:t>
                  </w:r>
                </w:p>
              </w:tc>
              <w:tc>
                <w:tcPr>
                  <w:tcW w:w="1313" w:type="dxa"/>
                  <w:noWrap w:val="0"/>
                  <w:vAlign w:val="center"/>
                </w:tcPr>
                <w:p w14:paraId="57855FE1">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0.2841</w:t>
                  </w:r>
                </w:p>
              </w:tc>
              <w:tc>
                <w:tcPr>
                  <w:tcW w:w="1313" w:type="dxa"/>
                  <w:noWrap w:val="0"/>
                  <w:vAlign w:val="center"/>
                </w:tcPr>
                <w:p w14:paraId="686DAEFF">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0.4778</w:t>
                  </w:r>
                </w:p>
              </w:tc>
            </w:tr>
            <w:tr w14:paraId="6EC97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noWrap w:val="0"/>
                  <w:vAlign w:val="center"/>
                </w:tcPr>
                <w:p w14:paraId="5B541D3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20（km/h）</w:t>
                  </w:r>
                </w:p>
              </w:tc>
              <w:tc>
                <w:tcPr>
                  <w:tcW w:w="1313" w:type="dxa"/>
                  <w:noWrap w:val="0"/>
                  <w:vAlign w:val="center"/>
                </w:tcPr>
                <w:p w14:paraId="49E6CDA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0.1133</w:t>
                  </w:r>
                </w:p>
              </w:tc>
              <w:tc>
                <w:tcPr>
                  <w:tcW w:w="1313" w:type="dxa"/>
                  <w:noWrap w:val="0"/>
                  <w:vAlign w:val="center"/>
                </w:tcPr>
                <w:p w14:paraId="2707BF97">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0.1905</w:t>
                  </w:r>
                </w:p>
              </w:tc>
              <w:tc>
                <w:tcPr>
                  <w:tcW w:w="1314" w:type="dxa"/>
                  <w:noWrap w:val="0"/>
                  <w:vAlign w:val="center"/>
                </w:tcPr>
                <w:p w14:paraId="77D785E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0.2583</w:t>
                  </w:r>
                </w:p>
              </w:tc>
              <w:tc>
                <w:tcPr>
                  <w:tcW w:w="1313" w:type="dxa"/>
                  <w:noWrap w:val="0"/>
                  <w:vAlign w:val="center"/>
                </w:tcPr>
                <w:p w14:paraId="71233C5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0.3204</w:t>
                  </w:r>
                </w:p>
              </w:tc>
              <w:tc>
                <w:tcPr>
                  <w:tcW w:w="1313" w:type="dxa"/>
                  <w:noWrap w:val="0"/>
                  <w:vAlign w:val="center"/>
                </w:tcPr>
                <w:p w14:paraId="53300E3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0.3788</w:t>
                  </w:r>
                </w:p>
              </w:tc>
              <w:tc>
                <w:tcPr>
                  <w:tcW w:w="1313" w:type="dxa"/>
                  <w:noWrap w:val="0"/>
                  <w:vAlign w:val="center"/>
                </w:tcPr>
                <w:p w14:paraId="612474C2">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0.6371</w:t>
                  </w:r>
                </w:p>
              </w:tc>
            </w:tr>
          </w:tbl>
          <w:p w14:paraId="2E9BA1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由此可见，在同样路面清洁情况下，车速越快，扬尘量越大；而在同样车速情况下，路面清洁度越差，则扬尘量越大。</w:t>
            </w:r>
          </w:p>
          <w:p w14:paraId="6F774A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在施工期间对车辆行驶的路面实施洒水抑尘，每天洒水4～5次，可使扬尘减少约70%。下表7-2为施工场地洒水抑尘的试验结果，结果表明实施每天洒水4～5次进行抑尘，可有效地控制施工扬尘，可将TSP污染距离缩小到20～50m范围。</w:t>
            </w:r>
          </w:p>
          <w:p w14:paraId="13E55CBF">
            <w:pPr>
              <w:pStyle w:val="27"/>
              <w:jc w:val="center"/>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表7-2 施工场地洒水抑尘试验结果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1329"/>
              <w:gridCol w:w="1378"/>
              <w:gridCol w:w="1377"/>
              <w:gridCol w:w="1377"/>
              <w:gridCol w:w="1373"/>
            </w:tblGrid>
            <w:tr w14:paraId="1B381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7" w:type="dxa"/>
                  <w:gridSpan w:val="2"/>
                  <w:noWrap w:val="0"/>
                  <w:vAlign w:val="center"/>
                </w:tcPr>
                <w:p w14:paraId="3BE27DF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距  离（m）</w:t>
                  </w:r>
                </w:p>
              </w:tc>
              <w:tc>
                <w:tcPr>
                  <w:tcW w:w="1378" w:type="dxa"/>
                  <w:noWrap w:val="0"/>
                  <w:vAlign w:val="center"/>
                </w:tcPr>
                <w:p w14:paraId="163D2F0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377" w:type="dxa"/>
                  <w:noWrap w:val="0"/>
                  <w:vAlign w:val="center"/>
                </w:tcPr>
                <w:p w14:paraId="40DBA0B8">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1377" w:type="dxa"/>
                  <w:noWrap w:val="0"/>
                  <w:vAlign w:val="center"/>
                </w:tcPr>
                <w:p w14:paraId="250C3710">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c>
                <w:tcPr>
                  <w:tcW w:w="1373" w:type="dxa"/>
                  <w:noWrap w:val="0"/>
                  <w:vAlign w:val="center"/>
                </w:tcPr>
                <w:p w14:paraId="254ADD01">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14:paraId="532D9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58" w:type="dxa"/>
                  <w:vMerge w:val="restart"/>
                  <w:noWrap w:val="0"/>
                  <w:vAlign w:val="center"/>
                </w:tcPr>
                <w:p w14:paraId="232B392D">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TSP小时平均浓度（mg/m3）</w:t>
                  </w:r>
                </w:p>
              </w:tc>
              <w:tc>
                <w:tcPr>
                  <w:tcW w:w="1329" w:type="dxa"/>
                  <w:noWrap w:val="0"/>
                  <w:vAlign w:val="center"/>
                </w:tcPr>
                <w:p w14:paraId="1E7DA2B8">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不洒水</w:t>
                  </w:r>
                </w:p>
              </w:tc>
              <w:tc>
                <w:tcPr>
                  <w:tcW w:w="1378" w:type="dxa"/>
                  <w:noWrap w:val="0"/>
                  <w:vAlign w:val="center"/>
                </w:tcPr>
                <w:p w14:paraId="3162DC3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10.14</w:t>
                  </w:r>
                </w:p>
              </w:tc>
              <w:tc>
                <w:tcPr>
                  <w:tcW w:w="1377" w:type="dxa"/>
                  <w:noWrap w:val="0"/>
                  <w:vAlign w:val="center"/>
                </w:tcPr>
                <w:p w14:paraId="7885FA07">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2.89</w:t>
                  </w:r>
                </w:p>
              </w:tc>
              <w:tc>
                <w:tcPr>
                  <w:tcW w:w="1377" w:type="dxa"/>
                  <w:noWrap w:val="0"/>
                  <w:vAlign w:val="center"/>
                </w:tcPr>
                <w:p w14:paraId="11035EDF">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1.15</w:t>
                  </w:r>
                </w:p>
              </w:tc>
              <w:tc>
                <w:tcPr>
                  <w:tcW w:w="1373" w:type="dxa"/>
                  <w:noWrap w:val="0"/>
                  <w:vAlign w:val="center"/>
                </w:tcPr>
                <w:p w14:paraId="590F42D1">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0.86</w:t>
                  </w:r>
                </w:p>
              </w:tc>
            </w:tr>
            <w:tr w14:paraId="56409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58" w:type="dxa"/>
                  <w:vMerge w:val="continue"/>
                  <w:noWrap w:val="0"/>
                  <w:vAlign w:val="center"/>
                </w:tcPr>
                <w:p w14:paraId="5E695EB3">
                  <w:pPr>
                    <w:pStyle w:val="2"/>
                    <w:jc w:val="center"/>
                    <w:rPr>
                      <w:rFonts w:hint="eastAsia" w:ascii="宋体" w:hAnsi="宋体" w:eastAsia="宋体" w:cs="宋体"/>
                      <w:color w:val="auto"/>
                      <w:sz w:val="21"/>
                      <w:szCs w:val="21"/>
                    </w:rPr>
                  </w:pPr>
                </w:p>
              </w:tc>
              <w:tc>
                <w:tcPr>
                  <w:tcW w:w="1329" w:type="dxa"/>
                  <w:noWrap w:val="0"/>
                  <w:vAlign w:val="center"/>
                </w:tcPr>
                <w:p w14:paraId="51EEF26D">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洒  水</w:t>
                  </w:r>
                </w:p>
              </w:tc>
              <w:tc>
                <w:tcPr>
                  <w:tcW w:w="1378" w:type="dxa"/>
                  <w:noWrap w:val="0"/>
                  <w:vAlign w:val="center"/>
                </w:tcPr>
                <w:p w14:paraId="169C2086">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2.01</w:t>
                  </w:r>
                </w:p>
              </w:tc>
              <w:tc>
                <w:tcPr>
                  <w:tcW w:w="1377" w:type="dxa"/>
                  <w:noWrap w:val="0"/>
                  <w:vAlign w:val="center"/>
                </w:tcPr>
                <w:p w14:paraId="593BF20D">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1.40</w:t>
                  </w:r>
                </w:p>
              </w:tc>
              <w:tc>
                <w:tcPr>
                  <w:tcW w:w="1377" w:type="dxa"/>
                  <w:noWrap w:val="0"/>
                  <w:vAlign w:val="center"/>
                </w:tcPr>
                <w:p w14:paraId="781982F8">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0.67</w:t>
                  </w:r>
                </w:p>
              </w:tc>
              <w:tc>
                <w:tcPr>
                  <w:tcW w:w="1373" w:type="dxa"/>
                  <w:noWrap w:val="0"/>
                  <w:vAlign w:val="center"/>
                </w:tcPr>
                <w:p w14:paraId="0D09DA12">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0.60</w:t>
                  </w:r>
                </w:p>
              </w:tc>
            </w:tr>
          </w:tbl>
          <w:p w14:paraId="0A6720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因此，限速行驶、定时清扫道路、保持路面清洁，车辆加盖篷布，并适当洒水是减少汽车运输扬尘的有效手段。根据本项目的特点，本项目的施工扬尘对外环境影响较小。</w:t>
            </w:r>
          </w:p>
          <w:p w14:paraId="263FEB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2）场地风力扬尘的影响分析</w:t>
            </w:r>
          </w:p>
          <w:p w14:paraId="726A23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由于施工需要，一些建材需露天堆放，一些施工点表层土壤需人工开挖、堆放，在气候干燥又有风的情况下，会产生扬尘，其扬尘量可按堆场起尘的经验公式计算：</w:t>
            </w:r>
          </w:p>
          <w:p w14:paraId="6E132ED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Q=2.1（V50 – V0）3e-1.023W</w:t>
            </w:r>
          </w:p>
          <w:p w14:paraId="0DF000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式中：Q ——起尘量，kg/t·a；</w:t>
            </w:r>
          </w:p>
          <w:p w14:paraId="5C8723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V50——距地面50m处风速，m/s；</w:t>
            </w:r>
          </w:p>
          <w:p w14:paraId="12800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V0 ——起尘风速，m/s；V0与粒径和含水率有关，</w:t>
            </w:r>
          </w:p>
          <w:p w14:paraId="04CAD0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 ——尘粒含水率，%。</w:t>
            </w:r>
          </w:p>
          <w:p w14:paraId="484A6A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尘粒在空气中的传播扩散情况与风速等气象条件有关，也与尘粒本身的沉降速度有关。施工扬尘的影响范围最远可达下风向150m处，施工及运输车辆引起的扬尘对路边30m范围内影响较大，路边颗粒物浓度可达10mg/m3以上。</w:t>
            </w:r>
          </w:p>
          <w:p w14:paraId="4DC04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根据本项目的特点，本项目施工期较短，施工量较小，周围敏感点相对较远，且施工地点与部分敏感点有山体和林地隔离，对敏感点影响较小。</w:t>
            </w:r>
          </w:p>
          <w:p w14:paraId="7A72A1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施工期间，在物料、渣土土、垃圾运输车辆的出口内侧设置洗车平台，车辆驶离工地前，在洗车平台清洗轮胎及车身，不得带泥上路。同时，洗车废水设沉淀池进行处理，并回用，不得随意外排。 </w:t>
            </w:r>
          </w:p>
          <w:p w14:paraId="6AAE2E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（2）施工机械废气</w:t>
            </w:r>
          </w:p>
          <w:p w14:paraId="169499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施工期间需使用大量燃油施工机械，如起重机、挖掘机等，燃油施工机械工作时会产生废气。本环评要求： </w:t>
            </w:r>
          </w:p>
          <w:p w14:paraId="14F3DF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①选用先进的施工机械，减少油耗和燃油废气污染； </w:t>
            </w:r>
          </w:p>
          <w:p w14:paraId="738172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②尽量使用电气化设备，少使用燃油设备； </w:t>
            </w:r>
          </w:p>
          <w:p w14:paraId="2B1188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③做好设备的维修和养护工作，使机械设备处于良好的工作状态，减少油耗，同时降低污染； </w:t>
            </w:r>
          </w:p>
          <w:p w14:paraId="47D8E2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④尽量将燃油设备工作场所设置在当地常年主导风下风向和场地开阔的地方，以利于污染物的扩散。</w:t>
            </w:r>
          </w:p>
          <w:p w14:paraId="6A9D0B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另外本项目施工场地开阔，扩散条件良好，工程完工后其污染影响消失。因此，施工机械废气对环境影响不大。</w:t>
            </w:r>
          </w:p>
          <w:p w14:paraId="498480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综上，采用上述措施后，施工期产生的施工废气不会对当地大气环境产生明显影响。</w:t>
            </w:r>
          </w:p>
          <w:p w14:paraId="0C1643CA">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2、施工期地表水环境影响分析</w:t>
            </w:r>
          </w:p>
          <w:p w14:paraId="5907E5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（1）影响分析</w:t>
            </w:r>
          </w:p>
          <w:p w14:paraId="359217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本项目施工期产生的废水主要为施工人员生活污水、施工废水。</w:t>
            </w:r>
          </w:p>
          <w:p w14:paraId="13DFA3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施工人员均不在项目区内食宿，其生活污水排放量为0.4m3/d，生活污水经周边农户旱厕处理后用作农肥。</w:t>
            </w:r>
          </w:p>
          <w:p w14:paraId="2CB90B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施工废水主要包括施工机械跑、冒、漏、滴的污油及露天机械受雨水冲刷后产生的油水，施工场地砂石材料冲洗废水，车辆、机械设备冲洗产生的少量冲洗废水等。其悬浮物浓度较高，pH值呈弱碱性，如不经治理直接排放，将会对当地地表水环境造成一定的污染影响，因此本环评要求建设单位在建筑施工现场修建隔油池以及沉淀池，使施工废水经简易沉淀池处理后回用于施工抑尘。</w:t>
            </w:r>
          </w:p>
          <w:p w14:paraId="552180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（2）污染防治措施及建议</w:t>
            </w:r>
          </w:p>
          <w:p w14:paraId="2B3825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为防治施工期间的水环境污染，建议采取以下措施：</w:t>
            </w:r>
          </w:p>
          <w:p w14:paraId="7ACF16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①加强施工期管理，针对施工期污水产生过程不连续、废水种类较单一等特点，可采取相应措施有效控制污水中污染物的产生量；</w:t>
            </w:r>
          </w:p>
          <w:p w14:paraId="1AD191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②水泥、黄沙、石灰类的建筑材料需集中堆放，并采取一定的防雨措施，及时清扫施工运输过程中抛洒的建筑材料；</w:t>
            </w:r>
          </w:p>
          <w:p w14:paraId="4D77DE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③避免施工机械燃料用油跑、冒、漏、滴现象的发生；</w:t>
            </w:r>
          </w:p>
          <w:p w14:paraId="757F50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④定时清洁建筑施工机械表面不必要的润滑油及其它油污，尽量减小建筑施工机械设备与水体的直接接触。</w:t>
            </w:r>
          </w:p>
          <w:p w14:paraId="58C8FB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通过采取以上措施，可有效控制施工废水污染，施工期产生的废水对周围环境影响较小。</w:t>
            </w:r>
          </w:p>
          <w:p w14:paraId="30E6689A">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3、施工期声环境影响分析</w:t>
            </w:r>
          </w:p>
          <w:p w14:paraId="229B2C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噪声可分为机械噪声、施工作业噪声和施工车辆噪声。机械噪声主要由施工机械所造成，如挖掘机、推土机、打夯机等，多为点声源；施工作业噪声主要指一些零星的敲打声、吆喝声、拆卸模板的撞击声等，多为瞬时噪声；施工车辆的噪声属于交通噪声，上述噪声强度在85~100dB（A）之间。在这些施工噪声中，对声环境影响最大的是机械噪声。采用半自由场点声源随距离衰减公式进行预测：</w:t>
            </w:r>
          </w:p>
          <w:p w14:paraId="7C09D461">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Lp=LwA－20lgr－8</w:t>
            </w:r>
          </w:p>
          <w:p w14:paraId="40564E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式中：Lp——距声源r处的声压级（dB）；</w:t>
            </w:r>
          </w:p>
          <w:p w14:paraId="149BC1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LwA——声源的声功率级（dB）；</w:t>
            </w:r>
          </w:p>
          <w:p w14:paraId="6DB5FA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r ——声源距预测点的距离，m。</w:t>
            </w:r>
          </w:p>
          <w:p w14:paraId="2517A3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施工各阶段噪声预测结果如下：</w:t>
            </w:r>
          </w:p>
          <w:p w14:paraId="03AB372B">
            <w:pPr>
              <w:pStyle w:val="27"/>
              <w:jc w:val="center"/>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表7-3 施工期各阶段距声源不同距离的等效声级预测结果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240"/>
              <w:gridCol w:w="1221"/>
              <w:gridCol w:w="863"/>
              <w:gridCol w:w="864"/>
              <w:gridCol w:w="863"/>
              <w:gridCol w:w="982"/>
              <w:gridCol w:w="982"/>
              <w:gridCol w:w="1408"/>
            </w:tblGrid>
            <w:tr w14:paraId="1D969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restart"/>
                  <w:noWrap w:val="0"/>
                  <w:vAlign w:val="center"/>
                </w:tcPr>
                <w:p w14:paraId="5390135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施工阶段</w:t>
                  </w:r>
                </w:p>
              </w:tc>
              <w:tc>
                <w:tcPr>
                  <w:tcW w:w="1240" w:type="dxa"/>
                  <w:vMerge w:val="restart"/>
                  <w:noWrap w:val="0"/>
                  <w:vAlign w:val="center"/>
                </w:tcPr>
                <w:p w14:paraId="04ADB93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主要</w:t>
                  </w:r>
                </w:p>
                <w:p w14:paraId="44A6003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噪声源</w:t>
                  </w:r>
                </w:p>
              </w:tc>
              <w:tc>
                <w:tcPr>
                  <w:tcW w:w="1221" w:type="dxa"/>
                  <w:vMerge w:val="restart"/>
                  <w:noWrap w:val="0"/>
                  <w:vAlign w:val="center"/>
                </w:tcPr>
                <w:p w14:paraId="42439411">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声功率级[dB(A)]</w:t>
                  </w:r>
                </w:p>
              </w:tc>
              <w:tc>
                <w:tcPr>
                  <w:tcW w:w="4554" w:type="dxa"/>
                  <w:gridSpan w:val="5"/>
                  <w:noWrap w:val="0"/>
                  <w:vAlign w:val="center"/>
                </w:tcPr>
                <w:p w14:paraId="1DD041B6">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声源距离衰减，声级值LPA dB(A)</w:t>
                  </w:r>
                </w:p>
              </w:tc>
              <w:tc>
                <w:tcPr>
                  <w:tcW w:w="1408" w:type="dxa"/>
                  <w:vMerge w:val="restart"/>
                  <w:noWrap w:val="0"/>
                  <w:vAlign w:val="center"/>
                </w:tcPr>
                <w:p w14:paraId="5459741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声源特征</w:t>
                  </w:r>
                </w:p>
              </w:tc>
            </w:tr>
            <w:tr w14:paraId="414B7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continue"/>
                  <w:noWrap w:val="0"/>
                  <w:vAlign w:val="center"/>
                </w:tcPr>
                <w:p w14:paraId="239321C1">
                  <w:pPr>
                    <w:pStyle w:val="2"/>
                    <w:jc w:val="center"/>
                    <w:rPr>
                      <w:rFonts w:hint="eastAsia" w:ascii="宋体" w:hAnsi="宋体" w:eastAsia="宋体" w:cs="宋体"/>
                      <w:color w:val="auto"/>
                      <w:sz w:val="21"/>
                      <w:szCs w:val="21"/>
                    </w:rPr>
                  </w:pPr>
                </w:p>
              </w:tc>
              <w:tc>
                <w:tcPr>
                  <w:tcW w:w="1240" w:type="dxa"/>
                  <w:vMerge w:val="continue"/>
                  <w:noWrap w:val="0"/>
                  <w:vAlign w:val="center"/>
                </w:tcPr>
                <w:p w14:paraId="61B372C1">
                  <w:pPr>
                    <w:pStyle w:val="2"/>
                    <w:jc w:val="center"/>
                    <w:rPr>
                      <w:rFonts w:hint="eastAsia" w:ascii="宋体" w:hAnsi="宋体" w:eastAsia="宋体" w:cs="宋体"/>
                      <w:color w:val="auto"/>
                      <w:sz w:val="21"/>
                      <w:szCs w:val="21"/>
                    </w:rPr>
                  </w:pPr>
                </w:p>
              </w:tc>
              <w:tc>
                <w:tcPr>
                  <w:tcW w:w="1221" w:type="dxa"/>
                  <w:vMerge w:val="continue"/>
                  <w:noWrap w:val="0"/>
                  <w:vAlign w:val="center"/>
                </w:tcPr>
                <w:p w14:paraId="535DFC8D">
                  <w:pPr>
                    <w:pStyle w:val="2"/>
                    <w:jc w:val="center"/>
                    <w:rPr>
                      <w:rFonts w:hint="eastAsia" w:ascii="宋体" w:hAnsi="宋体" w:eastAsia="宋体" w:cs="宋体"/>
                      <w:color w:val="auto"/>
                      <w:sz w:val="21"/>
                      <w:szCs w:val="21"/>
                    </w:rPr>
                  </w:pPr>
                </w:p>
              </w:tc>
              <w:tc>
                <w:tcPr>
                  <w:tcW w:w="863" w:type="dxa"/>
                  <w:noWrap w:val="0"/>
                  <w:vAlign w:val="center"/>
                </w:tcPr>
                <w:p w14:paraId="4403753D">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10m</w:t>
                  </w:r>
                </w:p>
              </w:tc>
              <w:tc>
                <w:tcPr>
                  <w:tcW w:w="864" w:type="dxa"/>
                  <w:noWrap w:val="0"/>
                  <w:vAlign w:val="center"/>
                </w:tcPr>
                <w:p w14:paraId="1E37AC0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30m</w:t>
                  </w:r>
                </w:p>
              </w:tc>
              <w:tc>
                <w:tcPr>
                  <w:tcW w:w="863" w:type="dxa"/>
                  <w:noWrap w:val="0"/>
                  <w:vAlign w:val="center"/>
                </w:tcPr>
                <w:p w14:paraId="3498D7F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60m</w:t>
                  </w:r>
                </w:p>
              </w:tc>
              <w:tc>
                <w:tcPr>
                  <w:tcW w:w="982" w:type="dxa"/>
                  <w:noWrap w:val="0"/>
                  <w:vAlign w:val="center"/>
                </w:tcPr>
                <w:p w14:paraId="7FD4852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120m</w:t>
                  </w:r>
                </w:p>
              </w:tc>
              <w:tc>
                <w:tcPr>
                  <w:tcW w:w="982" w:type="dxa"/>
                  <w:noWrap w:val="0"/>
                  <w:vAlign w:val="center"/>
                </w:tcPr>
                <w:p w14:paraId="4686F9E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240m</w:t>
                  </w:r>
                </w:p>
              </w:tc>
              <w:tc>
                <w:tcPr>
                  <w:tcW w:w="1408" w:type="dxa"/>
                  <w:vMerge w:val="continue"/>
                  <w:noWrap w:val="0"/>
                  <w:vAlign w:val="center"/>
                </w:tcPr>
                <w:p w14:paraId="729AE1B3">
                  <w:pPr>
                    <w:pStyle w:val="2"/>
                    <w:jc w:val="center"/>
                    <w:rPr>
                      <w:rFonts w:hint="eastAsia" w:ascii="宋体" w:hAnsi="宋体" w:eastAsia="宋体" w:cs="宋体"/>
                      <w:color w:val="auto"/>
                      <w:sz w:val="21"/>
                      <w:szCs w:val="21"/>
                    </w:rPr>
                  </w:pPr>
                </w:p>
              </w:tc>
            </w:tr>
            <w:tr w14:paraId="07862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restart"/>
                  <w:noWrap w:val="0"/>
                  <w:vAlign w:val="center"/>
                </w:tcPr>
                <w:p w14:paraId="7FCAC49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基础阶段</w:t>
                  </w:r>
                </w:p>
              </w:tc>
              <w:tc>
                <w:tcPr>
                  <w:tcW w:w="1240" w:type="dxa"/>
                  <w:noWrap w:val="0"/>
                  <w:vAlign w:val="center"/>
                </w:tcPr>
                <w:p w14:paraId="0DA5AC9F">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挖掘机</w:t>
                  </w:r>
                </w:p>
              </w:tc>
              <w:tc>
                <w:tcPr>
                  <w:tcW w:w="1221" w:type="dxa"/>
                  <w:noWrap w:val="0"/>
                  <w:vAlign w:val="center"/>
                </w:tcPr>
                <w:p w14:paraId="658B964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95</w:t>
                  </w:r>
                </w:p>
              </w:tc>
              <w:tc>
                <w:tcPr>
                  <w:tcW w:w="863" w:type="dxa"/>
                  <w:noWrap w:val="0"/>
                  <w:vAlign w:val="center"/>
                </w:tcPr>
                <w:p w14:paraId="01CE096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75</w:t>
                  </w:r>
                </w:p>
              </w:tc>
              <w:tc>
                <w:tcPr>
                  <w:tcW w:w="864" w:type="dxa"/>
                  <w:noWrap w:val="0"/>
                  <w:vAlign w:val="center"/>
                </w:tcPr>
                <w:p w14:paraId="53C5401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65</w:t>
                  </w:r>
                </w:p>
              </w:tc>
              <w:tc>
                <w:tcPr>
                  <w:tcW w:w="863" w:type="dxa"/>
                  <w:noWrap w:val="0"/>
                  <w:vAlign w:val="center"/>
                </w:tcPr>
                <w:p w14:paraId="1292E7FF">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59</w:t>
                  </w:r>
                </w:p>
              </w:tc>
              <w:tc>
                <w:tcPr>
                  <w:tcW w:w="982" w:type="dxa"/>
                  <w:noWrap w:val="0"/>
                  <w:vAlign w:val="center"/>
                </w:tcPr>
                <w:p w14:paraId="78134566">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982" w:type="dxa"/>
                  <w:noWrap w:val="0"/>
                  <w:vAlign w:val="center"/>
                </w:tcPr>
                <w:p w14:paraId="6241E5DB">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47</w:t>
                  </w:r>
                </w:p>
              </w:tc>
              <w:tc>
                <w:tcPr>
                  <w:tcW w:w="1408" w:type="dxa"/>
                  <w:vMerge w:val="restart"/>
                  <w:noWrap w:val="0"/>
                  <w:vAlign w:val="center"/>
                </w:tcPr>
                <w:p w14:paraId="4DC56A92">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声源无指向性，有一定影响，应控制</w:t>
                  </w:r>
                </w:p>
              </w:tc>
            </w:tr>
            <w:tr w14:paraId="32413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continue"/>
                  <w:noWrap w:val="0"/>
                  <w:vAlign w:val="center"/>
                </w:tcPr>
                <w:p w14:paraId="621148FA">
                  <w:pPr>
                    <w:pStyle w:val="2"/>
                    <w:jc w:val="center"/>
                    <w:rPr>
                      <w:rFonts w:hint="eastAsia" w:ascii="宋体" w:hAnsi="宋体" w:eastAsia="宋体" w:cs="宋体"/>
                      <w:color w:val="auto"/>
                      <w:sz w:val="21"/>
                      <w:szCs w:val="21"/>
                    </w:rPr>
                  </w:pPr>
                </w:p>
              </w:tc>
              <w:tc>
                <w:tcPr>
                  <w:tcW w:w="1240" w:type="dxa"/>
                  <w:noWrap w:val="0"/>
                  <w:vAlign w:val="center"/>
                </w:tcPr>
                <w:p w14:paraId="2C27BB14">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运输车辆</w:t>
                  </w:r>
                </w:p>
              </w:tc>
              <w:tc>
                <w:tcPr>
                  <w:tcW w:w="1221" w:type="dxa"/>
                  <w:noWrap w:val="0"/>
                  <w:vAlign w:val="center"/>
                </w:tcPr>
                <w:p w14:paraId="701D1A57">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85</w:t>
                  </w:r>
                </w:p>
              </w:tc>
              <w:tc>
                <w:tcPr>
                  <w:tcW w:w="863" w:type="dxa"/>
                  <w:noWrap w:val="0"/>
                  <w:vAlign w:val="center"/>
                </w:tcPr>
                <w:p w14:paraId="3C733D8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65</w:t>
                  </w:r>
                </w:p>
              </w:tc>
              <w:tc>
                <w:tcPr>
                  <w:tcW w:w="864" w:type="dxa"/>
                  <w:noWrap w:val="0"/>
                  <w:vAlign w:val="center"/>
                </w:tcPr>
                <w:p w14:paraId="62D72AC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55</w:t>
                  </w:r>
                </w:p>
              </w:tc>
              <w:tc>
                <w:tcPr>
                  <w:tcW w:w="863" w:type="dxa"/>
                  <w:noWrap w:val="0"/>
                  <w:vAlign w:val="center"/>
                </w:tcPr>
                <w:p w14:paraId="182646F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49</w:t>
                  </w:r>
                </w:p>
              </w:tc>
              <w:tc>
                <w:tcPr>
                  <w:tcW w:w="982" w:type="dxa"/>
                  <w:noWrap w:val="0"/>
                  <w:vAlign w:val="center"/>
                </w:tcPr>
                <w:p w14:paraId="7DCDA0B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43</w:t>
                  </w:r>
                </w:p>
              </w:tc>
              <w:tc>
                <w:tcPr>
                  <w:tcW w:w="982" w:type="dxa"/>
                  <w:noWrap w:val="0"/>
                  <w:vAlign w:val="center"/>
                </w:tcPr>
                <w:p w14:paraId="7A491386">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37</w:t>
                  </w:r>
                </w:p>
              </w:tc>
              <w:tc>
                <w:tcPr>
                  <w:tcW w:w="1408" w:type="dxa"/>
                  <w:vMerge w:val="continue"/>
                  <w:noWrap w:val="0"/>
                  <w:vAlign w:val="center"/>
                </w:tcPr>
                <w:p w14:paraId="371C2FE6">
                  <w:pPr>
                    <w:pStyle w:val="2"/>
                    <w:jc w:val="center"/>
                    <w:rPr>
                      <w:rFonts w:hint="eastAsia" w:ascii="宋体" w:hAnsi="宋体" w:eastAsia="宋体" w:cs="宋体"/>
                      <w:color w:val="auto"/>
                      <w:sz w:val="21"/>
                      <w:szCs w:val="21"/>
                    </w:rPr>
                  </w:pPr>
                </w:p>
              </w:tc>
            </w:tr>
            <w:tr w14:paraId="0AA4E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restart"/>
                  <w:noWrap w:val="0"/>
                  <w:vAlign w:val="center"/>
                </w:tcPr>
                <w:p w14:paraId="0011352F">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设备安装阶段</w:t>
                  </w:r>
                </w:p>
              </w:tc>
              <w:tc>
                <w:tcPr>
                  <w:tcW w:w="1240" w:type="dxa"/>
                  <w:noWrap w:val="0"/>
                  <w:vAlign w:val="center"/>
                </w:tcPr>
                <w:p w14:paraId="0B3736E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电钻</w:t>
                  </w:r>
                </w:p>
              </w:tc>
              <w:tc>
                <w:tcPr>
                  <w:tcW w:w="1221" w:type="dxa"/>
                  <w:noWrap w:val="0"/>
                  <w:vAlign w:val="center"/>
                </w:tcPr>
                <w:p w14:paraId="6C8EA5C4">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863" w:type="dxa"/>
                  <w:noWrap w:val="0"/>
                  <w:vAlign w:val="center"/>
                </w:tcPr>
                <w:p w14:paraId="4148F5C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864" w:type="dxa"/>
                  <w:noWrap w:val="0"/>
                  <w:vAlign w:val="center"/>
                </w:tcPr>
                <w:p w14:paraId="7C6E68A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70</w:t>
                  </w:r>
                </w:p>
              </w:tc>
              <w:tc>
                <w:tcPr>
                  <w:tcW w:w="863" w:type="dxa"/>
                  <w:noWrap w:val="0"/>
                  <w:vAlign w:val="center"/>
                </w:tcPr>
                <w:p w14:paraId="271B00E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64</w:t>
                  </w:r>
                </w:p>
              </w:tc>
              <w:tc>
                <w:tcPr>
                  <w:tcW w:w="982" w:type="dxa"/>
                  <w:noWrap w:val="0"/>
                  <w:vAlign w:val="center"/>
                </w:tcPr>
                <w:p w14:paraId="2A747D0C">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58</w:t>
                  </w:r>
                </w:p>
              </w:tc>
              <w:tc>
                <w:tcPr>
                  <w:tcW w:w="982" w:type="dxa"/>
                  <w:noWrap w:val="0"/>
                  <w:vAlign w:val="center"/>
                </w:tcPr>
                <w:p w14:paraId="008B4B0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1408" w:type="dxa"/>
                  <w:vMerge w:val="restart"/>
                  <w:noWrap w:val="0"/>
                  <w:vAlign w:val="center"/>
                </w:tcPr>
                <w:p w14:paraId="5F557BF0">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声源无指向性，有一定影响，应控制</w:t>
                  </w:r>
                </w:p>
              </w:tc>
            </w:tr>
            <w:tr w14:paraId="52AB3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continue"/>
                  <w:noWrap w:val="0"/>
                  <w:vAlign w:val="center"/>
                </w:tcPr>
                <w:p w14:paraId="775C997F">
                  <w:pPr>
                    <w:pStyle w:val="2"/>
                    <w:jc w:val="center"/>
                    <w:rPr>
                      <w:rFonts w:hint="eastAsia" w:ascii="宋体" w:hAnsi="宋体" w:eastAsia="宋体" w:cs="宋体"/>
                      <w:color w:val="auto"/>
                      <w:sz w:val="21"/>
                      <w:szCs w:val="21"/>
                    </w:rPr>
                  </w:pPr>
                </w:p>
              </w:tc>
              <w:tc>
                <w:tcPr>
                  <w:tcW w:w="1240" w:type="dxa"/>
                  <w:noWrap w:val="0"/>
                  <w:vAlign w:val="center"/>
                </w:tcPr>
                <w:p w14:paraId="1ADD022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切割机</w:t>
                  </w:r>
                </w:p>
              </w:tc>
              <w:tc>
                <w:tcPr>
                  <w:tcW w:w="1221" w:type="dxa"/>
                  <w:noWrap w:val="0"/>
                  <w:vAlign w:val="center"/>
                </w:tcPr>
                <w:p w14:paraId="01B7868B">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863" w:type="dxa"/>
                  <w:noWrap w:val="0"/>
                  <w:vAlign w:val="center"/>
                </w:tcPr>
                <w:p w14:paraId="4D1CC1D3">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864" w:type="dxa"/>
                  <w:noWrap w:val="0"/>
                  <w:vAlign w:val="center"/>
                </w:tcPr>
                <w:p w14:paraId="049E467D">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70</w:t>
                  </w:r>
                </w:p>
              </w:tc>
              <w:tc>
                <w:tcPr>
                  <w:tcW w:w="863" w:type="dxa"/>
                  <w:noWrap w:val="0"/>
                  <w:vAlign w:val="center"/>
                </w:tcPr>
                <w:p w14:paraId="31F758D7">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64</w:t>
                  </w:r>
                </w:p>
              </w:tc>
              <w:tc>
                <w:tcPr>
                  <w:tcW w:w="982" w:type="dxa"/>
                  <w:noWrap w:val="0"/>
                  <w:vAlign w:val="center"/>
                </w:tcPr>
                <w:p w14:paraId="5D9B5F7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58</w:t>
                  </w:r>
                </w:p>
              </w:tc>
              <w:tc>
                <w:tcPr>
                  <w:tcW w:w="982" w:type="dxa"/>
                  <w:noWrap w:val="0"/>
                  <w:vAlign w:val="center"/>
                </w:tcPr>
                <w:p w14:paraId="0C759697">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1408" w:type="dxa"/>
                  <w:vMerge w:val="continue"/>
                  <w:noWrap w:val="0"/>
                  <w:vAlign w:val="center"/>
                </w:tcPr>
                <w:p w14:paraId="663975C4">
                  <w:pPr>
                    <w:pStyle w:val="2"/>
                    <w:jc w:val="center"/>
                    <w:rPr>
                      <w:rFonts w:hint="eastAsia" w:ascii="宋体" w:hAnsi="宋体" w:eastAsia="宋体" w:cs="宋体"/>
                      <w:color w:val="auto"/>
                      <w:sz w:val="21"/>
                      <w:szCs w:val="21"/>
                    </w:rPr>
                  </w:pPr>
                </w:p>
              </w:tc>
            </w:tr>
            <w:tr w14:paraId="2DE93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vMerge w:val="continue"/>
                  <w:noWrap w:val="0"/>
                  <w:vAlign w:val="center"/>
                </w:tcPr>
                <w:p w14:paraId="2E9504CA">
                  <w:pPr>
                    <w:pStyle w:val="2"/>
                    <w:jc w:val="center"/>
                    <w:rPr>
                      <w:rFonts w:hint="eastAsia" w:ascii="宋体" w:hAnsi="宋体" w:eastAsia="宋体" w:cs="宋体"/>
                      <w:color w:val="auto"/>
                      <w:sz w:val="21"/>
                      <w:szCs w:val="21"/>
                    </w:rPr>
                  </w:pPr>
                </w:p>
              </w:tc>
              <w:tc>
                <w:tcPr>
                  <w:tcW w:w="1240" w:type="dxa"/>
                  <w:noWrap w:val="0"/>
                  <w:vAlign w:val="center"/>
                </w:tcPr>
                <w:p w14:paraId="0357A642">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电焊机</w:t>
                  </w:r>
                </w:p>
              </w:tc>
              <w:tc>
                <w:tcPr>
                  <w:tcW w:w="1221" w:type="dxa"/>
                  <w:noWrap w:val="0"/>
                  <w:vAlign w:val="center"/>
                </w:tcPr>
                <w:p w14:paraId="00D9AF36">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95</w:t>
                  </w:r>
                </w:p>
              </w:tc>
              <w:tc>
                <w:tcPr>
                  <w:tcW w:w="863" w:type="dxa"/>
                  <w:noWrap w:val="0"/>
                  <w:vAlign w:val="center"/>
                </w:tcPr>
                <w:p w14:paraId="6812B72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75</w:t>
                  </w:r>
                </w:p>
              </w:tc>
              <w:tc>
                <w:tcPr>
                  <w:tcW w:w="864" w:type="dxa"/>
                  <w:noWrap w:val="0"/>
                  <w:vAlign w:val="center"/>
                </w:tcPr>
                <w:p w14:paraId="486B19F9">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65</w:t>
                  </w:r>
                </w:p>
              </w:tc>
              <w:tc>
                <w:tcPr>
                  <w:tcW w:w="863" w:type="dxa"/>
                  <w:noWrap w:val="0"/>
                  <w:vAlign w:val="center"/>
                </w:tcPr>
                <w:p w14:paraId="73C73AB5">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59</w:t>
                  </w:r>
                </w:p>
              </w:tc>
              <w:tc>
                <w:tcPr>
                  <w:tcW w:w="982" w:type="dxa"/>
                  <w:noWrap w:val="0"/>
                  <w:vAlign w:val="center"/>
                </w:tcPr>
                <w:p w14:paraId="13CBCCCA">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982" w:type="dxa"/>
                  <w:noWrap w:val="0"/>
                  <w:vAlign w:val="center"/>
                </w:tcPr>
                <w:p w14:paraId="600468F8">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47</w:t>
                  </w:r>
                </w:p>
              </w:tc>
              <w:tc>
                <w:tcPr>
                  <w:tcW w:w="1408" w:type="dxa"/>
                  <w:vMerge w:val="continue"/>
                  <w:noWrap w:val="0"/>
                  <w:vAlign w:val="center"/>
                </w:tcPr>
                <w:p w14:paraId="0EEBA01F">
                  <w:pPr>
                    <w:pStyle w:val="2"/>
                    <w:jc w:val="center"/>
                    <w:rPr>
                      <w:rFonts w:hint="eastAsia" w:ascii="宋体" w:hAnsi="宋体" w:eastAsia="宋体" w:cs="宋体"/>
                      <w:color w:val="auto"/>
                      <w:sz w:val="21"/>
                      <w:szCs w:val="21"/>
                    </w:rPr>
                  </w:pPr>
                </w:p>
              </w:tc>
            </w:tr>
          </w:tbl>
          <w:p w14:paraId="165D5A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由上表可见，根据《建筑施工场界环境噪声排放标准》（GB12523-2011），在施工设备未采取任何噪声防护措施的情况下，各施工阶段噪声达标距离见表7-4。</w:t>
            </w:r>
          </w:p>
          <w:p w14:paraId="341CF1BA">
            <w:pPr>
              <w:pStyle w:val="27"/>
              <w:jc w:val="center"/>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表7-4 不同施工阶段噪声达标距离</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1368"/>
              <w:gridCol w:w="1586"/>
              <w:gridCol w:w="2181"/>
              <w:gridCol w:w="2184"/>
            </w:tblGrid>
            <w:tr w14:paraId="09E0F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vMerge w:val="restart"/>
                  <w:noWrap w:val="0"/>
                  <w:vAlign w:val="center"/>
                </w:tcPr>
                <w:p w14:paraId="736C1B4E">
                  <w:pPr>
                    <w:jc w:val="center"/>
                    <w:rPr>
                      <w:rFonts w:hint="eastAsia" w:ascii="宋体" w:hAnsi="宋体" w:eastAsia="宋体" w:cs="宋体"/>
                    </w:rPr>
                  </w:pPr>
                  <w:r>
                    <w:rPr>
                      <w:rFonts w:hint="eastAsia" w:ascii="宋体" w:hAnsi="宋体" w:eastAsia="宋体" w:cs="宋体"/>
                    </w:rPr>
                    <w:t>施工阶段</w:t>
                  </w:r>
                </w:p>
              </w:tc>
              <w:tc>
                <w:tcPr>
                  <w:tcW w:w="2954" w:type="dxa"/>
                  <w:gridSpan w:val="2"/>
                  <w:noWrap w:val="0"/>
                  <w:vAlign w:val="center"/>
                </w:tcPr>
                <w:p w14:paraId="3FDF9124">
                  <w:pPr>
                    <w:jc w:val="center"/>
                    <w:rPr>
                      <w:rFonts w:hint="eastAsia" w:ascii="宋体" w:hAnsi="宋体" w:eastAsia="宋体" w:cs="宋体"/>
                    </w:rPr>
                  </w:pPr>
                  <w:r>
                    <w:rPr>
                      <w:rFonts w:hint="eastAsia" w:ascii="宋体" w:hAnsi="宋体" w:eastAsia="宋体" w:cs="宋体"/>
                    </w:rPr>
                    <w:t>噪声限值LeqdB(A)</w:t>
                  </w:r>
                </w:p>
              </w:tc>
              <w:tc>
                <w:tcPr>
                  <w:tcW w:w="4365" w:type="dxa"/>
                  <w:gridSpan w:val="2"/>
                  <w:noWrap w:val="0"/>
                  <w:vAlign w:val="center"/>
                </w:tcPr>
                <w:p w14:paraId="111B4516">
                  <w:pPr>
                    <w:jc w:val="center"/>
                    <w:rPr>
                      <w:rFonts w:hint="eastAsia" w:ascii="宋体" w:hAnsi="宋体" w:eastAsia="宋体" w:cs="宋体"/>
                    </w:rPr>
                  </w:pPr>
                  <w:r>
                    <w:rPr>
                      <w:rFonts w:hint="eastAsia" w:ascii="宋体" w:hAnsi="宋体" w:eastAsia="宋体" w:cs="宋体"/>
                    </w:rPr>
                    <w:t>达标距离（m）</w:t>
                  </w:r>
                </w:p>
              </w:tc>
            </w:tr>
            <w:tr w14:paraId="27F4D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vMerge w:val="continue"/>
                  <w:noWrap w:val="0"/>
                  <w:vAlign w:val="center"/>
                </w:tcPr>
                <w:p w14:paraId="05CF8BE4">
                  <w:pPr>
                    <w:jc w:val="center"/>
                    <w:rPr>
                      <w:rFonts w:hint="eastAsia" w:ascii="宋体" w:hAnsi="宋体" w:eastAsia="宋体" w:cs="宋体"/>
                    </w:rPr>
                  </w:pPr>
                </w:p>
              </w:tc>
              <w:tc>
                <w:tcPr>
                  <w:tcW w:w="1368" w:type="dxa"/>
                  <w:noWrap w:val="0"/>
                  <w:vAlign w:val="center"/>
                </w:tcPr>
                <w:p w14:paraId="3C7B72AE">
                  <w:pPr>
                    <w:jc w:val="center"/>
                    <w:rPr>
                      <w:rFonts w:hint="eastAsia" w:ascii="宋体" w:hAnsi="宋体" w:eastAsia="宋体" w:cs="宋体"/>
                    </w:rPr>
                  </w:pPr>
                  <w:r>
                    <w:rPr>
                      <w:rFonts w:hint="eastAsia" w:ascii="宋体" w:hAnsi="宋体" w:eastAsia="宋体" w:cs="宋体"/>
                    </w:rPr>
                    <w:t>昼间</w:t>
                  </w:r>
                </w:p>
              </w:tc>
              <w:tc>
                <w:tcPr>
                  <w:tcW w:w="1586" w:type="dxa"/>
                  <w:noWrap w:val="0"/>
                  <w:vAlign w:val="center"/>
                </w:tcPr>
                <w:p w14:paraId="4AF25821">
                  <w:pPr>
                    <w:jc w:val="center"/>
                    <w:rPr>
                      <w:rFonts w:hint="eastAsia" w:ascii="宋体" w:hAnsi="宋体" w:eastAsia="宋体" w:cs="宋体"/>
                    </w:rPr>
                  </w:pPr>
                  <w:r>
                    <w:rPr>
                      <w:rFonts w:hint="eastAsia" w:ascii="宋体" w:hAnsi="宋体" w:eastAsia="宋体" w:cs="宋体"/>
                    </w:rPr>
                    <w:t>夜间</w:t>
                  </w:r>
                </w:p>
              </w:tc>
              <w:tc>
                <w:tcPr>
                  <w:tcW w:w="2181" w:type="dxa"/>
                  <w:noWrap w:val="0"/>
                  <w:vAlign w:val="center"/>
                </w:tcPr>
                <w:p w14:paraId="6D96F9B3">
                  <w:pPr>
                    <w:jc w:val="center"/>
                    <w:rPr>
                      <w:rFonts w:hint="eastAsia" w:ascii="宋体" w:hAnsi="宋体" w:eastAsia="宋体" w:cs="宋体"/>
                    </w:rPr>
                  </w:pPr>
                  <w:r>
                    <w:rPr>
                      <w:rFonts w:hint="eastAsia" w:ascii="宋体" w:hAnsi="宋体" w:eastAsia="宋体" w:cs="宋体"/>
                    </w:rPr>
                    <w:t>昼间</w:t>
                  </w:r>
                </w:p>
              </w:tc>
              <w:tc>
                <w:tcPr>
                  <w:tcW w:w="2184" w:type="dxa"/>
                  <w:noWrap w:val="0"/>
                  <w:vAlign w:val="center"/>
                </w:tcPr>
                <w:p w14:paraId="5F2EF3D3">
                  <w:pPr>
                    <w:jc w:val="center"/>
                    <w:rPr>
                      <w:rFonts w:hint="eastAsia" w:ascii="宋体" w:hAnsi="宋体" w:eastAsia="宋体" w:cs="宋体"/>
                    </w:rPr>
                  </w:pPr>
                  <w:r>
                    <w:rPr>
                      <w:rFonts w:hint="eastAsia" w:ascii="宋体" w:hAnsi="宋体" w:eastAsia="宋体" w:cs="宋体"/>
                    </w:rPr>
                    <w:t>夜间</w:t>
                  </w:r>
                </w:p>
              </w:tc>
            </w:tr>
            <w:tr w14:paraId="02CA9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noWrap w:val="0"/>
                  <w:vAlign w:val="center"/>
                </w:tcPr>
                <w:p w14:paraId="115B7FA4">
                  <w:pPr>
                    <w:jc w:val="center"/>
                    <w:rPr>
                      <w:rFonts w:hint="eastAsia" w:ascii="宋体" w:hAnsi="宋体" w:eastAsia="宋体" w:cs="宋体"/>
                    </w:rPr>
                  </w:pPr>
                  <w:r>
                    <w:rPr>
                      <w:rFonts w:hint="eastAsia" w:ascii="宋体" w:hAnsi="宋体" w:eastAsia="宋体" w:cs="宋体"/>
                    </w:rPr>
                    <w:t>基础阶段</w:t>
                  </w:r>
                </w:p>
              </w:tc>
              <w:tc>
                <w:tcPr>
                  <w:tcW w:w="1368" w:type="dxa"/>
                  <w:vMerge w:val="restart"/>
                  <w:noWrap w:val="0"/>
                  <w:vAlign w:val="center"/>
                </w:tcPr>
                <w:p w14:paraId="6483FA4D">
                  <w:pPr>
                    <w:jc w:val="center"/>
                    <w:rPr>
                      <w:rFonts w:hint="eastAsia" w:ascii="宋体" w:hAnsi="宋体" w:eastAsia="宋体" w:cs="宋体"/>
                    </w:rPr>
                  </w:pPr>
                  <w:r>
                    <w:rPr>
                      <w:rFonts w:hint="eastAsia" w:ascii="宋体" w:hAnsi="宋体" w:eastAsia="宋体" w:cs="宋体"/>
                    </w:rPr>
                    <w:t>70</w:t>
                  </w:r>
                </w:p>
              </w:tc>
              <w:tc>
                <w:tcPr>
                  <w:tcW w:w="1586" w:type="dxa"/>
                  <w:vMerge w:val="restart"/>
                  <w:noWrap w:val="0"/>
                  <w:vAlign w:val="center"/>
                </w:tcPr>
                <w:p w14:paraId="59E36594">
                  <w:pPr>
                    <w:jc w:val="center"/>
                    <w:rPr>
                      <w:rFonts w:hint="eastAsia" w:ascii="宋体" w:hAnsi="宋体" w:eastAsia="宋体" w:cs="宋体"/>
                    </w:rPr>
                  </w:pPr>
                  <w:r>
                    <w:rPr>
                      <w:rFonts w:hint="eastAsia" w:ascii="宋体" w:hAnsi="宋体" w:eastAsia="宋体" w:cs="宋体"/>
                    </w:rPr>
                    <w:t>55</w:t>
                  </w:r>
                </w:p>
              </w:tc>
              <w:tc>
                <w:tcPr>
                  <w:tcW w:w="2181" w:type="dxa"/>
                  <w:noWrap w:val="0"/>
                  <w:vAlign w:val="center"/>
                </w:tcPr>
                <w:p w14:paraId="4EF8E28B">
                  <w:pPr>
                    <w:jc w:val="center"/>
                    <w:rPr>
                      <w:rFonts w:hint="eastAsia" w:ascii="宋体" w:hAnsi="宋体" w:eastAsia="宋体" w:cs="宋体"/>
                    </w:rPr>
                  </w:pPr>
                  <w:r>
                    <w:rPr>
                      <w:rFonts w:hint="eastAsia" w:ascii="宋体" w:hAnsi="宋体" w:eastAsia="宋体" w:cs="宋体"/>
                    </w:rPr>
                    <w:t>18</w:t>
                  </w:r>
                </w:p>
              </w:tc>
              <w:tc>
                <w:tcPr>
                  <w:tcW w:w="2184" w:type="dxa"/>
                  <w:noWrap w:val="0"/>
                  <w:vAlign w:val="center"/>
                </w:tcPr>
                <w:p w14:paraId="35B303FF">
                  <w:pPr>
                    <w:jc w:val="center"/>
                    <w:rPr>
                      <w:rFonts w:hint="eastAsia" w:ascii="宋体" w:hAnsi="宋体" w:eastAsia="宋体" w:cs="宋体"/>
                    </w:rPr>
                  </w:pPr>
                  <w:r>
                    <w:rPr>
                      <w:rFonts w:hint="eastAsia" w:ascii="宋体" w:hAnsi="宋体" w:eastAsia="宋体" w:cs="宋体"/>
                    </w:rPr>
                    <w:t>100</w:t>
                  </w:r>
                </w:p>
              </w:tc>
            </w:tr>
            <w:tr w14:paraId="68A03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noWrap w:val="0"/>
                  <w:vAlign w:val="center"/>
                </w:tcPr>
                <w:p w14:paraId="14F7C6A7">
                  <w:pPr>
                    <w:jc w:val="center"/>
                    <w:rPr>
                      <w:rFonts w:hint="eastAsia" w:ascii="宋体" w:hAnsi="宋体" w:eastAsia="宋体" w:cs="宋体"/>
                    </w:rPr>
                  </w:pPr>
                  <w:r>
                    <w:rPr>
                      <w:rFonts w:hint="eastAsia" w:ascii="宋体" w:hAnsi="宋体" w:eastAsia="宋体" w:cs="宋体"/>
                    </w:rPr>
                    <w:t>设备安装阶段</w:t>
                  </w:r>
                </w:p>
              </w:tc>
              <w:tc>
                <w:tcPr>
                  <w:tcW w:w="1368" w:type="dxa"/>
                  <w:vMerge w:val="continue"/>
                  <w:noWrap w:val="0"/>
                  <w:vAlign w:val="center"/>
                </w:tcPr>
                <w:p w14:paraId="7FE9F91F">
                  <w:pPr>
                    <w:jc w:val="center"/>
                    <w:rPr>
                      <w:rFonts w:hint="eastAsia" w:ascii="宋体" w:hAnsi="宋体" w:eastAsia="宋体" w:cs="宋体"/>
                    </w:rPr>
                  </w:pPr>
                </w:p>
              </w:tc>
              <w:tc>
                <w:tcPr>
                  <w:tcW w:w="1586" w:type="dxa"/>
                  <w:vMerge w:val="continue"/>
                  <w:noWrap w:val="0"/>
                  <w:vAlign w:val="center"/>
                </w:tcPr>
                <w:p w14:paraId="3F83DFA2">
                  <w:pPr>
                    <w:jc w:val="center"/>
                    <w:rPr>
                      <w:rFonts w:hint="eastAsia" w:ascii="宋体" w:hAnsi="宋体" w:eastAsia="宋体" w:cs="宋体"/>
                    </w:rPr>
                  </w:pPr>
                </w:p>
              </w:tc>
              <w:tc>
                <w:tcPr>
                  <w:tcW w:w="2181" w:type="dxa"/>
                  <w:noWrap w:val="0"/>
                  <w:vAlign w:val="center"/>
                </w:tcPr>
                <w:p w14:paraId="383611D1">
                  <w:pPr>
                    <w:jc w:val="center"/>
                    <w:rPr>
                      <w:rFonts w:hint="eastAsia" w:ascii="宋体" w:hAnsi="宋体" w:eastAsia="宋体" w:cs="宋体"/>
                    </w:rPr>
                  </w:pPr>
                  <w:r>
                    <w:rPr>
                      <w:rFonts w:hint="eastAsia" w:ascii="宋体" w:hAnsi="宋体" w:eastAsia="宋体" w:cs="宋体"/>
                    </w:rPr>
                    <w:t>32</w:t>
                  </w:r>
                </w:p>
              </w:tc>
              <w:tc>
                <w:tcPr>
                  <w:tcW w:w="2184" w:type="dxa"/>
                  <w:noWrap w:val="0"/>
                  <w:vAlign w:val="center"/>
                </w:tcPr>
                <w:p w14:paraId="36AE8FA0">
                  <w:pPr>
                    <w:jc w:val="center"/>
                    <w:rPr>
                      <w:rFonts w:hint="eastAsia" w:ascii="宋体" w:hAnsi="宋体" w:eastAsia="宋体" w:cs="宋体"/>
                    </w:rPr>
                  </w:pPr>
                  <w:r>
                    <w:rPr>
                      <w:rFonts w:hint="eastAsia" w:ascii="宋体" w:hAnsi="宋体" w:eastAsia="宋体" w:cs="宋体"/>
                    </w:rPr>
                    <w:t>178</w:t>
                  </w:r>
                </w:p>
              </w:tc>
            </w:tr>
          </w:tbl>
          <w:p w14:paraId="483FFF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为降低对周边环境的影响，本项目采取的防治措施：</w:t>
            </w:r>
          </w:p>
          <w:p w14:paraId="312344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①合理安排施工时间：制订科学的施工计划，应尽可能避免大量高噪声设备同时使用。除此之外，高噪声设备的施工时间尽量安排在日间，避免夜间施工，倡导文明施工。 </w:t>
            </w:r>
          </w:p>
          <w:p w14:paraId="2BA162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②合理布局施工现场：高噪声施工机械尽量布置在远离场地环境敏感点较多的一方，同时应避免在同一地点安排大量动力机械设备，以避免局部声级过高； </w:t>
            </w:r>
          </w:p>
          <w:p w14:paraId="15ED98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③降低设备声级：设备选型上尽量采用低噪声设备。加强设备的维修和保养，保持机械润滑。固定机械设备如挖土、运土机械，如挖土机、推土机等，采取排气管消音器和隔离发动机振动部件的方法降低噪声； </w:t>
            </w:r>
          </w:p>
          <w:p w14:paraId="1099EB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⑤降低人为噪音：按照规定操作机械设备，在挡板、支架拆卸过程中，应遵守作业规定，减少碰撞噪音； </w:t>
            </w:r>
          </w:p>
          <w:p w14:paraId="0B8721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⑥建立临时声障：对位置相对固定的机械设备，能在棚内操作的尽量置于操作间内，不能入棚的，可适当建立单面声障。 </w:t>
            </w:r>
          </w:p>
          <w:p w14:paraId="1C70F5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⑦对长期工作在强噪声工作岗位的施工人员，上岗时须配戴耳塞等防护工具，并实行定时轮换制度。 </w:t>
            </w:r>
          </w:p>
          <w:p w14:paraId="6E18C0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⑧应做好与居民的协调工作。施工期对周围环境带来多种不便，尤其受施工噪声的影响，抱怨较多，若处理不当，将影响社会安定。因此，业主应加强与居民的联系，及时通报施工进度，减少人为噪声污染。 </w:t>
            </w:r>
          </w:p>
          <w:p w14:paraId="649046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施工单位应加强对噪声源的管理，严格按照国家《建筑施工场界环境噪声排放标准》（GB12523-2011）中的规定要求控制施工噪声。</w:t>
            </w:r>
          </w:p>
          <w:p w14:paraId="447F4B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采取噪声防治措施后噪声源强降低10 dB(A)，噪声预测值的噪声预测值如表7-5所示：</w:t>
            </w:r>
          </w:p>
          <w:p w14:paraId="6E8655E7">
            <w:pPr>
              <w:pStyle w:val="27"/>
              <w:jc w:val="center"/>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表7-5 采取噪声防治措施后的噪声预测值    单位： dB(A)</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674"/>
              <w:gridCol w:w="992"/>
              <w:gridCol w:w="739"/>
              <w:gridCol w:w="792"/>
              <w:gridCol w:w="774"/>
              <w:gridCol w:w="921"/>
              <w:gridCol w:w="792"/>
              <w:gridCol w:w="1008"/>
              <w:gridCol w:w="937"/>
              <w:gridCol w:w="986"/>
            </w:tblGrid>
            <w:tr w14:paraId="00530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pct"/>
                  <w:noWrap w:val="0"/>
                  <w:vAlign w:val="center"/>
                </w:tcPr>
                <w:p w14:paraId="0EBD6945">
                  <w:pPr>
                    <w:jc w:val="center"/>
                    <w:rPr>
                      <w:rFonts w:hint="eastAsia" w:ascii="宋体" w:hAnsi="宋体" w:eastAsia="宋体" w:cs="宋体"/>
                    </w:rPr>
                  </w:pPr>
                  <w:r>
                    <w:rPr>
                      <w:rFonts w:hint="eastAsia" w:ascii="宋体" w:hAnsi="宋体" w:eastAsia="宋体" w:cs="宋体"/>
                    </w:rPr>
                    <w:t>距离（m）</w:t>
                  </w:r>
                </w:p>
              </w:tc>
              <w:tc>
                <w:tcPr>
                  <w:tcW w:w="330" w:type="pct"/>
                  <w:noWrap w:val="0"/>
                  <w:vAlign w:val="center"/>
                </w:tcPr>
                <w:p w14:paraId="72EEF4C2">
                  <w:pPr>
                    <w:jc w:val="center"/>
                    <w:rPr>
                      <w:rFonts w:hint="eastAsia" w:ascii="宋体" w:hAnsi="宋体" w:eastAsia="宋体" w:cs="宋体"/>
                    </w:rPr>
                  </w:pPr>
                  <w:r>
                    <w:rPr>
                      <w:rFonts w:hint="eastAsia" w:ascii="宋体" w:hAnsi="宋体" w:eastAsia="宋体" w:cs="宋体"/>
                    </w:rPr>
                    <w:t>10</w:t>
                  </w:r>
                </w:p>
              </w:tc>
              <w:tc>
                <w:tcPr>
                  <w:tcW w:w="486" w:type="pct"/>
                  <w:noWrap w:val="0"/>
                  <w:vAlign w:val="center"/>
                </w:tcPr>
                <w:p w14:paraId="572CF60D">
                  <w:pPr>
                    <w:jc w:val="center"/>
                    <w:rPr>
                      <w:rFonts w:hint="eastAsia" w:ascii="宋体" w:hAnsi="宋体" w:eastAsia="宋体" w:cs="宋体"/>
                    </w:rPr>
                  </w:pPr>
                  <w:r>
                    <w:rPr>
                      <w:rFonts w:hint="eastAsia" w:ascii="宋体" w:hAnsi="宋体" w:eastAsia="宋体" w:cs="宋体"/>
                    </w:rPr>
                    <w:t>20</w:t>
                  </w:r>
                </w:p>
              </w:tc>
              <w:tc>
                <w:tcPr>
                  <w:tcW w:w="362" w:type="pct"/>
                  <w:noWrap w:val="0"/>
                  <w:vAlign w:val="center"/>
                </w:tcPr>
                <w:p w14:paraId="65C103CA">
                  <w:pPr>
                    <w:jc w:val="center"/>
                    <w:rPr>
                      <w:rFonts w:hint="eastAsia" w:ascii="宋体" w:hAnsi="宋体" w:eastAsia="宋体" w:cs="宋体"/>
                    </w:rPr>
                  </w:pPr>
                  <w:r>
                    <w:rPr>
                      <w:rFonts w:hint="eastAsia" w:ascii="宋体" w:hAnsi="宋体" w:eastAsia="宋体" w:cs="宋体"/>
                    </w:rPr>
                    <w:t>25</w:t>
                  </w:r>
                </w:p>
              </w:tc>
              <w:tc>
                <w:tcPr>
                  <w:tcW w:w="388" w:type="pct"/>
                  <w:noWrap w:val="0"/>
                  <w:vAlign w:val="center"/>
                </w:tcPr>
                <w:p w14:paraId="716E295C">
                  <w:pPr>
                    <w:jc w:val="center"/>
                    <w:rPr>
                      <w:rFonts w:hint="eastAsia" w:ascii="宋体" w:hAnsi="宋体" w:eastAsia="宋体" w:cs="宋体"/>
                    </w:rPr>
                  </w:pPr>
                  <w:r>
                    <w:rPr>
                      <w:rFonts w:hint="eastAsia" w:ascii="宋体" w:hAnsi="宋体" w:eastAsia="宋体" w:cs="宋体"/>
                    </w:rPr>
                    <w:t>30</w:t>
                  </w:r>
                </w:p>
              </w:tc>
              <w:tc>
                <w:tcPr>
                  <w:tcW w:w="379" w:type="pct"/>
                  <w:noWrap w:val="0"/>
                  <w:vAlign w:val="center"/>
                </w:tcPr>
                <w:p w14:paraId="6804C1A2">
                  <w:pPr>
                    <w:jc w:val="center"/>
                    <w:rPr>
                      <w:rFonts w:hint="eastAsia" w:ascii="宋体" w:hAnsi="宋体" w:eastAsia="宋体" w:cs="宋体"/>
                    </w:rPr>
                  </w:pPr>
                  <w:r>
                    <w:rPr>
                      <w:rFonts w:hint="eastAsia" w:ascii="宋体" w:hAnsi="宋体" w:eastAsia="宋体" w:cs="宋体"/>
                    </w:rPr>
                    <w:t>50</w:t>
                  </w:r>
                </w:p>
              </w:tc>
              <w:tc>
                <w:tcPr>
                  <w:tcW w:w="451" w:type="pct"/>
                  <w:noWrap w:val="0"/>
                  <w:vAlign w:val="center"/>
                </w:tcPr>
                <w:p w14:paraId="10F60B38">
                  <w:pPr>
                    <w:jc w:val="center"/>
                    <w:rPr>
                      <w:rFonts w:hint="eastAsia" w:ascii="宋体" w:hAnsi="宋体" w:eastAsia="宋体" w:cs="宋体"/>
                    </w:rPr>
                  </w:pPr>
                  <w:r>
                    <w:rPr>
                      <w:rFonts w:hint="eastAsia" w:ascii="宋体" w:hAnsi="宋体" w:eastAsia="宋体" w:cs="宋体"/>
                    </w:rPr>
                    <w:t>70</w:t>
                  </w:r>
                </w:p>
              </w:tc>
              <w:tc>
                <w:tcPr>
                  <w:tcW w:w="388" w:type="pct"/>
                  <w:noWrap w:val="0"/>
                  <w:vAlign w:val="center"/>
                </w:tcPr>
                <w:p w14:paraId="15AF4B27">
                  <w:pPr>
                    <w:jc w:val="center"/>
                    <w:rPr>
                      <w:rFonts w:hint="eastAsia" w:ascii="宋体" w:hAnsi="宋体" w:eastAsia="宋体" w:cs="宋体"/>
                    </w:rPr>
                  </w:pPr>
                  <w:r>
                    <w:rPr>
                      <w:rFonts w:hint="eastAsia" w:ascii="宋体" w:hAnsi="宋体" w:eastAsia="宋体" w:cs="宋体"/>
                    </w:rPr>
                    <w:t>100</w:t>
                  </w:r>
                </w:p>
              </w:tc>
              <w:tc>
                <w:tcPr>
                  <w:tcW w:w="494" w:type="pct"/>
                  <w:noWrap w:val="0"/>
                  <w:vAlign w:val="center"/>
                </w:tcPr>
                <w:p w14:paraId="037D1C75">
                  <w:pPr>
                    <w:jc w:val="center"/>
                    <w:rPr>
                      <w:rFonts w:hint="eastAsia" w:ascii="宋体" w:hAnsi="宋体" w:eastAsia="宋体" w:cs="宋体"/>
                    </w:rPr>
                  </w:pPr>
                  <w:r>
                    <w:rPr>
                      <w:rFonts w:hint="eastAsia" w:ascii="宋体" w:hAnsi="宋体" w:eastAsia="宋体" w:cs="宋体"/>
                    </w:rPr>
                    <w:t>200</w:t>
                  </w:r>
                </w:p>
              </w:tc>
              <w:tc>
                <w:tcPr>
                  <w:tcW w:w="459" w:type="pct"/>
                  <w:noWrap w:val="0"/>
                  <w:vAlign w:val="center"/>
                </w:tcPr>
                <w:p w14:paraId="7B00F144">
                  <w:pPr>
                    <w:jc w:val="center"/>
                    <w:rPr>
                      <w:rFonts w:hint="eastAsia" w:ascii="宋体" w:hAnsi="宋体" w:eastAsia="宋体" w:cs="宋体"/>
                    </w:rPr>
                  </w:pPr>
                  <w:r>
                    <w:rPr>
                      <w:rFonts w:hint="eastAsia" w:ascii="宋体" w:hAnsi="宋体" w:eastAsia="宋体" w:cs="宋体"/>
                    </w:rPr>
                    <w:t>300</w:t>
                  </w:r>
                </w:p>
              </w:tc>
              <w:tc>
                <w:tcPr>
                  <w:tcW w:w="483" w:type="pct"/>
                  <w:noWrap w:val="0"/>
                  <w:vAlign w:val="center"/>
                </w:tcPr>
                <w:p w14:paraId="6C8DEB4D">
                  <w:pPr>
                    <w:jc w:val="center"/>
                    <w:rPr>
                      <w:rFonts w:hint="eastAsia" w:ascii="宋体" w:hAnsi="宋体" w:eastAsia="宋体" w:cs="宋体"/>
                    </w:rPr>
                  </w:pPr>
                  <w:r>
                    <w:rPr>
                      <w:rFonts w:hint="eastAsia" w:ascii="宋体" w:hAnsi="宋体" w:eastAsia="宋体" w:cs="宋体"/>
                    </w:rPr>
                    <w:t>360</w:t>
                  </w:r>
                </w:p>
              </w:tc>
            </w:tr>
            <w:tr w14:paraId="25AAB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pct"/>
                  <w:noWrap w:val="0"/>
                  <w:vAlign w:val="center"/>
                </w:tcPr>
                <w:p w14:paraId="3AAADF34">
                  <w:pPr>
                    <w:jc w:val="center"/>
                    <w:rPr>
                      <w:rFonts w:hint="eastAsia" w:ascii="宋体" w:hAnsi="宋体" w:eastAsia="宋体" w:cs="宋体"/>
                    </w:rPr>
                  </w:pPr>
                  <w:r>
                    <w:rPr>
                      <w:rFonts w:hint="eastAsia" w:ascii="宋体" w:hAnsi="宋体" w:eastAsia="宋体" w:cs="宋体"/>
                    </w:rPr>
                    <w:t>噪声预测值</w:t>
                  </w:r>
                </w:p>
              </w:tc>
              <w:tc>
                <w:tcPr>
                  <w:tcW w:w="330" w:type="pct"/>
                  <w:noWrap w:val="0"/>
                  <w:vAlign w:val="center"/>
                </w:tcPr>
                <w:p w14:paraId="11E7E421">
                  <w:pPr>
                    <w:jc w:val="center"/>
                    <w:rPr>
                      <w:rFonts w:hint="eastAsia" w:ascii="宋体" w:hAnsi="宋体" w:eastAsia="宋体" w:cs="宋体"/>
                    </w:rPr>
                  </w:pPr>
                  <w:r>
                    <w:rPr>
                      <w:rFonts w:hint="eastAsia" w:ascii="宋体" w:hAnsi="宋体" w:eastAsia="宋体" w:cs="宋体"/>
                    </w:rPr>
                    <w:t>72.3</w:t>
                  </w:r>
                </w:p>
              </w:tc>
              <w:tc>
                <w:tcPr>
                  <w:tcW w:w="486" w:type="pct"/>
                  <w:noWrap w:val="0"/>
                  <w:vAlign w:val="center"/>
                </w:tcPr>
                <w:p w14:paraId="252F99FD">
                  <w:pPr>
                    <w:jc w:val="center"/>
                    <w:rPr>
                      <w:rFonts w:hint="eastAsia" w:ascii="宋体" w:hAnsi="宋体" w:eastAsia="宋体" w:cs="宋体"/>
                    </w:rPr>
                  </w:pPr>
                  <w:r>
                    <w:rPr>
                      <w:rFonts w:hint="eastAsia" w:ascii="宋体" w:hAnsi="宋体" w:eastAsia="宋体" w:cs="宋体"/>
                    </w:rPr>
                    <w:t>68.2</w:t>
                  </w:r>
                </w:p>
              </w:tc>
              <w:tc>
                <w:tcPr>
                  <w:tcW w:w="362" w:type="pct"/>
                  <w:noWrap w:val="0"/>
                  <w:vAlign w:val="center"/>
                </w:tcPr>
                <w:p w14:paraId="696F2E15">
                  <w:pPr>
                    <w:jc w:val="center"/>
                    <w:rPr>
                      <w:rFonts w:hint="eastAsia" w:ascii="宋体" w:hAnsi="宋体" w:eastAsia="宋体" w:cs="宋体"/>
                    </w:rPr>
                  </w:pPr>
                  <w:r>
                    <w:rPr>
                      <w:rFonts w:hint="eastAsia" w:ascii="宋体" w:hAnsi="宋体" w:eastAsia="宋体" w:cs="宋体"/>
                    </w:rPr>
                    <w:t>66.3</w:t>
                  </w:r>
                </w:p>
              </w:tc>
              <w:tc>
                <w:tcPr>
                  <w:tcW w:w="388" w:type="pct"/>
                  <w:noWrap w:val="0"/>
                  <w:vAlign w:val="center"/>
                </w:tcPr>
                <w:p w14:paraId="2B587390">
                  <w:pPr>
                    <w:jc w:val="center"/>
                    <w:rPr>
                      <w:rFonts w:hint="eastAsia" w:ascii="宋体" w:hAnsi="宋体" w:eastAsia="宋体" w:cs="宋体"/>
                    </w:rPr>
                  </w:pPr>
                  <w:r>
                    <w:rPr>
                      <w:rFonts w:hint="eastAsia" w:ascii="宋体" w:hAnsi="宋体" w:eastAsia="宋体" w:cs="宋体"/>
                    </w:rPr>
                    <w:t>64.7</w:t>
                  </w:r>
                </w:p>
              </w:tc>
              <w:tc>
                <w:tcPr>
                  <w:tcW w:w="379" w:type="pct"/>
                  <w:noWrap w:val="0"/>
                  <w:vAlign w:val="center"/>
                </w:tcPr>
                <w:p w14:paraId="77DFDA03">
                  <w:pPr>
                    <w:jc w:val="center"/>
                    <w:rPr>
                      <w:rFonts w:hint="eastAsia" w:ascii="宋体" w:hAnsi="宋体" w:eastAsia="宋体" w:cs="宋体"/>
                    </w:rPr>
                  </w:pPr>
                  <w:r>
                    <w:rPr>
                      <w:rFonts w:hint="eastAsia" w:ascii="宋体" w:hAnsi="宋体" w:eastAsia="宋体" w:cs="宋体"/>
                    </w:rPr>
                    <w:t>60.3</w:t>
                  </w:r>
                </w:p>
              </w:tc>
              <w:tc>
                <w:tcPr>
                  <w:tcW w:w="451" w:type="pct"/>
                  <w:noWrap w:val="0"/>
                  <w:vAlign w:val="center"/>
                </w:tcPr>
                <w:p w14:paraId="30655CC3">
                  <w:pPr>
                    <w:jc w:val="center"/>
                    <w:rPr>
                      <w:rFonts w:hint="eastAsia" w:ascii="宋体" w:hAnsi="宋体" w:eastAsia="宋体" w:cs="宋体"/>
                    </w:rPr>
                  </w:pPr>
                  <w:r>
                    <w:rPr>
                      <w:rFonts w:hint="eastAsia" w:ascii="宋体" w:hAnsi="宋体" w:eastAsia="宋体" w:cs="宋体"/>
                    </w:rPr>
                    <w:t>57.3</w:t>
                  </w:r>
                </w:p>
              </w:tc>
              <w:tc>
                <w:tcPr>
                  <w:tcW w:w="388" w:type="pct"/>
                  <w:noWrap w:val="0"/>
                  <w:vAlign w:val="center"/>
                </w:tcPr>
                <w:p w14:paraId="540DD44D">
                  <w:pPr>
                    <w:jc w:val="center"/>
                    <w:rPr>
                      <w:rFonts w:hint="eastAsia" w:ascii="宋体" w:hAnsi="宋体" w:eastAsia="宋体" w:cs="宋体"/>
                    </w:rPr>
                  </w:pPr>
                  <w:r>
                    <w:rPr>
                      <w:rFonts w:hint="eastAsia" w:ascii="宋体" w:hAnsi="宋体" w:eastAsia="宋体" w:cs="宋体"/>
                    </w:rPr>
                    <w:t>54.3</w:t>
                  </w:r>
                </w:p>
              </w:tc>
              <w:tc>
                <w:tcPr>
                  <w:tcW w:w="494" w:type="pct"/>
                  <w:noWrap w:val="0"/>
                  <w:vAlign w:val="center"/>
                </w:tcPr>
                <w:p w14:paraId="1308E89B">
                  <w:pPr>
                    <w:jc w:val="center"/>
                    <w:rPr>
                      <w:rFonts w:hint="eastAsia" w:ascii="宋体" w:hAnsi="宋体" w:eastAsia="宋体" w:cs="宋体"/>
                    </w:rPr>
                  </w:pPr>
                  <w:r>
                    <w:rPr>
                      <w:rFonts w:hint="eastAsia" w:ascii="宋体" w:hAnsi="宋体" w:eastAsia="宋体" w:cs="宋体"/>
                    </w:rPr>
                    <w:t>48.2</w:t>
                  </w:r>
                </w:p>
              </w:tc>
              <w:tc>
                <w:tcPr>
                  <w:tcW w:w="459" w:type="pct"/>
                  <w:noWrap w:val="0"/>
                  <w:vAlign w:val="center"/>
                </w:tcPr>
                <w:p w14:paraId="2ACCE465">
                  <w:pPr>
                    <w:jc w:val="center"/>
                    <w:rPr>
                      <w:rFonts w:hint="eastAsia" w:ascii="宋体" w:hAnsi="宋体" w:eastAsia="宋体" w:cs="宋体"/>
                    </w:rPr>
                  </w:pPr>
                  <w:r>
                    <w:rPr>
                      <w:rFonts w:hint="eastAsia" w:ascii="宋体" w:hAnsi="宋体" w:eastAsia="宋体" w:cs="宋体"/>
                    </w:rPr>
                    <w:t>44.7</w:t>
                  </w:r>
                </w:p>
              </w:tc>
              <w:tc>
                <w:tcPr>
                  <w:tcW w:w="483" w:type="pct"/>
                  <w:noWrap w:val="0"/>
                  <w:vAlign w:val="center"/>
                </w:tcPr>
                <w:p w14:paraId="0A00B60F">
                  <w:pPr>
                    <w:jc w:val="center"/>
                    <w:rPr>
                      <w:rFonts w:hint="eastAsia" w:ascii="宋体" w:hAnsi="宋体" w:eastAsia="宋体" w:cs="宋体"/>
                    </w:rPr>
                  </w:pPr>
                  <w:r>
                    <w:rPr>
                      <w:rFonts w:hint="eastAsia" w:ascii="宋体" w:hAnsi="宋体" w:eastAsia="宋体" w:cs="宋体"/>
                    </w:rPr>
                    <w:t>43.1</w:t>
                  </w:r>
                </w:p>
              </w:tc>
            </w:tr>
          </w:tbl>
          <w:p w14:paraId="146BED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由表7-</w:t>
            </w:r>
            <w:r>
              <w:rPr>
                <w:rFonts w:hint="eastAsia" w:ascii="宋体" w:hAnsi="宋体" w:eastAsia="宋体" w:cs="宋体"/>
                <w:sz w:val="24"/>
                <w:szCs w:val="24"/>
                <w:lang w:val="en-US" w:eastAsia="zh-CN"/>
              </w:rPr>
              <w:t>5</w:t>
            </w:r>
            <w:r>
              <w:rPr>
                <w:rFonts w:hint="eastAsia" w:ascii="宋体" w:hAnsi="宋体" w:eastAsia="宋体" w:cs="宋体"/>
                <w:sz w:val="24"/>
                <w:szCs w:val="24"/>
              </w:rPr>
              <w:t>可知，通过将高噪声设备布置在场地中央，使其远离敏感点，对噪声进行严格管理等噪声防治措施后，距离项目噪声源17m处的噪声可降低到70dB(A)，满足《建筑施工场界环境噪声排放标准》（GB12523-2011）中标准昼间≤70dB(A)的规定，且夜间和午间不施工，对周围声环境影响较小。</w:t>
            </w:r>
          </w:p>
          <w:p w14:paraId="302CB7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4、固体废弃物</w:t>
            </w:r>
          </w:p>
          <w:p w14:paraId="16F450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项目施工期间产生的固体废弃物主要为建设过程中产生的，包括施工土石方、建筑垃圾以及施工人员生活垃圾。</w:t>
            </w:r>
          </w:p>
          <w:p w14:paraId="5E1E2F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土石方：本项目</w:t>
            </w:r>
            <w:r>
              <w:rPr>
                <w:rFonts w:hint="eastAsia" w:ascii="宋体" w:hAnsi="宋体" w:eastAsia="宋体" w:cs="宋体"/>
                <w:sz w:val="24"/>
                <w:szCs w:val="24"/>
                <w:lang w:val="en-US" w:eastAsia="zh-CN"/>
              </w:rPr>
              <w:t>地面已全部硬化，搭建厂房产生少量土石方，</w:t>
            </w:r>
            <w:r>
              <w:rPr>
                <w:rFonts w:hint="eastAsia" w:ascii="宋体" w:hAnsi="宋体" w:eastAsia="宋体" w:cs="宋体"/>
                <w:sz w:val="24"/>
                <w:szCs w:val="24"/>
              </w:rPr>
              <w:t>工程土石方开挖量与填方量平衡，无剩余土石方，土石方基本达到平衡。</w:t>
            </w:r>
          </w:p>
          <w:p w14:paraId="29EAC6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建筑垃圾：建筑垃圾分类收集，可回收部分收集后外售废品收购站，不可回收部分外运至场镇指定建筑垃圾暂存点。</w:t>
            </w:r>
          </w:p>
          <w:p w14:paraId="6A0706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生活垃圾：生活垃圾经收集后交由环卫部门统一处置。</w:t>
            </w:r>
          </w:p>
          <w:p w14:paraId="204A8D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综上所述，项目施工期在严格落实本环评提出的上述措施后，其施工期的固体废弃物可实现清洁处理和处置，不致造成二次污染。</w:t>
            </w:r>
          </w:p>
          <w:p w14:paraId="4A552420">
            <w:pPr>
              <w:pStyle w:val="45"/>
              <w:rPr>
                <w:rFonts w:hint="eastAsia" w:ascii="宋体" w:hAnsi="宋体" w:eastAsia="宋体" w:cs="宋体"/>
              </w:rPr>
            </w:pPr>
            <w:r>
              <w:rPr>
                <w:rFonts w:hint="eastAsia" w:ascii="宋体" w:hAnsi="宋体" w:eastAsia="宋体" w:cs="宋体"/>
                <w:bCs w:val="0"/>
              </w:rPr>
              <w:t>总体而言，项目施工期环境影响是暂时的，只要施工单位文明施工，并采取适当治理措施，使污染物对环境的影响降到最低限度，则施工期对生态环境的影响较小</w:t>
            </w:r>
            <w:r>
              <w:rPr>
                <w:rFonts w:hint="eastAsia" w:ascii="宋体" w:hAnsi="宋体" w:eastAsia="宋体" w:cs="宋体"/>
              </w:rPr>
              <w:t>。</w:t>
            </w:r>
          </w:p>
          <w:p w14:paraId="170EF0E5">
            <w:pPr>
              <w:spacing w:line="360" w:lineRule="auto"/>
              <w:outlineLvl w:val="0"/>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rPr>
              <w:t>二、营运期环境影响分析</w:t>
            </w:r>
          </w:p>
          <w:p w14:paraId="48F279AA">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（一）大气环境影响分析</w:t>
            </w:r>
          </w:p>
          <w:p w14:paraId="76B8470D">
            <w:pPr>
              <w:spacing w:line="360" w:lineRule="auto"/>
              <w:ind w:firstLine="480" w:firstLineChars="200"/>
              <w:rPr>
                <w:rFonts w:hint="eastAsia"/>
              </w:rPr>
            </w:pPr>
            <w:r>
              <w:rPr>
                <w:rFonts w:hint="eastAsia"/>
                <w:color w:val="auto"/>
                <w:sz w:val="24"/>
                <w:szCs w:val="20"/>
              </w:rPr>
              <w:t>根据工程分析，本项目运营期间废</w:t>
            </w:r>
            <w:r>
              <w:rPr>
                <w:rFonts w:hint="eastAsia" w:ascii="Times New Roman" w:hAnsi="Times New Roman" w:cs="Times New Roman"/>
                <w:color w:val="auto"/>
                <w:sz w:val="24"/>
                <w:szCs w:val="20"/>
              </w:rPr>
              <w:t>气主要为</w:t>
            </w:r>
            <w:r>
              <w:rPr>
                <w:rFonts w:hint="eastAsia" w:ascii="Times New Roman" w:hAnsi="Times New Roman" w:cs="Times New Roman"/>
                <w:color w:val="auto"/>
                <w:sz w:val="24"/>
                <w:szCs w:val="20"/>
                <w:lang w:val="en-US" w:eastAsia="zh-CN"/>
              </w:rPr>
              <w:t>搅拌机产生的粉尘、水泥筒仓装卸粉尘、砂石原料</w:t>
            </w:r>
            <w:r>
              <w:rPr>
                <w:rFonts w:hint="default" w:ascii="Times New Roman" w:hAnsi="Times New Roman" w:cs="Times New Roman"/>
                <w:color w:val="auto"/>
                <w:sz w:val="24"/>
                <w:szCs w:val="20"/>
                <w:lang w:val="en-US" w:eastAsia="zh-CN"/>
              </w:rPr>
              <w:t>库房</w:t>
            </w:r>
            <w:r>
              <w:rPr>
                <w:rFonts w:hint="eastAsia" w:ascii="Times New Roman" w:hAnsi="Times New Roman" w:cs="Times New Roman"/>
                <w:color w:val="auto"/>
                <w:sz w:val="24"/>
                <w:szCs w:val="20"/>
                <w:lang w:val="en-US" w:eastAsia="zh-CN"/>
              </w:rPr>
              <w:t>粉尘、物料输送</w:t>
            </w:r>
            <w:r>
              <w:rPr>
                <w:rFonts w:hint="default" w:ascii="Times New Roman" w:hAnsi="Times New Roman" w:cs="Times New Roman"/>
                <w:color w:val="auto"/>
                <w:sz w:val="24"/>
                <w:szCs w:val="20"/>
                <w:lang w:val="en-US" w:eastAsia="zh-CN"/>
              </w:rPr>
              <w:t>转运环节产生的粉尘</w:t>
            </w:r>
            <w:r>
              <w:rPr>
                <w:rFonts w:hint="eastAsia" w:ascii="Times New Roman" w:hAnsi="Times New Roman" w:cs="Times New Roman"/>
                <w:color w:val="auto"/>
                <w:sz w:val="24"/>
                <w:szCs w:val="20"/>
                <w:lang w:val="en-US" w:eastAsia="zh-CN"/>
              </w:rPr>
              <w:t>、运输扬尘</w:t>
            </w:r>
            <w:r>
              <w:rPr>
                <w:rFonts w:hint="eastAsia" w:cs="Times New Roman"/>
                <w:color w:val="auto"/>
                <w:sz w:val="24"/>
                <w:szCs w:val="20"/>
                <w:lang w:val="en-US" w:eastAsia="zh-CN"/>
              </w:rPr>
              <w:t>和焊接烟尘</w:t>
            </w:r>
            <w:r>
              <w:rPr>
                <w:rFonts w:hint="eastAsia" w:ascii="Times New Roman" w:hAnsi="Times New Roman" w:cs="Times New Roman"/>
                <w:color w:val="auto"/>
                <w:sz w:val="24"/>
                <w:szCs w:val="20"/>
              </w:rPr>
              <w:t>。</w:t>
            </w:r>
            <w:r>
              <w:rPr>
                <w:rFonts w:hint="eastAsia" w:ascii="Times New Roman" w:hAnsi="Times New Roman" w:cs="Times New Roman"/>
                <w:color w:val="auto"/>
                <w:sz w:val="24"/>
                <w:szCs w:val="20"/>
                <w:lang w:val="en-US" w:eastAsia="zh-CN"/>
              </w:rPr>
              <w:t>除搅拌机产生的粉尘、水泥筒仓装卸粉尘和</w:t>
            </w:r>
            <w:r>
              <w:rPr>
                <w:rFonts w:hint="eastAsia" w:cs="Times New Roman"/>
                <w:color w:val="auto"/>
                <w:sz w:val="24"/>
                <w:szCs w:val="20"/>
                <w:lang w:val="en-US" w:eastAsia="zh-CN"/>
              </w:rPr>
              <w:t>焊接烟尘</w:t>
            </w:r>
            <w:r>
              <w:rPr>
                <w:rFonts w:hint="eastAsia" w:ascii="Times New Roman" w:hAnsi="Times New Roman" w:cs="Times New Roman"/>
                <w:color w:val="auto"/>
                <w:sz w:val="24"/>
                <w:szCs w:val="20"/>
                <w:lang w:val="en-US" w:eastAsia="zh-CN"/>
              </w:rPr>
              <w:t>，其他都</w:t>
            </w:r>
            <w:r>
              <w:rPr>
                <w:rFonts w:hint="eastAsia" w:ascii="Times New Roman" w:hAnsi="Times New Roman" w:cs="Times New Roman"/>
                <w:color w:val="auto"/>
                <w:sz w:val="24"/>
                <w:szCs w:val="20"/>
              </w:rPr>
              <w:t>属于面源</w:t>
            </w:r>
            <w:r>
              <w:rPr>
                <w:rFonts w:hint="eastAsia" w:ascii="Times New Roman" w:hAnsi="Times New Roman" w:cs="Times New Roman"/>
                <w:color w:val="auto"/>
                <w:sz w:val="24"/>
                <w:szCs w:val="20"/>
                <w:lang w:val="en-US" w:eastAsia="zh-CN"/>
              </w:rPr>
              <w:t>污染源</w:t>
            </w:r>
            <w:r>
              <w:rPr>
                <w:rFonts w:hint="eastAsia" w:ascii="Times New Roman" w:hAnsi="Times New Roman" w:cs="Times New Roman"/>
                <w:color w:val="auto"/>
                <w:sz w:val="24"/>
                <w:szCs w:val="20"/>
              </w:rPr>
              <w:t>，</w:t>
            </w:r>
            <w:r>
              <w:rPr>
                <w:rFonts w:hint="eastAsia" w:ascii="Times New Roman" w:hAnsi="Times New Roman" w:cs="Times New Roman"/>
                <w:color w:val="auto"/>
                <w:sz w:val="24"/>
                <w:szCs w:val="20"/>
                <w:lang w:val="en-US" w:eastAsia="zh-CN"/>
              </w:rPr>
              <w:t>本次预测对运输扬尘不做定量分析。</w:t>
            </w:r>
            <w:r>
              <w:rPr>
                <w:rFonts w:hint="eastAsia" w:ascii="Times New Roman" w:hAnsi="Times New Roman" w:cs="Times New Roman"/>
                <w:color w:val="auto"/>
                <w:sz w:val="24"/>
                <w:szCs w:val="20"/>
              </w:rPr>
              <w:t>以下</w:t>
            </w:r>
            <w:r>
              <w:rPr>
                <w:rFonts w:hint="eastAsia" w:ascii="Times New Roman" w:hAnsi="Times New Roman" w:cs="Times New Roman"/>
                <w:color w:val="auto"/>
                <w:sz w:val="24"/>
                <w:szCs w:val="20"/>
                <w:lang w:val="en-US" w:eastAsia="zh-CN"/>
              </w:rPr>
              <w:t>对</w:t>
            </w:r>
            <w:r>
              <w:rPr>
                <w:rFonts w:hint="eastAsia" w:cs="Times New Roman"/>
                <w:color w:val="auto"/>
                <w:sz w:val="24"/>
                <w:szCs w:val="20"/>
                <w:lang w:val="en-US" w:eastAsia="zh-CN"/>
              </w:rPr>
              <w:t>本项目有组织点源和</w:t>
            </w:r>
            <w:r>
              <w:rPr>
                <w:rFonts w:hint="eastAsia" w:ascii="Times New Roman" w:hAnsi="Times New Roman" w:cs="Times New Roman"/>
                <w:color w:val="auto"/>
                <w:sz w:val="24"/>
                <w:szCs w:val="20"/>
              </w:rPr>
              <w:t>无组</w:t>
            </w:r>
            <w:r>
              <w:rPr>
                <w:rFonts w:hint="eastAsia"/>
                <w:color w:val="auto"/>
                <w:sz w:val="24"/>
                <w:szCs w:val="20"/>
              </w:rPr>
              <w:t>织面源进行影响分析。</w:t>
            </w:r>
          </w:p>
          <w:p w14:paraId="7C7508BD">
            <w:pPr>
              <w:spacing w:line="360" w:lineRule="auto"/>
              <w:ind w:firstLine="482" w:firstLineChars="200"/>
              <w:rPr>
                <w:rFonts w:hint="default" w:ascii="宋体" w:hAnsi="宋体" w:eastAsia="宋体" w:cs="宋体"/>
                <w:b/>
                <w:sz w:val="24"/>
                <w:szCs w:val="24"/>
                <w:lang w:val="en-US" w:eastAsia="zh-CN"/>
              </w:rPr>
            </w:pPr>
            <w:r>
              <w:rPr>
                <w:rFonts w:hint="eastAsia" w:ascii="宋体" w:hAnsi="宋体" w:eastAsia="宋体" w:cs="宋体"/>
                <w:b/>
                <w:sz w:val="24"/>
                <w:szCs w:val="24"/>
              </w:rPr>
              <w:t>1、</w:t>
            </w:r>
            <w:r>
              <w:rPr>
                <w:rFonts w:hint="eastAsia" w:ascii="宋体" w:hAnsi="宋体" w:eastAsia="宋体" w:cs="宋体"/>
                <w:b/>
                <w:sz w:val="24"/>
                <w:szCs w:val="24"/>
                <w:lang w:val="en-US" w:eastAsia="zh-CN"/>
              </w:rPr>
              <w:t>污染源情况</w:t>
            </w:r>
          </w:p>
          <w:p w14:paraId="2F79849E">
            <w:pPr>
              <w:spacing w:line="360" w:lineRule="auto"/>
              <w:ind w:firstLine="480" w:firstLineChars="200"/>
              <w:rPr>
                <w:color w:val="auto"/>
                <w:sz w:val="24"/>
              </w:rPr>
            </w:pPr>
            <w:r>
              <w:rPr>
                <w:color w:val="auto"/>
                <w:sz w:val="24"/>
              </w:rPr>
              <w:t>本次评价对</w:t>
            </w:r>
            <w:r>
              <w:rPr>
                <w:rFonts w:hint="eastAsia"/>
                <w:color w:val="auto"/>
                <w:sz w:val="24"/>
                <w:lang w:val="en-US" w:eastAsia="zh-CN"/>
              </w:rPr>
              <w:t>有机废气</w:t>
            </w:r>
            <w:r>
              <w:rPr>
                <w:color w:val="auto"/>
                <w:sz w:val="24"/>
              </w:rPr>
              <w:t xml:space="preserve">排气筒采用 </w:t>
            </w:r>
            <w:r>
              <w:rPr>
                <w:rFonts w:eastAsia="Times New Roman"/>
                <w:color w:val="auto"/>
                <w:sz w:val="24"/>
              </w:rPr>
              <w:t xml:space="preserve">AERSCREEN </w:t>
            </w:r>
            <w:r>
              <w:rPr>
                <w:color w:val="auto"/>
                <w:sz w:val="24"/>
              </w:rPr>
              <w:t>估算模式进行估算，本项目正常工况下污染源情况如下表所示：</w:t>
            </w:r>
          </w:p>
          <w:p w14:paraId="7B6BA581">
            <w:pPr>
              <w:pStyle w:val="27"/>
              <w:jc w:val="center"/>
              <w:rPr>
                <w:rFonts w:hint="default" w:ascii="Times New Roman" w:eastAsia="黑体"/>
                <w:snapToGrid w:val="0"/>
                <w:color w:val="auto"/>
                <w:sz w:val="21"/>
                <w:szCs w:val="21"/>
                <w:lang w:val="fr-FR"/>
              </w:rPr>
            </w:pPr>
            <w:r>
              <w:rPr>
                <w:rFonts w:hint="eastAsia" w:ascii="Times New Roman" w:eastAsia="黑体"/>
                <w:snapToGrid w:val="0"/>
                <w:color w:val="auto"/>
                <w:sz w:val="21"/>
                <w:szCs w:val="21"/>
                <w:lang w:val="en-US" w:eastAsia="zh-CN"/>
              </w:rPr>
              <w:t xml:space="preserve">表7-6   </w:t>
            </w:r>
            <w:r>
              <w:rPr>
                <w:rFonts w:ascii="Times New Roman" w:eastAsia="黑体"/>
                <w:snapToGrid w:val="0"/>
                <w:color w:val="auto"/>
                <w:sz w:val="21"/>
                <w:szCs w:val="21"/>
                <w:lang w:val="fr-FR"/>
              </w:rPr>
              <w:t>项目正常工况下项目</w:t>
            </w:r>
            <w:r>
              <w:rPr>
                <w:rFonts w:hint="eastAsia" w:ascii="Times New Roman" w:eastAsia="黑体"/>
                <w:snapToGrid w:val="0"/>
                <w:color w:val="auto"/>
                <w:sz w:val="21"/>
                <w:szCs w:val="21"/>
                <w:lang w:val="en-US" w:eastAsia="zh-CN"/>
              </w:rPr>
              <w:t>无</w:t>
            </w:r>
            <w:r>
              <w:rPr>
                <w:rFonts w:ascii="Times New Roman" w:eastAsia="黑体"/>
                <w:snapToGrid w:val="0"/>
                <w:color w:val="auto"/>
                <w:sz w:val="21"/>
                <w:szCs w:val="21"/>
                <w:lang w:val="fr-FR"/>
              </w:rPr>
              <w:t>组织污染源参数</w:t>
            </w:r>
          </w:p>
          <w:tbl>
            <w:tblPr>
              <w:tblStyle w:val="22"/>
              <w:tblW w:w="4997" w:type="pct"/>
              <w:tblInd w:w="0"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2185"/>
              <w:gridCol w:w="665"/>
              <w:gridCol w:w="800"/>
              <w:gridCol w:w="755"/>
              <w:gridCol w:w="865"/>
              <w:gridCol w:w="1292"/>
              <w:gridCol w:w="1818"/>
              <w:gridCol w:w="1818"/>
            </w:tblGrid>
            <w:tr w14:paraId="302C8E3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65" w:hRule="atLeast"/>
              </w:trPr>
              <w:tc>
                <w:tcPr>
                  <w:tcW w:w="1071" w:type="pct"/>
                  <w:vMerge w:val="restart"/>
                  <w:tcBorders>
                    <w:top w:val="single" w:color="auto" w:sz="12" w:space="0"/>
                    <w:left w:val="nil"/>
                    <w:bottom w:val="single" w:color="auto" w:sz="6" w:space="0"/>
                    <w:right w:val="single" w:color="auto" w:sz="6" w:space="0"/>
                  </w:tcBorders>
                  <w:shd w:val="clear" w:color="auto" w:fill="auto"/>
                  <w:vAlign w:val="center"/>
                </w:tcPr>
                <w:p w14:paraId="2AD2B926">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无组织位置</w:t>
                  </w:r>
                </w:p>
              </w:tc>
              <w:tc>
                <w:tcPr>
                  <w:tcW w:w="1088" w:type="pct"/>
                  <w:gridSpan w:val="3"/>
                  <w:tcBorders>
                    <w:top w:val="single" w:color="auto" w:sz="12" w:space="0"/>
                    <w:left w:val="single" w:color="auto" w:sz="6" w:space="0"/>
                    <w:bottom w:val="single" w:color="auto" w:sz="6" w:space="0"/>
                    <w:right w:val="single" w:color="auto" w:sz="6" w:space="0"/>
                  </w:tcBorders>
                  <w:shd w:val="clear" w:color="auto" w:fill="auto"/>
                  <w:vAlign w:val="center"/>
                </w:tcPr>
                <w:p w14:paraId="47B54F59">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无组织排放源(m)</w:t>
                  </w:r>
                </w:p>
              </w:tc>
              <w:tc>
                <w:tcPr>
                  <w:tcW w:w="424"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59C1433F">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污染物</w:t>
                  </w:r>
                </w:p>
              </w:tc>
              <w:tc>
                <w:tcPr>
                  <w:tcW w:w="633"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4C739E85">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无组织源强</w:t>
                  </w:r>
                </w:p>
              </w:tc>
              <w:tc>
                <w:tcPr>
                  <w:tcW w:w="891" w:type="pct"/>
                  <w:vMerge w:val="restart"/>
                  <w:tcBorders>
                    <w:top w:val="single" w:color="auto" w:sz="12" w:space="0"/>
                    <w:left w:val="single" w:color="auto" w:sz="6" w:space="0"/>
                    <w:right w:val="nil"/>
                  </w:tcBorders>
                  <w:shd w:val="clear" w:color="auto" w:fill="auto"/>
                  <w:vAlign w:val="center"/>
                </w:tcPr>
                <w:p w14:paraId="3871D1C2">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排放量</w:t>
                  </w:r>
                </w:p>
              </w:tc>
              <w:tc>
                <w:tcPr>
                  <w:tcW w:w="891" w:type="pct"/>
                  <w:tcBorders>
                    <w:top w:val="single" w:color="auto" w:sz="12" w:space="0"/>
                    <w:left w:val="single" w:color="auto" w:sz="6" w:space="0"/>
                    <w:bottom w:val="nil"/>
                    <w:right w:val="nil"/>
                  </w:tcBorders>
                  <w:shd w:val="clear" w:color="auto" w:fill="auto"/>
                  <w:vAlign w:val="center"/>
                </w:tcPr>
                <w:p w14:paraId="44DF021F">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质量标准（μg/m</w:t>
                  </w:r>
                  <w:r>
                    <w:rPr>
                      <w:rFonts w:hint="eastAsia"/>
                      <w:vertAlign w:val="superscript"/>
                      <w:lang w:val="en-US" w:eastAsia="zh-CN"/>
                    </w:rPr>
                    <w:t>3</w:t>
                  </w:r>
                  <w:r>
                    <w:rPr>
                      <w:rFonts w:hint="eastAsia"/>
                      <w:lang w:val="en-US" w:eastAsia="zh-CN"/>
                    </w:rPr>
                    <w:t>）</w:t>
                  </w:r>
                </w:p>
              </w:tc>
            </w:tr>
            <w:tr w14:paraId="6307C08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30" w:hRule="atLeast"/>
              </w:trPr>
              <w:tc>
                <w:tcPr>
                  <w:tcW w:w="1071" w:type="pct"/>
                  <w:vMerge w:val="continue"/>
                  <w:tcBorders>
                    <w:top w:val="single" w:color="auto" w:sz="12" w:space="0"/>
                    <w:left w:val="nil"/>
                    <w:bottom w:val="single" w:color="auto" w:sz="6" w:space="0"/>
                    <w:right w:val="single" w:color="auto" w:sz="6" w:space="0"/>
                  </w:tcBorders>
                  <w:shd w:val="clear" w:color="auto" w:fill="auto"/>
                  <w:vAlign w:val="center"/>
                </w:tcPr>
                <w:p w14:paraId="30D24924">
                  <w:pPr>
                    <w:keepNext w:val="0"/>
                    <w:keepLines w:val="0"/>
                    <w:suppressLineNumbers w:val="0"/>
                    <w:spacing w:before="0" w:beforeAutospacing="0" w:after="0" w:afterAutospacing="0"/>
                    <w:ind w:left="0" w:right="0"/>
                    <w:rPr>
                      <w:rFonts w:hint="default"/>
                    </w:rPr>
                  </w:pPr>
                </w:p>
              </w:tc>
              <w:tc>
                <w:tcPr>
                  <w:tcW w:w="326" w:type="pct"/>
                  <w:tcBorders>
                    <w:top w:val="single" w:color="auto" w:sz="6" w:space="0"/>
                    <w:left w:val="single" w:color="auto" w:sz="6" w:space="0"/>
                    <w:bottom w:val="single" w:color="auto" w:sz="6" w:space="0"/>
                    <w:right w:val="single" w:color="auto" w:sz="6" w:space="0"/>
                  </w:tcBorders>
                  <w:shd w:val="clear" w:color="auto" w:fill="auto"/>
                  <w:vAlign w:val="center"/>
                </w:tcPr>
                <w:p w14:paraId="11CEE2B5">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长</w:t>
                  </w:r>
                </w:p>
              </w:tc>
              <w:tc>
                <w:tcPr>
                  <w:tcW w:w="392" w:type="pct"/>
                  <w:tcBorders>
                    <w:top w:val="single" w:color="auto" w:sz="6" w:space="0"/>
                    <w:left w:val="single" w:color="auto" w:sz="6" w:space="0"/>
                    <w:bottom w:val="single" w:color="auto" w:sz="6" w:space="0"/>
                    <w:right w:val="single" w:color="auto" w:sz="6" w:space="0"/>
                  </w:tcBorders>
                  <w:shd w:val="clear" w:color="auto" w:fill="auto"/>
                  <w:vAlign w:val="center"/>
                </w:tcPr>
                <w:p w14:paraId="03889103">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宽</w:t>
                  </w:r>
                </w:p>
              </w:tc>
              <w:tc>
                <w:tcPr>
                  <w:tcW w:w="368" w:type="pct"/>
                  <w:tcBorders>
                    <w:top w:val="single" w:color="auto" w:sz="6" w:space="0"/>
                    <w:left w:val="single" w:color="auto" w:sz="6" w:space="0"/>
                    <w:bottom w:val="single" w:color="auto" w:sz="6" w:space="0"/>
                    <w:right w:val="single" w:color="auto" w:sz="6" w:space="0"/>
                  </w:tcBorders>
                  <w:shd w:val="clear" w:color="auto" w:fill="auto"/>
                  <w:vAlign w:val="center"/>
                </w:tcPr>
                <w:p w14:paraId="4F6D5A3E">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高</w:t>
                  </w:r>
                </w:p>
              </w:tc>
              <w:tc>
                <w:tcPr>
                  <w:tcW w:w="424"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57C86BCF">
                  <w:pPr>
                    <w:keepNext w:val="0"/>
                    <w:keepLines w:val="0"/>
                    <w:suppressLineNumbers w:val="0"/>
                    <w:spacing w:before="0" w:beforeAutospacing="0" w:after="0" w:afterAutospacing="0"/>
                    <w:ind w:left="0" w:right="0"/>
                    <w:rPr>
                      <w:rFonts w:hint="default"/>
                    </w:rPr>
                  </w:pPr>
                </w:p>
              </w:tc>
              <w:tc>
                <w:tcPr>
                  <w:tcW w:w="633"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5F15C917">
                  <w:pPr>
                    <w:keepNext w:val="0"/>
                    <w:keepLines w:val="0"/>
                    <w:suppressLineNumbers w:val="0"/>
                    <w:spacing w:before="0" w:beforeAutospacing="0" w:after="0" w:afterAutospacing="0"/>
                    <w:ind w:left="0" w:right="0"/>
                    <w:rPr>
                      <w:rFonts w:hint="default"/>
                    </w:rPr>
                  </w:pPr>
                </w:p>
              </w:tc>
              <w:tc>
                <w:tcPr>
                  <w:tcW w:w="891" w:type="pct"/>
                  <w:vMerge w:val="continue"/>
                  <w:tcBorders>
                    <w:left w:val="single" w:color="auto" w:sz="6" w:space="0"/>
                    <w:bottom w:val="single" w:color="auto" w:sz="6" w:space="0"/>
                    <w:right w:val="nil"/>
                  </w:tcBorders>
                  <w:shd w:val="clear" w:color="auto" w:fill="auto"/>
                  <w:vAlign w:val="center"/>
                </w:tcPr>
                <w:p w14:paraId="541EBCEF">
                  <w:pPr>
                    <w:keepNext w:val="0"/>
                    <w:keepLines w:val="0"/>
                    <w:suppressLineNumbers w:val="0"/>
                    <w:spacing w:before="0" w:beforeAutospacing="0" w:after="0" w:afterAutospacing="0"/>
                    <w:ind w:left="0" w:right="0"/>
                    <w:rPr>
                      <w:rFonts w:hint="default"/>
                    </w:rPr>
                  </w:pPr>
                </w:p>
              </w:tc>
              <w:tc>
                <w:tcPr>
                  <w:tcW w:w="891" w:type="pct"/>
                  <w:tcBorders>
                    <w:top w:val="single" w:color="auto" w:sz="6" w:space="0"/>
                    <w:left w:val="single" w:color="auto" w:sz="6" w:space="0"/>
                    <w:bottom w:val="single" w:color="auto" w:sz="6" w:space="0"/>
                    <w:right w:val="nil"/>
                  </w:tcBorders>
                  <w:shd w:val="clear" w:color="auto" w:fill="auto"/>
                  <w:vAlign w:val="center"/>
                </w:tcPr>
                <w:p w14:paraId="5ED1EF0B">
                  <w:pPr>
                    <w:keepNext w:val="0"/>
                    <w:keepLines w:val="0"/>
                    <w:widowControl/>
                    <w:suppressLineNumbers w:val="0"/>
                    <w:spacing w:before="0" w:beforeAutospacing="0" w:after="0" w:afterAutospacing="0"/>
                    <w:ind w:left="0" w:right="0"/>
                    <w:jc w:val="center"/>
                    <w:rPr>
                      <w:rFonts w:hint="eastAsia"/>
                    </w:rPr>
                  </w:pPr>
                  <w:r>
                    <w:rPr>
                      <w:rFonts w:hint="eastAsia"/>
                      <w:lang w:val="en-US" w:eastAsia="zh-CN"/>
                    </w:rPr>
                    <w:t>日均值</w:t>
                  </w:r>
                </w:p>
              </w:tc>
            </w:tr>
            <w:tr w14:paraId="4117587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94" w:hRule="atLeast"/>
              </w:trPr>
              <w:tc>
                <w:tcPr>
                  <w:tcW w:w="1071" w:type="pct"/>
                  <w:tcBorders>
                    <w:top w:val="single" w:color="auto" w:sz="6" w:space="0"/>
                    <w:left w:val="nil"/>
                    <w:bottom w:val="single" w:color="auto" w:sz="12" w:space="0"/>
                    <w:right w:val="single" w:color="auto" w:sz="6" w:space="0"/>
                  </w:tcBorders>
                  <w:shd w:val="clear" w:color="auto" w:fill="auto"/>
                  <w:vAlign w:val="center"/>
                </w:tcPr>
                <w:p w14:paraId="0462EB78">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生产车间</w:t>
                  </w:r>
                </w:p>
              </w:tc>
              <w:tc>
                <w:tcPr>
                  <w:tcW w:w="326" w:type="pct"/>
                  <w:tcBorders>
                    <w:top w:val="single" w:color="auto" w:sz="6" w:space="0"/>
                    <w:left w:val="single" w:color="auto" w:sz="6" w:space="0"/>
                    <w:bottom w:val="single" w:color="auto" w:sz="12" w:space="0"/>
                    <w:right w:val="single" w:color="auto" w:sz="6" w:space="0"/>
                  </w:tcBorders>
                  <w:shd w:val="clear" w:color="auto" w:fill="auto"/>
                  <w:vAlign w:val="center"/>
                </w:tcPr>
                <w:p w14:paraId="23E0E9E8">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36</w:t>
                  </w:r>
                </w:p>
              </w:tc>
              <w:tc>
                <w:tcPr>
                  <w:tcW w:w="392" w:type="pct"/>
                  <w:tcBorders>
                    <w:top w:val="single" w:color="auto" w:sz="6" w:space="0"/>
                    <w:left w:val="single" w:color="auto" w:sz="6" w:space="0"/>
                    <w:bottom w:val="single" w:color="auto" w:sz="12" w:space="0"/>
                    <w:right w:val="single" w:color="auto" w:sz="6" w:space="0"/>
                  </w:tcBorders>
                  <w:shd w:val="clear" w:color="auto" w:fill="auto"/>
                  <w:vAlign w:val="center"/>
                </w:tcPr>
                <w:p w14:paraId="00978A57">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18</w:t>
                  </w:r>
                </w:p>
              </w:tc>
              <w:tc>
                <w:tcPr>
                  <w:tcW w:w="368" w:type="pct"/>
                  <w:tcBorders>
                    <w:left w:val="single" w:color="auto" w:sz="6" w:space="0"/>
                    <w:bottom w:val="single" w:color="auto" w:sz="12" w:space="0"/>
                    <w:right w:val="single" w:color="auto" w:sz="6" w:space="0"/>
                  </w:tcBorders>
                  <w:shd w:val="clear" w:color="auto" w:fill="auto"/>
                  <w:vAlign w:val="center"/>
                </w:tcPr>
                <w:p w14:paraId="745F0F8B">
                  <w:pPr>
                    <w:keepNext w:val="0"/>
                    <w:keepLines w:val="0"/>
                    <w:widowControl w:val="0"/>
                    <w:suppressLineNumbers w:val="0"/>
                    <w:spacing w:before="0" w:beforeAutospacing="0" w:after="0" w:afterAutospacing="0"/>
                    <w:ind w:left="0" w:right="0"/>
                    <w:jc w:val="center"/>
                    <w:rPr>
                      <w:rFonts w:hint="default"/>
                      <w:lang w:val="en-US" w:eastAsia="zh-CN"/>
                    </w:rPr>
                  </w:pPr>
                  <w:r>
                    <w:rPr>
                      <w:rFonts w:hint="eastAsia"/>
                      <w:lang w:val="en-US" w:eastAsia="zh-CN"/>
                    </w:rPr>
                    <w:t>12</w:t>
                  </w:r>
                </w:p>
              </w:tc>
              <w:tc>
                <w:tcPr>
                  <w:tcW w:w="424" w:type="pct"/>
                  <w:tcBorders>
                    <w:top w:val="single" w:color="auto" w:sz="6" w:space="0"/>
                    <w:left w:val="single" w:color="auto" w:sz="6" w:space="0"/>
                    <w:bottom w:val="single" w:color="auto" w:sz="12" w:space="0"/>
                    <w:right w:val="single" w:color="auto" w:sz="6" w:space="0"/>
                  </w:tcBorders>
                  <w:shd w:val="clear" w:color="auto" w:fill="auto"/>
                  <w:vAlign w:val="center"/>
                </w:tcPr>
                <w:p w14:paraId="7A472354">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TSP</w:t>
                  </w:r>
                </w:p>
              </w:tc>
              <w:tc>
                <w:tcPr>
                  <w:tcW w:w="633" w:type="pct"/>
                  <w:tcBorders>
                    <w:top w:val="single" w:color="auto" w:sz="6" w:space="0"/>
                    <w:left w:val="single" w:color="auto" w:sz="6" w:space="0"/>
                    <w:bottom w:val="single" w:color="auto" w:sz="12" w:space="0"/>
                    <w:right w:val="single" w:color="auto" w:sz="6" w:space="0"/>
                  </w:tcBorders>
                  <w:shd w:val="clear" w:color="auto" w:fill="auto"/>
                  <w:vAlign w:val="center"/>
                </w:tcPr>
                <w:p w14:paraId="245BDF48">
                  <w:pPr>
                    <w:keepNext w:val="0"/>
                    <w:keepLines w:val="0"/>
                    <w:suppressLineNumbers w:val="0"/>
                    <w:spacing w:before="0" w:beforeAutospacing="0" w:after="0" w:afterAutospacing="0" w:line="240" w:lineRule="auto"/>
                    <w:ind w:left="0" w:leftChars="0" w:right="0" w:rightChars="0"/>
                    <w:jc w:val="center"/>
                    <w:rPr>
                      <w:rFonts w:hint="eastAsia"/>
                      <w:lang w:val="en-US" w:eastAsia="zh-CN"/>
                    </w:rPr>
                  </w:pPr>
                  <w:r>
                    <w:rPr>
                      <w:rFonts w:hint="eastAsia"/>
                      <w:color w:val="auto"/>
                      <w:lang w:val="en-US" w:eastAsia="zh-CN"/>
                    </w:rPr>
                    <w:t>0.0232k</w:t>
                  </w:r>
                  <w:r>
                    <w:rPr>
                      <w:rFonts w:hint="eastAsia"/>
                      <w:lang w:val="en-US" w:eastAsia="zh-CN"/>
                    </w:rPr>
                    <w:t>g/h</w:t>
                  </w:r>
                </w:p>
              </w:tc>
              <w:tc>
                <w:tcPr>
                  <w:tcW w:w="891" w:type="pct"/>
                  <w:tcBorders>
                    <w:top w:val="single" w:color="auto" w:sz="6" w:space="0"/>
                    <w:left w:val="single" w:color="auto" w:sz="6" w:space="0"/>
                    <w:bottom w:val="single" w:color="auto" w:sz="12" w:space="0"/>
                    <w:right w:val="nil"/>
                  </w:tcBorders>
                  <w:shd w:val="clear" w:color="auto" w:fill="auto"/>
                  <w:vAlign w:val="center"/>
                </w:tcPr>
                <w:p w14:paraId="15B36180">
                  <w:pPr>
                    <w:keepNext w:val="0"/>
                    <w:keepLines w:val="0"/>
                    <w:suppressLineNumbers w:val="0"/>
                    <w:spacing w:before="0" w:beforeAutospacing="0" w:after="0" w:afterAutospacing="0" w:line="240" w:lineRule="auto"/>
                    <w:ind w:left="0" w:leftChars="0" w:right="0" w:rightChars="0"/>
                    <w:jc w:val="center"/>
                    <w:rPr>
                      <w:rFonts w:hint="eastAsia"/>
                      <w:color w:val="auto"/>
                      <w:lang w:val="en-US" w:eastAsia="zh-CN"/>
                    </w:rPr>
                  </w:pPr>
                  <w:r>
                    <w:rPr>
                      <w:rFonts w:hint="eastAsia"/>
                      <w:color w:val="auto"/>
                      <w:lang w:val="en-US" w:eastAsia="zh-CN"/>
                    </w:rPr>
                    <w:t>32.73kg/a</w:t>
                  </w:r>
                </w:p>
              </w:tc>
              <w:tc>
                <w:tcPr>
                  <w:tcW w:w="891" w:type="pct"/>
                  <w:tcBorders>
                    <w:top w:val="single" w:color="auto" w:sz="6" w:space="0"/>
                    <w:left w:val="single" w:color="auto" w:sz="6" w:space="0"/>
                    <w:bottom w:val="single" w:color="auto" w:sz="12" w:space="0"/>
                    <w:right w:val="nil"/>
                  </w:tcBorders>
                  <w:shd w:val="clear" w:color="auto" w:fill="auto"/>
                  <w:vAlign w:val="center"/>
                </w:tcPr>
                <w:p w14:paraId="00D42653">
                  <w:pPr>
                    <w:keepNext w:val="0"/>
                    <w:keepLines w:val="0"/>
                    <w:widowControl/>
                    <w:suppressLineNumbers w:val="0"/>
                    <w:spacing w:before="0" w:beforeAutospacing="0" w:after="0" w:afterAutospacing="0"/>
                    <w:ind w:left="0" w:right="0"/>
                    <w:jc w:val="center"/>
                    <w:rPr>
                      <w:rFonts w:hint="default"/>
                      <w:lang w:val="en-US" w:eastAsia="zh-CN"/>
                    </w:rPr>
                  </w:pPr>
                  <w:r>
                    <w:rPr>
                      <w:rFonts w:hint="eastAsia"/>
                      <w:lang w:val="en-US" w:eastAsia="zh-CN"/>
                    </w:rPr>
                    <w:t>300</w:t>
                  </w:r>
                </w:p>
              </w:tc>
            </w:tr>
          </w:tbl>
          <w:p w14:paraId="23904808">
            <w:pPr>
              <w:pStyle w:val="27"/>
              <w:jc w:val="center"/>
              <w:rPr>
                <w:rFonts w:ascii="Times New Roman" w:eastAsia="黑体"/>
                <w:snapToGrid w:val="0"/>
                <w:color w:val="auto"/>
                <w:sz w:val="21"/>
                <w:szCs w:val="21"/>
                <w:lang w:val="fr-FR"/>
              </w:rPr>
            </w:pPr>
          </w:p>
          <w:p w14:paraId="069D16A5">
            <w:pPr>
              <w:pStyle w:val="27"/>
              <w:jc w:val="center"/>
              <w:rPr>
                <w:b/>
                <w:color w:val="auto"/>
                <w:sz w:val="24"/>
                <w:lang w:eastAsia="zh-CN"/>
              </w:rPr>
            </w:pPr>
            <w:r>
              <w:rPr>
                <w:rFonts w:ascii="Times New Roman" w:eastAsia="黑体"/>
                <w:snapToGrid w:val="0"/>
                <w:color w:val="auto"/>
                <w:sz w:val="21"/>
                <w:szCs w:val="21"/>
                <w:lang w:val="fr-FR"/>
              </w:rPr>
              <w:t>表</w:t>
            </w:r>
            <w:r>
              <w:rPr>
                <w:rFonts w:ascii="Times New Roman" w:eastAsia="黑体"/>
                <w:snapToGrid w:val="0"/>
                <w:color w:val="auto"/>
                <w:sz w:val="21"/>
                <w:szCs w:val="21"/>
              </w:rPr>
              <w:t>7-</w:t>
            </w:r>
            <w:r>
              <w:rPr>
                <w:rFonts w:hint="eastAsia" w:ascii="Times New Roman" w:eastAsia="黑体"/>
                <w:snapToGrid w:val="0"/>
                <w:color w:val="auto"/>
                <w:sz w:val="21"/>
                <w:szCs w:val="21"/>
                <w:lang w:val="en-US" w:eastAsia="zh-CN"/>
              </w:rPr>
              <w:t>7</w:t>
            </w:r>
            <w:r>
              <w:rPr>
                <w:rFonts w:ascii="Times New Roman" w:eastAsia="黑体"/>
                <w:snapToGrid w:val="0"/>
                <w:color w:val="auto"/>
                <w:sz w:val="21"/>
                <w:szCs w:val="21"/>
              </w:rPr>
              <w:t xml:space="preserve">  </w:t>
            </w:r>
            <w:r>
              <w:rPr>
                <w:rFonts w:ascii="Times New Roman" w:eastAsia="黑体"/>
                <w:snapToGrid w:val="0"/>
                <w:color w:val="auto"/>
                <w:sz w:val="21"/>
                <w:szCs w:val="21"/>
                <w:lang w:val="fr-FR"/>
              </w:rPr>
              <w:t>项目正常工况下项目有组织污染源参数</w:t>
            </w:r>
          </w:p>
          <w:tbl>
            <w:tblPr>
              <w:tblStyle w:val="22"/>
              <w:tblW w:w="9107"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79"/>
              <w:gridCol w:w="753"/>
              <w:gridCol w:w="800"/>
              <w:gridCol w:w="890"/>
              <w:gridCol w:w="800"/>
              <w:gridCol w:w="846"/>
              <w:gridCol w:w="890"/>
              <w:gridCol w:w="912"/>
              <w:gridCol w:w="952"/>
              <w:gridCol w:w="751"/>
              <w:gridCol w:w="734"/>
            </w:tblGrid>
            <w:tr w14:paraId="368CD73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00" w:hRule="atLeast"/>
                <w:jc w:val="center"/>
              </w:trPr>
              <w:tc>
                <w:tcPr>
                  <w:tcW w:w="779" w:type="dxa"/>
                  <w:vMerge w:val="restart"/>
                  <w:tcBorders>
                    <w:top w:val="single" w:color="auto" w:sz="12" w:space="0"/>
                    <w:left w:val="nil"/>
                    <w:bottom w:val="single" w:color="auto" w:sz="6" w:space="0"/>
                    <w:right w:val="single" w:color="auto" w:sz="6" w:space="0"/>
                  </w:tcBorders>
                  <w:shd w:val="clear" w:color="auto" w:fill="auto"/>
                  <w:vAlign w:val="center"/>
                </w:tcPr>
                <w:p w14:paraId="13773831">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废气来源</w:t>
                  </w:r>
                </w:p>
              </w:tc>
              <w:tc>
                <w:tcPr>
                  <w:tcW w:w="4089" w:type="dxa"/>
                  <w:gridSpan w:val="5"/>
                  <w:tcBorders>
                    <w:top w:val="single" w:color="auto" w:sz="12" w:space="0"/>
                    <w:left w:val="single" w:color="auto" w:sz="6" w:space="0"/>
                    <w:bottom w:val="single" w:color="auto" w:sz="6" w:space="0"/>
                    <w:right w:val="single" w:color="auto" w:sz="6" w:space="0"/>
                  </w:tcBorders>
                  <w:shd w:val="clear" w:color="auto" w:fill="auto"/>
                  <w:vAlign w:val="center"/>
                </w:tcPr>
                <w:p w14:paraId="3357E747">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排放参数</w:t>
                  </w:r>
                </w:p>
              </w:tc>
              <w:tc>
                <w:tcPr>
                  <w:tcW w:w="890"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24A053D2">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污染物名称</w:t>
                  </w:r>
                </w:p>
              </w:tc>
              <w:tc>
                <w:tcPr>
                  <w:tcW w:w="1864" w:type="dxa"/>
                  <w:gridSpan w:val="2"/>
                  <w:tcBorders>
                    <w:top w:val="single" w:color="auto" w:sz="12" w:space="0"/>
                    <w:left w:val="single" w:color="auto" w:sz="6" w:space="0"/>
                    <w:bottom w:val="single" w:color="auto" w:sz="6" w:space="0"/>
                    <w:right w:val="single" w:color="auto" w:sz="6" w:space="0"/>
                  </w:tcBorders>
                  <w:shd w:val="clear" w:color="auto" w:fill="auto"/>
                  <w:vAlign w:val="center"/>
                </w:tcPr>
                <w:p w14:paraId="1671AE6D">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排放情况</w:t>
                  </w:r>
                </w:p>
              </w:tc>
              <w:tc>
                <w:tcPr>
                  <w:tcW w:w="1485" w:type="dxa"/>
                  <w:gridSpan w:val="2"/>
                  <w:tcBorders>
                    <w:top w:val="single" w:color="auto" w:sz="12" w:space="0"/>
                    <w:left w:val="single" w:color="auto" w:sz="6" w:space="0"/>
                    <w:bottom w:val="single" w:color="auto" w:sz="6" w:space="0"/>
                    <w:right w:val="nil"/>
                  </w:tcBorders>
                  <w:shd w:val="clear" w:color="auto" w:fill="auto"/>
                  <w:vAlign w:val="center"/>
                </w:tcPr>
                <w:p w14:paraId="18F98B3D">
                  <w:pPr>
                    <w:keepNext w:val="0"/>
                    <w:keepLines w:val="0"/>
                    <w:widowControl w:val="0"/>
                    <w:suppressLineNumbers w:val="0"/>
                    <w:snapToGrid w:val="0"/>
                    <w:spacing w:before="0" w:beforeAutospacing="0" w:after="0" w:afterAutospacing="0"/>
                    <w:ind w:left="0" w:right="0"/>
                    <w:jc w:val="center"/>
                    <w:rPr>
                      <w:rFonts w:hint="eastAsia"/>
                    </w:rPr>
                  </w:pPr>
                  <w:r>
                    <w:rPr>
                      <w:rFonts w:hint="eastAsia"/>
                      <w:lang w:val="en-US" w:eastAsia="zh-CN"/>
                    </w:rPr>
                    <w:t>质量标准（μg/m</w:t>
                  </w:r>
                  <w:r>
                    <w:rPr>
                      <w:rFonts w:hint="eastAsia"/>
                      <w:vertAlign w:val="superscript"/>
                      <w:lang w:val="en-US" w:eastAsia="zh-CN"/>
                    </w:rPr>
                    <w:t>3</w:t>
                  </w:r>
                  <w:r>
                    <w:rPr>
                      <w:rFonts w:hint="eastAsia"/>
                      <w:lang w:val="en-US" w:eastAsia="zh-CN"/>
                    </w:rPr>
                    <w:t>）</w:t>
                  </w:r>
                </w:p>
              </w:tc>
            </w:tr>
            <w:tr w14:paraId="795A782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29" w:hRule="atLeast"/>
                <w:jc w:val="center"/>
              </w:trPr>
              <w:tc>
                <w:tcPr>
                  <w:tcW w:w="779" w:type="dxa"/>
                  <w:vMerge w:val="continue"/>
                  <w:tcBorders>
                    <w:top w:val="single" w:color="auto" w:sz="12" w:space="0"/>
                    <w:left w:val="nil"/>
                    <w:bottom w:val="single" w:color="auto" w:sz="6" w:space="0"/>
                    <w:right w:val="single" w:color="auto" w:sz="6" w:space="0"/>
                  </w:tcBorders>
                  <w:shd w:val="clear" w:color="auto" w:fill="auto"/>
                  <w:vAlign w:val="center"/>
                </w:tcPr>
                <w:p w14:paraId="1222E6B6">
                  <w:pPr>
                    <w:keepNext w:val="0"/>
                    <w:keepLines w:val="0"/>
                    <w:suppressLineNumbers w:val="0"/>
                    <w:spacing w:before="0" w:beforeAutospacing="0" w:after="0" w:afterAutospacing="0"/>
                    <w:ind w:left="0" w:right="0"/>
                    <w:rPr>
                      <w:rFonts w:hint="default"/>
                    </w:rPr>
                  </w:pP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14:paraId="152AB542">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排气总量(m</w:t>
                  </w:r>
                  <w:r>
                    <w:rPr>
                      <w:rFonts w:hint="eastAsia"/>
                      <w:vertAlign w:val="superscript"/>
                      <w:lang w:val="en-US" w:eastAsia="zh-CN"/>
                    </w:rPr>
                    <w:t>3</w:t>
                  </w:r>
                  <w:r>
                    <w:rPr>
                      <w:rFonts w:hint="eastAsia"/>
                      <w:lang w:val="en-US" w:eastAsia="zh-CN"/>
                    </w:rPr>
                    <w:t>/h)</w:t>
                  </w:r>
                </w:p>
              </w:tc>
              <w:tc>
                <w:tcPr>
                  <w:tcW w:w="800" w:type="dxa"/>
                  <w:tcBorders>
                    <w:top w:val="single" w:color="auto" w:sz="6" w:space="0"/>
                    <w:left w:val="single" w:color="auto" w:sz="6" w:space="0"/>
                    <w:bottom w:val="single" w:color="auto" w:sz="6" w:space="0"/>
                    <w:right w:val="single" w:color="auto" w:sz="6" w:space="0"/>
                  </w:tcBorders>
                  <w:shd w:val="clear" w:color="auto" w:fill="auto"/>
                  <w:vAlign w:val="center"/>
                </w:tcPr>
                <w:p w14:paraId="356FCED1">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排放高度（m）</w:t>
                  </w:r>
                </w:p>
              </w:tc>
              <w:tc>
                <w:tcPr>
                  <w:tcW w:w="890" w:type="dxa"/>
                  <w:tcBorders>
                    <w:top w:val="single" w:color="auto" w:sz="6" w:space="0"/>
                    <w:left w:val="single" w:color="auto" w:sz="6" w:space="0"/>
                    <w:bottom w:val="single" w:color="auto" w:sz="6" w:space="0"/>
                    <w:right w:val="single" w:color="auto" w:sz="6" w:space="0"/>
                  </w:tcBorders>
                  <w:shd w:val="clear" w:color="auto" w:fill="auto"/>
                  <w:vAlign w:val="center"/>
                </w:tcPr>
                <w:p w14:paraId="408389EF">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排气筒数（个）</w:t>
                  </w:r>
                </w:p>
              </w:tc>
              <w:tc>
                <w:tcPr>
                  <w:tcW w:w="800" w:type="dxa"/>
                  <w:tcBorders>
                    <w:top w:val="single" w:color="auto" w:sz="6" w:space="0"/>
                    <w:left w:val="single" w:color="auto" w:sz="6" w:space="0"/>
                    <w:bottom w:val="single" w:color="auto" w:sz="6" w:space="0"/>
                    <w:right w:val="single" w:color="auto" w:sz="6" w:space="0"/>
                  </w:tcBorders>
                  <w:shd w:val="clear" w:color="auto" w:fill="auto"/>
                  <w:vAlign w:val="center"/>
                </w:tcPr>
                <w:p w14:paraId="3DA54D90">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出口直径（m）</w:t>
                  </w:r>
                </w:p>
              </w:tc>
              <w:tc>
                <w:tcPr>
                  <w:tcW w:w="846" w:type="dxa"/>
                  <w:tcBorders>
                    <w:top w:val="single" w:color="auto" w:sz="6" w:space="0"/>
                    <w:left w:val="single" w:color="auto" w:sz="6" w:space="0"/>
                    <w:bottom w:val="single" w:color="auto" w:sz="6" w:space="0"/>
                    <w:right w:val="single" w:color="auto" w:sz="6" w:space="0"/>
                  </w:tcBorders>
                  <w:shd w:val="clear" w:color="auto" w:fill="auto"/>
                  <w:vAlign w:val="center"/>
                </w:tcPr>
                <w:p w14:paraId="710727E1">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出口温度（℃）</w:t>
                  </w:r>
                </w:p>
              </w:tc>
              <w:tc>
                <w:tcPr>
                  <w:tcW w:w="890"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1BD318E5">
                  <w:pPr>
                    <w:keepNext w:val="0"/>
                    <w:keepLines w:val="0"/>
                    <w:suppressLineNumbers w:val="0"/>
                    <w:spacing w:before="0" w:beforeAutospacing="0" w:after="0" w:afterAutospacing="0"/>
                    <w:ind w:left="0" w:right="0"/>
                    <w:rPr>
                      <w:rFonts w:hint="default"/>
                    </w:rPr>
                  </w:pPr>
                </w:p>
              </w:tc>
              <w:tc>
                <w:tcPr>
                  <w:tcW w:w="912" w:type="dxa"/>
                  <w:tcBorders>
                    <w:top w:val="single" w:color="auto" w:sz="6" w:space="0"/>
                    <w:left w:val="single" w:color="auto" w:sz="6" w:space="0"/>
                    <w:bottom w:val="single" w:color="auto" w:sz="6" w:space="0"/>
                    <w:right w:val="single" w:color="auto" w:sz="6" w:space="0"/>
                  </w:tcBorders>
                  <w:shd w:val="clear" w:color="auto" w:fill="auto"/>
                  <w:vAlign w:val="center"/>
                </w:tcPr>
                <w:p w14:paraId="5E4253FC">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排放速率(kg/h)</w:t>
                  </w:r>
                </w:p>
              </w:tc>
              <w:tc>
                <w:tcPr>
                  <w:tcW w:w="952" w:type="dxa"/>
                  <w:tcBorders>
                    <w:top w:val="single" w:color="auto" w:sz="6" w:space="0"/>
                    <w:left w:val="single" w:color="auto" w:sz="6" w:space="0"/>
                    <w:bottom w:val="single" w:color="auto" w:sz="6" w:space="0"/>
                    <w:right w:val="single" w:color="auto" w:sz="6" w:space="0"/>
                  </w:tcBorders>
                  <w:shd w:val="clear" w:color="auto" w:fill="auto"/>
                  <w:vAlign w:val="center"/>
                </w:tcPr>
                <w:p w14:paraId="5503DDA7">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751" w:type="dxa"/>
                  <w:tcBorders>
                    <w:top w:val="single" w:color="auto" w:sz="6" w:space="0"/>
                    <w:left w:val="single" w:color="auto" w:sz="6" w:space="0"/>
                    <w:bottom w:val="single" w:color="auto" w:sz="6" w:space="0"/>
                    <w:right w:val="single" w:color="auto" w:sz="6" w:space="0"/>
                  </w:tcBorders>
                  <w:shd w:val="clear" w:color="auto" w:fill="auto"/>
                  <w:vAlign w:val="center"/>
                </w:tcPr>
                <w:p w14:paraId="6F817FCE">
                  <w:pPr>
                    <w:keepNext w:val="0"/>
                    <w:keepLines w:val="0"/>
                    <w:widowControl w:val="0"/>
                    <w:suppressLineNumbers w:val="0"/>
                    <w:snapToGrid w:val="0"/>
                    <w:spacing w:before="0" w:beforeAutospacing="0" w:after="0" w:afterAutospacing="0"/>
                    <w:ind w:left="0" w:right="0"/>
                    <w:jc w:val="center"/>
                    <w:rPr>
                      <w:rFonts w:hint="eastAsia"/>
                    </w:rPr>
                  </w:pPr>
                  <w:r>
                    <w:rPr>
                      <w:rFonts w:hint="eastAsia"/>
                      <w:lang w:val="en-US" w:eastAsia="zh-CN"/>
                    </w:rPr>
                    <w:t>1h均值</w:t>
                  </w:r>
                </w:p>
              </w:tc>
              <w:tc>
                <w:tcPr>
                  <w:tcW w:w="734" w:type="dxa"/>
                  <w:tcBorders>
                    <w:top w:val="single" w:color="auto" w:sz="6" w:space="0"/>
                    <w:left w:val="single" w:color="auto" w:sz="6" w:space="0"/>
                    <w:bottom w:val="single" w:color="auto" w:sz="6" w:space="0"/>
                    <w:right w:val="nil"/>
                  </w:tcBorders>
                  <w:shd w:val="clear" w:color="auto" w:fill="auto"/>
                  <w:vAlign w:val="center"/>
                </w:tcPr>
                <w:p w14:paraId="67FAABD2">
                  <w:pPr>
                    <w:keepNext w:val="0"/>
                    <w:keepLines w:val="0"/>
                    <w:widowControl w:val="0"/>
                    <w:suppressLineNumbers w:val="0"/>
                    <w:snapToGrid w:val="0"/>
                    <w:spacing w:before="0" w:beforeAutospacing="0" w:after="0" w:afterAutospacing="0"/>
                    <w:ind w:left="0" w:right="0"/>
                    <w:jc w:val="center"/>
                    <w:rPr>
                      <w:rFonts w:hint="eastAsia"/>
                    </w:rPr>
                  </w:pPr>
                  <w:r>
                    <w:rPr>
                      <w:rFonts w:hint="eastAsia"/>
                      <w:lang w:val="en-US" w:eastAsia="zh-CN"/>
                    </w:rPr>
                    <w:t>日均值</w:t>
                  </w:r>
                </w:p>
              </w:tc>
            </w:tr>
            <w:tr w14:paraId="32E6CEF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00" w:hRule="atLeast"/>
                <w:jc w:val="center"/>
              </w:trPr>
              <w:tc>
                <w:tcPr>
                  <w:tcW w:w="779" w:type="dxa"/>
                  <w:tcBorders>
                    <w:top w:val="single" w:color="auto" w:sz="6" w:space="0"/>
                    <w:left w:val="nil"/>
                    <w:right w:val="single" w:color="auto" w:sz="6" w:space="0"/>
                  </w:tcBorders>
                  <w:shd w:val="clear" w:color="auto" w:fill="auto"/>
                  <w:vAlign w:val="center"/>
                </w:tcPr>
                <w:p w14:paraId="0DDDD88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水泥筒仓（1#）</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14:paraId="61D6D48C">
                  <w:pPr>
                    <w:keepNext w:val="0"/>
                    <w:keepLines w:val="0"/>
                    <w:widowControl w:val="0"/>
                    <w:suppressLineNumbers w:val="0"/>
                    <w:snapToGrid w:val="0"/>
                    <w:spacing w:before="0" w:beforeAutospacing="0" w:after="0" w:afterAutospacing="0"/>
                    <w:ind w:left="0" w:right="0"/>
                    <w:jc w:val="center"/>
                    <w:rPr>
                      <w:rFonts w:hint="default"/>
                      <w:lang w:val="en-US"/>
                    </w:rPr>
                  </w:pPr>
                  <w:r>
                    <w:rPr>
                      <w:rFonts w:hint="eastAsia"/>
                      <w:color w:val="auto"/>
                      <w:sz w:val="18"/>
                      <w:szCs w:val="18"/>
                      <w:shd w:val="clear" w:color="auto" w:fill="auto"/>
                      <w:lang w:val="en-US" w:eastAsia="zh-CN"/>
                    </w:rPr>
                    <w:t>2611</w:t>
                  </w:r>
                </w:p>
              </w:tc>
              <w:tc>
                <w:tcPr>
                  <w:tcW w:w="800" w:type="dxa"/>
                  <w:tcBorders>
                    <w:top w:val="single" w:color="auto" w:sz="6" w:space="0"/>
                    <w:left w:val="single" w:color="auto" w:sz="6" w:space="0"/>
                    <w:bottom w:val="single" w:color="auto" w:sz="6" w:space="0"/>
                    <w:right w:val="single" w:color="auto" w:sz="6" w:space="0"/>
                  </w:tcBorders>
                  <w:shd w:val="clear" w:color="auto" w:fill="auto"/>
                  <w:vAlign w:val="center"/>
                </w:tcPr>
                <w:p w14:paraId="06D1F4E9">
                  <w:pPr>
                    <w:keepNext w:val="0"/>
                    <w:keepLines w:val="0"/>
                    <w:widowControl/>
                    <w:suppressLineNumbers w:val="0"/>
                    <w:snapToGrid w:val="0"/>
                    <w:spacing w:before="0" w:beforeAutospacing="0" w:after="0" w:afterAutospacing="0"/>
                    <w:ind w:left="0" w:right="0"/>
                    <w:jc w:val="center"/>
                    <w:rPr>
                      <w:rFonts w:hint="default"/>
                      <w:lang w:val="en-US"/>
                    </w:rPr>
                  </w:pPr>
                  <w:r>
                    <w:rPr>
                      <w:rFonts w:hint="eastAsia"/>
                      <w:lang w:val="en-US" w:eastAsia="zh-CN"/>
                    </w:rPr>
                    <w:t>15</w:t>
                  </w:r>
                </w:p>
              </w:tc>
              <w:tc>
                <w:tcPr>
                  <w:tcW w:w="890" w:type="dxa"/>
                  <w:tcBorders>
                    <w:top w:val="single" w:color="auto" w:sz="6" w:space="0"/>
                    <w:left w:val="single" w:color="auto" w:sz="6" w:space="0"/>
                    <w:bottom w:val="single" w:color="auto" w:sz="6" w:space="0"/>
                    <w:right w:val="single" w:color="auto" w:sz="6" w:space="0"/>
                  </w:tcBorders>
                  <w:shd w:val="clear" w:color="auto" w:fill="auto"/>
                  <w:vAlign w:val="center"/>
                </w:tcPr>
                <w:p w14:paraId="3DDCE7D8">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1</w:t>
                  </w:r>
                </w:p>
              </w:tc>
              <w:tc>
                <w:tcPr>
                  <w:tcW w:w="800" w:type="dxa"/>
                  <w:vMerge w:val="restart"/>
                  <w:tcBorders>
                    <w:top w:val="single" w:color="auto" w:sz="6" w:space="0"/>
                    <w:left w:val="single" w:color="auto" w:sz="6" w:space="0"/>
                    <w:right w:val="single" w:color="auto" w:sz="6" w:space="0"/>
                  </w:tcBorders>
                  <w:shd w:val="clear" w:color="auto" w:fill="auto"/>
                  <w:vAlign w:val="center"/>
                </w:tcPr>
                <w:p w14:paraId="4FB3F849">
                  <w:pPr>
                    <w:keepNext w:val="0"/>
                    <w:keepLines w:val="0"/>
                    <w:widowControl w:val="0"/>
                    <w:suppressLineNumbers w:val="0"/>
                    <w:snapToGrid w:val="0"/>
                    <w:spacing w:before="0" w:beforeAutospacing="0" w:after="0" w:afterAutospacing="0"/>
                    <w:ind w:left="0" w:right="0"/>
                    <w:jc w:val="center"/>
                    <w:rPr>
                      <w:rFonts w:hint="eastAsia"/>
                    </w:rPr>
                  </w:pPr>
                  <w:r>
                    <w:rPr>
                      <w:rFonts w:hint="eastAsia"/>
                      <w:lang w:val="en-US" w:eastAsia="zh-CN"/>
                    </w:rPr>
                    <w:t>0.3</w:t>
                  </w:r>
                </w:p>
              </w:tc>
              <w:tc>
                <w:tcPr>
                  <w:tcW w:w="846" w:type="dxa"/>
                  <w:vMerge w:val="restart"/>
                  <w:tcBorders>
                    <w:top w:val="single" w:color="auto" w:sz="6" w:space="0"/>
                    <w:left w:val="single" w:color="auto" w:sz="6" w:space="0"/>
                    <w:right w:val="single" w:color="auto" w:sz="6" w:space="0"/>
                  </w:tcBorders>
                  <w:shd w:val="clear" w:color="auto" w:fill="auto"/>
                  <w:vAlign w:val="center"/>
                </w:tcPr>
                <w:p w14:paraId="7E26C90B">
                  <w:pPr>
                    <w:keepNext w:val="0"/>
                    <w:keepLines w:val="0"/>
                    <w:widowControl/>
                    <w:suppressLineNumbers w:val="0"/>
                    <w:snapToGrid w:val="0"/>
                    <w:spacing w:before="0" w:beforeAutospacing="0" w:after="0" w:afterAutospacing="0"/>
                    <w:ind w:left="0" w:right="0"/>
                    <w:jc w:val="center"/>
                    <w:rPr>
                      <w:rFonts w:hint="eastAsia"/>
                    </w:rPr>
                  </w:pPr>
                  <w:r>
                    <w:rPr>
                      <w:rFonts w:hint="eastAsia"/>
                      <w:lang w:val="en-US" w:eastAsia="zh-CN"/>
                    </w:rPr>
                    <w:t>25</w:t>
                  </w:r>
                </w:p>
              </w:tc>
              <w:tc>
                <w:tcPr>
                  <w:tcW w:w="890" w:type="dxa"/>
                  <w:vMerge w:val="restart"/>
                  <w:tcBorders>
                    <w:top w:val="single" w:color="auto" w:sz="6" w:space="0"/>
                    <w:left w:val="single" w:color="auto" w:sz="6" w:space="0"/>
                    <w:right w:val="single" w:color="auto" w:sz="6" w:space="0"/>
                  </w:tcBorders>
                  <w:shd w:val="clear" w:color="auto" w:fill="auto"/>
                  <w:vAlign w:val="center"/>
                </w:tcPr>
                <w:p w14:paraId="476745F2">
                  <w:pPr>
                    <w:keepNext w:val="0"/>
                    <w:keepLines w:val="0"/>
                    <w:widowControl/>
                    <w:suppressLineNumbers w:val="0"/>
                    <w:snapToGrid w:val="0"/>
                    <w:spacing w:before="0" w:beforeAutospacing="0" w:after="0" w:afterAutospacing="0"/>
                    <w:ind w:left="0" w:right="0"/>
                    <w:jc w:val="center"/>
                    <w:rPr>
                      <w:rFonts w:hint="eastAsia"/>
                    </w:rPr>
                  </w:pPr>
                  <w:r>
                    <w:rPr>
                      <w:rFonts w:hint="eastAsia" w:cs="宋体"/>
                      <w:color w:val="auto"/>
                      <w:sz w:val="18"/>
                      <w:szCs w:val="18"/>
                      <w:lang w:val="en-US" w:eastAsia="zh-CN"/>
                    </w:rPr>
                    <w:t>颗粒物</w:t>
                  </w:r>
                </w:p>
              </w:tc>
              <w:tc>
                <w:tcPr>
                  <w:tcW w:w="912" w:type="dxa"/>
                  <w:tcBorders>
                    <w:top w:val="single" w:color="auto" w:sz="6" w:space="0"/>
                    <w:left w:val="single" w:color="auto" w:sz="6" w:space="0"/>
                    <w:bottom w:val="single" w:color="auto" w:sz="6" w:space="0"/>
                    <w:right w:val="single" w:color="auto" w:sz="6" w:space="0"/>
                  </w:tcBorders>
                  <w:shd w:val="clear" w:color="auto" w:fill="auto"/>
                  <w:vAlign w:val="center"/>
                </w:tcPr>
                <w:p w14:paraId="0297717E">
                  <w:pPr>
                    <w:keepNext w:val="0"/>
                    <w:keepLines w:val="0"/>
                    <w:widowControl w:val="0"/>
                    <w:suppressLineNumbers w:val="0"/>
                    <w:spacing w:before="0" w:beforeAutospacing="0" w:after="0" w:afterAutospacing="0"/>
                    <w:ind w:left="0" w:right="0"/>
                    <w:jc w:val="center"/>
                    <w:rPr>
                      <w:rFonts w:hint="default"/>
                      <w:lang w:val="en-US"/>
                    </w:rPr>
                  </w:pPr>
                  <w:r>
                    <w:rPr>
                      <w:rFonts w:hint="eastAsia"/>
                      <w:color w:val="auto"/>
                      <w:sz w:val="18"/>
                      <w:szCs w:val="18"/>
                      <w:lang w:val="en-US" w:eastAsia="zh-CN"/>
                    </w:rPr>
                    <w:t>0.0101</w:t>
                  </w:r>
                </w:p>
              </w:tc>
              <w:tc>
                <w:tcPr>
                  <w:tcW w:w="952" w:type="dxa"/>
                  <w:tcBorders>
                    <w:top w:val="single" w:color="auto" w:sz="6" w:space="0"/>
                    <w:left w:val="single" w:color="auto" w:sz="6" w:space="0"/>
                    <w:bottom w:val="single" w:color="auto" w:sz="6" w:space="0"/>
                    <w:right w:val="single" w:color="auto" w:sz="6" w:space="0"/>
                  </w:tcBorders>
                  <w:shd w:val="clear" w:color="auto" w:fill="auto"/>
                  <w:vAlign w:val="center"/>
                </w:tcPr>
                <w:p w14:paraId="3CD61DB7">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4.6</w:t>
                  </w:r>
                </w:p>
              </w:tc>
              <w:tc>
                <w:tcPr>
                  <w:tcW w:w="751" w:type="dxa"/>
                  <w:vMerge w:val="restart"/>
                  <w:tcBorders>
                    <w:top w:val="single" w:color="auto" w:sz="6" w:space="0"/>
                    <w:left w:val="single" w:color="auto" w:sz="6" w:space="0"/>
                    <w:right w:val="single" w:color="auto" w:sz="6" w:space="0"/>
                  </w:tcBorders>
                  <w:shd w:val="clear" w:color="auto" w:fill="auto"/>
                  <w:vAlign w:val="center"/>
                </w:tcPr>
                <w:p w14:paraId="6C08199B">
                  <w:pPr>
                    <w:keepNext w:val="0"/>
                    <w:keepLines w:val="0"/>
                    <w:widowControl/>
                    <w:suppressLineNumbers w:val="0"/>
                    <w:snapToGrid w:val="0"/>
                    <w:spacing w:before="0" w:beforeAutospacing="0" w:after="0" w:afterAutospacing="0"/>
                    <w:ind w:left="0" w:right="0"/>
                    <w:jc w:val="center"/>
                    <w:rPr>
                      <w:rFonts w:hint="default"/>
                      <w:lang w:val="en-US"/>
                    </w:rPr>
                  </w:pPr>
                  <w:r>
                    <w:rPr>
                      <w:rFonts w:hint="eastAsia"/>
                      <w:lang w:val="en-US" w:eastAsia="zh-CN"/>
                    </w:rPr>
                    <w:t>/</w:t>
                  </w:r>
                </w:p>
              </w:tc>
              <w:tc>
                <w:tcPr>
                  <w:tcW w:w="734" w:type="dxa"/>
                  <w:vMerge w:val="restart"/>
                  <w:tcBorders>
                    <w:top w:val="single" w:color="auto" w:sz="6" w:space="0"/>
                    <w:left w:val="single" w:color="auto" w:sz="6" w:space="0"/>
                    <w:right w:val="nil"/>
                  </w:tcBorders>
                  <w:shd w:val="clear" w:color="auto" w:fill="auto"/>
                  <w:vAlign w:val="center"/>
                </w:tcPr>
                <w:p w14:paraId="2651AA78">
                  <w:pPr>
                    <w:keepNext w:val="0"/>
                    <w:keepLines w:val="0"/>
                    <w:widowControl/>
                    <w:suppressLineNumbers w:val="0"/>
                    <w:snapToGrid w:val="0"/>
                    <w:spacing w:before="0" w:beforeAutospacing="0" w:after="0" w:afterAutospacing="0"/>
                    <w:ind w:left="0" w:right="0"/>
                    <w:jc w:val="center"/>
                    <w:rPr>
                      <w:rFonts w:hint="default"/>
                      <w:lang w:val="en-US"/>
                    </w:rPr>
                  </w:pPr>
                  <w:r>
                    <w:rPr>
                      <w:rFonts w:hint="eastAsia"/>
                      <w:lang w:val="en-US" w:eastAsia="zh-CN"/>
                    </w:rPr>
                    <w:t>300</w:t>
                  </w:r>
                </w:p>
              </w:tc>
            </w:tr>
            <w:tr w14:paraId="6CCDE72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00" w:hRule="atLeast"/>
                <w:jc w:val="center"/>
              </w:trPr>
              <w:tc>
                <w:tcPr>
                  <w:tcW w:w="779" w:type="dxa"/>
                  <w:tcBorders>
                    <w:left w:val="nil"/>
                    <w:right w:val="single" w:color="auto" w:sz="6" w:space="0"/>
                  </w:tcBorders>
                  <w:shd w:val="clear" w:color="auto" w:fill="auto"/>
                  <w:vAlign w:val="center"/>
                </w:tcPr>
                <w:p w14:paraId="6EA04DDB">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搅拌机（2#）</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14:paraId="227220EC">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10000</w:t>
                  </w:r>
                </w:p>
              </w:tc>
              <w:tc>
                <w:tcPr>
                  <w:tcW w:w="800" w:type="dxa"/>
                  <w:tcBorders>
                    <w:top w:val="single" w:color="auto" w:sz="6" w:space="0"/>
                    <w:left w:val="single" w:color="auto" w:sz="6" w:space="0"/>
                    <w:bottom w:val="single" w:color="auto" w:sz="6" w:space="0"/>
                    <w:right w:val="single" w:color="auto" w:sz="6" w:space="0"/>
                  </w:tcBorders>
                  <w:shd w:val="clear" w:color="auto" w:fill="auto"/>
                  <w:vAlign w:val="center"/>
                </w:tcPr>
                <w:p w14:paraId="4D807084">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15</w:t>
                  </w:r>
                </w:p>
              </w:tc>
              <w:tc>
                <w:tcPr>
                  <w:tcW w:w="890" w:type="dxa"/>
                  <w:tcBorders>
                    <w:top w:val="single" w:color="auto" w:sz="6" w:space="0"/>
                    <w:left w:val="single" w:color="auto" w:sz="6" w:space="0"/>
                    <w:bottom w:val="single" w:color="auto" w:sz="6" w:space="0"/>
                    <w:right w:val="single" w:color="auto" w:sz="6" w:space="0"/>
                  </w:tcBorders>
                  <w:shd w:val="clear" w:color="auto" w:fill="auto"/>
                  <w:vAlign w:val="center"/>
                </w:tcPr>
                <w:p w14:paraId="6C46CBA0">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1</w:t>
                  </w:r>
                </w:p>
              </w:tc>
              <w:tc>
                <w:tcPr>
                  <w:tcW w:w="800" w:type="dxa"/>
                  <w:vMerge w:val="continue"/>
                  <w:tcBorders>
                    <w:left w:val="single" w:color="auto" w:sz="6" w:space="0"/>
                    <w:right w:val="single" w:color="auto" w:sz="6" w:space="0"/>
                  </w:tcBorders>
                  <w:shd w:val="clear" w:color="auto" w:fill="auto"/>
                  <w:vAlign w:val="center"/>
                </w:tcPr>
                <w:p w14:paraId="477B1895">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p>
              </w:tc>
              <w:tc>
                <w:tcPr>
                  <w:tcW w:w="846" w:type="dxa"/>
                  <w:vMerge w:val="continue"/>
                  <w:tcBorders>
                    <w:left w:val="single" w:color="auto" w:sz="6" w:space="0"/>
                    <w:right w:val="single" w:color="auto" w:sz="6" w:space="0"/>
                  </w:tcBorders>
                  <w:shd w:val="clear" w:color="auto" w:fill="auto"/>
                  <w:vAlign w:val="center"/>
                </w:tcPr>
                <w:p w14:paraId="1E1AF78D">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p>
              </w:tc>
              <w:tc>
                <w:tcPr>
                  <w:tcW w:w="890" w:type="dxa"/>
                  <w:vMerge w:val="continue"/>
                  <w:tcBorders>
                    <w:left w:val="single" w:color="auto" w:sz="6" w:space="0"/>
                    <w:right w:val="single" w:color="auto" w:sz="6" w:space="0"/>
                  </w:tcBorders>
                  <w:shd w:val="clear" w:color="auto" w:fill="auto"/>
                  <w:vAlign w:val="center"/>
                </w:tcPr>
                <w:p w14:paraId="6E3ABFAD">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p>
              </w:tc>
              <w:tc>
                <w:tcPr>
                  <w:tcW w:w="912" w:type="dxa"/>
                  <w:tcBorders>
                    <w:top w:val="single" w:color="auto" w:sz="6" w:space="0"/>
                    <w:left w:val="single" w:color="auto" w:sz="6" w:space="0"/>
                    <w:bottom w:val="single" w:color="auto" w:sz="6" w:space="0"/>
                    <w:right w:val="single" w:color="auto" w:sz="6" w:space="0"/>
                  </w:tcBorders>
                  <w:shd w:val="clear" w:color="auto" w:fill="auto"/>
                  <w:vAlign w:val="center"/>
                </w:tcPr>
                <w:p w14:paraId="35694C52">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r>
                    <w:rPr>
                      <w:rFonts w:hint="eastAsia"/>
                      <w:color w:val="auto"/>
                      <w:sz w:val="18"/>
                      <w:szCs w:val="18"/>
                      <w:lang w:eastAsia="zh-CN"/>
                    </w:rPr>
                    <w:t>0.</w:t>
                  </w:r>
                  <w:r>
                    <w:rPr>
                      <w:rFonts w:hint="eastAsia"/>
                      <w:color w:val="auto"/>
                      <w:sz w:val="18"/>
                      <w:szCs w:val="18"/>
                      <w:lang w:val="en-US" w:eastAsia="zh-CN"/>
                    </w:rPr>
                    <w:t>0038</w:t>
                  </w:r>
                </w:p>
              </w:tc>
              <w:tc>
                <w:tcPr>
                  <w:tcW w:w="952" w:type="dxa"/>
                  <w:tcBorders>
                    <w:top w:val="single" w:color="auto" w:sz="6" w:space="0"/>
                    <w:left w:val="single" w:color="auto" w:sz="6" w:space="0"/>
                    <w:bottom w:val="single" w:color="auto" w:sz="6" w:space="0"/>
                    <w:right w:val="single" w:color="auto" w:sz="6" w:space="0"/>
                  </w:tcBorders>
                  <w:shd w:val="clear" w:color="auto" w:fill="auto"/>
                  <w:vAlign w:val="center"/>
                </w:tcPr>
                <w:p w14:paraId="636F7A58">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0.38</w:t>
                  </w:r>
                </w:p>
              </w:tc>
              <w:tc>
                <w:tcPr>
                  <w:tcW w:w="751" w:type="dxa"/>
                  <w:vMerge w:val="continue"/>
                  <w:tcBorders>
                    <w:left w:val="single" w:color="auto" w:sz="6" w:space="0"/>
                    <w:right w:val="single" w:color="auto" w:sz="6" w:space="0"/>
                  </w:tcBorders>
                  <w:shd w:val="clear" w:color="auto" w:fill="auto"/>
                  <w:vAlign w:val="center"/>
                </w:tcPr>
                <w:p w14:paraId="7B9C7EDE">
                  <w:pPr>
                    <w:keepNext w:val="0"/>
                    <w:keepLines w:val="0"/>
                    <w:widowControl/>
                    <w:suppressLineNumbers w:val="0"/>
                    <w:snapToGrid w:val="0"/>
                    <w:spacing w:before="0" w:beforeAutospacing="0" w:after="0" w:afterAutospacing="0"/>
                    <w:ind w:left="0" w:right="0"/>
                    <w:jc w:val="center"/>
                    <w:rPr>
                      <w:rFonts w:hint="eastAsia"/>
                      <w:lang w:val="en-US" w:eastAsia="zh-CN"/>
                    </w:rPr>
                  </w:pPr>
                </w:p>
              </w:tc>
              <w:tc>
                <w:tcPr>
                  <w:tcW w:w="734" w:type="dxa"/>
                  <w:vMerge w:val="continue"/>
                  <w:tcBorders>
                    <w:left w:val="single" w:color="auto" w:sz="6" w:space="0"/>
                    <w:right w:val="nil"/>
                  </w:tcBorders>
                  <w:shd w:val="clear" w:color="auto" w:fill="auto"/>
                  <w:vAlign w:val="center"/>
                </w:tcPr>
                <w:p w14:paraId="0C749E78">
                  <w:pPr>
                    <w:keepNext w:val="0"/>
                    <w:keepLines w:val="0"/>
                    <w:widowControl/>
                    <w:suppressLineNumbers w:val="0"/>
                    <w:snapToGrid w:val="0"/>
                    <w:spacing w:before="0" w:beforeAutospacing="0" w:after="0" w:afterAutospacing="0"/>
                    <w:ind w:left="0" w:right="0"/>
                    <w:jc w:val="center"/>
                    <w:rPr>
                      <w:rFonts w:hint="eastAsia"/>
                      <w:lang w:val="en-US" w:eastAsia="zh-CN"/>
                    </w:rPr>
                  </w:pPr>
                </w:p>
              </w:tc>
            </w:tr>
            <w:tr w14:paraId="3767B1F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79" w:type="dxa"/>
                  <w:tcBorders>
                    <w:left w:val="nil"/>
                    <w:right w:val="single" w:color="auto" w:sz="6" w:space="0"/>
                  </w:tcBorders>
                  <w:shd w:val="clear" w:color="auto" w:fill="auto"/>
                  <w:vAlign w:val="center"/>
                </w:tcPr>
                <w:p w14:paraId="1558A718">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焊接（3#）</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14:paraId="49627897">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2000</w:t>
                  </w:r>
                </w:p>
              </w:tc>
              <w:tc>
                <w:tcPr>
                  <w:tcW w:w="800" w:type="dxa"/>
                  <w:tcBorders>
                    <w:top w:val="single" w:color="auto" w:sz="6" w:space="0"/>
                    <w:left w:val="single" w:color="auto" w:sz="6" w:space="0"/>
                    <w:bottom w:val="single" w:color="auto" w:sz="6" w:space="0"/>
                    <w:right w:val="single" w:color="auto" w:sz="6" w:space="0"/>
                  </w:tcBorders>
                  <w:shd w:val="clear" w:color="auto" w:fill="auto"/>
                  <w:vAlign w:val="center"/>
                </w:tcPr>
                <w:p w14:paraId="33C85183">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15</w:t>
                  </w:r>
                </w:p>
              </w:tc>
              <w:tc>
                <w:tcPr>
                  <w:tcW w:w="890" w:type="dxa"/>
                  <w:tcBorders>
                    <w:top w:val="single" w:color="auto" w:sz="6" w:space="0"/>
                    <w:left w:val="single" w:color="auto" w:sz="6" w:space="0"/>
                    <w:bottom w:val="single" w:color="auto" w:sz="6" w:space="0"/>
                    <w:right w:val="single" w:color="auto" w:sz="6" w:space="0"/>
                  </w:tcBorders>
                  <w:shd w:val="clear" w:color="auto" w:fill="auto"/>
                  <w:vAlign w:val="center"/>
                </w:tcPr>
                <w:p w14:paraId="655D10FD">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1</w:t>
                  </w:r>
                </w:p>
              </w:tc>
              <w:tc>
                <w:tcPr>
                  <w:tcW w:w="800" w:type="dxa"/>
                  <w:vMerge w:val="continue"/>
                  <w:tcBorders>
                    <w:left w:val="single" w:color="auto" w:sz="6" w:space="0"/>
                    <w:right w:val="single" w:color="auto" w:sz="6" w:space="0"/>
                  </w:tcBorders>
                  <w:shd w:val="clear" w:color="auto" w:fill="auto"/>
                  <w:vAlign w:val="center"/>
                </w:tcPr>
                <w:p w14:paraId="5BC1AAB9">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p>
              </w:tc>
              <w:tc>
                <w:tcPr>
                  <w:tcW w:w="846" w:type="dxa"/>
                  <w:vMerge w:val="continue"/>
                  <w:tcBorders>
                    <w:left w:val="single" w:color="auto" w:sz="6" w:space="0"/>
                    <w:right w:val="single" w:color="auto" w:sz="6" w:space="0"/>
                  </w:tcBorders>
                  <w:shd w:val="clear" w:color="auto" w:fill="auto"/>
                  <w:vAlign w:val="center"/>
                </w:tcPr>
                <w:p w14:paraId="59D7E9CE">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p>
              </w:tc>
              <w:tc>
                <w:tcPr>
                  <w:tcW w:w="890" w:type="dxa"/>
                  <w:vMerge w:val="continue"/>
                  <w:tcBorders>
                    <w:left w:val="single" w:color="auto" w:sz="6" w:space="0"/>
                    <w:right w:val="single" w:color="auto" w:sz="6" w:space="0"/>
                  </w:tcBorders>
                  <w:shd w:val="clear" w:color="auto" w:fill="auto"/>
                  <w:vAlign w:val="center"/>
                </w:tcPr>
                <w:p w14:paraId="4BB92533">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p>
              </w:tc>
              <w:tc>
                <w:tcPr>
                  <w:tcW w:w="912" w:type="dxa"/>
                  <w:tcBorders>
                    <w:top w:val="single" w:color="auto" w:sz="6" w:space="0"/>
                    <w:left w:val="single" w:color="auto" w:sz="6" w:space="0"/>
                    <w:bottom w:val="single" w:color="auto" w:sz="6" w:space="0"/>
                    <w:right w:val="single" w:color="auto" w:sz="6" w:space="0"/>
                  </w:tcBorders>
                  <w:shd w:val="clear" w:color="auto" w:fill="auto"/>
                  <w:vAlign w:val="center"/>
                </w:tcPr>
                <w:p w14:paraId="784D66CC">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shd w:val="clear" w:color="auto" w:fill="auto"/>
                      <w:lang w:val="en-US" w:eastAsia="zh-CN"/>
                    </w:rPr>
                  </w:pPr>
                  <w:r>
                    <w:rPr>
                      <w:rFonts w:hint="eastAsia"/>
                      <w:color w:val="auto"/>
                      <w:sz w:val="18"/>
                      <w:szCs w:val="18"/>
                      <w:lang w:val="en-US" w:eastAsia="zh-CN"/>
                    </w:rPr>
                    <w:t>0.0018</w:t>
                  </w:r>
                </w:p>
              </w:tc>
              <w:tc>
                <w:tcPr>
                  <w:tcW w:w="952" w:type="dxa"/>
                  <w:tcBorders>
                    <w:top w:val="single" w:color="auto" w:sz="6" w:space="0"/>
                    <w:left w:val="single" w:color="auto" w:sz="6" w:space="0"/>
                    <w:bottom w:val="single" w:color="auto" w:sz="6" w:space="0"/>
                    <w:right w:val="single" w:color="auto" w:sz="6" w:space="0"/>
                  </w:tcBorders>
                  <w:shd w:val="clear" w:color="auto" w:fill="auto"/>
                  <w:vAlign w:val="center"/>
                </w:tcPr>
                <w:p w14:paraId="620F2BEB">
                  <w:pPr>
                    <w:keepNext w:val="0"/>
                    <w:keepLines w:val="0"/>
                    <w:widowControl w:val="0"/>
                    <w:suppressLineNumbers w:val="0"/>
                    <w:snapToGrid w:val="0"/>
                    <w:spacing w:before="0" w:beforeAutospacing="0" w:after="0" w:afterAutospacing="0"/>
                    <w:ind w:left="0" w:right="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0.9</w:t>
                  </w:r>
                </w:p>
              </w:tc>
              <w:tc>
                <w:tcPr>
                  <w:tcW w:w="751" w:type="dxa"/>
                  <w:vMerge w:val="continue"/>
                  <w:tcBorders>
                    <w:left w:val="single" w:color="auto" w:sz="6" w:space="0"/>
                    <w:right w:val="single" w:color="auto" w:sz="6" w:space="0"/>
                  </w:tcBorders>
                  <w:shd w:val="clear" w:color="auto" w:fill="auto"/>
                  <w:vAlign w:val="center"/>
                </w:tcPr>
                <w:p w14:paraId="5A1CCCE0">
                  <w:pPr>
                    <w:keepNext w:val="0"/>
                    <w:keepLines w:val="0"/>
                    <w:widowControl/>
                    <w:suppressLineNumbers w:val="0"/>
                    <w:snapToGrid w:val="0"/>
                    <w:spacing w:before="0" w:beforeAutospacing="0" w:after="0" w:afterAutospacing="0"/>
                    <w:ind w:left="0" w:right="0"/>
                    <w:jc w:val="center"/>
                    <w:rPr>
                      <w:rFonts w:hint="eastAsia"/>
                      <w:lang w:val="en-US" w:eastAsia="zh-CN"/>
                    </w:rPr>
                  </w:pPr>
                </w:p>
              </w:tc>
              <w:tc>
                <w:tcPr>
                  <w:tcW w:w="734" w:type="dxa"/>
                  <w:vMerge w:val="continue"/>
                  <w:tcBorders>
                    <w:left w:val="single" w:color="auto" w:sz="6" w:space="0"/>
                    <w:right w:val="nil"/>
                  </w:tcBorders>
                  <w:shd w:val="clear" w:color="auto" w:fill="auto"/>
                  <w:vAlign w:val="center"/>
                </w:tcPr>
                <w:p w14:paraId="203F5B42">
                  <w:pPr>
                    <w:keepNext w:val="0"/>
                    <w:keepLines w:val="0"/>
                    <w:widowControl/>
                    <w:suppressLineNumbers w:val="0"/>
                    <w:snapToGrid w:val="0"/>
                    <w:spacing w:before="0" w:beforeAutospacing="0" w:after="0" w:afterAutospacing="0"/>
                    <w:ind w:left="0" w:right="0"/>
                    <w:jc w:val="center"/>
                    <w:rPr>
                      <w:rFonts w:hint="eastAsia"/>
                      <w:lang w:val="en-US" w:eastAsia="zh-CN"/>
                    </w:rPr>
                  </w:pPr>
                </w:p>
              </w:tc>
            </w:tr>
          </w:tbl>
          <w:p w14:paraId="54D56427">
            <w:pPr>
              <w:pStyle w:val="69"/>
              <w:spacing w:before="160"/>
              <w:ind w:firstLine="482" w:firstLineChars="200"/>
              <w:rPr>
                <w:b/>
                <w:color w:val="auto"/>
                <w:sz w:val="24"/>
                <w:lang w:eastAsia="zh-CN"/>
              </w:rPr>
            </w:pPr>
            <w:r>
              <w:rPr>
                <w:rFonts w:hint="eastAsia"/>
                <w:b/>
                <w:color w:val="auto"/>
                <w:sz w:val="24"/>
                <w:lang w:val="en-US" w:eastAsia="zh-CN"/>
              </w:rPr>
              <w:t>2、</w:t>
            </w:r>
            <w:r>
              <w:rPr>
                <w:b/>
                <w:color w:val="auto"/>
                <w:sz w:val="24"/>
                <w:lang w:eastAsia="zh-CN"/>
              </w:rPr>
              <w:t>评价等级判断</w:t>
            </w:r>
            <w:r>
              <w:rPr>
                <w:b/>
                <w:color w:val="auto"/>
                <w:w w:val="99"/>
                <w:sz w:val="24"/>
                <w:lang w:eastAsia="zh-CN"/>
              </w:rPr>
              <w:t xml:space="preserve"> </w:t>
            </w:r>
          </w:p>
          <w:p w14:paraId="5D6BE764">
            <w:pPr>
              <w:pStyle w:val="69"/>
              <w:tabs>
                <w:tab w:val="left" w:pos="1103"/>
              </w:tabs>
              <w:spacing w:before="159" w:line="360" w:lineRule="auto"/>
              <w:ind w:left="500"/>
              <w:rPr>
                <w:rFonts w:ascii="宋体" w:hAnsi="宋体" w:cs="宋体"/>
                <w:color w:val="auto"/>
                <w:sz w:val="24"/>
                <w:szCs w:val="24"/>
                <w:lang w:eastAsia="zh-CN"/>
              </w:rPr>
            </w:pPr>
            <w:r>
              <w:rPr>
                <w:rFonts w:hint="eastAsia" w:ascii="宋体" w:hAnsi="宋体" w:cs="宋体"/>
                <w:color w:val="auto"/>
                <w:sz w:val="24"/>
                <w:szCs w:val="24"/>
                <w:lang w:eastAsia="zh-CN"/>
              </w:rPr>
              <w:t xml:space="preserve">（1）评价因子和评价标准筛选 </w:t>
            </w:r>
          </w:p>
          <w:p w14:paraId="29781045">
            <w:pPr>
              <w:pStyle w:val="69"/>
              <w:spacing w:line="360" w:lineRule="auto"/>
              <w:ind w:firstLine="436" w:firstLineChars="200"/>
              <w:rPr>
                <w:rFonts w:ascii="宋体" w:hAnsi="宋体" w:cs="宋体"/>
                <w:color w:val="auto"/>
                <w:sz w:val="24"/>
                <w:szCs w:val="24"/>
                <w:lang w:eastAsia="zh-CN"/>
              </w:rPr>
            </w:pPr>
            <w:r>
              <w:rPr>
                <w:rFonts w:hint="eastAsia" w:ascii="宋体" w:hAnsi="宋体" w:cs="宋体"/>
                <w:color w:val="auto"/>
                <w:spacing w:val="-11"/>
                <w:sz w:val="24"/>
                <w:szCs w:val="24"/>
                <w:lang w:eastAsia="zh-CN"/>
              </w:rPr>
              <w:t>根据工程分析，本次选择项目污染源正常排放的主要污染物作为本次大气影</w:t>
            </w:r>
            <w:r>
              <w:rPr>
                <w:rFonts w:hint="eastAsia" w:ascii="宋体" w:hAnsi="宋体" w:cs="宋体"/>
                <w:color w:val="auto"/>
                <w:sz w:val="24"/>
                <w:szCs w:val="24"/>
                <w:lang w:eastAsia="zh-CN"/>
              </w:rPr>
              <w:t>响评价因子，具体因子为：</w:t>
            </w:r>
            <w:r>
              <w:rPr>
                <w:rFonts w:hint="eastAsia" w:ascii="宋体" w:hAnsi="宋体" w:cs="宋体"/>
                <w:bCs/>
                <w:color w:val="auto"/>
                <w:sz w:val="24"/>
                <w:szCs w:val="24"/>
                <w:lang w:eastAsia="zh-CN"/>
              </w:rPr>
              <w:t>颗粒物</w:t>
            </w:r>
            <w:r>
              <w:rPr>
                <w:rFonts w:hint="eastAsia" w:ascii="宋体" w:hAnsi="宋体" w:cs="宋体"/>
                <w:color w:val="auto"/>
                <w:spacing w:val="-10"/>
                <w:sz w:val="24"/>
                <w:szCs w:val="24"/>
                <w:lang w:eastAsia="zh-CN"/>
              </w:rPr>
              <w:t xml:space="preserve">。 </w:t>
            </w:r>
          </w:p>
          <w:p w14:paraId="525191A2">
            <w:pPr>
              <w:pStyle w:val="69"/>
              <w:spacing w:before="5"/>
              <w:jc w:val="center"/>
              <w:rPr>
                <w:b/>
                <w:color w:val="auto"/>
                <w:sz w:val="24"/>
                <w:lang w:eastAsia="zh-CN"/>
              </w:rPr>
            </w:pPr>
            <w:r>
              <w:rPr>
                <w:rFonts w:hint="eastAsia" w:ascii="Times New Roman" w:hAnsi="Times New Roman" w:eastAsia="黑体" w:cs="Times New Roman"/>
                <w:snapToGrid w:val="0"/>
                <w:color w:val="auto"/>
                <w:sz w:val="21"/>
                <w:szCs w:val="21"/>
                <w:lang w:val="fr-FR" w:eastAsia="zh-CN"/>
              </w:rPr>
              <w:t>表 7-</w:t>
            </w:r>
            <w:r>
              <w:rPr>
                <w:rFonts w:hint="eastAsia" w:ascii="Times New Roman" w:hAnsi="Times New Roman" w:eastAsia="黑体" w:cs="Times New Roman"/>
                <w:snapToGrid w:val="0"/>
                <w:color w:val="auto"/>
                <w:sz w:val="21"/>
                <w:szCs w:val="21"/>
                <w:lang w:val="en-US" w:eastAsia="zh-CN"/>
              </w:rPr>
              <w:t>8</w:t>
            </w:r>
            <w:r>
              <w:rPr>
                <w:rFonts w:hint="eastAsia" w:ascii="Times New Roman" w:hAnsi="Times New Roman" w:eastAsia="黑体" w:cs="Times New Roman"/>
                <w:snapToGrid w:val="0"/>
                <w:color w:val="auto"/>
                <w:sz w:val="21"/>
                <w:szCs w:val="21"/>
                <w:lang w:val="fr-FR" w:eastAsia="zh-CN"/>
              </w:rPr>
              <w:t xml:space="preserve"> </w:t>
            </w:r>
            <w:r>
              <w:rPr>
                <w:rFonts w:hint="eastAsia" w:ascii="Times New Roman" w:hAnsi="Times New Roman" w:eastAsia="黑体" w:cs="Times New Roman"/>
                <w:snapToGrid w:val="0"/>
                <w:color w:val="auto"/>
                <w:sz w:val="21"/>
                <w:szCs w:val="21"/>
                <w:lang w:val="en-US" w:eastAsia="zh-CN"/>
              </w:rPr>
              <w:t xml:space="preserve">    </w:t>
            </w:r>
            <w:r>
              <w:rPr>
                <w:rFonts w:hint="eastAsia" w:ascii="Times New Roman" w:hAnsi="Times New Roman" w:eastAsia="黑体" w:cs="Times New Roman"/>
                <w:snapToGrid w:val="0"/>
                <w:color w:val="auto"/>
                <w:sz w:val="21"/>
                <w:szCs w:val="21"/>
                <w:lang w:val="fr-FR" w:eastAsia="zh-CN"/>
              </w:rPr>
              <w:t>项目评价因子和评价标准一览表</w:t>
            </w:r>
          </w:p>
          <w:tbl>
            <w:tblPr>
              <w:tblStyle w:val="22"/>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130"/>
              <w:gridCol w:w="1131"/>
              <w:gridCol w:w="1229"/>
              <w:gridCol w:w="5731"/>
            </w:tblGrid>
            <w:tr w14:paraId="4EF7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6" w:hRule="atLeast"/>
                <w:jc w:val="center"/>
              </w:trPr>
              <w:tc>
                <w:tcPr>
                  <w:tcW w:w="1130" w:type="dxa"/>
                  <w:shd w:val="clear" w:color="auto" w:fill="FFFFFF"/>
                  <w:noWrap w:val="0"/>
                  <w:vAlign w:val="center"/>
                </w:tcPr>
                <w:p w14:paraId="1452C047">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评价因子</w:t>
                  </w:r>
                </w:p>
              </w:tc>
              <w:tc>
                <w:tcPr>
                  <w:tcW w:w="1131" w:type="dxa"/>
                  <w:shd w:val="clear" w:color="auto" w:fill="FFFFFF"/>
                  <w:noWrap w:val="0"/>
                  <w:vAlign w:val="center"/>
                </w:tcPr>
                <w:p w14:paraId="29D1B953">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评价时段</w:t>
                  </w:r>
                </w:p>
              </w:tc>
              <w:tc>
                <w:tcPr>
                  <w:tcW w:w="1229" w:type="dxa"/>
                  <w:shd w:val="clear" w:color="auto" w:fill="FFFFFF"/>
                  <w:noWrap w:val="0"/>
                  <w:vAlign w:val="center"/>
                </w:tcPr>
                <w:p w14:paraId="2A6921A6">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标准值</w:t>
                  </w:r>
                </w:p>
                <w:p w14:paraId="53556C6E">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（μg/m</w:t>
                  </w:r>
                  <w:r>
                    <w:rPr>
                      <w:rFonts w:hint="eastAsia" w:ascii="宋体" w:hAnsi="宋体" w:eastAsia="宋体" w:cs="宋体"/>
                      <w:color w:val="auto"/>
                      <w:sz w:val="18"/>
                      <w:szCs w:val="18"/>
                      <w:vertAlign w:val="superscript"/>
                      <w:lang w:eastAsia="zh-CN"/>
                    </w:rPr>
                    <w:t>3</w:t>
                  </w:r>
                  <w:r>
                    <w:rPr>
                      <w:rFonts w:hint="eastAsia" w:ascii="宋体" w:hAnsi="宋体" w:eastAsia="宋体" w:cs="宋体"/>
                      <w:color w:val="auto"/>
                      <w:sz w:val="18"/>
                      <w:szCs w:val="18"/>
                      <w:lang w:eastAsia="zh-CN"/>
                    </w:rPr>
                    <w:t>）</w:t>
                  </w:r>
                </w:p>
              </w:tc>
              <w:tc>
                <w:tcPr>
                  <w:tcW w:w="5731" w:type="dxa"/>
                  <w:shd w:val="clear" w:color="auto" w:fill="FFFFFF"/>
                  <w:noWrap w:val="0"/>
                  <w:vAlign w:val="center"/>
                </w:tcPr>
                <w:p w14:paraId="66BE83AF">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标准来源</w:t>
                  </w:r>
                </w:p>
              </w:tc>
            </w:tr>
            <w:tr w14:paraId="7D3A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130" w:type="dxa"/>
                  <w:shd w:val="clear" w:color="auto" w:fill="FFFFFF"/>
                  <w:noWrap w:val="0"/>
                  <w:vAlign w:val="center"/>
                </w:tcPr>
                <w:p w14:paraId="3D42506B">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颗粒物</w:t>
                  </w:r>
                </w:p>
              </w:tc>
              <w:tc>
                <w:tcPr>
                  <w:tcW w:w="1131" w:type="dxa"/>
                  <w:shd w:val="clear" w:color="auto" w:fill="FFFFFF"/>
                  <w:noWrap w:val="0"/>
                  <w:vAlign w:val="center"/>
                </w:tcPr>
                <w:p w14:paraId="1AD878C6">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日均值</w:t>
                  </w:r>
                </w:p>
              </w:tc>
              <w:tc>
                <w:tcPr>
                  <w:tcW w:w="1229" w:type="dxa"/>
                  <w:shd w:val="clear" w:color="auto" w:fill="FFFFFF"/>
                  <w:noWrap w:val="0"/>
                  <w:vAlign w:val="center"/>
                </w:tcPr>
                <w:p w14:paraId="0C15036E">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300</w:t>
                  </w:r>
                </w:p>
              </w:tc>
              <w:tc>
                <w:tcPr>
                  <w:tcW w:w="5731" w:type="dxa"/>
                  <w:shd w:val="clear" w:color="auto" w:fill="FFFFFF"/>
                  <w:noWrap w:val="0"/>
                  <w:vAlign w:val="center"/>
                </w:tcPr>
                <w:p w14:paraId="0EBDED39">
                  <w:pPr>
                    <w:pStyle w:val="69"/>
                    <w:jc w:val="center"/>
                    <w:rPr>
                      <w:rFonts w:ascii="宋体" w:hAnsi="宋体" w:eastAsia="宋体" w:cs="宋体"/>
                      <w:color w:val="auto"/>
                      <w:sz w:val="18"/>
                      <w:szCs w:val="18"/>
                      <w:lang w:eastAsia="zh-CN"/>
                    </w:rPr>
                  </w:pPr>
                  <w:r>
                    <w:rPr>
                      <w:rFonts w:hint="eastAsia" w:ascii="宋体" w:hAnsi="宋体" w:eastAsia="宋体" w:cs="宋体"/>
                      <w:color w:val="auto"/>
                      <w:sz w:val="18"/>
                      <w:szCs w:val="18"/>
                      <w:lang w:eastAsia="zh-CN"/>
                    </w:rPr>
                    <w:t>《环境空气质量标准》（GB3095-2012）表1、表2中相关标准</w:t>
                  </w:r>
                </w:p>
              </w:tc>
            </w:tr>
          </w:tbl>
          <w:p w14:paraId="680D23E6">
            <w:pPr>
              <w:pStyle w:val="69"/>
              <w:jc w:val="center"/>
              <w:rPr>
                <w:b/>
                <w:color w:val="auto"/>
                <w:sz w:val="24"/>
                <w:lang w:eastAsia="zh-CN"/>
              </w:rPr>
            </w:pPr>
          </w:p>
          <w:p w14:paraId="6727AA95">
            <w:pPr>
              <w:pStyle w:val="69"/>
              <w:tabs>
                <w:tab w:val="left" w:pos="1103"/>
              </w:tabs>
              <w:spacing w:before="158"/>
              <w:ind w:left="500"/>
              <w:rPr>
                <w:color w:val="auto"/>
                <w:sz w:val="24"/>
                <w:lang w:eastAsia="zh-CN"/>
              </w:rPr>
            </w:pPr>
            <w:r>
              <w:rPr>
                <w:rFonts w:hint="eastAsia"/>
                <w:color w:val="auto"/>
                <w:sz w:val="24"/>
                <w:lang w:eastAsia="zh-CN"/>
              </w:rPr>
              <w:t>（2）</w:t>
            </w:r>
            <w:r>
              <w:rPr>
                <w:color w:val="auto"/>
                <w:sz w:val="24"/>
                <w:lang w:eastAsia="zh-CN"/>
              </w:rPr>
              <w:t xml:space="preserve">估算模型参数 </w:t>
            </w:r>
          </w:p>
          <w:p w14:paraId="4AD92D48">
            <w:pPr>
              <w:pStyle w:val="69"/>
              <w:spacing w:line="360" w:lineRule="auto"/>
              <w:ind w:firstLine="436" w:firstLineChars="200"/>
              <w:rPr>
                <w:rFonts w:hint="eastAsia" w:ascii="宋体" w:hAnsi="宋体" w:cs="宋体"/>
                <w:color w:val="auto"/>
                <w:spacing w:val="-11"/>
                <w:sz w:val="24"/>
                <w:szCs w:val="24"/>
                <w:lang w:eastAsia="zh-CN"/>
              </w:rPr>
            </w:pPr>
            <w:r>
              <w:rPr>
                <w:rFonts w:hint="eastAsia" w:ascii="宋体" w:hAnsi="宋体" w:cs="宋体"/>
                <w:color w:val="auto"/>
                <w:spacing w:val="-11"/>
                <w:sz w:val="24"/>
                <w:szCs w:val="24"/>
                <w:lang w:eastAsia="zh-CN"/>
              </w:rPr>
              <w:t xml:space="preserve">本次大气环境影响预测采用《环境影响评价技术导则— 大气环境》（HJ2.2-2018）推荐模式清单中的 AERSCREEN 模型进行预测，计算各预测因子最大落地地面浓度值。 </w:t>
            </w:r>
          </w:p>
          <w:p w14:paraId="5A59F822">
            <w:pPr>
              <w:pStyle w:val="69"/>
              <w:spacing w:line="360" w:lineRule="auto"/>
              <w:ind w:firstLine="436" w:firstLineChars="200"/>
              <w:rPr>
                <w:rFonts w:hint="eastAsia" w:ascii="宋体" w:hAnsi="宋体" w:cs="宋体"/>
                <w:color w:val="auto"/>
                <w:spacing w:val="-11"/>
                <w:sz w:val="24"/>
                <w:szCs w:val="24"/>
                <w:lang w:eastAsia="zh-CN"/>
              </w:rPr>
            </w:pPr>
            <w:r>
              <w:rPr>
                <w:rFonts w:hint="eastAsia" w:ascii="宋体" w:hAnsi="宋体" w:cs="宋体"/>
                <w:color w:val="auto"/>
                <w:spacing w:val="-11"/>
                <w:sz w:val="24"/>
                <w:szCs w:val="24"/>
                <w:lang w:eastAsia="zh-CN"/>
              </w:rPr>
              <w:t xml:space="preserve">根据项目所在地环境特点，项目估算模型参数详见下表： </w:t>
            </w:r>
          </w:p>
          <w:p w14:paraId="33663998">
            <w:pPr>
              <w:pStyle w:val="12"/>
              <w:spacing w:before="2"/>
              <w:jc w:val="center"/>
              <w:rPr>
                <w:color w:val="auto"/>
              </w:rPr>
            </w:pPr>
            <w:r>
              <w:rPr>
                <w:rFonts w:hint="eastAsia" w:ascii="Times New Roman" w:hAnsi="Times New Roman" w:eastAsia="黑体"/>
                <w:b w:val="0"/>
                <w:bCs w:val="0"/>
                <w:snapToGrid w:val="0"/>
                <w:color w:val="auto"/>
                <w:kern w:val="0"/>
                <w:sz w:val="21"/>
                <w:szCs w:val="21"/>
                <w:lang w:val="fr-FR"/>
              </w:rPr>
              <w:t>表 7-</w:t>
            </w:r>
            <w:r>
              <w:rPr>
                <w:rFonts w:hint="eastAsia" w:eastAsia="黑体"/>
                <w:b w:val="0"/>
                <w:bCs w:val="0"/>
                <w:snapToGrid w:val="0"/>
                <w:color w:val="auto"/>
                <w:kern w:val="0"/>
                <w:sz w:val="21"/>
                <w:szCs w:val="21"/>
                <w:lang w:val="en-US" w:eastAsia="zh-CN"/>
              </w:rPr>
              <w:t>9</w:t>
            </w:r>
            <w:r>
              <w:rPr>
                <w:rFonts w:hint="eastAsia" w:ascii="Times New Roman" w:hAnsi="Times New Roman" w:eastAsia="黑体"/>
                <w:b w:val="0"/>
                <w:bCs w:val="0"/>
                <w:snapToGrid w:val="0"/>
                <w:color w:val="auto"/>
                <w:kern w:val="0"/>
                <w:sz w:val="21"/>
                <w:szCs w:val="21"/>
                <w:lang w:val="fr-FR"/>
              </w:rPr>
              <w:t xml:space="preserve"> 项目估算模型参数表</w:t>
            </w:r>
          </w:p>
          <w:tbl>
            <w:tblPr>
              <w:tblStyle w:val="22"/>
              <w:tblW w:w="9221"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Layout w:type="autofit"/>
              <w:tblCellMar>
                <w:top w:w="0" w:type="dxa"/>
                <w:left w:w="0" w:type="dxa"/>
                <w:bottom w:w="0" w:type="dxa"/>
                <w:right w:w="0" w:type="dxa"/>
              </w:tblCellMar>
            </w:tblPr>
            <w:tblGrid>
              <w:gridCol w:w="1970"/>
              <w:gridCol w:w="4282"/>
              <w:gridCol w:w="2969"/>
            </w:tblGrid>
            <w:tr w14:paraId="6E6D7F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3" w:hRule="atLeast"/>
                <w:jc w:val="center"/>
              </w:trPr>
              <w:tc>
                <w:tcPr>
                  <w:tcW w:w="6252" w:type="dxa"/>
                  <w:gridSpan w:val="2"/>
                  <w:tcBorders>
                    <w:left w:val="nil"/>
                    <w:bottom w:val="single" w:color="000000" w:sz="6" w:space="0"/>
                    <w:right w:val="single" w:color="000000" w:sz="6" w:space="0"/>
                  </w:tcBorders>
                  <w:shd w:val="clear" w:color="auto" w:fill="FFFFFF"/>
                  <w:noWrap w:val="0"/>
                  <w:vAlign w:val="top"/>
                </w:tcPr>
                <w:p w14:paraId="71159B53">
                  <w:pPr>
                    <w:pStyle w:val="69"/>
                    <w:spacing w:before="3" w:line="250" w:lineRule="exact"/>
                    <w:ind w:left="2135" w:right="2023"/>
                    <w:jc w:val="center"/>
                    <w:rPr>
                      <w:color w:val="auto"/>
                      <w:sz w:val="21"/>
                    </w:rPr>
                  </w:pPr>
                  <w:r>
                    <w:rPr>
                      <w:color w:val="auto"/>
                      <w:sz w:val="21"/>
                    </w:rPr>
                    <w:t xml:space="preserve">参数 </w:t>
                  </w:r>
                </w:p>
              </w:tc>
              <w:tc>
                <w:tcPr>
                  <w:tcW w:w="2969" w:type="dxa"/>
                  <w:tcBorders>
                    <w:left w:val="single" w:color="000000" w:sz="6" w:space="0"/>
                    <w:bottom w:val="single" w:color="000000" w:sz="6" w:space="0"/>
                    <w:right w:val="nil"/>
                  </w:tcBorders>
                  <w:shd w:val="clear" w:color="auto" w:fill="FFFFFF"/>
                  <w:noWrap w:val="0"/>
                  <w:vAlign w:val="top"/>
                </w:tcPr>
                <w:p w14:paraId="55A6B561">
                  <w:pPr>
                    <w:pStyle w:val="69"/>
                    <w:spacing w:before="3" w:line="250" w:lineRule="exact"/>
                    <w:ind w:left="869" w:right="775"/>
                    <w:jc w:val="center"/>
                    <w:rPr>
                      <w:color w:val="auto"/>
                      <w:sz w:val="21"/>
                    </w:rPr>
                  </w:pPr>
                  <w:r>
                    <w:rPr>
                      <w:color w:val="auto"/>
                      <w:sz w:val="21"/>
                    </w:rPr>
                    <w:t xml:space="preserve">取值 </w:t>
                  </w:r>
                </w:p>
              </w:tc>
            </w:tr>
            <w:tr w14:paraId="75B507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jc w:val="center"/>
              </w:trPr>
              <w:tc>
                <w:tcPr>
                  <w:tcW w:w="1970" w:type="dxa"/>
                  <w:vMerge w:val="restart"/>
                  <w:tcBorders>
                    <w:top w:val="single" w:color="000000" w:sz="6" w:space="0"/>
                    <w:left w:val="nil"/>
                    <w:bottom w:val="single" w:color="000000" w:sz="6" w:space="0"/>
                    <w:right w:val="single" w:color="000000" w:sz="6" w:space="0"/>
                  </w:tcBorders>
                  <w:shd w:val="clear" w:color="auto" w:fill="FFFFFF"/>
                  <w:noWrap w:val="0"/>
                  <w:vAlign w:val="top"/>
                </w:tcPr>
                <w:p w14:paraId="45FA236D">
                  <w:pPr>
                    <w:pStyle w:val="69"/>
                    <w:spacing w:before="147"/>
                    <w:ind w:left="227"/>
                    <w:rPr>
                      <w:color w:val="auto"/>
                      <w:sz w:val="21"/>
                    </w:rPr>
                  </w:pPr>
                  <w:r>
                    <w:rPr>
                      <w:color w:val="auto"/>
                      <w:sz w:val="21"/>
                    </w:rPr>
                    <w:t xml:space="preserve">城市/农村选项 </w:t>
                  </w:r>
                </w:p>
              </w:tc>
              <w:tc>
                <w:tcPr>
                  <w:tcW w:w="4282" w:type="dxa"/>
                  <w:tcBorders>
                    <w:top w:val="single" w:color="000000" w:sz="6" w:space="0"/>
                    <w:left w:val="single" w:color="000000" w:sz="6" w:space="0"/>
                    <w:bottom w:val="single" w:color="000000" w:sz="6" w:space="0"/>
                    <w:right w:val="single" w:color="000000" w:sz="6" w:space="0"/>
                  </w:tcBorders>
                  <w:shd w:val="clear" w:color="auto" w:fill="FFFFFF"/>
                  <w:noWrap w:val="0"/>
                  <w:vAlign w:val="top"/>
                </w:tcPr>
                <w:p w14:paraId="33986377">
                  <w:pPr>
                    <w:pStyle w:val="69"/>
                    <w:spacing w:before="3" w:line="250" w:lineRule="exact"/>
                    <w:ind w:left="954" w:right="850"/>
                    <w:jc w:val="center"/>
                    <w:rPr>
                      <w:color w:val="auto"/>
                      <w:sz w:val="21"/>
                    </w:rPr>
                  </w:pPr>
                  <w:r>
                    <w:rPr>
                      <w:color w:val="auto"/>
                      <w:sz w:val="21"/>
                    </w:rPr>
                    <w:t xml:space="preserve">城市/农村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60550E2A">
                  <w:pPr>
                    <w:pStyle w:val="69"/>
                    <w:spacing w:before="3" w:line="250" w:lineRule="exact"/>
                    <w:ind w:left="869" w:right="775"/>
                    <w:jc w:val="center"/>
                    <w:rPr>
                      <w:color w:val="auto"/>
                      <w:sz w:val="21"/>
                    </w:rPr>
                  </w:pPr>
                  <w:r>
                    <w:rPr>
                      <w:rFonts w:hint="eastAsia"/>
                      <w:color w:val="auto"/>
                      <w:sz w:val="21"/>
                      <w:lang w:val="en-US" w:eastAsia="zh-CN"/>
                    </w:rPr>
                    <w:t>农村</w:t>
                  </w:r>
                  <w:r>
                    <w:rPr>
                      <w:color w:val="auto"/>
                      <w:sz w:val="21"/>
                    </w:rPr>
                    <w:t xml:space="preserve"> </w:t>
                  </w:r>
                </w:p>
              </w:tc>
            </w:tr>
            <w:tr w14:paraId="0E1239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2" w:hRule="atLeast"/>
                <w:jc w:val="center"/>
              </w:trPr>
              <w:tc>
                <w:tcPr>
                  <w:tcW w:w="1970" w:type="dxa"/>
                  <w:vMerge w:val="continue"/>
                  <w:tcBorders>
                    <w:top w:val="nil"/>
                    <w:left w:val="nil"/>
                    <w:bottom w:val="single" w:color="000000" w:sz="6" w:space="0"/>
                    <w:right w:val="single" w:color="000000" w:sz="6" w:space="0"/>
                  </w:tcBorders>
                  <w:shd w:val="clear" w:color="auto" w:fill="FFFFFF"/>
                  <w:noWrap w:val="0"/>
                  <w:vAlign w:val="top"/>
                </w:tcPr>
                <w:p w14:paraId="42165114">
                  <w:pPr>
                    <w:rPr>
                      <w:color w:val="auto"/>
                      <w:sz w:val="2"/>
                      <w:szCs w:val="2"/>
                    </w:rPr>
                  </w:pPr>
                </w:p>
              </w:tc>
              <w:tc>
                <w:tcPr>
                  <w:tcW w:w="4282" w:type="dxa"/>
                  <w:tcBorders>
                    <w:top w:val="single" w:color="000000" w:sz="6" w:space="0"/>
                    <w:left w:val="single" w:color="000000" w:sz="6" w:space="0"/>
                    <w:bottom w:val="single" w:color="000000" w:sz="6" w:space="0"/>
                    <w:right w:val="single" w:color="000000" w:sz="6" w:space="0"/>
                  </w:tcBorders>
                  <w:shd w:val="clear" w:color="auto" w:fill="FFFFFF"/>
                  <w:noWrap w:val="0"/>
                  <w:vAlign w:val="top"/>
                </w:tcPr>
                <w:p w14:paraId="7E90ECC8">
                  <w:pPr>
                    <w:pStyle w:val="69"/>
                    <w:spacing w:before="1" w:line="252" w:lineRule="exact"/>
                    <w:ind w:left="954" w:right="852"/>
                    <w:jc w:val="center"/>
                    <w:rPr>
                      <w:color w:val="auto"/>
                      <w:sz w:val="21"/>
                      <w:lang w:eastAsia="zh-CN"/>
                    </w:rPr>
                  </w:pPr>
                  <w:r>
                    <w:rPr>
                      <w:color w:val="auto"/>
                      <w:sz w:val="21"/>
                      <w:lang w:eastAsia="zh-CN"/>
                    </w:rPr>
                    <w:t xml:space="preserve">人口数（城市选项时）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3F75A65A">
                  <w:pPr>
                    <w:pStyle w:val="69"/>
                    <w:spacing w:before="1" w:line="252" w:lineRule="exact"/>
                    <w:ind w:left="872" w:right="775"/>
                    <w:jc w:val="center"/>
                    <w:rPr>
                      <w:color w:val="auto"/>
                      <w:sz w:val="21"/>
                    </w:rPr>
                  </w:pPr>
                  <w:r>
                    <w:rPr>
                      <w:rFonts w:hint="eastAsia"/>
                      <w:color w:val="auto"/>
                      <w:sz w:val="21"/>
                      <w:lang w:val="en-US" w:eastAsia="zh-CN"/>
                    </w:rPr>
                    <w:t>/</w:t>
                  </w:r>
                </w:p>
              </w:tc>
            </w:tr>
            <w:tr w14:paraId="519B07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3" w:hRule="atLeast"/>
                <w:jc w:val="center"/>
              </w:trPr>
              <w:tc>
                <w:tcPr>
                  <w:tcW w:w="6252" w:type="dxa"/>
                  <w:gridSpan w:val="2"/>
                  <w:tcBorders>
                    <w:top w:val="single" w:color="000000" w:sz="6" w:space="0"/>
                    <w:left w:val="nil"/>
                    <w:bottom w:val="single" w:color="000000" w:sz="6" w:space="0"/>
                    <w:right w:val="single" w:color="000000" w:sz="6" w:space="0"/>
                  </w:tcBorders>
                  <w:shd w:val="clear" w:color="auto" w:fill="FFFFFF"/>
                  <w:noWrap w:val="0"/>
                  <w:vAlign w:val="top"/>
                </w:tcPr>
                <w:p w14:paraId="7E25680C">
                  <w:pPr>
                    <w:pStyle w:val="69"/>
                    <w:spacing w:before="1" w:line="252" w:lineRule="exact"/>
                    <w:ind w:left="2135" w:right="2025"/>
                    <w:jc w:val="center"/>
                    <w:rPr>
                      <w:color w:val="auto"/>
                      <w:sz w:val="21"/>
                    </w:rPr>
                  </w:pPr>
                  <w:r>
                    <w:rPr>
                      <w:color w:val="auto"/>
                      <w:sz w:val="21"/>
                    </w:rPr>
                    <w:t xml:space="preserve">最高环境温度/℃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6F40E6BA">
                  <w:pPr>
                    <w:pStyle w:val="69"/>
                    <w:spacing w:before="1" w:line="252" w:lineRule="exact"/>
                    <w:ind w:left="869" w:right="775"/>
                    <w:jc w:val="center"/>
                    <w:rPr>
                      <w:color w:val="auto"/>
                      <w:sz w:val="21"/>
                    </w:rPr>
                  </w:pPr>
                  <w:r>
                    <w:rPr>
                      <w:color w:val="auto"/>
                      <w:sz w:val="21"/>
                    </w:rPr>
                    <w:t xml:space="preserve">40.3 </w:t>
                  </w:r>
                </w:p>
              </w:tc>
            </w:tr>
            <w:tr w14:paraId="5EC39A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0" w:hRule="atLeast"/>
                <w:jc w:val="center"/>
              </w:trPr>
              <w:tc>
                <w:tcPr>
                  <w:tcW w:w="6252" w:type="dxa"/>
                  <w:gridSpan w:val="2"/>
                  <w:tcBorders>
                    <w:top w:val="single" w:color="000000" w:sz="6" w:space="0"/>
                    <w:left w:val="nil"/>
                    <w:bottom w:val="single" w:color="000000" w:sz="6" w:space="0"/>
                    <w:right w:val="single" w:color="000000" w:sz="6" w:space="0"/>
                  </w:tcBorders>
                  <w:shd w:val="clear" w:color="auto" w:fill="FFFFFF"/>
                  <w:noWrap w:val="0"/>
                  <w:vAlign w:val="top"/>
                </w:tcPr>
                <w:p w14:paraId="24A74034">
                  <w:pPr>
                    <w:pStyle w:val="69"/>
                    <w:spacing w:before="1" w:line="250" w:lineRule="exact"/>
                    <w:ind w:left="2135" w:right="2025"/>
                    <w:jc w:val="center"/>
                    <w:rPr>
                      <w:color w:val="auto"/>
                      <w:sz w:val="21"/>
                    </w:rPr>
                  </w:pPr>
                  <w:r>
                    <w:rPr>
                      <w:color w:val="auto"/>
                      <w:sz w:val="21"/>
                    </w:rPr>
                    <w:t xml:space="preserve">最低环境温度/℃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53F93E2B">
                  <w:pPr>
                    <w:pStyle w:val="69"/>
                    <w:spacing w:before="1" w:line="250" w:lineRule="exact"/>
                    <w:ind w:left="869" w:right="775"/>
                    <w:jc w:val="center"/>
                    <w:rPr>
                      <w:color w:val="auto"/>
                      <w:sz w:val="21"/>
                    </w:rPr>
                  </w:pPr>
                  <w:r>
                    <w:rPr>
                      <w:color w:val="auto"/>
                      <w:sz w:val="21"/>
                    </w:rPr>
                    <w:t xml:space="preserve">-3.1 </w:t>
                  </w:r>
                </w:p>
              </w:tc>
            </w:tr>
            <w:tr w14:paraId="341389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jc w:val="center"/>
              </w:trPr>
              <w:tc>
                <w:tcPr>
                  <w:tcW w:w="6252" w:type="dxa"/>
                  <w:gridSpan w:val="2"/>
                  <w:tcBorders>
                    <w:top w:val="single" w:color="000000" w:sz="6" w:space="0"/>
                    <w:left w:val="nil"/>
                    <w:bottom w:val="single" w:color="000000" w:sz="6" w:space="0"/>
                    <w:right w:val="single" w:color="000000" w:sz="6" w:space="0"/>
                  </w:tcBorders>
                  <w:shd w:val="clear" w:color="auto" w:fill="FFFFFF"/>
                  <w:noWrap w:val="0"/>
                  <w:vAlign w:val="top"/>
                </w:tcPr>
                <w:p w14:paraId="302E9AFF">
                  <w:pPr>
                    <w:pStyle w:val="69"/>
                    <w:spacing w:before="3" w:line="250" w:lineRule="exact"/>
                    <w:ind w:left="2135" w:right="2023"/>
                    <w:jc w:val="center"/>
                    <w:rPr>
                      <w:color w:val="auto"/>
                      <w:sz w:val="21"/>
                    </w:rPr>
                  </w:pPr>
                  <w:r>
                    <w:rPr>
                      <w:color w:val="auto"/>
                      <w:sz w:val="21"/>
                    </w:rPr>
                    <w:t xml:space="preserve">土地利用类型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604256BA">
                  <w:pPr>
                    <w:pStyle w:val="69"/>
                    <w:spacing w:before="3" w:line="250" w:lineRule="exact"/>
                    <w:ind w:left="869" w:right="775"/>
                    <w:jc w:val="center"/>
                    <w:rPr>
                      <w:color w:val="auto"/>
                      <w:sz w:val="21"/>
                    </w:rPr>
                  </w:pPr>
                  <w:r>
                    <w:rPr>
                      <w:rFonts w:hint="eastAsia"/>
                      <w:color w:val="auto"/>
                      <w:sz w:val="21"/>
                      <w:lang w:val="en-US" w:eastAsia="zh-CN"/>
                    </w:rPr>
                    <w:t>农村</w:t>
                  </w:r>
                  <w:r>
                    <w:rPr>
                      <w:color w:val="auto"/>
                      <w:sz w:val="21"/>
                    </w:rPr>
                    <w:t xml:space="preserve"> </w:t>
                  </w:r>
                </w:p>
              </w:tc>
            </w:tr>
            <w:tr w14:paraId="51DE8E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2" w:hRule="atLeast"/>
                <w:jc w:val="center"/>
              </w:trPr>
              <w:tc>
                <w:tcPr>
                  <w:tcW w:w="6252" w:type="dxa"/>
                  <w:gridSpan w:val="2"/>
                  <w:tcBorders>
                    <w:top w:val="single" w:color="000000" w:sz="6" w:space="0"/>
                    <w:left w:val="nil"/>
                    <w:bottom w:val="single" w:color="000000" w:sz="6" w:space="0"/>
                    <w:right w:val="single" w:color="000000" w:sz="6" w:space="0"/>
                  </w:tcBorders>
                  <w:shd w:val="clear" w:color="auto" w:fill="FFFFFF"/>
                  <w:noWrap w:val="0"/>
                  <w:vAlign w:val="top"/>
                </w:tcPr>
                <w:p w14:paraId="37FB9B20">
                  <w:pPr>
                    <w:pStyle w:val="69"/>
                    <w:spacing w:before="1" w:line="252" w:lineRule="exact"/>
                    <w:ind w:left="2135" w:right="2023"/>
                    <w:jc w:val="center"/>
                    <w:rPr>
                      <w:color w:val="auto"/>
                      <w:sz w:val="21"/>
                    </w:rPr>
                  </w:pPr>
                  <w:r>
                    <w:rPr>
                      <w:color w:val="auto"/>
                      <w:sz w:val="21"/>
                    </w:rPr>
                    <w:t xml:space="preserve">区域湿度条件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374F0792">
                  <w:pPr>
                    <w:pStyle w:val="69"/>
                    <w:spacing w:before="1" w:line="252" w:lineRule="exact"/>
                    <w:ind w:left="872" w:right="775"/>
                    <w:jc w:val="center"/>
                    <w:rPr>
                      <w:color w:val="auto"/>
                      <w:sz w:val="21"/>
                    </w:rPr>
                  </w:pPr>
                  <w:r>
                    <w:rPr>
                      <w:color w:val="auto"/>
                      <w:sz w:val="21"/>
                    </w:rPr>
                    <w:t xml:space="preserve">湿 </w:t>
                  </w:r>
                </w:p>
              </w:tc>
            </w:tr>
            <w:tr w14:paraId="3BA69B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3" w:hRule="atLeast"/>
                <w:jc w:val="center"/>
              </w:trPr>
              <w:tc>
                <w:tcPr>
                  <w:tcW w:w="1970" w:type="dxa"/>
                  <w:vMerge w:val="restart"/>
                  <w:tcBorders>
                    <w:top w:val="single" w:color="000000" w:sz="6" w:space="0"/>
                    <w:left w:val="nil"/>
                    <w:bottom w:val="single" w:color="000000" w:sz="6" w:space="0"/>
                    <w:right w:val="single" w:color="000000" w:sz="6" w:space="0"/>
                  </w:tcBorders>
                  <w:shd w:val="clear" w:color="auto" w:fill="FFFFFF"/>
                  <w:noWrap w:val="0"/>
                  <w:vAlign w:val="top"/>
                </w:tcPr>
                <w:p w14:paraId="1D1880A2">
                  <w:pPr>
                    <w:pStyle w:val="69"/>
                    <w:spacing w:before="145"/>
                    <w:ind w:left="280"/>
                    <w:rPr>
                      <w:color w:val="auto"/>
                      <w:sz w:val="21"/>
                    </w:rPr>
                  </w:pPr>
                  <w:r>
                    <w:rPr>
                      <w:color w:val="auto"/>
                      <w:sz w:val="21"/>
                    </w:rPr>
                    <w:t xml:space="preserve">是否考虑地形 </w:t>
                  </w:r>
                </w:p>
              </w:tc>
              <w:tc>
                <w:tcPr>
                  <w:tcW w:w="4282" w:type="dxa"/>
                  <w:tcBorders>
                    <w:top w:val="single" w:color="000000" w:sz="6" w:space="0"/>
                    <w:left w:val="single" w:color="000000" w:sz="6" w:space="0"/>
                    <w:bottom w:val="single" w:color="000000" w:sz="6" w:space="0"/>
                    <w:right w:val="single" w:color="000000" w:sz="6" w:space="0"/>
                  </w:tcBorders>
                  <w:shd w:val="clear" w:color="auto" w:fill="FFFFFF"/>
                  <w:noWrap w:val="0"/>
                  <w:vAlign w:val="top"/>
                </w:tcPr>
                <w:p w14:paraId="70EF0D3F">
                  <w:pPr>
                    <w:pStyle w:val="69"/>
                    <w:spacing w:before="1" w:line="252" w:lineRule="exact"/>
                    <w:ind w:left="954" w:right="850"/>
                    <w:jc w:val="center"/>
                    <w:rPr>
                      <w:color w:val="auto"/>
                      <w:sz w:val="21"/>
                    </w:rPr>
                  </w:pPr>
                  <w:r>
                    <w:rPr>
                      <w:color w:val="auto"/>
                      <w:sz w:val="21"/>
                    </w:rPr>
                    <w:t xml:space="preserve">考虑地形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6CCF9F69">
                  <w:pPr>
                    <w:pStyle w:val="69"/>
                    <w:numPr>
                      <w:ilvl w:val="0"/>
                      <w:numId w:val="0"/>
                    </w:numPr>
                    <w:tabs>
                      <w:tab w:val="left" w:pos="1051"/>
                    </w:tabs>
                    <w:spacing w:before="1" w:line="252" w:lineRule="exact"/>
                    <w:jc w:val="center"/>
                    <w:rPr>
                      <w:color w:val="auto"/>
                      <w:sz w:val="21"/>
                    </w:rPr>
                  </w:pPr>
                  <w:r>
                    <w:rPr>
                      <w:rFonts w:ascii="Wingdings" w:hAnsi="Wingdings" w:eastAsia="Wingdings"/>
                      <w:color w:val="auto"/>
                      <w:sz w:val="21"/>
                    </w:rPr>
                    <w:sym w:font="Wingdings" w:char="00A8"/>
                  </w:r>
                  <w:r>
                    <w:rPr>
                      <w:color w:val="auto"/>
                      <w:spacing w:val="26"/>
                      <w:sz w:val="21"/>
                    </w:rPr>
                    <w:t xml:space="preserve">是 </w:t>
                  </w:r>
                  <w:r>
                    <w:rPr>
                      <w:rFonts w:ascii="Wingdings" w:hAnsi="Wingdings" w:eastAsia="Wingdings"/>
                      <w:color w:val="auto"/>
                      <w:sz w:val="21"/>
                    </w:rPr>
                    <w:sym w:font="Wingdings" w:char="00FE"/>
                  </w:r>
                  <w:r>
                    <w:rPr>
                      <w:rFonts w:ascii="Times New Roman" w:hAnsi="Times New Roman" w:eastAsia="Times New Roman"/>
                      <w:color w:val="auto"/>
                      <w:sz w:val="21"/>
                    </w:rPr>
                    <w:t xml:space="preserve"> </w:t>
                  </w:r>
                  <w:r>
                    <w:rPr>
                      <w:color w:val="auto"/>
                      <w:spacing w:val="-3"/>
                      <w:sz w:val="21"/>
                    </w:rPr>
                    <w:t>否</w:t>
                  </w:r>
                </w:p>
              </w:tc>
            </w:tr>
            <w:tr w14:paraId="4D72D3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70" w:hRule="atLeast"/>
                <w:jc w:val="center"/>
              </w:trPr>
              <w:tc>
                <w:tcPr>
                  <w:tcW w:w="1970" w:type="dxa"/>
                  <w:vMerge w:val="continue"/>
                  <w:tcBorders>
                    <w:top w:val="nil"/>
                    <w:left w:val="nil"/>
                    <w:bottom w:val="single" w:color="000000" w:sz="6" w:space="0"/>
                    <w:right w:val="single" w:color="000000" w:sz="6" w:space="0"/>
                  </w:tcBorders>
                  <w:shd w:val="clear" w:color="auto" w:fill="FFFFFF"/>
                  <w:noWrap w:val="0"/>
                  <w:vAlign w:val="top"/>
                </w:tcPr>
                <w:p w14:paraId="09485554">
                  <w:pPr>
                    <w:rPr>
                      <w:color w:val="auto"/>
                      <w:sz w:val="2"/>
                      <w:szCs w:val="2"/>
                    </w:rPr>
                  </w:pPr>
                </w:p>
              </w:tc>
              <w:tc>
                <w:tcPr>
                  <w:tcW w:w="4282" w:type="dxa"/>
                  <w:tcBorders>
                    <w:top w:val="single" w:color="000000" w:sz="6" w:space="0"/>
                    <w:left w:val="single" w:color="000000" w:sz="6" w:space="0"/>
                    <w:bottom w:val="single" w:color="000000" w:sz="6" w:space="0"/>
                    <w:right w:val="single" w:color="000000" w:sz="6" w:space="0"/>
                  </w:tcBorders>
                  <w:shd w:val="clear" w:color="auto" w:fill="FFFFFF"/>
                  <w:noWrap w:val="0"/>
                  <w:vAlign w:val="top"/>
                </w:tcPr>
                <w:p w14:paraId="56F846CE">
                  <w:pPr>
                    <w:pStyle w:val="69"/>
                    <w:spacing w:before="1" w:line="250" w:lineRule="exact"/>
                    <w:ind w:left="954" w:right="852"/>
                    <w:jc w:val="center"/>
                    <w:rPr>
                      <w:color w:val="auto"/>
                      <w:sz w:val="21"/>
                    </w:rPr>
                  </w:pPr>
                  <w:r>
                    <w:rPr>
                      <w:color w:val="auto"/>
                      <w:sz w:val="21"/>
                    </w:rPr>
                    <w:t xml:space="preserve">地形分辨率/m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3A204674">
                  <w:pPr>
                    <w:pStyle w:val="69"/>
                    <w:spacing w:before="1" w:line="250" w:lineRule="exact"/>
                    <w:ind w:left="872" w:right="775"/>
                    <w:jc w:val="center"/>
                    <w:rPr>
                      <w:color w:val="auto"/>
                      <w:sz w:val="21"/>
                    </w:rPr>
                  </w:pPr>
                  <w:r>
                    <w:rPr>
                      <w:color w:val="auto"/>
                      <w:sz w:val="21"/>
                    </w:rPr>
                    <w:t xml:space="preserve">/ </w:t>
                  </w:r>
                </w:p>
              </w:tc>
            </w:tr>
            <w:tr w14:paraId="0DA6EE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65" w:hRule="atLeast"/>
                <w:jc w:val="center"/>
              </w:trPr>
              <w:tc>
                <w:tcPr>
                  <w:tcW w:w="1970" w:type="dxa"/>
                  <w:vMerge w:val="restart"/>
                  <w:tcBorders>
                    <w:top w:val="single" w:color="000000" w:sz="6" w:space="0"/>
                    <w:left w:val="nil"/>
                    <w:right w:val="single" w:color="000000" w:sz="6" w:space="0"/>
                  </w:tcBorders>
                  <w:shd w:val="clear" w:color="auto" w:fill="FFFFFF"/>
                  <w:noWrap w:val="0"/>
                  <w:vAlign w:val="top"/>
                </w:tcPr>
                <w:p w14:paraId="36D24BC3">
                  <w:pPr>
                    <w:pStyle w:val="69"/>
                    <w:spacing w:before="9" w:line="270" w:lineRule="atLeast"/>
                    <w:ind w:left="803" w:right="163" w:hanging="629"/>
                    <w:rPr>
                      <w:color w:val="auto"/>
                      <w:sz w:val="21"/>
                    </w:rPr>
                  </w:pPr>
                  <w:r>
                    <w:rPr>
                      <w:color w:val="auto"/>
                      <w:sz w:val="21"/>
                    </w:rPr>
                    <w:t xml:space="preserve">是否考虑岸边熏烟 </w:t>
                  </w:r>
                </w:p>
              </w:tc>
              <w:tc>
                <w:tcPr>
                  <w:tcW w:w="4282" w:type="dxa"/>
                  <w:tcBorders>
                    <w:top w:val="single" w:color="000000" w:sz="6" w:space="0"/>
                    <w:left w:val="single" w:color="000000" w:sz="6" w:space="0"/>
                    <w:bottom w:val="single" w:color="000000" w:sz="6" w:space="0"/>
                    <w:right w:val="single" w:color="000000" w:sz="6" w:space="0"/>
                  </w:tcBorders>
                  <w:shd w:val="clear" w:color="auto" w:fill="FFFFFF"/>
                  <w:noWrap w:val="0"/>
                  <w:vAlign w:val="top"/>
                </w:tcPr>
                <w:p w14:paraId="030EF96C">
                  <w:pPr>
                    <w:pStyle w:val="69"/>
                    <w:spacing w:before="1" w:line="245" w:lineRule="exact"/>
                    <w:ind w:left="954" w:right="852"/>
                    <w:jc w:val="center"/>
                    <w:rPr>
                      <w:color w:val="auto"/>
                      <w:sz w:val="21"/>
                    </w:rPr>
                  </w:pPr>
                  <w:r>
                    <w:rPr>
                      <w:color w:val="auto"/>
                      <w:sz w:val="21"/>
                    </w:rPr>
                    <w:t xml:space="preserve">考虑岸边熏烟 </w:t>
                  </w:r>
                </w:p>
              </w:tc>
              <w:tc>
                <w:tcPr>
                  <w:tcW w:w="2969" w:type="dxa"/>
                  <w:tcBorders>
                    <w:top w:val="single" w:color="000000" w:sz="6" w:space="0"/>
                    <w:left w:val="single" w:color="000000" w:sz="6" w:space="0"/>
                    <w:bottom w:val="single" w:color="000000" w:sz="6" w:space="0"/>
                    <w:right w:val="nil"/>
                  </w:tcBorders>
                  <w:shd w:val="clear" w:color="auto" w:fill="FFFFFF"/>
                  <w:noWrap w:val="0"/>
                  <w:vAlign w:val="top"/>
                </w:tcPr>
                <w:p w14:paraId="5154C013">
                  <w:pPr>
                    <w:pStyle w:val="69"/>
                    <w:numPr>
                      <w:ilvl w:val="0"/>
                      <w:numId w:val="0"/>
                    </w:numPr>
                    <w:tabs>
                      <w:tab w:val="left" w:pos="1051"/>
                    </w:tabs>
                    <w:spacing w:before="1" w:line="245" w:lineRule="exact"/>
                    <w:jc w:val="center"/>
                    <w:rPr>
                      <w:color w:val="auto"/>
                      <w:sz w:val="21"/>
                    </w:rPr>
                  </w:pPr>
                  <w:r>
                    <w:rPr>
                      <w:rFonts w:ascii="Wingdings" w:hAnsi="Wingdings" w:eastAsia="Wingdings"/>
                      <w:color w:val="auto"/>
                      <w:sz w:val="21"/>
                    </w:rPr>
                    <w:sym w:font="Wingdings" w:char="00A8"/>
                  </w:r>
                  <w:r>
                    <w:rPr>
                      <w:color w:val="auto"/>
                      <w:spacing w:val="26"/>
                      <w:sz w:val="21"/>
                    </w:rPr>
                    <w:t xml:space="preserve">是 </w:t>
                  </w:r>
                  <w:r>
                    <w:rPr>
                      <w:rFonts w:ascii="Wingdings" w:hAnsi="Wingdings" w:eastAsia="Wingdings"/>
                      <w:color w:val="auto"/>
                      <w:sz w:val="21"/>
                    </w:rPr>
                    <w:sym w:font="Wingdings" w:char="00FE"/>
                  </w:r>
                  <w:r>
                    <w:rPr>
                      <w:rFonts w:ascii="Times New Roman" w:hAnsi="Times New Roman" w:eastAsia="Times New Roman"/>
                      <w:color w:val="auto"/>
                      <w:sz w:val="21"/>
                    </w:rPr>
                    <w:t xml:space="preserve"> </w:t>
                  </w:r>
                  <w:r>
                    <w:rPr>
                      <w:color w:val="auto"/>
                      <w:spacing w:val="-3"/>
                      <w:sz w:val="21"/>
                    </w:rPr>
                    <w:t>否</w:t>
                  </w:r>
                </w:p>
              </w:tc>
            </w:tr>
            <w:tr w14:paraId="694071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blCellMar>
                  <w:top w:w="0" w:type="dxa"/>
                  <w:left w:w="0" w:type="dxa"/>
                  <w:bottom w:w="0" w:type="dxa"/>
                  <w:right w:w="0" w:type="dxa"/>
                </w:tblCellMar>
              </w:tblPrEx>
              <w:trPr>
                <w:trHeight w:val="265" w:hRule="atLeast"/>
                <w:jc w:val="center"/>
              </w:trPr>
              <w:tc>
                <w:tcPr>
                  <w:tcW w:w="1970" w:type="dxa"/>
                  <w:vMerge w:val="continue"/>
                  <w:tcBorders>
                    <w:top w:val="nil"/>
                    <w:left w:val="nil"/>
                    <w:right w:val="single" w:color="000000" w:sz="6" w:space="0"/>
                  </w:tcBorders>
                  <w:shd w:val="clear" w:color="auto" w:fill="FFFFFF"/>
                  <w:noWrap w:val="0"/>
                  <w:vAlign w:val="top"/>
                </w:tcPr>
                <w:p w14:paraId="593D68E8">
                  <w:pPr>
                    <w:rPr>
                      <w:color w:val="auto"/>
                      <w:sz w:val="2"/>
                      <w:szCs w:val="2"/>
                    </w:rPr>
                  </w:pPr>
                </w:p>
              </w:tc>
              <w:tc>
                <w:tcPr>
                  <w:tcW w:w="4282" w:type="dxa"/>
                  <w:tcBorders>
                    <w:top w:val="single" w:color="000000" w:sz="6" w:space="0"/>
                    <w:left w:val="single" w:color="000000" w:sz="6" w:space="0"/>
                    <w:right w:val="single" w:color="000000" w:sz="6" w:space="0"/>
                  </w:tcBorders>
                  <w:shd w:val="clear" w:color="auto" w:fill="FFFFFF"/>
                  <w:noWrap w:val="0"/>
                  <w:vAlign w:val="top"/>
                </w:tcPr>
                <w:p w14:paraId="3CA33E95">
                  <w:pPr>
                    <w:pStyle w:val="69"/>
                    <w:spacing w:line="245" w:lineRule="exact"/>
                    <w:ind w:left="954" w:right="852"/>
                    <w:jc w:val="center"/>
                    <w:rPr>
                      <w:color w:val="auto"/>
                      <w:sz w:val="21"/>
                    </w:rPr>
                  </w:pPr>
                  <w:r>
                    <w:rPr>
                      <w:color w:val="auto"/>
                      <w:sz w:val="21"/>
                    </w:rPr>
                    <w:t xml:space="preserve">岸线距离/km </w:t>
                  </w:r>
                </w:p>
              </w:tc>
              <w:tc>
                <w:tcPr>
                  <w:tcW w:w="2969" w:type="dxa"/>
                  <w:tcBorders>
                    <w:top w:val="single" w:color="000000" w:sz="6" w:space="0"/>
                    <w:left w:val="single" w:color="000000" w:sz="6" w:space="0"/>
                    <w:right w:val="nil"/>
                  </w:tcBorders>
                  <w:shd w:val="clear" w:color="auto" w:fill="FFFFFF"/>
                  <w:noWrap w:val="0"/>
                  <w:vAlign w:val="top"/>
                </w:tcPr>
                <w:p w14:paraId="47491266">
                  <w:pPr>
                    <w:pStyle w:val="69"/>
                    <w:spacing w:line="245" w:lineRule="exact"/>
                    <w:ind w:left="872" w:right="775"/>
                    <w:jc w:val="center"/>
                    <w:rPr>
                      <w:color w:val="auto"/>
                      <w:sz w:val="21"/>
                    </w:rPr>
                  </w:pPr>
                  <w:r>
                    <w:rPr>
                      <w:color w:val="auto"/>
                      <w:sz w:val="21"/>
                    </w:rPr>
                    <w:t xml:space="preserve">/ </w:t>
                  </w:r>
                </w:p>
              </w:tc>
            </w:tr>
          </w:tbl>
          <w:p w14:paraId="3E1DAFEC">
            <w:pPr>
              <w:pStyle w:val="12"/>
              <w:spacing w:before="2"/>
              <w:ind w:left="978"/>
              <w:rPr>
                <w:color w:val="auto"/>
              </w:rPr>
            </w:pPr>
          </w:p>
          <w:p w14:paraId="7DA49B4E">
            <w:pPr>
              <w:pStyle w:val="69"/>
              <w:spacing w:before="161"/>
              <w:ind w:left="501"/>
              <w:rPr>
                <w:color w:val="auto"/>
                <w:sz w:val="24"/>
                <w:lang w:eastAsia="zh-CN"/>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color w:val="auto"/>
                <w:sz w:val="24"/>
                <w:lang w:eastAsia="zh-CN"/>
              </w:rPr>
              <w:t xml:space="preserve">主要污染源估算模型计算结果 </w:t>
            </w:r>
          </w:p>
          <w:p w14:paraId="20DAB20C">
            <w:pPr>
              <w:pStyle w:val="69"/>
              <w:spacing w:before="161"/>
              <w:ind w:left="501"/>
              <w:rPr>
                <w:rFonts w:hint="eastAsia"/>
                <w:color w:val="auto"/>
                <w:sz w:val="24"/>
                <w:lang w:eastAsia="zh-CN"/>
              </w:rPr>
            </w:pPr>
            <w:r>
              <w:rPr>
                <w:color w:val="auto"/>
                <w:sz w:val="24"/>
                <w:lang w:eastAsia="zh-CN"/>
              </w:rPr>
              <w:t>根据项目所在地环境特点，项目估算模型参数详见下</w:t>
            </w:r>
            <w:r>
              <w:rPr>
                <w:rFonts w:hint="eastAsia"/>
                <w:color w:val="auto"/>
                <w:sz w:val="24"/>
                <w:lang w:val="en-US" w:eastAsia="zh-CN"/>
              </w:rPr>
              <w:t>图和表</w:t>
            </w:r>
            <w:r>
              <w:rPr>
                <w:color w:val="auto"/>
                <w:sz w:val="24"/>
                <w:lang w:eastAsia="zh-CN"/>
              </w:rPr>
              <w:t>：</w:t>
            </w:r>
          </w:p>
          <w:p w14:paraId="5C511E60">
            <w:pPr>
              <w:pStyle w:val="12"/>
              <w:jc w:val="center"/>
              <w:rPr>
                <w:rFonts w:hint="eastAsia" w:ascii="Times New Roman" w:eastAsia="宋体"/>
                <w:color w:val="auto"/>
                <w:sz w:val="20"/>
                <w:lang w:eastAsia="zh-CN"/>
              </w:rPr>
            </w:pPr>
            <w:r>
              <w:rPr>
                <w:rFonts w:hint="eastAsia" w:ascii="Times New Roman" w:hAnsi="Times New Roman" w:eastAsia="黑体"/>
                <w:b w:val="0"/>
                <w:bCs w:val="0"/>
                <w:snapToGrid w:val="0"/>
                <w:color w:val="auto"/>
                <w:kern w:val="0"/>
                <w:sz w:val="21"/>
                <w:szCs w:val="21"/>
                <w:lang w:val="fr-FR"/>
              </w:rPr>
              <w:t>表 7-</w:t>
            </w:r>
            <w:r>
              <w:rPr>
                <w:rFonts w:hint="eastAsia" w:eastAsia="黑体"/>
                <w:b w:val="0"/>
                <w:bCs w:val="0"/>
                <w:snapToGrid w:val="0"/>
                <w:color w:val="auto"/>
                <w:kern w:val="0"/>
                <w:sz w:val="21"/>
                <w:szCs w:val="21"/>
                <w:lang w:val="en-US" w:eastAsia="zh-CN"/>
              </w:rPr>
              <w:t>10</w:t>
            </w:r>
            <w:r>
              <w:rPr>
                <w:rFonts w:hint="eastAsia" w:ascii="Times New Roman" w:hAnsi="Times New Roman" w:eastAsia="黑体"/>
                <w:b w:val="0"/>
                <w:bCs w:val="0"/>
                <w:snapToGrid w:val="0"/>
                <w:color w:val="auto"/>
                <w:kern w:val="0"/>
                <w:sz w:val="21"/>
                <w:szCs w:val="21"/>
                <w:lang w:val="fr-FR"/>
              </w:rPr>
              <w:t xml:space="preserve"> 项目</w:t>
            </w:r>
            <w:r>
              <w:rPr>
                <w:rFonts w:hint="eastAsia" w:ascii="Times New Roman" w:hAnsi="Times New Roman" w:eastAsia="黑体" w:cs="Times New Roman"/>
                <w:b w:val="0"/>
                <w:bCs w:val="0"/>
                <w:snapToGrid w:val="0"/>
                <w:color w:val="auto"/>
                <w:kern w:val="0"/>
                <w:sz w:val="21"/>
                <w:szCs w:val="21"/>
                <w:lang w:val="fr-FR"/>
              </w:rPr>
              <w:t>正常工况下污染物</w:t>
            </w:r>
            <w:r>
              <w:rPr>
                <w:rFonts w:hint="eastAsia" w:eastAsia="黑体" w:cs="Times New Roman"/>
                <w:b w:val="0"/>
                <w:bCs w:val="0"/>
                <w:snapToGrid w:val="0"/>
                <w:color w:val="auto"/>
                <w:kern w:val="0"/>
                <w:sz w:val="21"/>
                <w:szCs w:val="21"/>
                <w:lang w:val="en-US" w:eastAsia="zh-CN"/>
              </w:rPr>
              <w:t>无</w:t>
            </w:r>
            <w:r>
              <w:rPr>
                <w:rFonts w:hint="eastAsia" w:ascii="Times New Roman" w:hAnsi="Times New Roman" w:eastAsia="黑体" w:cs="Times New Roman"/>
                <w:b w:val="0"/>
                <w:bCs w:val="0"/>
                <w:snapToGrid w:val="0"/>
                <w:color w:val="auto"/>
                <w:kern w:val="0"/>
                <w:sz w:val="21"/>
                <w:szCs w:val="21"/>
                <w:lang w:val="en-US" w:eastAsia="zh-CN"/>
              </w:rPr>
              <w:t>组织</w:t>
            </w:r>
            <w:r>
              <w:rPr>
                <w:rFonts w:hint="eastAsia" w:ascii="Times New Roman" w:hAnsi="Times New Roman" w:eastAsia="黑体"/>
                <w:b w:val="0"/>
                <w:bCs w:val="0"/>
                <w:snapToGrid w:val="0"/>
                <w:color w:val="auto"/>
                <w:kern w:val="0"/>
                <w:sz w:val="21"/>
                <w:szCs w:val="21"/>
                <w:lang w:val="en-US" w:eastAsia="zh-CN"/>
              </w:rPr>
              <w:t>排放</w:t>
            </w:r>
            <w:r>
              <w:rPr>
                <w:rFonts w:hint="eastAsia" w:ascii="Times New Roman" w:hAnsi="Times New Roman" w:eastAsia="黑体" w:cs="Times New Roman"/>
                <w:b w:val="0"/>
                <w:bCs w:val="0"/>
                <w:snapToGrid w:val="0"/>
                <w:color w:val="auto"/>
                <w:kern w:val="0"/>
                <w:sz w:val="21"/>
                <w:szCs w:val="21"/>
                <w:lang w:val="fr-FR"/>
              </w:rPr>
              <w:t>预测结果表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0"/>
              <w:gridCol w:w="4612"/>
              <w:gridCol w:w="2710"/>
            </w:tblGrid>
            <w:tr w14:paraId="1059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vMerge w:val="restart"/>
                  <w:noWrap w:val="0"/>
                  <w:vAlign w:val="center"/>
                </w:tcPr>
                <w:p w14:paraId="1560D4C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下风向距离/m</w:t>
                  </w:r>
                </w:p>
              </w:tc>
              <w:tc>
                <w:tcPr>
                  <w:tcW w:w="3591" w:type="pct"/>
                  <w:gridSpan w:val="2"/>
                  <w:noWrap w:val="0"/>
                  <w:vAlign w:val="center"/>
                </w:tcPr>
                <w:p w14:paraId="35CF326D">
                  <w:pPr>
                    <w:keepNext w:val="0"/>
                    <w:keepLines w:val="0"/>
                    <w:widowControl/>
                    <w:suppressLineNumbers w:val="0"/>
                    <w:spacing w:line="240" w:lineRule="auto"/>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生产车间</w:t>
                  </w:r>
                </w:p>
              </w:tc>
            </w:tr>
            <w:tr w14:paraId="1E3C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vMerge w:val="continue"/>
                  <w:noWrap w:val="0"/>
                  <w:vAlign w:val="center"/>
                </w:tcPr>
                <w:p w14:paraId="50FF82F7">
                  <w:pPr>
                    <w:keepNext w:val="0"/>
                    <w:keepLines w:val="0"/>
                    <w:widowControl/>
                    <w:suppressLineNumbers w:val="0"/>
                    <w:spacing w:line="240" w:lineRule="auto"/>
                    <w:jc w:val="center"/>
                    <w:textAlignment w:val="center"/>
                    <w:rPr>
                      <w:rFonts w:hint="default" w:cs="Times New Roman"/>
                      <w:color w:val="auto"/>
                      <w:sz w:val="21"/>
                      <w:szCs w:val="21"/>
                      <w:lang w:val="en-US" w:eastAsia="zh-CN"/>
                    </w:rPr>
                  </w:pPr>
                </w:p>
              </w:tc>
              <w:tc>
                <w:tcPr>
                  <w:tcW w:w="3591" w:type="pct"/>
                  <w:gridSpan w:val="2"/>
                  <w:noWrap w:val="0"/>
                  <w:vAlign w:val="center"/>
                </w:tcPr>
                <w:p w14:paraId="5F1AA374">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TSP</w:t>
                  </w:r>
                </w:p>
              </w:tc>
            </w:tr>
            <w:tr w14:paraId="5BC7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vMerge w:val="continue"/>
                  <w:noWrap w:val="0"/>
                  <w:vAlign w:val="center"/>
                </w:tcPr>
                <w:p w14:paraId="46883BD1">
                  <w:pPr>
                    <w:keepNext w:val="0"/>
                    <w:keepLines w:val="0"/>
                    <w:widowControl/>
                    <w:suppressLineNumbers w:val="0"/>
                    <w:spacing w:line="240" w:lineRule="auto"/>
                    <w:jc w:val="center"/>
                    <w:textAlignment w:val="center"/>
                    <w:rPr>
                      <w:rFonts w:hint="default" w:cs="Times New Roman"/>
                      <w:color w:val="auto"/>
                      <w:sz w:val="21"/>
                      <w:szCs w:val="21"/>
                      <w:lang w:val="en-US" w:eastAsia="zh-CN"/>
                    </w:rPr>
                  </w:pPr>
                </w:p>
              </w:tc>
              <w:tc>
                <w:tcPr>
                  <w:tcW w:w="2262" w:type="pct"/>
                  <w:noWrap w:val="0"/>
                  <w:vAlign w:val="center"/>
                </w:tcPr>
                <w:p w14:paraId="137A6DAC">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预测质量浓度</w:t>
                  </w:r>
                </w:p>
              </w:tc>
              <w:tc>
                <w:tcPr>
                  <w:tcW w:w="1329" w:type="pct"/>
                  <w:noWrap w:val="0"/>
                  <w:vAlign w:val="center"/>
                </w:tcPr>
                <w:p w14:paraId="1A760060">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占标率</w:t>
                  </w:r>
                </w:p>
              </w:tc>
            </w:tr>
            <w:tr w14:paraId="524C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vMerge w:val="continue"/>
                  <w:noWrap w:val="0"/>
                  <w:vAlign w:val="center"/>
                </w:tcPr>
                <w:p w14:paraId="353E9D08">
                  <w:pPr>
                    <w:keepNext w:val="0"/>
                    <w:keepLines w:val="0"/>
                    <w:widowControl/>
                    <w:suppressLineNumbers w:val="0"/>
                    <w:spacing w:line="240" w:lineRule="auto"/>
                    <w:jc w:val="center"/>
                    <w:textAlignment w:val="center"/>
                    <w:rPr>
                      <w:rFonts w:hint="default" w:cs="Times New Roman"/>
                      <w:color w:val="auto"/>
                      <w:sz w:val="21"/>
                      <w:szCs w:val="21"/>
                      <w:lang w:val="en-US" w:eastAsia="zh-CN"/>
                    </w:rPr>
                  </w:pPr>
                </w:p>
              </w:tc>
              <w:tc>
                <w:tcPr>
                  <w:tcW w:w="2262" w:type="pct"/>
                  <w:noWrap w:val="0"/>
                  <w:vAlign w:val="center"/>
                </w:tcPr>
                <w:p w14:paraId="7D9B18D2">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m</w:t>
                  </w:r>
                  <w:r>
                    <w:rPr>
                      <w:rFonts w:hint="default" w:cs="Times New Roman"/>
                      <w:color w:val="auto"/>
                      <w:sz w:val="21"/>
                      <w:szCs w:val="21"/>
                      <w:lang w:val="en-US" w:eastAsia="zh-CN"/>
                    </w:rPr>
                    <w:t>g/m</w:t>
                  </w:r>
                  <w:r>
                    <w:rPr>
                      <w:rFonts w:hint="default" w:cs="Times New Roman"/>
                      <w:color w:val="auto"/>
                      <w:sz w:val="21"/>
                      <w:szCs w:val="21"/>
                      <w:vertAlign w:val="superscript"/>
                      <w:lang w:val="en-US" w:eastAsia="zh-CN"/>
                    </w:rPr>
                    <w:t>3</w:t>
                  </w:r>
                </w:p>
              </w:tc>
              <w:tc>
                <w:tcPr>
                  <w:tcW w:w="1329" w:type="pct"/>
                  <w:noWrap w:val="0"/>
                  <w:vAlign w:val="center"/>
                </w:tcPr>
                <w:p w14:paraId="0F4C45F7">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w:t>
                  </w:r>
                </w:p>
              </w:tc>
            </w:tr>
            <w:tr w14:paraId="5A9F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6C346106">
                  <w:pPr>
                    <w:keepNext w:val="0"/>
                    <w:keepLines w:val="0"/>
                    <w:widowControl/>
                    <w:suppressLineNumbers w:val="0"/>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3855" w:type="dxa"/>
                  <w:noWrap w:val="0"/>
                  <w:vAlign w:val="center"/>
                </w:tcPr>
                <w:p w14:paraId="1C701594">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1.42E-02</w:t>
                  </w:r>
                </w:p>
              </w:tc>
              <w:tc>
                <w:tcPr>
                  <w:tcW w:w="1329" w:type="pct"/>
                  <w:noWrap w:val="0"/>
                  <w:vAlign w:val="center"/>
                </w:tcPr>
                <w:p w14:paraId="7AD7C951">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1.58</w:t>
                  </w:r>
                </w:p>
              </w:tc>
            </w:tr>
            <w:tr w14:paraId="61FB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2039CAD4">
                  <w:pPr>
                    <w:keepNext w:val="0"/>
                    <w:keepLines w:val="0"/>
                    <w:widowControl/>
                    <w:suppressLineNumbers w:val="0"/>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3855" w:type="dxa"/>
                  <w:noWrap w:val="0"/>
                  <w:vAlign w:val="center"/>
                </w:tcPr>
                <w:p w14:paraId="6C1FA291">
                  <w:pPr>
                    <w:keepNext w:val="0"/>
                    <w:keepLines w:val="0"/>
                    <w:widowControl/>
                    <w:suppressLineNumbers w:val="0"/>
                    <w:spacing w:line="240" w:lineRule="auto"/>
                    <w:jc w:val="center"/>
                    <w:textAlignment w:val="center"/>
                    <w:rPr>
                      <w:rFonts w:hint="eastAsia" w:eastAsia="宋体"/>
                      <w:b/>
                      <w:bCs/>
                      <w:lang w:val="en-US" w:eastAsia="zh-CN"/>
                    </w:rPr>
                  </w:pPr>
                  <w:r>
                    <w:rPr>
                      <w:rFonts w:hint="eastAsia"/>
                    </w:rPr>
                    <w:t>1.94E-02</w:t>
                  </w:r>
                </w:p>
              </w:tc>
              <w:tc>
                <w:tcPr>
                  <w:tcW w:w="1329" w:type="pct"/>
                  <w:noWrap w:val="0"/>
                  <w:vAlign w:val="center"/>
                </w:tcPr>
                <w:p w14:paraId="7A8645FB">
                  <w:pPr>
                    <w:keepNext w:val="0"/>
                    <w:keepLines w:val="0"/>
                    <w:widowControl/>
                    <w:suppressLineNumbers w:val="0"/>
                    <w:spacing w:line="240" w:lineRule="auto"/>
                    <w:jc w:val="center"/>
                    <w:textAlignment w:val="center"/>
                    <w:rPr>
                      <w:rFonts w:hint="eastAsia" w:eastAsia="宋体"/>
                      <w:b/>
                      <w:bCs/>
                      <w:lang w:val="en-US" w:eastAsia="zh-CN"/>
                    </w:rPr>
                  </w:pPr>
                  <w:r>
                    <w:rPr>
                      <w:rFonts w:hint="eastAsia"/>
                    </w:rPr>
                    <w:t>2.16</w:t>
                  </w:r>
                </w:p>
              </w:tc>
            </w:tr>
            <w:tr w14:paraId="0B91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3550B7C6">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cs="Times New Roman"/>
                      <w:b/>
                      <w:bCs/>
                      <w:color w:val="auto"/>
                      <w:sz w:val="21"/>
                      <w:szCs w:val="21"/>
                      <w:lang w:val="en-US" w:eastAsia="zh-CN"/>
                    </w:rPr>
                    <w:t>26</w:t>
                  </w:r>
                </w:p>
              </w:tc>
              <w:tc>
                <w:tcPr>
                  <w:tcW w:w="3855" w:type="dxa"/>
                  <w:noWrap w:val="0"/>
                  <w:vAlign w:val="center"/>
                </w:tcPr>
                <w:p w14:paraId="769C6BC0">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b/>
                      <w:bCs/>
                    </w:rPr>
                    <w:t>1.95E-02</w:t>
                  </w:r>
                </w:p>
              </w:tc>
              <w:tc>
                <w:tcPr>
                  <w:tcW w:w="1329" w:type="pct"/>
                  <w:noWrap w:val="0"/>
                  <w:vAlign w:val="center"/>
                </w:tcPr>
                <w:p w14:paraId="1F8CED95">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b/>
                      <w:bCs/>
                    </w:rPr>
                    <w:t>2.17</w:t>
                  </w:r>
                </w:p>
              </w:tc>
            </w:tr>
            <w:tr w14:paraId="016D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785E5A93">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cs="Times New Roman"/>
                      <w:b w:val="0"/>
                      <w:bCs w:val="0"/>
                      <w:color w:val="auto"/>
                      <w:sz w:val="21"/>
                      <w:szCs w:val="21"/>
                      <w:lang w:val="en-US" w:eastAsia="zh-CN"/>
                    </w:rPr>
                    <w:t>50</w:t>
                  </w:r>
                </w:p>
              </w:tc>
              <w:tc>
                <w:tcPr>
                  <w:tcW w:w="3855" w:type="dxa"/>
                  <w:noWrap w:val="0"/>
                  <w:vAlign w:val="center"/>
                </w:tcPr>
                <w:p w14:paraId="56BE883F">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rPr>
                    <w:t>1.43E-02</w:t>
                  </w:r>
                </w:p>
              </w:tc>
              <w:tc>
                <w:tcPr>
                  <w:tcW w:w="1329" w:type="pct"/>
                  <w:noWrap w:val="0"/>
                  <w:vAlign w:val="center"/>
                </w:tcPr>
                <w:p w14:paraId="0E4BE539">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rPr>
                    <w:t>1.58</w:t>
                  </w:r>
                </w:p>
              </w:tc>
            </w:tr>
            <w:tr w14:paraId="35CD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1BA5202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75</w:t>
                  </w:r>
                </w:p>
              </w:tc>
              <w:tc>
                <w:tcPr>
                  <w:tcW w:w="3855" w:type="dxa"/>
                  <w:noWrap w:val="0"/>
                  <w:vAlign w:val="center"/>
                </w:tcPr>
                <w:p w14:paraId="4DA89A25">
                  <w:pPr>
                    <w:keepNext w:val="0"/>
                    <w:keepLines w:val="0"/>
                    <w:widowControl/>
                    <w:suppressLineNumbers w:val="0"/>
                    <w:spacing w:line="240" w:lineRule="auto"/>
                    <w:jc w:val="center"/>
                    <w:textAlignment w:val="center"/>
                    <w:rPr>
                      <w:rFonts w:hint="eastAsia" w:cs="Times New Roman"/>
                      <w:color w:val="auto"/>
                      <w:sz w:val="21"/>
                      <w:szCs w:val="21"/>
                      <w:lang w:val="en-US" w:eastAsia="zh-CN"/>
                    </w:rPr>
                  </w:pPr>
                  <w:r>
                    <w:rPr>
                      <w:rFonts w:hint="eastAsia"/>
                    </w:rPr>
                    <w:t>1.15E-02</w:t>
                  </w:r>
                </w:p>
              </w:tc>
              <w:tc>
                <w:tcPr>
                  <w:tcW w:w="1329" w:type="pct"/>
                  <w:noWrap w:val="0"/>
                  <w:vAlign w:val="center"/>
                </w:tcPr>
                <w:p w14:paraId="4B7CC965">
                  <w:pPr>
                    <w:keepNext w:val="0"/>
                    <w:keepLines w:val="0"/>
                    <w:widowControl/>
                    <w:suppressLineNumbers w:val="0"/>
                    <w:spacing w:line="240" w:lineRule="auto"/>
                    <w:jc w:val="center"/>
                    <w:textAlignment w:val="center"/>
                    <w:rPr>
                      <w:rFonts w:hint="eastAsia" w:cs="Times New Roman"/>
                      <w:color w:val="auto"/>
                      <w:sz w:val="21"/>
                      <w:szCs w:val="21"/>
                      <w:lang w:val="en-US" w:eastAsia="zh-CN"/>
                    </w:rPr>
                  </w:pPr>
                  <w:r>
                    <w:rPr>
                      <w:rFonts w:hint="eastAsia"/>
                    </w:rPr>
                    <w:t>1.28</w:t>
                  </w:r>
                </w:p>
              </w:tc>
            </w:tr>
            <w:tr w14:paraId="257F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0787B178">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3855" w:type="dxa"/>
                  <w:noWrap w:val="0"/>
                  <w:vAlign w:val="center"/>
                </w:tcPr>
                <w:p w14:paraId="2154D311">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9.01E-03</w:t>
                  </w:r>
                </w:p>
              </w:tc>
              <w:tc>
                <w:tcPr>
                  <w:tcW w:w="1329" w:type="pct"/>
                  <w:noWrap w:val="0"/>
                  <w:vAlign w:val="center"/>
                </w:tcPr>
                <w:p w14:paraId="6EA273A7">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1.00</w:t>
                  </w:r>
                </w:p>
              </w:tc>
            </w:tr>
            <w:tr w14:paraId="322A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63D83292">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125</w:t>
                  </w:r>
                </w:p>
              </w:tc>
              <w:tc>
                <w:tcPr>
                  <w:tcW w:w="3855" w:type="dxa"/>
                  <w:noWrap w:val="0"/>
                  <w:vAlign w:val="center"/>
                </w:tcPr>
                <w:p w14:paraId="145E286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7.39E-03</w:t>
                  </w:r>
                </w:p>
              </w:tc>
              <w:tc>
                <w:tcPr>
                  <w:tcW w:w="1329" w:type="pct"/>
                  <w:noWrap w:val="0"/>
                  <w:vAlign w:val="center"/>
                </w:tcPr>
                <w:p w14:paraId="2284B42A">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0.82</w:t>
                  </w:r>
                </w:p>
              </w:tc>
            </w:tr>
            <w:tr w14:paraId="1003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7D2F80A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150</w:t>
                  </w:r>
                </w:p>
              </w:tc>
              <w:tc>
                <w:tcPr>
                  <w:tcW w:w="3855" w:type="dxa"/>
                  <w:noWrap w:val="0"/>
                  <w:vAlign w:val="center"/>
                </w:tcPr>
                <w:p w14:paraId="5F341876">
                  <w:pPr>
                    <w:keepNext w:val="0"/>
                    <w:keepLines w:val="0"/>
                    <w:widowControl/>
                    <w:suppressLineNumbers w:val="0"/>
                    <w:spacing w:line="240" w:lineRule="auto"/>
                    <w:jc w:val="center"/>
                    <w:textAlignment w:val="center"/>
                    <w:rPr>
                      <w:rFonts w:hint="eastAsia" w:cs="Times New Roman"/>
                      <w:color w:val="auto"/>
                      <w:sz w:val="21"/>
                      <w:szCs w:val="21"/>
                      <w:lang w:val="en-US" w:eastAsia="zh-CN"/>
                    </w:rPr>
                  </w:pPr>
                  <w:r>
                    <w:rPr>
                      <w:rFonts w:hint="eastAsia"/>
                    </w:rPr>
                    <w:t>6.22E-03</w:t>
                  </w:r>
                </w:p>
              </w:tc>
              <w:tc>
                <w:tcPr>
                  <w:tcW w:w="1329" w:type="pct"/>
                  <w:noWrap w:val="0"/>
                  <w:vAlign w:val="center"/>
                </w:tcPr>
                <w:p w14:paraId="1B2F266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0.69</w:t>
                  </w:r>
                </w:p>
              </w:tc>
            </w:tr>
            <w:tr w14:paraId="0A5E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35C99D37">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175</w:t>
                  </w:r>
                </w:p>
              </w:tc>
              <w:tc>
                <w:tcPr>
                  <w:tcW w:w="3855" w:type="dxa"/>
                  <w:noWrap w:val="0"/>
                  <w:vAlign w:val="center"/>
                </w:tcPr>
                <w:p w14:paraId="0E4428D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5.42E-03</w:t>
                  </w:r>
                </w:p>
              </w:tc>
              <w:tc>
                <w:tcPr>
                  <w:tcW w:w="1329" w:type="pct"/>
                  <w:noWrap w:val="0"/>
                  <w:vAlign w:val="center"/>
                </w:tcPr>
                <w:p w14:paraId="7E0CDAED">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0.60</w:t>
                  </w:r>
                </w:p>
              </w:tc>
            </w:tr>
            <w:tr w14:paraId="04AC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0D1886D1">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200</w:t>
                  </w:r>
                </w:p>
              </w:tc>
              <w:tc>
                <w:tcPr>
                  <w:tcW w:w="3855" w:type="dxa"/>
                  <w:noWrap w:val="0"/>
                  <w:vAlign w:val="center"/>
                </w:tcPr>
                <w:p w14:paraId="13D37F95">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4.86E-03</w:t>
                  </w:r>
                </w:p>
              </w:tc>
              <w:tc>
                <w:tcPr>
                  <w:tcW w:w="1329" w:type="pct"/>
                  <w:noWrap w:val="0"/>
                  <w:vAlign w:val="center"/>
                </w:tcPr>
                <w:p w14:paraId="765A31BA">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0.54</w:t>
                  </w:r>
                </w:p>
              </w:tc>
            </w:tr>
            <w:tr w14:paraId="0B6A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03C4DE8E">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225</w:t>
                  </w:r>
                </w:p>
              </w:tc>
              <w:tc>
                <w:tcPr>
                  <w:tcW w:w="3855" w:type="dxa"/>
                  <w:noWrap w:val="0"/>
                  <w:vAlign w:val="center"/>
                </w:tcPr>
                <w:p w14:paraId="5AB50E23">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4.44E-03</w:t>
                  </w:r>
                </w:p>
              </w:tc>
              <w:tc>
                <w:tcPr>
                  <w:tcW w:w="1329" w:type="pct"/>
                  <w:noWrap w:val="0"/>
                  <w:vAlign w:val="center"/>
                </w:tcPr>
                <w:p w14:paraId="2868F0E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0.49</w:t>
                  </w:r>
                </w:p>
              </w:tc>
            </w:tr>
            <w:tr w14:paraId="413E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7356691E">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250</w:t>
                  </w:r>
                </w:p>
              </w:tc>
              <w:tc>
                <w:tcPr>
                  <w:tcW w:w="3855" w:type="dxa"/>
                  <w:noWrap w:val="0"/>
                  <w:vAlign w:val="center"/>
                </w:tcPr>
                <w:p w14:paraId="6DB54AB1">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4.11E-03</w:t>
                  </w:r>
                </w:p>
              </w:tc>
              <w:tc>
                <w:tcPr>
                  <w:tcW w:w="1329" w:type="pct"/>
                  <w:noWrap w:val="0"/>
                  <w:vAlign w:val="center"/>
                </w:tcPr>
                <w:p w14:paraId="0AB43B2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0.46</w:t>
                  </w:r>
                </w:p>
              </w:tc>
            </w:tr>
            <w:tr w14:paraId="53F2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08" w:type="pct"/>
                  <w:noWrap w:val="0"/>
                  <w:vAlign w:val="center"/>
                </w:tcPr>
                <w:p w14:paraId="19F2BE9D">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275</w:t>
                  </w:r>
                </w:p>
              </w:tc>
              <w:tc>
                <w:tcPr>
                  <w:tcW w:w="3855" w:type="dxa"/>
                  <w:noWrap w:val="0"/>
                  <w:vAlign w:val="center"/>
                </w:tcPr>
                <w:p w14:paraId="21BFD320">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3.83E-03</w:t>
                  </w:r>
                </w:p>
              </w:tc>
              <w:tc>
                <w:tcPr>
                  <w:tcW w:w="1329" w:type="pct"/>
                  <w:noWrap w:val="0"/>
                  <w:vAlign w:val="center"/>
                </w:tcPr>
                <w:p w14:paraId="602D1F24">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0.43</w:t>
                  </w:r>
                </w:p>
              </w:tc>
            </w:tr>
            <w:tr w14:paraId="6212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4E62FD1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300</w:t>
                  </w:r>
                </w:p>
              </w:tc>
              <w:tc>
                <w:tcPr>
                  <w:tcW w:w="3855" w:type="dxa"/>
                  <w:noWrap w:val="0"/>
                  <w:vAlign w:val="center"/>
                </w:tcPr>
                <w:p w14:paraId="364E59F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3.60E-03</w:t>
                  </w:r>
                </w:p>
              </w:tc>
              <w:tc>
                <w:tcPr>
                  <w:tcW w:w="1329" w:type="pct"/>
                  <w:noWrap w:val="0"/>
                  <w:vAlign w:val="center"/>
                </w:tcPr>
                <w:p w14:paraId="5F6A72D4">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0.40</w:t>
                  </w:r>
                </w:p>
              </w:tc>
            </w:tr>
            <w:tr w14:paraId="2006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390BC3B2">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325</w:t>
                  </w:r>
                </w:p>
              </w:tc>
              <w:tc>
                <w:tcPr>
                  <w:tcW w:w="3855" w:type="dxa"/>
                  <w:noWrap w:val="0"/>
                  <w:vAlign w:val="center"/>
                </w:tcPr>
                <w:p w14:paraId="4EA66FF9">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3.40E-03</w:t>
                  </w:r>
                </w:p>
              </w:tc>
              <w:tc>
                <w:tcPr>
                  <w:tcW w:w="1329" w:type="pct"/>
                  <w:noWrap w:val="0"/>
                  <w:vAlign w:val="center"/>
                </w:tcPr>
                <w:p w14:paraId="6A29BA3D">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0.38</w:t>
                  </w:r>
                </w:p>
              </w:tc>
            </w:tr>
            <w:tr w14:paraId="790B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3D78547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350</w:t>
                  </w:r>
                </w:p>
              </w:tc>
              <w:tc>
                <w:tcPr>
                  <w:tcW w:w="3855" w:type="dxa"/>
                  <w:noWrap w:val="0"/>
                  <w:vAlign w:val="center"/>
                </w:tcPr>
                <w:p w14:paraId="62AADB85">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3.22E-03</w:t>
                  </w:r>
                </w:p>
              </w:tc>
              <w:tc>
                <w:tcPr>
                  <w:tcW w:w="1329" w:type="pct"/>
                  <w:noWrap w:val="0"/>
                  <w:vAlign w:val="center"/>
                </w:tcPr>
                <w:p w14:paraId="23CA16C3">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0.36</w:t>
                  </w:r>
                </w:p>
              </w:tc>
            </w:tr>
            <w:tr w14:paraId="1A5A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2FB6B725">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375</w:t>
                  </w:r>
                </w:p>
              </w:tc>
              <w:tc>
                <w:tcPr>
                  <w:tcW w:w="3855" w:type="dxa"/>
                  <w:noWrap w:val="0"/>
                  <w:vAlign w:val="center"/>
                </w:tcPr>
                <w:p w14:paraId="55FF8DDE">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3.07E-03</w:t>
                  </w:r>
                </w:p>
              </w:tc>
              <w:tc>
                <w:tcPr>
                  <w:tcW w:w="1329" w:type="pct"/>
                  <w:noWrap w:val="0"/>
                  <w:vAlign w:val="center"/>
                </w:tcPr>
                <w:p w14:paraId="52106F95">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0.34</w:t>
                  </w:r>
                </w:p>
              </w:tc>
            </w:tr>
            <w:tr w14:paraId="7481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1FFBCB10">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400</w:t>
                  </w:r>
                </w:p>
              </w:tc>
              <w:tc>
                <w:tcPr>
                  <w:tcW w:w="3855" w:type="dxa"/>
                  <w:noWrap w:val="0"/>
                  <w:vAlign w:val="center"/>
                </w:tcPr>
                <w:p w14:paraId="6FF3E37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2.93E-03</w:t>
                  </w:r>
                </w:p>
              </w:tc>
              <w:tc>
                <w:tcPr>
                  <w:tcW w:w="1329" w:type="pct"/>
                  <w:noWrap w:val="0"/>
                  <w:vAlign w:val="center"/>
                </w:tcPr>
                <w:p w14:paraId="21922119">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0.33</w:t>
                  </w:r>
                </w:p>
              </w:tc>
            </w:tr>
            <w:tr w14:paraId="3002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1DA4248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425</w:t>
                  </w:r>
                </w:p>
              </w:tc>
              <w:tc>
                <w:tcPr>
                  <w:tcW w:w="3855" w:type="dxa"/>
                  <w:noWrap w:val="0"/>
                  <w:vAlign w:val="center"/>
                </w:tcPr>
                <w:p w14:paraId="7EEDF39C">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2.86E-03</w:t>
                  </w:r>
                </w:p>
              </w:tc>
              <w:tc>
                <w:tcPr>
                  <w:tcW w:w="1329" w:type="pct"/>
                  <w:noWrap w:val="0"/>
                  <w:vAlign w:val="center"/>
                </w:tcPr>
                <w:p w14:paraId="631D0DCF">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0.32</w:t>
                  </w:r>
                </w:p>
              </w:tc>
            </w:tr>
            <w:tr w14:paraId="79E4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0B00ED3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450</w:t>
                  </w:r>
                </w:p>
              </w:tc>
              <w:tc>
                <w:tcPr>
                  <w:tcW w:w="3855" w:type="dxa"/>
                  <w:noWrap w:val="0"/>
                  <w:vAlign w:val="center"/>
                </w:tcPr>
                <w:p w14:paraId="10A5F29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2.80E-03</w:t>
                  </w:r>
                </w:p>
              </w:tc>
              <w:tc>
                <w:tcPr>
                  <w:tcW w:w="1329" w:type="pct"/>
                  <w:noWrap w:val="0"/>
                  <w:vAlign w:val="center"/>
                </w:tcPr>
                <w:p w14:paraId="51860F98">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0.31</w:t>
                  </w:r>
                </w:p>
              </w:tc>
            </w:tr>
            <w:tr w14:paraId="16BD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56FF2B5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475</w:t>
                  </w:r>
                </w:p>
              </w:tc>
              <w:tc>
                <w:tcPr>
                  <w:tcW w:w="3855" w:type="dxa"/>
                  <w:noWrap w:val="0"/>
                  <w:vAlign w:val="center"/>
                </w:tcPr>
                <w:p w14:paraId="5DC57F20">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2.75E-03</w:t>
                  </w:r>
                </w:p>
              </w:tc>
              <w:tc>
                <w:tcPr>
                  <w:tcW w:w="1329" w:type="pct"/>
                  <w:noWrap w:val="0"/>
                  <w:vAlign w:val="center"/>
                </w:tcPr>
                <w:p w14:paraId="0A84A1C0">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0.31</w:t>
                  </w:r>
                </w:p>
              </w:tc>
            </w:tr>
            <w:tr w14:paraId="19BE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098B734D">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500</w:t>
                  </w:r>
                </w:p>
              </w:tc>
              <w:tc>
                <w:tcPr>
                  <w:tcW w:w="3855" w:type="dxa"/>
                  <w:noWrap w:val="0"/>
                  <w:vAlign w:val="center"/>
                </w:tcPr>
                <w:p w14:paraId="5294F3BD">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2.70E-03</w:t>
                  </w:r>
                </w:p>
              </w:tc>
              <w:tc>
                <w:tcPr>
                  <w:tcW w:w="1329" w:type="pct"/>
                  <w:noWrap w:val="0"/>
                  <w:vAlign w:val="center"/>
                </w:tcPr>
                <w:p w14:paraId="52C86710">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rPr>
                    <w:t>0.30</w:t>
                  </w:r>
                </w:p>
              </w:tc>
            </w:tr>
            <w:tr w14:paraId="7404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2F6580AB">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3855" w:type="dxa"/>
                  <w:noWrap w:val="0"/>
                  <w:vAlign w:val="center"/>
                </w:tcPr>
                <w:p w14:paraId="69045B2F">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2.13E-03</w:t>
                  </w:r>
                </w:p>
              </w:tc>
              <w:tc>
                <w:tcPr>
                  <w:tcW w:w="1329" w:type="pct"/>
                  <w:noWrap w:val="0"/>
                  <w:vAlign w:val="center"/>
                </w:tcPr>
                <w:p w14:paraId="1E27B5D5">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0.24</w:t>
                  </w:r>
                </w:p>
              </w:tc>
            </w:tr>
            <w:tr w14:paraId="56E2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pct"/>
                  <w:noWrap w:val="0"/>
                  <w:vAlign w:val="center"/>
                </w:tcPr>
                <w:p w14:paraId="7BB3C30C">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1475</w:t>
                  </w:r>
                </w:p>
              </w:tc>
              <w:tc>
                <w:tcPr>
                  <w:tcW w:w="3855" w:type="dxa"/>
                  <w:noWrap w:val="0"/>
                  <w:vAlign w:val="center"/>
                </w:tcPr>
                <w:p w14:paraId="63772F93">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1.83E-03</w:t>
                  </w:r>
                </w:p>
              </w:tc>
              <w:tc>
                <w:tcPr>
                  <w:tcW w:w="1329" w:type="pct"/>
                  <w:noWrap w:val="0"/>
                  <w:vAlign w:val="center"/>
                </w:tcPr>
                <w:p w14:paraId="6B1D714F">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0.20</w:t>
                  </w:r>
                </w:p>
              </w:tc>
            </w:tr>
            <w:tr w14:paraId="36DF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246A0F67">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占标率范围</w:t>
                  </w:r>
                </w:p>
              </w:tc>
              <w:tc>
                <w:tcPr>
                  <w:tcW w:w="3591" w:type="pct"/>
                  <w:gridSpan w:val="2"/>
                  <w:noWrap w:val="0"/>
                  <w:vAlign w:val="center"/>
                </w:tcPr>
                <w:p w14:paraId="159F4BA4">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1%≤P&lt;10%</w:t>
                  </w:r>
                </w:p>
              </w:tc>
            </w:tr>
            <w:tr w14:paraId="4210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63A856C7">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default" w:cs="Times New Roman"/>
                      <w:color w:val="auto"/>
                      <w:sz w:val="21"/>
                      <w:szCs w:val="21"/>
                      <w:lang w:val="en-US" w:eastAsia="zh-CN"/>
                    </w:rPr>
                    <w:t>D10% 最远距离/m</w:t>
                  </w:r>
                </w:p>
              </w:tc>
              <w:tc>
                <w:tcPr>
                  <w:tcW w:w="3591" w:type="pct"/>
                  <w:gridSpan w:val="2"/>
                  <w:noWrap w:val="0"/>
                  <w:vAlign w:val="center"/>
                </w:tcPr>
                <w:p w14:paraId="2176F2A3">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26</w:t>
                  </w:r>
                </w:p>
              </w:tc>
            </w:tr>
            <w:tr w14:paraId="2337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pct"/>
                  <w:noWrap w:val="0"/>
                  <w:vAlign w:val="center"/>
                </w:tcPr>
                <w:p w14:paraId="355F59F6">
                  <w:pPr>
                    <w:keepNext w:val="0"/>
                    <w:keepLines w:val="0"/>
                    <w:widowControl/>
                    <w:suppressLineNumbers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评价标准</w:t>
                  </w:r>
                </w:p>
              </w:tc>
              <w:tc>
                <w:tcPr>
                  <w:tcW w:w="3591" w:type="pct"/>
                  <w:gridSpan w:val="2"/>
                  <w:noWrap w:val="0"/>
                  <w:vAlign w:val="center"/>
                </w:tcPr>
                <w:p w14:paraId="34F5C434">
                  <w:pPr>
                    <w:keepNext w:val="0"/>
                    <w:keepLines w:val="0"/>
                    <w:widowControl/>
                    <w:suppressLineNumbers w:val="0"/>
                    <w:spacing w:line="240" w:lineRule="auto"/>
                    <w:jc w:val="center"/>
                    <w:textAlignment w:val="center"/>
                    <w:rPr>
                      <w:rFonts w:hint="default" w:cs="Times New Roman"/>
                      <w:color w:val="auto"/>
                      <w:sz w:val="21"/>
                      <w:szCs w:val="21"/>
                      <w:lang w:val="en-US" w:eastAsia="zh-CN"/>
                    </w:rPr>
                  </w:pPr>
                </w:p>
              </w:tc>
            </w:tr>
          </w:tbl>
          <w:p w14:paraId="1C206A80">
            <w:pPr>
              <w:pStyle w:val="12"/>
              <w:jc w:val="center"/>
              <w:rPr>
                <w:rFonts w:hint="eastAsia" w:ascii="宋体" w:hAnsi="宋体" w:eastAsia="宋体" w:cs="宋体"/>
                <w:sz w:val="24"/>
                <w:szCs w:val="24"/>
              </w:rPr>
            </w:pPr>
            <w:r>
              <w:rPr>
                <w:rFonts w:hint="eastAsia" w:ascii="Times New Roman" w:hAnsi="Times New Roman" w:eastAsia="黑体"/>
                <w:b w:val="0"/>
                <w:bCs w:val="0"/>
                <w:snapToGrid w:val="0"/>
                <w:color w:val="auto"/>
                <w:kern w:val="0"/>
                <w:sz w:val="21"/>
                <w:szCs w:val="21"/>
                <w:lang w:val="fr-FR"/>
              </w:rPr>
              <w:t>表 7-</w:t>
            </w:r>
            <w:r>
              <w:rPr>
                <w:rFonts w:hint="eastAsia" w:eastAsia="黑体"/>
                <w:b w:val="0"/>
                <w:bCs w:val="0"/>
                <w:snapToGrid w:val="0"/>
                <w:color w:val="auto"/>
                <w:kern w:val="0"/>
                <w:sz w:val="21"/>
                <w:szCs w:val="21"/>
                <w:lang w:val="en-US" w:eastAsia="zh-CN"/>
              </w:rPr>
              <w:t>11</w:t>
            </w:r>
            <w:r>
              <w:rPr>
                <w:rFonts w:hint="eastAsia" w:ascii="Times New Roman" w:hAnsi="Times New Roman" w:eastAsia="黑体"/>
                <w:b w:val="0"/>
                <w:bCs w:val="0"/>
                <w:snapToGrid w:val="0"/>
                <w:color w:val="auto"/>
                <w:kern w:val="0"/>
                <w:sz w:val="21"/>
                <w:szCs w:val="21"/>
                <w:lang w:val="fr-FR"/>
              </w:rPr>
              <w:t xml:space="preserve"> 项目</w:t>
            </w:r>
            <w:r>
              <w:rPr>
                <w:rFonts w:hint="eastAsia" w:ascii="Times New Roman" w:hAnsi="Times New Roman" w:eastAsia="黑体" w:cs="Times New Roman"/>
                <w:b w:val="0"/>
                <w:bCs w:val="0"/>
                <w:snapToGrid w:val="0"/>
                <w:color w:val="auto"/>
                <w:kern w:val="0"/>
                <w:sz w:val="21"/>
                <w:szCs w:val="21"/>
                <w:lang w:val="fr-FR"/>
              </w:rPr>
              <w:t>正常工况下</w:t>
            </w:r>
            <w:r>
              <w:rPr>
                <w:rFonts w:hint="eastAsia" w:ascii="Times New Roman" w:hAnsi="Times New Roman" w:eastAsia="黑体" w:cs="Times New Roman"/>
                <w:b w:val="0"/>
                <w:bCs w:val="0"/>
                <w:snapToGrid w:val="0"/>
                <w:color w:val="auto"/>
                <w:kern w:val="0"/>
                <w:sz w:val="21"/>
                <w:szCs w:val="21"/>
                <w:lang w:val="en-US" w:eastAsia="zh-CN"/>
              </w:rPr>
              <w:t>筒仓</w:t>
            </w:r>
            <w:r>
              <w:rPr>
                <w:rFonts w:hint="eastAsia" w:eastAsia="黑体" w:cs="Times New Roman"/>
                <w:b w:val="0"/>
                <w:bCs w:val="0"/>
                <w:snapToGrid w:val="0"/>
                <w:color w:val="auto"/>
                <w:kern w:val="0"/>
                <w:sz w:val="21"/>
                <w:szCs w:val="21"/>
                <w:lang w:val="en-US" w:eastAsia="zh-CN"/>
              </w:rPr>
              <w:t>有</w:t>
            </w:r>
            <w:r>
              <w:rPr>
                <w:rFonts w:hint="eastAsia" w:ascii="Times New Roman" w:hAnsi="Times New Roman" w:eastAsia="黑体" w:cs="Times New Roman"/>
                <w:b w:val="0"/>
                <w:bCs w:val="0"/>
                <w:snapToGrid w:val="0"/>
                <w:color w:val="auto"/>
                <w:kern w:val="0"/>
                <w:sz w:val="21"/>
                <w:szCs w:val="21"/>
                <w:lang w:val="en-US" w:eastAsia="zh-CN"/>
              </w:rPr>
              <w:t>组织</w:t>
            </w:r>
            <w:r>
              <w:rPr>
                <w:rFonts w:hint="eastAsia" w:ascii="Times New Roman" w:hAnsi="Times New Roman" w:eastAsia="黑体"/>
                <w:b w:val="0"/>
                <w:bCs w:val="0"/>
                <w:snapToGrid w:val="0"/>
                <w:color w:val="auto"/>
                <w:kern w:val="0"/>
                <w:sz w:val="21"/>
                <w:szCs w:val="21"/>
                <w:lang w:val="en-US" w:eastAsia="zh-CN"/>
              </w:rPr>
              <w:t>排放</w:t>
            </w:r>
            <w:r>
              <w:rPr>
                <w:rFonts w:hint="eastAsia" w:ascii="Times New Roman" w:hAnsi="Times New Roman" w:eastAsia="黑体" w:cs="Times New Roman"/>
                <w:b w:val="0"/>
                <w:bCs w:val="0"/>
                <w:snapToGrid w:val="0"/>
                <w:color w:val="auto"/>
                <w:kern w:val="0"/>
                <w:sz w:val="21"/>
                <w:szCs w:val="21"/>
                <w:lang w:val="fr-FR"/>
              </w:rPr>
              <w:t>预测结果表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923"/>
              <w:gridCol w:w="1365"/>
              <w:gridCol w:w="1361"/>
              <w:gridCol w:w="1363"/>
              <w:gridCol w:w="1363"/>
              <w:gridCol w:w="1368"/>
            </w:tblGrid>
            <w:tr w14:paraId="0C04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pct"/>
                  <w:vMerge w:val="restart"/>
                  <w:noWrap w:val="0"/>
                  <w:vAlign w:val="center"/>
                </w:tcPr>
                <w:p w14:paraId="0D23CA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下风向距离/m</w:t>
                  </w:r>
                </w:p>
              </w:tc>
              <w:tc>
                <w:tcPr>
                  <w:tcW w:w="1614" w:type="pct"/>
                  <w:gridSpan w:val="2"/>
                  <w:noWrap w:val="0"/>
                  <w:vAlign w:val="center"/>
                </w:tcPr>
                <w:p w14:paraId="6DA42BF0">
                  <w:pPr>
                    <w:jc w:val="center"/>
                    <w:rPr>
                      <w:rFonts w:hint="eastAsia" w:cs="Times New Roman"/>
                      <w:color w:val="auto"/>
                      <w:sz w:val="21"/>
                      <w:szCs w:val="21"/>
                      <w:lang w:val="en-US" w:eastAsia="zh-CN"/>
                    </w:rPr>
                  </w:pPr>
                  <w:r>
                    <w:rPr>
                      <w:rFonts w:hint="eastAsia" w:cs="Times New Roman"/>
                      <w:color w:val="auto"/>
                      <w:sz w:val="21"/>
                      <w:szCs w:val="21"/>
                      <w:lang w:val="en-US" w:eastAsia="zh-CN"/>
                    </w:rPr>
                    <w:t>1#</w:t>
                  </w:r>
                  <w:r>
                    <w:rPr>
                      <w:rFonts w:hint="eastAsia" w:hAnsi="Times New Roman" w:eastAsia="宋体" w:cs="Times New Roman"/>
                      <w:color w:val="auto"/>
                      <w:sz w:val="21"/>
                      <w:szCs w:val="21"/>
                      <w:lang w:val="en-US" w:eastAsia="zh-CN"/>
                    </w:rPr>
                    <w:t>排气筒</w:t>
                  </w:r>
                </w:p>
              </w:tc>
              <w:tc>
                <w:tcPr>
                  <w:tcW w:w="1337" w:type="pct"/>
                  <w:gridSpan w:val="2"/>
                  <w:noWrap w:val="0"/>
                  <w:vAlign w:val="center"/>
                </w:tcPr>
                <w:p w14:paraId="457ECF0D">
                  <w:pPr>
                    <w:jc w:val="center"/>
                    <w:rPr>
                      <w:rFonts w:hint="eastAsia" w:cs="Times New Roman"/>
                      <w:color w:val="auto"/>
                      <w:sz w:val="21"/>
                      <w:szCs w:val="21"/>
                      <w:lang w:val="en-US" w:eastAsia="zh-CN"/>
                    </w:rPr>
                  </w:pPr>
                  <w:r>
                    <w:rPr>
                      <w:rFonts w:hint="eastAsia" w:cs="Times New Roman"/>
                      <w:color w:val="auto"/>
                      <w:sz w:val="21"/>
                      <w:szCs w:val="21"/>
                      <w:lang w:val="en-US" w:eastAsia="zh-CN"/>
                    </w:rPr>
                    <w:t>2#</w:t>
                  </w:r>
                  <w:r>
                    <w:rPr>
                      <w:rFonts w:hint="eastAsia" w:hAnsi="Times New Roman" w:eastAsia="宋体" w:cs="Times New Roman"/>
                      <w:color w:val="auto"/>
                      <w:sz w:val="21"/>
                      <w:szCs w:val="21"/>
                      <w:lang w:val="en-US" w:eastAsia="zh-CN"/>
                    </w:rPr>
                    <w:t>排气筒</w:t>
                  </w:r>
                </w:p>
              </w:tc>
              <w:tc>
                <w:tcPr>
                  <w:tcW w:w="1338" w:type="pct"/>
                  <w:gridSpan w:val="2"/>
                  <w:noWrap w:val="0"/>
                  <w:vAlign w:val="center"/>
                </w:tcPr>
                <w:p w14:paraId="440244D0">
                  <w:pPr>
                    <w:jc w:val="center"/>
                    <w:rPr>
                      <w:rFonts w:hint="eastAsia" w:cs="Times New Roman"/>
                      <w:color w:val="auto"/>
                      <w:sz w:val="21"/>
                      <w:szCs w:val="21"/>
                      <w:lang w:val="en-US" w:eastAsia="zh-CN"/>
                    </w:rPr>
                  </w:pPr>
                  <w:r>
                    <w:rPr>
                      <w:rFonts w:hint="eastAsia" w:cs="Times New Roman"/>
                      <w:color w:val="auto"/>
                      <w:sz w:val="21"/>
                      <w:szCs w:val="21"/>
                      <w:lang w:val="en-US" w:eastAsia="zh-CN"/>
                    </w:rPr>
                    <w:t>3#</w:t>
                  </w:r>
                  <w:r>
                    <w:rPr>
                      <w:rFonts w:hint="eastAsia" w:hAnsi="Times New Roman" w:eastAsia="宋体" w:cs="Times New Roman"/>
                      <w:color w:val="auto"/>
                      <w:sz w:val="21"/>
                      <w:szCs w:val="21"/>
                      <w:lang w:val="en-US" w:eastAsia="zh-CN"/>
                    </w:rPr>
                    <w:t>排气筒</w:t>
                  </w:r>
                </w:p>
              </w:tc>
            </w:tr>
            <w:tr w14:paraId="2CC9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9" w:type="pct"/>
                  <w:vMerge w:val="continue"/>
                  <w:noWrap w:val="0"/>
                  <w:vAlign w:val="center"/>
                </w:tcPr>
                <w:p w14:paraId="7B1A8A07">
                  <w:pPr>
                    <w:jc w:val="center"/>
                    <w:rPr>
                      <w:rFonts w:hint="default" w:ascii="Times New Roman" w:hAnsi="Times New Roman" w:eastAsia="宋体" w:cs="Times New Roman"/>
                      <w:color w:val="auto"/>
                      <w:sz w:val="21"/>
                      <w:szCs w:val="21"/>
                    </w:rPr>
                  </w:pPr>
                </w:p>
              </w:tc>
              <w:tc>
                <w:tcPr>
                  <w:tcW w:w="4290" w:type="pct"/>
                  <w:gridSpan w:val="6"/>
                  <w:noWrap w:val="0"/>
                  <w:vAlign w:val="center"/>
                </w:tcPr>
                <w:p w14:paraId="096164D1">
                  <w:pPr>
                    <w:jc w:val="center"/>
                    <w:rPr>
                      <w:rFonts w:hint="eastAsia" w:cs="Times New Roman"/>
                      <w:color w:val="auto"/>
                      <w:sz w:val="21"/>
                      <w:szCs w:val="21"/>
                      <w:lang w:val="en-US" w:eastAsia="zh-CN"/>
                    </w:rPr>
                  </w:pPr>
                  <w:r>
                    <w:rPr>
                      <w:rFonts w:hint="eastAsia" w:cs="Times New Roman"/>
                      <w:color w:val="auto"/>
                      <w:sz w:val="21"/>
                      <w:szCs w:val="21"/>
                      <w:lang w:val="en-US" w:eastAsia="zh-CN"/>
                    </w:rPr>
                    <w:t>TSP</w:t>
                  </w:r>
                </w:p>
              </w:tc>
            </w:tr>
            <w:tr w14:paraId="0BF2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pct"/>
                  <w:vMerge w:val="continue"/>
                  <w:noWrap w:val="0"/>
                  <w:vAlign w:val="center"/>
                </w:tcPr>
                <w:p w14:paraId="20F89A89">
                  <w:pPr>
                    <w:jc w:val="center"/>
                    <w:rPr>
                      <w:rFonts w:hint="default" w:ascii="Times New Roman" w:hAnsi="Times New Roman" w:eastAsia="宋体" w:cs="Times New Roman"/>
                      <w:color w:val="auto"/>
                      <w:sz w:val="21"/>
                      <w:szCs w:val="21"/>
                    </w:rPr>
                  </w:pPr>
                </w:p>
              </w:tc>
              <w:tc>
                <w:tcPr>
                  <w:tcW w:w="944" w:type="pct"/>
                  <w:noWrap w:val="0"/>
                  <w:vAlign w:val="center"/>
                </w:tcPr>
                <w:p w14:paraId="2E440B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预测质量浓</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p>
              </w:tc>
              <w:tc>
                <w:tcPr>
                  <w:tcW w:w="669" w:type="pct"/>
                  <w:noWrap w:val="0"/>
                  <w:vAlign w:val="center"/>
                </w:tcPr>
                <w:p w14:paraId="4E8D1A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668" w:type="pct"/>
                  <w:noWrap w:val="0"/>
                  <w:vAlign w:val="center"/>
                </w:tcPr>
                <w:p w14:paraId="421372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预测质量浓</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p>
              </w:tc>
              <w:tc>
                <w:tcPr>
                  <w:tcW w:w="668" w:type="pct"/>
                  <w:noWrap w:val="0"/>
                  <w:vAlign w:val="center"/>
                </w:tcPr>
                <w:p w14:paraId="45AF5E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669" w:type="pct"/>
                  <w:noWrap w:val="0"/>
                  <w:vAlign w:val="center"/>
                </w:tcPr>
                <w:p w14:paraId="3CD67F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预测质量浓</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p>
              </w:tc>
              <w:tc>
                <w:tcPr>
                  <w:tcW w:w="669" w:type="pct"/>
                  <w:noWrap w:val="0"/>
                  <w:vAlign w:val="center"/>
                </w:tcPr>
                <w:p w14:paraId="7EAD20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r>
            <w:tr w14:paraId="477A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9" w:type="pct"/>
                  <w:noWrap w:val="0"/>
                  <w:vAlign w:val="center"/>
                </w:tcPr>
                <w:p w14:paraId="6287785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eastAsia" w:cs="Times New Roman"/>
                      <w:b w:val="0"/>
                      <w:bCs w:val="0"/>
                      <w:color w:val="auto"/>
                      <w:sz w:val="21"/>
                      <w:szCs w:val="21"/>
                      <w:lang w:val="en-US" w:eastAsia="zh-CN"/>
                    </w:rPr>
                    <w:t>10</w:t>
                  </w:r>
                </w:p>
              </w:tc>
              <w:tc>
                <w:tcPr>
                  <w:tcW w:w="944" w:type="pct"/>
                  <w:noWrap w:val="0"/>
                  <w:vAlign w:val="center"/>
                </w:tcPr>
                <w:p w14:paraId="352F4E53">
                  <w:pPr>
                    <w:jc w:val="center"/>
                    <w:rPr>
                      <w:rFonts w:hint="default" w:ascii="Times New Roman" w:hAnsi="Times New Roman" w:eastAsia="宋体" w:cs="Times New Roman"/>
                      <w:color w:val="auto"/>
                      <w:sz w:val="21"/>
                      <w:szCs w:val="21"/>
                    </w:rPr>
                  </w:pPr>
                  <w:r>
                    <w:rPr>
                      <w:rFonts w:hint="eastAsia"/>
                    </w:rPr>
                    <w:t>9.15E-06</w:t>
                  </w:r>
                </w:p>
              </w:tc>
              <w:tc>
                <w:tcPr>
                  <w:tcW w:w="669" w:type="pct"/>
                  <w:noWrap w:val="0"/>
                  <w:vAlign w:val="center"/>
                </w:tcPr>
                <w:p w14:paraId="300BE4BE">
                  <w:pPr>
                    <w:jc w:val="center"/>
                    <w:rPr>
                      <w:rFonts w:hint="default" w:ascii="Times New Roman" w:hAnsi="Times New Roman" w:eastAsia="宋体" w:cs="Times New Roman"/>
                      <w:color w:val="auto"/>
                      <w:sz w:val="21"/>
                      <w:szCs w:val="21"/>
                    </w:rPr>
                  </w:pPr>
                  <w:r>
                    <w:rPr>
                      <w:rFonts w:hint="eastAsia"/>
                    </w:rPr>
                    <w:t>0.00</w:t>
                  </w:r>
                </w:p>
              </w:tc>
              <w:tc>
                <w:tcPr>
                  <w:tcW w:w="668" w:type="pct"/>
                  <w:noWrap w:val="0"/>
                  <w:vAlign w:val="center"/>
                </w:tcPr>
                <w:p w14:paraId="4274D7A3">
                  <w:pPr>
                    <w:jc w:val="center"/>
                    <w:rPr>
                      <w:rFonts w:hint="eastAsia"/>
                    </w:rPr>
                  </w:pPr>
                  <w:r>
                    <w:rPr>
                      <w:rFonts w:hint="eastAsia"/>
                    </w:rPr>
                    <w:t>2.99E-07</w:t>
                  </w:r>
                </w:p>
              </w:tc>
              <w:tc>
                <w:tcPr>
                  <w:tcW w:w="668" w:type="pct"/>
                  <w:noWrap w:val="0"/>
                  <w:vAlign w:val="center"/>
                </w:tcPr>
                <w:p w14:paraId="7914997A">
                  <w:pPr>
                    <w:jc w:val="center"/>
                    <w:rPr>
                      <w:rFonts w:hint="eastAsia"/>
                    </w:rPr>
                  </w:pPr>
                  <w:r>
                    <w:rPr>
                      <w:rFonts w:hint="eastAsia"/>
                    </w:rPr>
                    <w:t>0.00</w:t>
                  </w:r>
                </w:p>
              </w:tc>
              <w:tc>
                <w:tcPr>
                  <w:tcW w:w="669" w:type="pct"/>
                  <w:noWrap w:val="0"/>
                  <w:vAlign w:val="center"/>
                </w:tcPr>
                <w:p w14:paraId="19C34CC0">
                  <w:pPr>
                    <w:jc w:val="center"/>
                    <w:rPr>
                      <w:rFonts w:hint="eastAsia"/>
                    </w:rPr>
                  </w:pPr>
                  <w:r>
                    <w:rPr>
                      <w:rFonts w:hint="eastAsia"/>
                    </w:rPr>
                    <w:t>2.46E-06</w:t>
                  </w:r>
                </w:p>
              </w:tc>
              <w:tc>
                <w:tcPr>
                  <w:tcW w:w="669" w:type="pct"/>
                  <w:noWrap w:val="0"/>
                  <w:vAlign w:val="center"/>
                </w:tcPr>
                <w:p w14:paraId="6897682A">
                  <w:pPr>
                    <w:jc w:val="center"/>
                    <w:rPr>
                      <w:rFonts w:hint="eastAsia"/>
                    </w:rPr>
                  </w:pPr>
                  <w:r>
                    <w:rPr>
                      <w:rFonts w:hint="eastAsia"/>
                    </w:rPr>
                    <w:t>0.00</w:t>
                  </w:r>
                </w:p>
              </w:tc>
            </w:tr>
            <w:tr w14:paraId="7204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pct"/>
                  <w:noWrap w:val="0"/>
                  <w:vAlign w:val="center"/>
                </w:tcPr>
                <w:p w14:paraId="4C631A4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944" w:type="pct"/>
                  <w:noWrap w:val="0"/>
                  <w:vAlign w:val="center"/>
                </w:tcPr>
                <w:p w14:paraId="0E0FC38F">
                  <w:pPr>
                    <w:jc w:val="center"/>
                    <w:rPr>
                      <w:rFonts w:hint="eastAsia"/>
                      <w:b w:val="0"/>
                      <w:bCs w:val="0"/>
                      <w:sz w:val="21"/>
                      <w:szCs w:val="21"/>
                    </w:rPr>
                  </w:pPr>
                  <w:r>
                    <w:rPr>
                      <w:rFonts w:hint="eastAsia"/>
                    </w:rPr>
                    <w:t>2.43E-04</w:t>
                  </w:r>
                </w:p>
              </w:tc>
              <w:tc>
                <w:tcPr>
                  <w:tcW w:w="669" w:type="pct"/>
                  <w:noWrap w:val="0"/>
                  <w:vAlign w:val="center"/>
                </w:tcPr>
                <w:p w14:paraId="3808C931">
                  <w:pPr>
                    <w:jc w:val="center"/>
                    <w:rPr>
                      <w:rFonts w:hint="eastAsia"/>
                      <w:b w:val="0"/>
                      <w:bCs w:val="0"/>
                      <w:sz w:val="21"/>
                      <w:szCs w:val="21"/>
                    </w:rPr>
                  </w:pPr>
                  <w:r>
                    <w:rPr>
                      <w:rFonts w:hint="eastAsia"/>
                    </w:rPr>
                    <w:t>0.03</w:t>
                  </w:r>
                </w:p>
              </w:tc>
              <w:tc>
                <w:tcPr>
                  <w:tcW w:w="668" w:type="pct"/>
                  <w:noWrap w:val="0"/>
                  <w:vAlign w:val="center"/>
                </w:tcPr>
                <w:p w14:paraId="346335B4">
                  <w:pPr>
                    <w:jc w:val="center"/>
                    <w:rPr>
                      <w:rFonts w:hint="eastAsia"/>
                    </w:rPr>
                  </w:pPr>
                  <w:r>
                    <w:rPr>
                      <w:rFonts w:hint="eastAsia"/>
                    </w:rPr>
                    <w:t>1.40E-05</w:t>
                  </w:r>
                </w:p>
              </w:tc>
              <w:tc>
                <w:tcPr>
                  <w:tcW w:w="668" w:type="pct"/>
                  <w:noWrap w:val="0"/>
                  <w:vAlign w:val="center"/>
                </w:tcPr>
                <w:p w14:paraId="66256371">
                  <w:pPr>
                    <w:jc w:val="center"/>
                    <w:rPr>
                      <w:rFonts w:hint="eastAsia"/>
                    </w:rPr>
                  </w:pPr>
                  <w:r>
                    <w:rPr>
                      <w:rFonts w:hint="eastAsia"/>
                    </w:rPr>
                    <w:t>0.00</w:t>
                  </w:r>
                </w:p>
              </w:tc>
              <w:tc>
                <w:tcPr>
                  <w:tcW w:w="669" w:type="pct"/>
                  <w:noWrap w:val="0"/>
                  <w:vAlign w:val="center"/>
                </w:tcPr>
                <w:p w14:paraId="42606D41">
                  <w:pPr>
                    <w:jc w:val="center"/>
                    <w:rPr>
                      <w:rFonts w:hint="eastAsia"/>
                    </w:rPr>
                  </w:pPr>
                  <w:r>
                    <w:rPr>
                      <w:rFonts w:hint="eastAsia"/>
                    </w:rPr>
                    <w:t>5.94E-05</w:t>
                  </w:r>
                </w:p>
              </w:tc>
              <w:tc>
                <w:tcPr>
                  <w:tcW w:w="669" w:type="pct"/>
                  <w:noWrap w:val="0"/>
                  <w:vAlign w:val="center"/>
                </w:tcPr>
                <w:p w14:paraId="15C27CB4">
                  <w:pPr>
                    <w:jc w:val="center"/>
                    <w:rPr>
                      <w:rFonts w:hint="eastAsia"/>
                    </w:rPr>
                  </w:pPr>
                  <w:r>
                    <w:rPr>
                      <w:rFonts w:hint="eastAsia"/>
                    </w:rPr>
                    <w:t>0.01</w:t>
                  </w:r>
                </w:p>
              </w:tc>
            </w:tr>
            <w:tr w14:paraId="6AE4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642239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c>
                <w:tcPr>
                  <w:tcW w:w="944" w:type="pct"/>
                  <w:noWrap w:val="0"/>
                  <w:vAlign w:val="center"/>
                </w:tcPr>
                <w:p w14:paraId="31885738">
                  <w:pPr>
                    <w:jc w:val="center"/>
                    <w:rPr>
                      <w:rFonts w:hint="default" w:ascii="Times New Roman" w:hAnsi="Times New Roman" w:eastAsia="宋体" w:cs="Times New Roman"/>
                      <w:b w:val="0"/>
                      <w:bCs w:val="0"/>
                      <w:color w:val="auto"/>
                      <w:sz w:val="21"/>
                      <w:szCs w:val="21"/>
                      <w:lang w:val="en-US" w:eastAsia="zh-CN"/>
                    </w:rPr>
                  </w:pPr>
                  <w:r>
                    <w:rPr>
                      <w:rFonts w:hint="eastAsia"/>
                    </w:rPr>
                    <w:t>9.00E-04</w:t>
                  </w:r>
                </w:p>
              </w:tc>
              <w:tc>
                <w:tcPr>
                  <w:tcW w:w="669" w:type="pct"/>
                  <w:noWrap w:val="0"/>
                  <w:vAlign w:val="center"/>
                </w:tcPr>
                <w:p w14:paraId="5D3AED09">
                  <w:pPr>
                    <w:jc w:val="center"/>
                    <w:rPr>
                      <w:rFonts w:hint="default" w:ascii="Times New Roman" w:hAnsi="Times New Roman" w:eastAsia="宋体" w:cs="Times New Roman"/>
                      <w:b w:val="0"/>
                      <w:bCs w:val="0"/>
                      <w:color w:val="auto"/>
                      <w:sz w:val="21"/>
                      <w:szCs w:val="21"/>
                      <w:lang w:val="en-US" w:eastAsia="zh-CN"/>
                    </w:rPr>
                  </w:pPr>
                  <w:r>
                    <w:rPr>
                      <w:rFonts w:hint="eastAsia"/>
                    </w:rPr>
                    <w:t>0.10</w:t>
                  </w:r>
                </w:p>
              </w:tc>
              <w:tc>
                <w:tcPr>
                  <w:tcW w:w="668" w:type="pct"/>
                  <w:noWrap w:val="0"/>
                  <w:vAlign w:val="center"/>
                </w:tcPr>
                <w:p w14:paraId="568C0893">
                  <w:pPr>
                    <w:jc w:val="center"/>
                    <w:rPr>
                      <w:rFonts w:hint="eastAsia"/>
                    </w:rPr>
                  </w:pPr>
                  <w:r>
                    <w:rPr>
                      <w:rFonts w:hint="eastAsia"/>
                    </w:rPr>
                    <w:t>9.66E-05</w:t>
                  </w:r>
                </w:p>
              </w:tc>
              <w:tc>
                <w:tcPr>
                  <w:tcW w:w="668" w:type="pct"/>
                  <w:noWrap w:val="0"/>
                  <w:vAlign w:val="center"/>
                </w:tcPr>
                <w:p w14:paraId="7979B317">
                  <w:pPr>
                    <w:jc w:val="center"/>
                    <w:rPr>
                      <w:rFonts w:hint="eastAsia"/>
                    </w:rPr>
                  </w:pPr>
                  <w:r>
                    <w:rPr>
                      <w:rFonts w:hint="eastAsia"/>
                    </w:rPr>
                    <w:t>0.01</w:t>
                  </w:r>
                </w:p>
              </w:tc>
              <w:tc>
                <w:tcPr>
                  <w:tcW w:w="669" w:type="pct"/>
                  <w:noWrap w:val="0"/>
                  <w:vAlign w:val="center"/>
                </w:tcPr>
                <w:p w14:paraId="30203008">
                  <w:pPr>
                    <w:jc w:val="center"/>
                    <w:rPr>
                      <w:rFonts w:hint="eastAsia"/>
                    </w:rPr>
                  </w:pPr>
                  <w:r>
                    <w:rPr>
                      <w:rFonts w:hint="eastAsia"/>
                    </w:rPr>
                    <w:t>2.07E-04</w:t>
                  </w:r>
                </w:p>
              </w:tc>
              <w:tc>
                <w:tcPr>
                  <w:tcW w:w="669" w:type="pct"/>
                  <w:noWrap w:val="0"/>
                  <w:vAlign w:val="center"/>
                </w:tcPr>
                <w:p w14:paraId="0DE2E3BC">
                  <w:pPr>
                    <w:jc w:val="center"/>
                    <w:rPr>
                      <w:rFonts w:hint="eastAsia"/>
                    </w:rPr>
                  </w:pPr>
                  <w:r>
                    <w:rPr>
                      <w:rFonts w:hint="eastAsia"/>
                    </w:rPr>
                    <w:t>0.02</w:t>
                  </w:r>
                </w:p>
              </w:tc>
            </w:tr>
            <w:tr w14:paraId="08A8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34819019">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cs="Times New Roman"/>
                      <w:b/>
                      <w:bCs/>
                      <w:color w:val="auto"/>
                      <w:sz w:val="21"/>
                      <w:szCs w:val="21"/>
                      <w:lang w:val="en-US" w:eastAsia="zh-CN"/>
                    </w:rPr>
                    <w:t>63</w:t>
                  </w:r>
                </w:p>
              </w:tc>
              <w:tc>
                <w:tcPr>
                  <w:tcW w:w="944" w:type="pct"/>
                  <w:noWrap w:val="0"/>
                  <w:vAlign w:val="center"/>
                </w:tcPr>
                <w:p w14:paraId="343E4688">
                  <w:pPr>
                    <w:jc w:val="center"/>
                    <w:rPr>
                      <w:rFonts w:hint="eastAsia" w:eastAsia="宋体"/>
                      <w:b/>
                      <w:bCs/>
                      <w:lang w:eastAsia="zh-CN"/>
                    </w:rPr>
                  </w:pPr>
                  <w:r>
                    <w:rPr>
                      <w:rFonts w:hint="eastAsia"/>
                      <w:b/>
                      <w:bCs/>
                      <w:lang w:eastAsia="zh-CN"/>
                    </w:rPr>
                    <w:t>—</w:t>
                  </w:r>
                </w:p>
              </w:tc>
              <w:tc>
                <w:tcPr>
                  <w:tcW w:w="669" w:type="pct"/>
                  <w:noWrap w:val="0"/>
                  <w:vAlign w:val="center"/>
                </w:tcPr>
                <w:p w14:paraId="73A1E26A">
                  <w:pPr>
                    <w:jc w:val="center"/>
                    <w:rPr>
                      <w:rFonts w:hint="eastAsia"/>
                      <w:b/>
                      <w:bCs/>
                    </w:rPr>
                  </w:pPr>
                  <w:r>
                    <w:rPr>
                      <w:rFonts w:hint="eastAsia"/>
                      <w:b/>
                      <w:bCs/>
                      <w:lang w:eastAsia="zh-CN"/>
                    </w:rPr>
                    <w:t>—</w:t>
                  </w:r>
                </w:p>
              </w:tc>
              <w:tc>
                <w:tcPr>
                  <w:tcW w:w="668" w:type="pct"/>
                  <w:noWrap w:val="0"/>
                  <w:vAlign w:val="center"/>
                </w:tcPr>
                <w:p w14:paraId="6BD7FD43">
                  <w:pPr>
                    <w:jc w:val="center"/>
                    <w:rPr>
                      <w:rFonts w:hint="eastAsia"/>
                      <w:b/>
                      <w:bCs/>
                    </w:rPr>
                  </w:pPr>
                  <w:r>
                    <w:rPr>
                      <w:rFonts w:hint="eastAsia"/>
                      <w:b/>
                      <w:bCs/>
                      <w:lang w:eastAsia="zh-CN"/>
                    </w:rPr>
                    <w:t>—</w:t>
                  </w:r>
                </w:p>
              </w:tc>
              <w:tc>
                <w:tcPr>
                  <w:tcW w:w="668" w:type="pct"/>
                  <w:noWrap w:val="0"/>
                  <w:vAlign w:val="center"/>
                </w:tcPr>
                <w:p w14:paraId="5C1A29DE">
                  <w:pPr>
                    <w:jc w:val="center"/>
                    <w:rPr>
                      <w:rFonts w:hint="eastAsia"/>
                      <w:b/>
                      <w:bCs/>
                    </w:rPr>
                  </w:pPr>
                  <w:r>
                    <w:rPr>
                      <w:rFonts w:hint="eastAsia"/>
                      <w:b/>
                      <w:bCs/>
                      <w:lang w:eastAsia="zh-CN"/>
                    </w:rPr>
                    <w:t>—</w:t>
                  </w:r>
                </w:p>
              </w:tc>
              <w:tc>
                <w:tcPr>
                  <w:tcW w:w="669" w:type="pct"/>
                  <w:noWrap w:val="0"/>
                  <w:vAlign w:val="center"/>
                </w:tcPr>
                <w:p w14:paraId="430AC01F">
                  <w:pPr>
                    <w:jc w:val="center"/>
                    <w:rPr>
                      <w:rFonts w:hint="eastAsia"/>
                      <w:b/>
                      <w:bCs/>
                    </w:rPr>
                  </w:pPr>
                  <w:r>
                    <w:rPr>
                      <w:rFonts w:hint="eastAsia"/>
                      <w:b/>
                      <w:bCs/>
                    </w:rPr>
                    <w:t>2.22E-04</w:t>
                  </w:r>
                </w:p>
              </w:tc>
              <w:tc>
                <w:tcPr>
                  <w:tcW w:w="669" w:type="pct"/>
                  <w:noWrap w:val="0"/>
                  <w:vAlign w:val="center"/>
                </w:tcPr>
                <w:p w14:paraId="1E349AAD">
                  <w:pPr>
                    <w:jc w:val="center"/>
                    <w:rPr>
                      <w:rFonts w:hint="eastAsia"/>
                      <w:b/>
                      <w:bCs/>
                    </w:rPr>
                  </w:pPr>
                  <w:r>
                    <w:rPr>
                      <w:rFonts w:hint="eastAsia"/>
                      <w:b/>
                      <w:bCs/>
                    </w:rPr>
                    <w:t>0.02</w:t>
                  </w:r>
                </w:p>
              </w:tc>
            </w:tr>
            <w:tr w14:paraId="385B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56ABA203">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cs="Times New Roman"/>
                      <w:b/>
                      <w:bCs/>
                      <w:color w:val="auto"/>
                      <w:sz w:val="21"/>
                      <w:szCs w:val="21"/>
                      <w:lang w:val="en-US" w:eastAsia="zh-CN"/>
                    </w:rPr>
                    <w:t>72</w:t>
                  </w:r>
                </w:p>
              </w:tc>
              <w:tc>
                <w:tcPr>
                  <w:tcW w:w="944" w:type="pct"/>
                  <w:noWrap w:val="0"/>
                  <w:vAlign w:val="center"/>
                </w:tcPr>
                <w:p w14:paraId="102715A9">
                  <w:pPr>
                    <w:jc w:val="center"/>
                    <w:rPr>
                      <w:rFonts w:hint="default" w:ascii="Times New Roman" w:hAnsi="Times New Roman" w:eastAsia="宋体" w:cs="Times New Roman"/>
                      <w:b/>
                      <w:bCs/>
                      <w:color w:val="auto"/>
                      <w:sz w:val="21"/>
                      <w:szCs w:val="21"/>
                      <w:lang w:val="en-US" w:eastAsia="zh-CN"/>
                    </w:rPr>
                  </w:pPr>
                  <w:r>
                    <w:rPr>
                      <w:rFonts w:hint="eastAsia"/>
                      <w:b/>
                      <w:bCs/>
                    </w:rPr>
                    <w:t>1.07E-03</w:t>
                  </w:r>
                </w:p>
              </w:tc>
              <w:tc>
                <w:tcPr>
                  <w:tcW w:w="669" w:type="pct"/>
                  <w:noWrap w:val="0"/>
                  <w:vAlign w:val="center"/>
                </w:tcPr>
                <w:p w14:paraId="7FE61C70">
                  <w:pPr>
                    <w:jc w:val="center"/>
                    <w:rPr>
                      <w:rFonts w:hint="default" w:ascii="Times New Roman" w:hAnsi="Times New Roman" w:eastAsia="宋体" w:cs="Times New Roman"/>
                      <w:b/>
                      <w:bCs/>
                      <w:color w:val="auto"/>
                      <w:sz w:val="21"/>
                      <w:szCs w:val="21"/>
                      <w:lang w:val="en-US" w:eastAsia="zh-CN"/>
                    </w:rPr>
                  </w:pPr>
                  <w:r>
                    <w:rPr>
                      <w:rFonts w:hint="eastAsia"/>
                      <w:b/>
                      <w:bCs/>
                    </w:rPr>
                    <w:t>0.12</w:t>
                  </w:r>
                </w:p>
              </w:tc>
              <w:tc>
                <w:tcPr>
                  <w:tcW w:w="668" w:type="pct"/>
                  <w:noWrap w:val="0"/>
                  <w:vAlign w:val="center"/>
                </w:tcPr>
                <w:p w14:paraId="773414BC">
                  <w:pPr>
                    <w:jc w:val="center"/>
                    <w:rPr>
                      <w:rFonts w:hint="eastAsia"/>
                    </w:rPr>
                  </w:pPr>
                  <w:r>
                    <w:rPr>
                      <w:rFonts w:hint="eastAsia"/>
                      <w:lang w:eastAsia="zh-CN"/>
                    </w:rPr>
                    <w:t>—</w:t>
                  </w:r>
                </w:p>
              </w:tc>
              <w:tc>
                <w:tcPr>
                  <w:tcW w:w="668" w:type="pct"/>
                  <w:noWrap w:val="0"/>
                  <w:vAlign w:val="center"/>
                </w:tcPr>
                <w:p w14:paraId="45D2E681">
                  <w:pPr>
                    <w:jc w:val="center"/>
                    <w:rPr>
                      <w:rFonts w:hint="eastAsia"/>
                    </w:rPr>
                  </w:pPr>
                  <w:r>
                    <w:rPr>
                      <w:rFonts w:hint="eastAsia"/>
                      <w:lang w:eastAsia="zh-CN"/>
                    </w:rPr>
                    <w:t>—</w:t>
                  </w:r>
                </w:p>
              </w:tc>
              <w:tc>
                <w:tcPr>
                  <w:tcW w:w="669" w:type="pct"/>
                  <w:noWrap w:val="0"/>
                  <w:vAlign w:val="center"/>
                </w:tcPr>
                <w:p w14:paraId="6AB873CA">
                  <w:pPr>
                    <w:jc w:val="center"/>
                    <w:rPr>
                      <w:rFonts w:hint="eastAsia"/>
                    </w:rPr>
                  </w:pPr>
                  <w:r>
                    <w:rPr>
                      <w:rFonts w:hint="eastAsia"/>
                      <w:lang w:eastAsia="zh-CN"/>
                    </w:rPr>
                    <w:t>—</w:t>
                  </w:r>
                </w:p>
              </w:tc>
              <w:tc>
                <w:tcPr>
                  <w:tcW w:w="669" w:type="pct"/>
                  <w:noWrap w:val="0"/>
                  <w:vAlign w:val="center"/>
                </w:tcPr>
                <w:p w14:paraId="3F21691A">
                  <w:pPr>
                    <w:jc w:val="center"/>
                    <w:rPr>
                      <w:rFonts w:hint="eastAsia"/>
                    </w:rPr>
                  </w:pPr>
                  <w:r>
                    <w:rPr>
                      <w:rFonts w:hint="eastAsia"/>
                      <w:lang w:eastAsia="zh-CN"/>
                    </w:rPr>
                    <w:t>—</w:t>
                  </w:r>
                </w:p>
              </w:tc>
            </w:tr>
            <w:tr w14:paraId="5B76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27C93F8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75</w:t>
                  </w:r>
                </w:p>
              </w:tc>
              <w:tc>
                <w:tcPr>
                  <w:tcW w:w="944" w:type="pct"/>
                  <w:noWrap w:val="0"/>
                  <w:vAlign w:val="center"/>
                </w:tcPr>
                <w:p w14:paraId="12156CAF">
                  <w:pPr>
                    <w:jc w:val="center"/>
                    <w:rPr>
                      <w:rFonts w:hint="default" w:ascii="Times New Roman" w:hAnsi="Times New Roman" w:eastAsia="宋体" w:cs="Times New Roman"/>
                      <w:color w:val="auto"/>
                      <w:sz w:val="21"/>
                      <w:szCs w:val="21"/>
                    </w:rPr>
                  </w:pPr>
                  <w:r>
                    <w:rPr>
                      <w:rFonts w:hint="eastAsia"/>
                    </w:rPr>
                    <w:t>1.07E-03</w:t>
                  </w:r>
                </w:p>
              </w:tc>
              <w:tc>
                <w:tcPr>
                  <w:tcW w:w="669" w:type="pct"/>
                  <w:noWrap w:val="0"/>
                  <w:vAlign w:val="center"/>
                </w:tcPr>
                <w:p w14:paraId="7256753D">
                  <w:pPr>
                    <w:jc w:val="center"/>
                    <w:rPr>
                      <w:rFonts w:hint="default" w:ascii="Times New Roman" w:hAnsi="Times New Roman" w:eastAsia="宋体" w:cs="Times New Roman"/>
                      <w:color w:val="auto"/>
                      <w:sz w:val="21"/>
                      <w:szCs w:val="21"/>
                    </w:rPr>
                  </w:pPr>
                  <w:r>
                    <w:rPr>
                      <w:rFonts w:hint="eastAsia"/>
                    </w:rPr>
                    <w:t>0.12</w:t>
                  </w:r>
                </w:p>
              </w:tc>
              <w:tc>
                <w:tcPr>
                  <w:tcW w:w="668" w:type="pct"/>
                  <w:noWrap w:val="0"/>
                  <w:vAlign w:val="center"/>
                </w:tcPr>
                <w:p w14:paraId="61E4835A">
                  <w:pPr>
                    <w:jc w:val="center"/>
                    <w:rPr>
                      <w:rFonts w:hint="eastAsia"/>
                    </w:rPr>
                  </w:pPr>
                  <w:r>
                    <w:rPr>
                      <w:rFonts w:hint="eastAsia"/>
                    </w:rPr>
                    <w:t>2.01E-04</w:t>
                  </w:r>
                </w:p>
              </w:tc>
              <w:tc>
                <w:tcPr>
                  <w:tcW w:w="668" w:type="pct"/>
                  <w:noWrap w:val="0"/>
                  <w:vAlign w:val="center"/>
                </w:tcPr>
                <w:p w14:paraId="7C752544">
                  <w:pPr>
                    <w:jc w:val="center"/>
                    <w:rPr>
                      <w:rFonts w:hint="eastAsia"/>
                    </w:rPr>
                  </w:pPr>
                  <w:r>
                    <w:rPr>
                      <w:rFonts w:hint="eastAsia"/>
                    </w:rPr>
                    <w:t>0.02</w:t>
                  </w:r>
                </w:p>
              </w:tc>
              <w:tc>
                <w:tcPr>
                  <w:tcW w:w="669" w:type="pct"/>
                  <w:noWrap w:val="0"/>
                  <w:vAlign w:val="center"/>
                </w:tcPr>
                <w:p w14:paraId="19CBCCEF">
                  <w:pPr>
                    <w:jc w:val="center"/>
                    <w:rPr>
                      <w:rFonts w:hint="eastAsia"/>
                    </w:rPr>
                  </w:pPr>
                  <w:r>
                    <w:rPr>
                      <w:rFonts w:hint="eastAsia"/>
                    </w:rPr>
                    <w:t>2.14E-04</w:t>
                  </w:r>
                </w:p>
              </w:tc>
              <w:tc>
                <w:tcPr>
                  <w:tcW w:w="669" w:type="pct"/>
                  <w:noWrap w:val="0"/>
                  <w:vAlign w:val="center"/>
                </w:tcPr>
                <w:p w14:paraId="2D3DAD4D">
                  <w:pPr>
                    <w:jc w:val="center"/>
                    <w:rPr>
                      <w:rFonts w:hint="eastAsia"/>
                    </w:rPr>
                  </w:pPr>
                  <w:r>
                    <w:rPr>
                      <w:rFonts w:hint="eastAsia"/>
                    </w:rPr>
                    <w:t>0.02</w:t>
                  </w:r>
                </w:p>
              </w:tc>
            </w:tr>
            <w:tr w14:paraId="677E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70154045">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944" w:type="pct"/>
                  <w:noWrap w:val="0"/>
                  <w:vAlign w:val="center"/>
                </w:tcPr>
                <w:p w14:paraId="44406F50">
                  <w:pPr>
                    <w:jc w:val="center"/>
                    <w:rPr>
                      <w:rFonts w:hint="default" w:ascii="Times New Roman" w:hAnsi="Times New Roman" w:eastAsia="宋体" w:cs="Times New Roman"/>
                      <w:color w:val="auto"/>
                      <w:sz w:val="21"/>
                      <w:szCs w:val="21"/>
                      <w:lang w:val="en-US" w:eastAsia="zh-CN"/>
                    </w:rPr>
                  </w:pPr>
                  <w:r>
                    <w:rPr>
                      <w:rFonts w:hint="eastAsia"/>
                    </w:rPr>
                    <w:t>9.52E-04</w:t>
                  </w:r>
                </w:p>
              </w:tc>
              <w:tc>
                <w:tcPr>
                  <w:tcW w:w="669" w:type="pct"/>
                  <w:noWrap w:val="0"/>
                  <w:vAlign w:val="center"/>
                </w:tcPr>
                <w:p w14:paraId="1258CE87">
                  <w:pPr>
                    <w:jc w:val="center"/>
                    <w:rPr>
                      <w:rFonts w:hint="default" w:ascii="Times New Roman" w:hAnsi="Times New Roman" w:eastAsia="宋体" w:cs="Times New Roman"/>
                      <w:color w:val="auto"/>
                      <w:sz w:val="21"/>
                      <w:szCs w:val="21"/>
                      <w:lang w:val="en-US" w:eastAsia="zh-CN"/>
                    </w:rPr>
                  </w:pPr>
                  <w:r>
                    <w:rPr>
                      <w:rFonts w:hint="eastAsia"/>
                    </w:rPr>
                    <w:t>0.11</w:t>
                  </w:r>
                </w:p>
              </w:tc>
              <w:tc>
                <w:tcPr>
                  <w:tcW w:w="668" w:type="pct"/>
                  <w:noWrap w:val="0"/>
                  <w:vAlign w:val="center"/>
                </w:tcPr>
                <w:p w14:paraId="2DAB20FE">
                  <w:pPr>
                    <w:jc w:val="center"/>
                    <w:rPr>
                      <w:rFonts w:hint="eastAsia"/>
                    </w:rPr>
                  </w:pPr>
                  <w:r>
                    <w:rPr>
                      <w:rFonts w:hint="eastAsia"/>
                    </w:rPr>
                    <w:t>2.31E-04</w:t>
                  </w:r>
                </w:p>
              </w:tc>
              <w:tc>
                <w:tcPr>
                  <w:tcW w:w="668" w:type="pct"/>
                  <w:noWrap w:val="0"/>
                  <w:vAlign w:val="center"/>
                </w:tcPr>
                <w:p w14:paraId="0CB7C326">
                  <w:pPr>
                    <w:jc w:val="center"/>
                    <w:rPr>
                      <w:rFonts w:hint="eastAsia"/>
                    </w:rPr>
                  </w:pPr>
                  <w:r>
                    <w:rPr>
                      <w:rFonts w:hint="eastAsia"/>
                    </w:rPr>
                    <w:t>0.03</w:t>
                  </w:r>
                </w:p>
              </w:tc>
              <w:tc>
                <w:tcPr>
                  <w:tcW w:w="669" w:type="pct"/>
                  <w:noWrap w:val="0"/>
                  <w:vAlign w:val="center"/>
                </w:tcPr>
                <w:p w14:paraId="2CD00BB4">
                  <w:pPr>
                    <w:jc w:val="center"/>
                    <w:rPr>
                      <w:rFonts w:hint="eastAsia"/>
                    </w:rPr>
                  </w:pPr>
                  <w:r>
                    <w:rPr>
                      <w:rFonts w:hint="eastAsia"/>
                    </w:rPr>
                    <w:t>1.81E-04</w:t>
                  </w:r>
                </w:p>
              </w:tc>
              <w:tc>
                <w:tcPr>
                  <w:tcW w:w="669" w:type="pct"/>
                  <w:noWrap w:val="0"/>
                  <w:vAlign w:val="center"/>
                </w:tcPr>
                <w:p w14:paraId="0868ADAF">
                  <w:pPr>
                    <w:jc w:val="center"/>
                    <w:rPr>
                      <w:rFonts w:hint="eastAsia"/>
                    </w:rPr>
                  </w:pPr>
                  <w:r>
                    <w:rPr>
                      <w:rFonts w:hint="eastAsia"/>
                    </w:rPr>
                    <w:t>0.02</w:t>
                  </w:r>
                </w:p>
              </w:tc>
            </w:tr>
            <w:tr w14:paraId="0FE1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9" w:type="pct"/>
                  <w:noWrap w:val="0"/>
                  <w:vAlign w:val="center"/>
                </w:tcPr>
                <w:p w14:paraId="04ABE33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color w:val="auto"/>
                      <w:sz w:val="21"/>
                      <w:szCs w:val="21"/>
                      <w:lang w:val="en-US" w:eastAsia="zh-CN"/>
                    </w:rPr>
                    <w:t>125</w:t>
                  </w:r>
                </w:p>
              </w:tc>
              <w:tc>
                <w:tcPr>
                  <w:tcW w:w="944" w:type="pct"/>
                  <w:noWrap w:val="0"/>
                  <w:vAlign w:val="center"/>
                </w:tcPr>
                <w:p w14:paraId="46CAF4D6">
                  <w:pPr>
                    <w:jc w:val="center"/>
                    <w:rPr>
                      <w:rFonts w:hint="default" w:ascii="Times New Roman" w:hAnsi="Times New Roman" w:eastAsia="宋体" w:cs="Times New Roman"/>
                      <w:b w:val="0"/>
                      <w:bCs w:val="0"/>
                      <w:color w:val="auto"/>
                      <w:sz w:val="21"/>
                      <w:szCs w:val="21"/>
                      <w:lang w:val="en-US" w:eastAsia="zh-CN"/>
                    </w:rPr>
                  </w:pPr>
                  <w:r>
                    <w:rPr>
                      <w:rFonts w:hint="eastAsia"/>
                    </w:rPr>
                    <w:t>7.98E-04</w:t>
                  </w:r>
                </w:p>
              </w:tc>
              <w:tc>
                <w:tcPr>
                  <w:tcW w:w="669" w:type="pct"/>
                  <w:noWrap w:val="0"/>
                  <w:vAlign w:val="center"/>
                </w:tcPr>
                <w:p w14:paraId="5CA58773">
                  <w:pPr>
                    <w:jc w:val="center"/>
                    <w:rPr>
                      <w:rFonts w:hint="default" w:ascii="Times New Roman" w:hAnsi="Times New Roman" w:eastAsia="宋体" w:cs="Times New Roman"/>
                      <w:b w:val="0"/>
                      <w:bCs w:val="0"/>
                      <w:color w:val="auto"/>
                      <w:sz w:val="21"/>
                      <w:szCs w:val="21"/>
                      <w:lang w:val="en-US" w:eastAsia="zh-CN"/>
                    </w:rPr>
                  </w:pPr>
                  <w:r>
                    <w:rPr>
                      <w:rFonts w:hint="eastAsia"/>
                    </w:rPr>
                    <w:t>0.09</w:t>
                  </w:r>
                </w:p>
              </w:tc>
              <w:tc>
                <w:tcPr>
                  <w:tcW w:w="668" w:type="pct"/>
                  <w:noWrap w:val="0"/>
                  <w:vAlign w:val="center"/>
                </w:tcPr>
                <w:p w14:paraId="5413502A">
                  <w:pPr>
                    <w:jc w:val="center"/>
                    <w:rPr>
                      <w:rFonts w:hint="eastAsia"/>
                    </w:rPr>
                  </w:pPr>
                  <w:r>
                    <w:rPr>
                      <w:rFonts w:hint="eastAsia"/>
                    </w:rPr>
                    <w:t>2.31E-04</w:t>
                  </w:r>
                </w:p>
              </w:tc>
              <w:tc>
                <w:tcPr>
                  <w:tcW w:w="668" w:type="pct"/>
                  <w:noWrap w:val="0"/>
                  <w:vAlign w:val="center"/>
                </w:tcPr>
                <w:p w14:paraId="1B2AC635">
                  <w:pPr>
                    <w:jc w:val="center"/>
                    <w:rPr>
                      <w:rFonts w:hint="eastAsia"/>
                    </w:rPr>
                  </w:pPr>
                  <w:r>
                    <w:rPr>
                      <w:rFonts w:hint="eastAsia"/>
                    </w:rPr>
                    <w:t>0.03</w:t>
                  </w:r>
                </w:p>
              </w:tc>
              <w:tc>
                <w:tcPr>
                  <w:tcW w:w="669" w:type="pct"/>
                  <w:noWrap w:val="0"/>
                  <w:vAlign w:val="center"/>
                </w:tcPr>
                <w:p w14:paraId="4865A766">
                  <w:pPr>
                    <w:jc w:val="center"/>
                    <w:rPr>
                      <w:rFonts w:hint="eastAsia"/>
                    </w:rPr>
                  </w:pPr>
                  <w:r>
                    <w:rPr>
                      <w:rFonts w:hint="eastAsia"/>
                    </w:rPr>
                    <w:t>1.47E-04</w:t>
                  </w:r>
                </w:p>
              </w:tc>
              <w:tc>
                <w:tcPr>
                  <w:tcW w:w="669" w:type="pct"/>
                  <w:noWrap w:val="0"/>
                  <w:vAlign w:val="center"/>
                </w:tcPr>
                <w:p w14:paraId="2A3C2C15">
                  <w:pPr>
                    <w:jc w:val="center"/>
                    <w:rPr>
                      <w:rFonts w:hint="eastAsia"/>
                    </w:rPr>
                  </w:pPr>
                  <w:r>
                    <w:rPr>
                      <w:rFonts w:hint="eastAsia"/>
                    </w:rPr>
                    <w:t>0.02</w:t>
                  </w:r>
                </w:p>
              </w:tc>
            </w:tr>
            <w:tr w14:paraId="3B90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5DB0DEB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944" w:type="pct"/>
                  <w:noWrap w:val="0"/>
                  <w:vAlign w:val="center"/>
                </w:tcPr>
                <w:p w14:paraId="62507C19">
                  <w:pPr>
                    <w:jc w:val="center"/>
                    <w:rPr>
                      <w:rFonts w:hint="default" w:ascii="Times New Roman" w:hAnsi="Times New Roman" w:eastAsia="宋体" w:cs="Times New Roman"/>
                      <w:color w:val="auto"/>
                      <w:sz w:val="21"/>
                      <w:szCs w:val="21"/>
                      <w:lang w:val="en-US" w:eastAsia="zh-CN"/>
                    </w:rPr>
                  </w:pPr>
                  <w:r>
                    <w:rPr>
                      <w:rFonts w:hint="eastAsia"/>
                    </w:rPr>
                    <w:t>6.75E-04</w:t>
                  </w:r>
                </w:p>
              </w:tc>
              <w:tc>
                <w:tcPr>
                  <w:tcW w:w="669" w:type="pct"/>
                  <w:noWrap w:val="0"/>
                  <w:vAlign w:val="center"/>
                </w:tcPr>
                <w:p w14:paraId="2583E124">
                  <w:pPr>
                    <w:jc w:val="center"/>
                    <w:rPr>
                      <w:rFonts w:hint="default" w:ascii="Times New Roman" w:hAnsi="Times New Roman" w:eastAsia="宋体" w:cs="Times New Roman"/>
                      <w:color w:val="auto"/>
                      <w:sz w:val="21"/>
                      <w:szCs w:val="21"/>
                      <w:lang w:val="en-US" w:eastAsia="zh-CN"/>
                    </w:rPr>
                  </w:pPr>
                  <w:r>
                    <w:rPr>
                      <w:rFonts w:hint="eastAsia"/>
                    </w:rPr>
                    <w:t>0.08</w:t>
                  </w:r>
                </w:p>
              </w:tc>
              <w:tc>
                <w:tcPr>
                  <w:tcW w:w="668" w:type="pct"/>
                  <w:noWrap w:val="0"/>
                  <w:vAlign w:val="center"/>
                </w:tcPr>
                <w:p w14:paraId="610B20F5">
                  <w:pPr>
                    <w:jc w:val="center"/>
                    <w:rPr>
                      <w:rFonts w:hint="eastAsia"/>
                    </w:rPr>
                  </w:pPr>
                  <w:r>
                    <w:rPr>
                      <w:rFonts w:hint="eastAsia"/>
                    </w:rPr>
                    <w:t>2.19E-04</w:t>
                  </w:r>
                </w:p>
              </w:tc>
              <w:tc>
                <w:tcPr>
                  <w:tcW w:w="668" w:type="pct"/>
                  <w:noWrap w:val="0"/>
                  <w:vAlign w:val="center"/>
                </w:tcPr>
                <w:p w14:paraId="39A6758C">
                  <w:pPr>
                    <w:jc w:val="center"/>
                    <w:rPr>
                      <w:rFonts w:hint="eastAsia"/>
                    </w:rPr>
                  </w:pPr>
                  <w:r>
                    <w:rPr>
                      <w:rFonts w:hint="eastAsia"/>
                    </w:rPr>
                    <w:t>0.02</w:t>
                  </w:r>
                </w:p>
              </w:tc>
              <w:tc>
                <w:tcPr>
                  <w:tcW w:w="669" w:type="pct"/>
                  <w:noWrap w:val="0"/>
                  <w:vAlign w:val="center"/>
                </w:tcPr>
                <w:p w14:paraId="6DB7D8BD">
                  <w:pPr>
                    <w:jc w:val="center"/>
                    <w:rPr>
                      <w:rFonts w:hint="eastAsia"/>
                    </w:rPr>
                  </w:pPr>
                  <w:r>
                    <w:rPr>
                      <w:rFonts w:hint="eastAsia"/>
                    </w:rPr>
                    <w:t>1.22E-04</w:t>
                  </w:r>
                </w:p>
              </w:tc>
              <w:tc>
                <w:tcPr>
                  <w:tcW w:w="669" w:type="pct"/>
                  <w:noWrap w:val="0"/>
                  <w:vAlign w:val="center"/>
                </w:tcPr>
                <w:p w14:paraId="1F58774D">
                  <w:pPr>
                    <w:jc w:val="center"/>
                    <w:rPr>
                      <w:rFonts w:hint="eastAsia"/>
                    </w:rPr>
                  </w:pPr>
                  <w:r>
                    <w:rPr>
                      <w:rFonts w:hint="eastAsia"/>
                    </w:rPr>
                    <w:t>0.01</w:t>
                  </w:r>
                </w:p>
              </w:tc>
            </w:tr>
            <w:tr w14:paraId="5AA4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EAFE72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175</w:t>
                  </w:r>
                </w:p>
              </w:tc>
              <w:tc>
                <w:tcPr>
                  <w:tcW w:w="944" w:type="pct"/>
                  <w:noWrap w:val="0"/>
                  <w:vAlign w:val="center"/>
                </w:tcPr>
                <w:p w14:paraId="7BF4F072">
                  <w:pPr>
                    <w:jc w:val="center"/>
                    <w:rPr>
                      <w:rFonts w:hint="default" w:ascii="Times New Roman" w:hAnsi="Times New Roman" w:eastAsia="宋体" w:cs="Times New Roman"/>
                      <w:color w:val="auto"/>
                      <w:sz w:val="21"/>
                      <w:szCs w:val="21"/>
                      <w:lang w:val="en-US" w:eastAsia="zh-CN"/>
                    </w:rPr>
                  </w:pPr>
                  <w:r>
                    <w:rPr>
                      <w:rFonts w:hint="eastAsia"/>
                    </w:rPr>
                    <w:t>5.86E-04</w:t>
                  </w:r>
                </w:p>
              </w:tc>
              <w:tc>
                <w:tcPr>
                  <w:tcW w:w="669" w:type="pct"/>
                  <w:noWrap w:val="0"/>
                  <w:vAlign w:val="center"/>
                </w:tcPr>
                <w:p w14:paraId="6F82E2C0">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6CE3B72E">
                  <w:pPr>
                    <w:jc w:val="center"/>
                    <w:rPr>
                      <w:rFonts w:hint="eastAsia"/>
                    </w:rPr>
                  </w:pPr>
                  <w:r>
                    <w:rPr>
                      <w:rFonts w:hint="eastAsia"/>
                    </w:rPr>
                    <w:t>2.11E-04</w:t>
                  </w:r>
                </w:p>
              </w:tc>
              <w:tc>
                <w:tcPr>
                  <w:tcW w:w="668" w:type="pct"/>
                  <w:noWrap w:val="0"/>
                  <w:vAlign w:val="center"/>
                </w:tcPr>
                <w:p w14:paraId="6F708D74">
                  <w:pPr>
                    <w:jc w:val="center"/>
                    <w:rPr>
                      <w:rFonts w:hint="eastAsia"/>
                    </w:rPr>
                  </w:pPr>
                  <w:r>
                    <w:rPr>
                      <w:rFonts w:hint="eastAsia"/>
                    </w:rPr>
                    <w:t>0.02</w:t>
                  </w:r>
                </w:p>
              </w:tc>
              <w:tc>
                <w:tcPr>
                  <w:tcW w:w="669" w:type="pct"/>
                  <w:noWrap w:val="0"/>
                  <w:vAlign w:val="center"/>
                </w:tcPr>
                <w:p w14:paraId="74E19F3B">
                  <w:pPr>
                    <w:jc w:val="center"/>
                    <w:rPr>
                      <w:rFonts w:hint="eastAsia"/>
                    </w:rPr>
                  </w:pPr>
                  <w:r>
                    <w:rPr>
                      <w:rFonts w:hint="eastAsia"/>
                    </w:rPr>
                    <w:t>1.05E-04</w:t>
                  </w:r>
                </w:p>
              </w:tc>
              <w:tc>
                <w:tcPr>
                  <w:tcW w:w="669" w:type="pct"/>
                  <w:noWrap w:val="0"/>
                  <w:vAlign w:val="center"/>
                </w:tcPr>
                <w:p w14:paraId="495311A7">
                  <w:pPr>
                    <w:jc w:val="center"/>
                    <w:rPr>
                      <w:rFonts w:hint="eastAsia"/>
                    </w:rPr>
                  </w:pPr>
                  <w:r>
                    <w:rPr>
                      <w:rFonts w:hint="eastAsia"/>
                    </w:rPr>
                    <w:t>0.01</w:t>
                  </w:r>
                </w:p>
              </w:tc>
            </w:tr>
            <w:tr w14:paraId="0637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8041969">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944" w:type="pct"/>
                  <w:noWrap w:val="0"/>
                  <w:vAlign w:val="center"/>
                </w:tcPr>
                <w:p w14:paraId="3A28FB31">
                  <w:pPr>
                    <w:jc w:val="center"/>
                    <w:rPr>
                      <w:rFonts w:hint="default" w:ascii="Times New Roman" w:hAnsi="Times New Roman" w:eastAsia="宋体" w:cs="Times New Roman"/>
                      <w:color w:val="auto"/>
                      <w:sz w:val="21"/>
                      <w:szCs w:val="21"/>
                      <w:lang w:val="en-US" w:eastAsia="zh-CN"/>
                    </w:rPr>
                  </w:pPr>
                  <w:r>
                    <w:rPr>
                      <w:rFonts w:hint="eastAsia"/>
                    </w:rPr>
                    <w:t>6.17E-04</w:t>
                  </w:r>
                </w:p>
              </w:tc>
              <w:tc>
                <w:tcPr>
                  <w:tcW w:w="669" w:type="pct"/>
                  <w:noWrap w:val="0"/>
                  <w:vAlign w:val="center"/>
                </w:tcPr>
                <w:p w14:paraId="554BD152">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781E9C66">
                  <w:pPr>
                    <w:jc w:val="center"/>
                    <w:rPr>
                      <w:rFonts w:hint="eastAsia"/>
                    </w:rPr>
                  </w:pPr>
                  <w:r>
                    <w:rPr>
                      <w:rFonts w:hint="eastAsia"/>
                    </w:rPr>
                    <w:t>2.32E-04</w:t>
                  </w:r>
                </w:p>
              </w:tc>
              <w:tc>
                <w:tcPr>
                  <w:tcW w:w="668" w:type="pct"/>
                  <w:noWrap w:val="0"/>
                  <w:vAlign w:val="center"/>
                </w:tcPr>
                <w:p w14:paraId="3B077AED">
                  <w:pPr>
                    <w:jc w:val="center"/>
                    <w:rPr>
                      <w:rFonts w:hint="eastAsia"/>
                    </w:rPr>
                  </w:pPr>
                  <w:r>
                    <w:rPr>
                      <w:rFonts w:hint="eastAsia"/>
                    </w:rPr>
                    <w:t>0.03</w:t>
                  </w:r>
                </w:p>
              </w:tc>
              <w:tc>
                <w:tcPr>
                  <w:tcW w:w="669" w:type="pct"/>
                  <w:noWrap w:val="0"/>
                  <w:vAlign w:val="center"/>
                </w:tcPr>
                <w:p w14:paraId="504C5143">
                  <w:pPr>
                    <w:jc w:val="center"/>
                    <w:rPr>
                      <w:rFonts w:hint="eastAsia"/>
                    </w:rPr>
                  </w:pPr>
                  <w:r>
                    <w:rPr>
                      <w:rFonts w:hint="eastAsia"/>
                    </w:rPr>
                    <w:t>1.10E-04</w:t>
                  </w:r>
                </w:p>
              </w:tc>
              <w:tc>
                <w:tcPr>
                  <w:tcW w:w="669" w:type="pct"/>
                  <w:noWrap w:val="0"/>
                  <w:vAlign w:val="center"/>
                </w:tcPr>
                <w:p w14:paraId="27E1F68C">
                  <w:pPr>
                    <w:jc w:val="center"/>
                    <w:rPr>
                      <w:rFonts w:hint="eastAsia"/>
                    </w:rPr>
                  </w:pPr>
                  <w:r>
                    <w:rPr>
                      <w:rFonts w:hint="eastAsia"/>
                    </w:rPr>
                    <w:t>0.01</w:t>
                  </w:r>
                </w:p>
              </w:tc>
            </w:tr>
            <w:tr w14:paraId="73B2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367A389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225</w:t>
                  </w:r>
                </w:p>
              </w:tc>
              <w:tc>
                <w:tcPr>
                  <w:tcW w:w="944" w:type="pct"/>
                  <w:noWrap w:val="0"/>
                  <w:vAlign w:val="center"/>
                </w:tcPr>
                <w:p w14:paraId="10AFE125">
                  <w:pPr>
                    <w:jc w:val="center"/>
                    <w:rPr>
                      <w:rFonts w:hint="default" w:ascii="Times New Roman" w:hAnsi="Times New Roman" w:eastAsia="宋体" w:cs="Times New Roman"/>
                      <w:color w:val="auto"/>
                      <w:sz w:val="21"/>
                      <w:szCs w:val="21"/>
                      <w:lang w:val="en-US" w:eastAsia="zh-CN"/>
                    </w:rPr>
                  </w:pPr>
                  <w:r>
                    <w:rPr>
                      <w:rFonts w:hint="eastAsia"/>
                    </w:rPr>
                    <w:t>6.67E-04</w:t>
                  </w:r>
                </w:p>
              </w:tc>
              <w:tc>
                <w:tcPr>
                  <w:tcW w:w="669" w:type="pct"/>
                  <w:noWrap w:val="0"/>
                  <w:vAlign w:val="center"/>
                </w:tcPr>
                <w:p w14:paraId="5319311C">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72286FAB">
                  <w:pPr>
                    <w:jc w:val="center"/>
                    <w:rPr>
                      <w:rFonts w:hint="eastAsia"/>
                    </w:rPr>
                  </w:pPr>
                  <w:r>
                    <w:rPr>
                      <w:rFonts w:hint="eastAsia"/>
                    </w:rPr>
                    <w:t>2.51E-04</w:t>
                  </w:r>
                </w:p>
              </w:tc>
              <w:tc>
                <w:tcPr>
                  <w:tcW w:w="668" w:type="pct"/>
                  <w:noWrap w:val="0"/>
                  <w:vAlign w:val="center"/>
                </w:tcPr>
                <w:p w14:paraId="55255C6E">
                  <w:pPr>
                    <w:jc w:val="center"/>
                    <w:rPr>
                      <w:rFonts w:hint="eastAsia"/>
                    </w:rPr>
                  </w:pPr>
                  <w:r>
                    <w:rPr>
                      <w:rFonts w:hint="eastAsia"/>
                    </w:rPr>
                    <w:t>0.03</w:t>
                  </w:r>
                </w:p>
              </w:tc>
              <w:tc>
                <w:tcPr>
                  <w:tcW w:w="669" w:type="pct"/>
                  <w:noWrap w:val="0"/>
                  <w:vAlign w:val="center"/>
                </w:tcPr>
                <w:p w14:paraId="3AAE7F66">
                  <w:pPr>
                    <w:jc w:val="center"/>
                    <w:rPr>
                      <w:rFonts w:hint="eastAsia"/>
                    </w:rPr>
                  </w:pPr>
                  <w:r>
                    <w:rPr>
                      <w:rFonts w:hint="eastAsia"/>
                    </w:rPr>
                    <w:t>1.19E-04</w:t>
                  </w:r>
                </w:p>
              </w:tc>
              <w:tc>
                <w:tcPr>
                  <w:tcW w:w="669" w:type="pct"/>
                  <w:noWrap w:val="0"/>
                  <w:vAlign w:val="center"/>
                </w:tcPr>
                <w:p w14:paraId="7D890E9C">
                  <w:pPr>
                    <w:jc w:val="center"/>
                    <w:rPr>
                      <w:rFonts w:hint="eastAsia"/>
                    </w:rPr>
                  </w:pPr>
                  <w:r>
                    <w:rPr>
                      <w:rFonts w:hint="eastAsia"/>
                    </w:rPr>
                    <w:t>0.01</w:t>
                  </w:r>
                </w:p>
              </w:tc>
            </w:tr>
            <w:tr w14:paraId="6DE6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0C5A73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944" w:type="pct"/>
                  <w:noWrap w:val="0"/>
                  <w:vAlign w:val="center"/>
                </w:tcPr>
                <w:p w14:paraId="1F2DEF7A">
                  <w:pPr>
                    <w:jc w:val="center"/>
                    <w:rPr>
                      <w:rFonts w:hint="default" w:ascii="Times New Roman" w:hAnsi="Times New Roman" w:eastAsia="宋体" w:cs="Times New Roman"/>
                      <w:color w:val="auto"/>
                      <w:sz w:val="21"/>
                      <w:szCs w:val="21"/>
                      <w:lang w:val="en-US" w:eastAsia="zh-CN"/>
                    </w:rPr>
                  </w:pPr>
                  <w:r>
                    <w:rPr>
                      <w:rFonts w:hint="eastAsia"/>
                    </w:rPr>
                    <w:t>6.89E-04</w:t>
                  </w:r>
                </w:p>
              </w:tc>
              <w:tc>
                <w:tcPr>
                  <w:tcW w:w="669" w:type="pct"/>
                  <w:noWrap w:val="0"/>
                  <w:vAlign w:val="center"/>
                </w:tcPr>
                <w:p w14:paraId="79BD81FE">
                  <w:pPr>
                    <w:jc w:val="center"/>
                    <w:rPr>
                      <w:rFonts w:hint="default" w:ascii="Times New Roman" w:hAnsi="Times New Roman" w:eastAsia="宋体" w:cs="Times New Roman"/>
                      <w:color w:val="auto"/>
                      <w:sz w:val="21"/>
                      <w:szCs w:val="21"/>
                      <w:lang w:val="en-US" w:eastAsia="zh-CN"/>
                    </w:rPr>
                  </w:pPr>
                  <w:r>
                    <w:rPr>
                      <w:rFonts w:hint="eastAsia"/>
                    </w:rPr>
                    <w:t>0.08</w:t>
                  </w:r>
                </w:p>
              </w:tc>
              <w:tc>
                <w:tcPr>
                  <w:tcW w:w="668" w:type="pct"/>
                  <w:noWrap w:val="0"/>
                  <w:vAlign w:val="center"/>
                </w:tcPr>
                <w:p w14:paraId="2C4F2A58">
                  <w:pPr>
                    <w:jc w:val="center"/>
                    <w:rPr>
                      <w:rFonts w:hint="eastAsia"/>
                    </w:rPr>
                  </w:pPr>
                  <w:r>
                    <w:rPr>
                      <w:rFonts w:hint="eastAsia"/>
                    </w:rPr>
                    <w:t>2.59E-04</w:t>
                  </w:r>
                </w:p>
              </w:tc>
              <w:tc>
                <w:tcPr>
                  <w:tcW w:w="668" w:type="pct"/>
                  <w:noWrap w:val="0"/>
                  <w:vAlign w:val="center"/>
                </w:tcPr>
                <w:p w14:paraId="75BC486D">
                  <w:pPr>
                    <w:jc w:val="center"/>
                    <w:rPr>
                      <w:rFonts w:hint="eastAsia"/>
                    </w:rPr>
                  </w:pPr>
                  <w:r>
                    <w:rPr>
                      <w:rFonts w:hint="eastAsia"/>
                    </w:rPr>
                    <w:t>0.03</w:t>
                  </w:r>
                </w:p>
              </w:tc>
              <w:tc>
                <w:tcPr>
                  <w:tcW w:w="669" w:type="pct"/>
                  <w:noWrap w:val="0"/>
                  <w:vAlign w:val="center"/>
                </w:tcPr>
                <w:p w14:paraId="61DC8F99">
                  <w:pPr>
                    <w:jc w:val="center"/>
                    <w:rPr>
                      <w:rFonts w:hint="eastAsia"/>
                    </w:rPr>
                  </w:pPr>
                  <w:r>
                    <w:rPr>
                      <w:rFonts w:hint="eastAsia"/>
                    </w:rPr>
                    <w:t>1.23E-04</w:t>
                  </w:r>
                </w:p>
              </w:tc>
              <w:tc>
                <w:tcPr>
                  <w:tcW w:w="669" w:type="pct"/>
                  <w:noWrap w:val="0"/>
                  <w:vAlign w:val="center"/>
                </w:tcPr>
                <w:p w14:paraId="42FD9025">
                  <w:pPr>
                    <w:jc w:val="center"/>
                    <w:rPr>
                      <w:rFonts w:hint="eastAsia"/>
                    </w:rPr>
                  </w:pPr>
                  <w:r>
                    <w:rPr>
                      <w:rFonts w:hint="eastAsia"/>
                    </w:rPr>
                    <w:t>0.01</w:t>
                  </w:r>
                </w:p>
              </w:tc>
            </w:tr>
            <w:tr w14:paraId="6F73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3F391FF7">
                  <w:pPr>
                    <w:keepNext w:val="0"/>
                    <w:keepLines w:val="0"/>
                    <w:widowControl/>
                    <w:suppressLineNumbers w:val="0"/>
                    <w:spacing w:line="240" w:lineRule="auto"/>
                    <w:jc w:val="center"/>
                    <w:textAlignment w:val="center"/>
                    <w:rPr>
                      <w:rFonts w:hint="default" w:cs="Times New Roman"/>
                      <w:b/>
                      <w:bCs/>
                      <w:color w:val="auto"/>
                      <w:sz w:val="21"/>
                      <w:szCs w:val="21"/>
                      <w:lang w:val="en-US" w:eastAsia="zh-CN"/>
                    </w:rPr>
                  </w:pPr>
                  <w:r>
                    <w:rPr>
                      <w:rFonts w:hint="eastAsia" w:cs="Times New Roman"/>
                      <w:b/>
                      <w:bCs/>
                      <w:color w:val="auto"/>
                      <w:sz w:val="21"/>
                      <w:szCs w:val="21"/>
                      <w:lang w:val="en-US" w:eastAsia="zh-CN"/>
                    </w:rPr>
                    <w:t>267</w:t>
                  </w:r>
                </w:p>
              </w:tc>
              <w:tc>
                <w:tcPr>
                  <w:tcW w:w="944" w:type="pct"/>
                  <w:noWrap w:val="0"/>
                  <w:vAlign w:val="center"/>
                </w:tcPr>
                <w:p w14:paraId="4F445C71">
                  <w:pPr>
                    <w:jc w:val="center"/>
                    <w:rPr>
                      <w:rFonts w:hint="eastAsia"/>
                      <w:b/>
                      <w:bCs/>
                    </w:rPr>
                  </w:pPr>
                  <w:r>
                    <w:rPr>
                      <w:rFonts w:hint="eastAsia"/>
                      <w:b/>
                      <w:bCs/>
                      <w:lang w:eastAsia="zh-CN"/>
                    </w:rPr>
                    <w:t>—</w:t>
                  </w:r>
                </w:p>
              </w:tc>
              <w:tc>
                <w:tcPr>
                  <w:tcW w:w="669" w:type="pct"/>
                  <w:noWrap w:val="0"/>
                  <w:vAlign w:val="center"/>
                </w:tcPr>
                <w:p w14:paraId="113D4FD3">
                  <w:pPr>
                    <w:jc w:val="center"/>
                    <w:rPr>
                      <w:rFonts w:hint="eastAsia"/>
                      <w:b/>
                      <w:bCs/>
                    </w:rPr>
                  </w:pPr>
                  <w:r>
                    <w:rPr>
                      <w:rFonts w:hint="eastAsia"/>
                      <w:b/>
                      <w:bCs/>
                      <w:lang w:eastAsia="zh-CN"/>
                    </w:rPr>
                    <w:t>—</w:t>
                  </w:r>
                </w:p>
              </w:tc>
              <w:tc>
                <w:tcPr>
                  <w:tcW w:w="668" w:type="pct"/>
                  <w:noWrap w:val="0"/>
                  <w:vAlign w:val="center"/>
                </w:tcPr>
                <w:p w14:paraId="6C654F2A">
                  <w:pPr>
                    <w:jc w:val="center"/>
                    <w:rPr>
                      <w:rFonts w:hint="eastAsia"/>
                      <w:b/>
                      <w:bCs/>
                    </w:rPr>
                  </w:pPr>
                  <w:r>
                    <w:rPr>
                      <w:rFonts w:hint="eastAsia"/>
                      <w:b/>
                      <w:bCs/>
                    </w:rPr>
                    <w:t>2.61E-04</w:t>
                  </w:r>
                </w:p>
              </w:tc>
              <w:tc>
                <w:tcPr>
                  <w:tcW w:w="668" w:type="pct"/>
                  <w:noWrap w:val="0"/>
                  <w:vAlign w:val="center"/>
                </w:tcPr>
                <w:p w14:paraId="75A562A3">
                  <w:pPr>
                    <w:jc w:val="center"/>
                    <w:rPr>
                      <w:rFonts w:hint="eastAsia"/>
                      <w:b/>
                      <w:bCs/>
                    </w:rPr>
                  </w:pPr>
                  <w:r>
                    <w:rPr>
                      <w:rFonts w:hint="eastAsia"/>
                      <w:b/>
                      <w:bCs/>
                    </w:rPr>
                    <w:t>0.03</w:t>
                  </w:r>
                </w:p>
              </w:tc>
              <w:tc>
                <w:tcPr>
                  <w:tcW w:w="669" w:type="pct"/>
                  <w:noWrap w:val="0"/>
                  <w:vAlign w:val="center"/>
                </w:tcPr>
                <w:p w14:paraId="238388DE">
                  <w:pPr>
                    <w:jc w:val="center"/>
                    <w:rPr>
                      <w:rFonts w:hint="eastAsia"/>
                      <w:b/>
                      <w:bCs/>
                    </w:rPr>
                  </w:pPr>
                  <w:r>
                    <w:rPr>
                      <w:rFonts w:hint="eastAsia"/>
                      <w:b/>
                      <w:bCs/>
                      <w:lang w:eastAsia="zh-CN"/>
                    </w:rPr>
                    <w:t>—</w:t>
                  </w:r>
                </w:p>
              </w:tc>
              <w:tc>
                <w:tcPr>
                  <w:tcW w:w="669" w:type="pct"/>
                  <w:noWrap w:val="0"/>
                  <w:vAlign w:val="center"/>
                </w:tcPr>
                <w:p w14:paraId="7931E56C">
                  <w:pPr>
                    <w:jc w:val="center"/>
                    <w:rPr>
                      <w:rFonts w:hint="eastAsia"/>
                      <w:b/>
                      <w:bCs/>
                    </w:rPr>
                  </w:pPr>
                  <w:r>
                    <w:rPr>
                      <w:rFonts w:hint="eastAsia"/>
                      <w:b/>
                      <w:bCs/>
                      <w:lang w:eastAsia="zh-CN"/>
                    </w:rPr>
                    <w:t>—</w:t>
                  </w:r>
                </w:p>
              </w:tc>
            </w:tr>
            <w:tr w14:paraId="5D96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7FD132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275</w:t>
                  </w:r>
                </w:p>
              </w:tc>
              <w:tc>
                <w:tcPr>
                  <w:tcW w:w="944" w:type="pct"/>
                  <w:noWrap w:val="0"/>
                  <w:vAlign w:val="center"/>
                </w:tcPr>
                <w:p w14:paraId="40298B71">
                  <w:pPr>
                    <w:jc w:val="center"/>
                    <w:rPr>
                      <w:rFonts w:hint="default" w:ascii="Times New Roman" w:hAnsi="Times New Roman" w:eastAsia="宋体" w:cs="Times New Roman"/>
                      <w:color w:val="auto"/>
                      <w:sz w:val="21"/>
                      <w:szCs w:val="21"/>
                      <w:lang w:val="en-US" w:eastAsia="zh-CN"/>
                    </w:rPr>
                  </w:pPr>
                  <w:r>
                    <w:rPr>
                      <w:rFonts w:hint="eastAsia"/>
                    </w:rPr>
                    <w:t>6.92E-04</w:t>
                  </w:r>
                </w:p>
              </w:tc>
              <w:tc>
                <w:tcPr>
                  <w:tcW w:w="669" w:type="pct"/>
                  <w:noWrap w:val="0"/>
                  <w:vAlign w:val="center"/>
                </w:tcPr>
                <w:p w14:paraId="03E561BF">
                  <w:pPr>
                    <w:jc w:val="center"/>
                    <w:rPr>
                      <w:rFonts w:hint="default" w:ascii="Times New Roman" w:hAnsi="Times New Roman" w:eastAsia="宋体" w:cs="Times New Roman"/>
                      <w:color w:val="auto"/>
                      <w:sz w:val="21"/>
                      <w:szCs w:val="21"/>
                      <w:lang w:val="en-US" w:eastAsia="zh-CN"/>
                    </w:rPr>
                  </w:pPr>
                  <w:r>
                    <w:rPr>
                      <w:rFonts w:hint="eastAsia"/>
                    </w:rPr>
                    <w:t>0.08</w:t>
                  </w:r>
                </w:p>
              </w:tc>
              <w:tc>
                <w:tcPr>
                  <w:tcW w:w="668" w:type="pct"/>
                  <w:noWrap w:val="0"/>
                  <w:vAlign w:val="center"/>
                </w:tcPr>
                <w:p w14:paraId="1A4278B2">
                  <w:pPr>
                    <w:jc w:val="center"/>
                    <w:rPr>
                      <w:rFonts w:hint="eastAsia"/>
                    </w:rPr>
                  </w:pPr>
                  <w:r>
                    <w:rPr>
                      <w:rFonts w:hint="eastAsia"/>
                    </w:rPr>
                    <w:t>2.60E-04</w:t>
                  </w:r>
                </w:p>
              </w:tc>
              <w:tc>
                <w:tcPr>
                  <w:tcW w:w="668" w:type="pct"/>
                  <w:noWrap w:val="0"/>
                  <w:vAlign w:val="center"/>
                </w:tcPr>
                <w:p w14:paraId="2D567F24">
                  <w:pPr>
                    <w:jc w:val="center"/>
                    <w:rPr>
                      <w:rFonts w:hint="eastAsia"/>
                    </w:rPr>
                  </w:pPr>
                  <w:r>
                    <w:rPr>
                      <w:rFonts w:hint="eastAsia"/>
                    </w:rPr>
                    <w:t>0.03</w:t>
                  </w:r>
                </w:p>
              </w:tc>
              <w:tc>
                <w:tcPr>
                  <w:tcW w:w="669" w:type="pct"/>
                  <w:noWrap w:val="0"/>
                  <w:vAlign w:val="center"/>
                </w:tcPr>
                <w:p w14:paraId="14432826">
                  <w:pPr>
                    <w:jc w:val="center"/>
                    <w:rPr>
                      <w:rFonts w:hint="eastAsia"/>
                    </w:rPr>
                  </w:pPr>
                  <w:r>
                    <w:rPr>
                      <w:rFonts w:hint="eastAsia"/>
                    </w:rPr>
                    <w:t>1.23E-04</w:t>
                  </w:r>
                </w:p>
              </w:tc>
              <w:tc>
                <w:tcPr>
                  <w:tcW w:w="669" w:type="pct"/>
                  <w:noWrap w:val="0"/>
                  <w:vAlign w:val="center"/>
                </w:tcPr>
                <w:p w14:paraId="674F8E00">
                  <w:pPr>
                    <w:jc w:val="center"/>
                    <w:rPr>
                      <w:rFonts w:hint="eastAsia"/>
                    </w:rPr>
                  </w:pPr>
                  <w:r>
                    <w:rPr>
                      <w:rFonts w:hint="eastAsia"/>
                    </w:rPr>
                    <w:t>0.01</w:t>
                  </w:r>
                </w:p>
              </w:tc>
            </w:tr>
            <w:tr w14:paraId="6A14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76BFCBA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944" w:type="pct"/>
                  <w:noWrap w:val="0"/>
                  <w:vAlign w:val="center"/>
                </w:tcPr>
                <w:p w14:paraId="00375CEB">
                  <w:pPr>
                    <w:jc w:val="center"/>
                    <w:rPr>
                      <w:rFonts w:hint="default" w:ascii="Times New Roman" w:hAnsi="Times New Roman" w:eastAsia="宋体" w:cs="Times New Roman"/>
                      <w:color w:val="auto"/>
                      <w:sz w:val="21"/>
                      <w:szCs w:val="21"/>
                      <w:lang w:val="en-US" w:eastAsia="zh-CN"/>
                    </w:rPr>
                  </w:pPr>
                  <w:r>
                    <w:rPr>
                      <w:rFonts w:hint="eastAsia"/>
                    </w:rPr>
                    <w:t>6.82E-04</w:t>
                  </w:r>
                </w:p>
              </w:tc>
              <w:tc>
                <w:tcPr>
                  <w:tcW w:w="669" w:type="pct"/>
                  <w:noWrap w:val="0"/>
                  <w:vAlign w:val="center"/>
                </w:tcPr>
                <w:p w14:paraId="26BAB64B">
                  <w:pPr>
                    <w:jc w:val="center"/>
                    <w:rPr>
                      <w:rFonts w:hint="default" w:ascii="Times New Roman" w:hAnsi="Times New Roman" w:eastAsia="宋体" w:cs="Times New Roman"/>
                      <w:color w:val="auto"/>
                      <w:sz w:val="21"/>
                      <w:szCs w:val="21"/>
                      <w:lang w:val="en-US" w:eastAsia="zh-CN"/>
                    </w:rPr>
                  </w:pPr>
                  <w:r>
                    <w:rPr>
                      <w:rFonts w:hint="eastAsia"/>
                    </w:rPr>
                    <w:t>0.08</w:t>
                  </w:r>
                </w:p>
              </w:tc>
              <w:tc>
                <w:tcPr>
                  <w:tcW w:w="668" w:type="pct"/>
                  <w:noWrap w:val="0"/>
                  <w:vAlign w:val="center"/>
                </w:tcPr>
                <w:p w14:paraId="20E2E333">
                  <w:pPr>
                    <w:jc w:val="center"/>
                    <w:rPr>
                      <w:rFonts w:hint="eastAsia"/>
                    </w:rPr>
                  </w:pPr>
                  <w:r>
                    <w:rPr>
                      <w:rFonts w:hint="eastAsia"/>
                    </w:rPr>
                    <w:t>2.57E-04</w:t>
                  </w:r>
                </w:p>
              </w:tc>
              <w:tc>
                <w:tcPr>
                  <w:tcW w:w="668" w:type="pct"/>
                  <w:noWrap w:val="0"/>
                  <w:vAlign w:val="center"/>
                </w:tcPr>
                <w:p w14:paraId="1F256736">
                  <w:pPr>
                    <w:jc w:val="center"/>
                    <w:rPr>
                      <w:rFonts w:hint="eastAsia"/>
                    </w:rPr>
                  </w:pPr>
                  <w:r>
                    <w:rPr>
                      <w:rFonts w:hint="eastAsia"/>
                    </w:rPr>
                    <w:t>0.03</w:t>
                  </w:r>
                </w:p>
              </w:tc>
              <w:tc>
                <w:tcPr>
                  <w:tcW w:w="669" w:type="pct"/>
                  <w:noWrap w:val="0"/>
                  <w:vAlign w:val="center"/>
                </w:tcPr>
                <w:p w14:paraId="65390036">
                  <w:pPr>
                    <w:jc w:val="center"/>
                    <w:rPr>
                      <w:rFonts w:hint="eastAsia"/>
                    </w:rPr>
                  </w:pPr>
                  <w:r>
                    <w:rPr>
                      <w:rFonts w:hint="eastAsia"/>
                    </w:rPr>
                    <w:t>1.22E-04</w:t>
                  </w:r>
                </w:p>
              </w:tc>
              <w:tc>
                <w:tcPr>
                  <w:tcW w:w="669" w:type="pct"/>
                  <w:noWrap w:val="0"/>
                  <w:vAlign w:val="center"/>
                </w:tcPr>
                <w:p w14:paraId="35FD4B34">
                  <w:pPr>
                    <w:jc w:val="center"/>
                    <w:rPr>
                      <w:rFonts w:hint="eastAsia"/>
                    </w:rPr>
                  </w:pPr>
                  <w:r>
                    <w:rPr>
                      <w:rFonts w:hint="eastAsia"/>
                    </w:rPr>
                    <w:t>0.01</w:t>
                  </w:r>
                </w:p>
              </w:tc>
            </w:tr>
            <w:tr w14:paraId="3988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7FAC249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325</w:t>
                  </w:r>
                </w:p>
              </w:tc>
              <w:tc>
                <w:tcPr>
                  <w:tcW w:w="944" w:type="pct"/>
                  <w:noWrap w:val="0"/>
                  <w:vAlign w:val="center"/>
                </w:tcPr>
                <w:p w14:paraId="1851D92B">
                  <w:pPr>
                    <w:jc w:val="center"/>
                    <w:rPr>
                      <w:rFonts w:hint="default" w:ascii="Times New Roman" w:hAnsi="Times New Roman" w:eastAsia="宋体" w:cs="Times New Roman"/>
                      <w:color w:val="auto"/>
                      <w:sz w:val="21"/>
                      <w:szCs w:val="21"/>
                      <w:lang w:val="en-US" w:eastAsia="zh-CN"/>
                    </w:rPr>
                  </w:pPr>
                  <w:r>
                    <w:rPr>
                      <w:rFonts w:hint="eastAsia"/>
                    </w:rPr>
                    <w:t>6.65E-04</w:t>
                  </w:r>
                </w:p>
              </w:tc>
              <w:tc>
                <w:tcPr>
                  <w:tcW w:w="669" w:type="pct"/>
                  <w:noWrap w:val="0"/>
                  <w:vAlign w:val="center"/>
                </w:tcPr>
                <w:p w14:paraId="378A78F3">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4965EEBD">
                  <w:pPr>
                    <w:jc w:val="center"/>
                    <w:rPr>
                      <w:rFonts w:hint="eastAsia"/>
                    </w:rPr>
                  </w:pPr>
                  <w:r>
                    <w:rPr>
                      <w:rFonts w:hint="eastAsia"/>
                    </w:rPr>
                    <w:t>2.50E-04</w:t>
                  </w:r>
                </w:p>
              </w:tc>
              <w:tc>
                <w:tcPr>
                  <w:tcW w:w="668" w:type="pct"/>
                  <w:noWrap w:val="0"/>
                  <w:vAlign w:val="center"/>
                </w:tcPr>
                <w:p w14:paraId="016420BE">
                  <w:pPr>
                    <w:jc w:val="center"/>
                    <w:rPr>
                      <w:rFonts w:hint="eastAsia"/>
                    </w:rPr>
                  </w:pPr>
                  <w:r>
                    <w:rPr>
                      <w:rFonts w:hint="eastAsia"/>
                    </w:rPr>
                    <w:t>0.03</w:t>
                  </w:r>
                </w:p>
              </w:tc>
              <w:tc>
                <w:tcPr>
                  <w:tcW w:w="669" w:type="pct"/>
                  <w:noWrap w:val="0"/>
                  <w:vAlign w:val="center"/>
                </w:tcPr>
                <w:p w14:paraId="0682C18D">
                  <w:pPr>
                    <w:jc w:val="center"/>
                    <w:rPr>
                      <w:rFonts w:hint="eastAsia"/>
                    </w:rPr>
                  </w:pPr>
                  <w:r>
                    <w:rPr>
                      <w:rFonts w:hint="eastAsia"/>
                    </w:rPr>
                    <w:t>1.19E-04</w:t>
                  </w:r>
                </w:p>
              </w:tc>
              <w:tc>
                <w:tcPr>
                  <w:tcW w:w="669" w:type="pct"/>
                  <w:noWrap w:val="0"/>
                  <w:vAlign w:val="center"/>
                </w:tcPr>
                <w:p w14:paraId="0E843810">
                  <w:pPr>
                    <w:jc w:val="center"/>
                    <w:rPr>
                      <w:rFonts w:hint="eastAsia"/>
                    </w:rPr>
                  </w:pPr>
                  <w:r>
                    <w:rPr>
                      <w:rFonts w:hint="eastAsia"/>
                    </w:rPr>
                    <w:t>0.01</w:t>
                  </w:r>
                </w:p>
              </w:tc>
            </w:tr>
            <w:tr w14:paraId="418A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316DDA6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w:t>
                  </w:r>
                </w:p>
              </w:tc>
              <w:tc>
                <w:tcPr>
                  <w:tcW w:w="944" w:type="pct"/>
                  <w:noWrap w:val="0"/>
                  <w:vAlign w:val="center"/>
                </w:tcPr>
                <w:p w14:paraId="52B0F412">
                  <w:pPr>
                    <w:jc w:val="center"/>
                    <w:rPr>
                      <w:rFonts w:hint="default" w:ascii="Times New Roman" w:hAnsi="Times New Roman" w:eastAsia="宋体" w:cs="Times New Roman"/>
                      <w:color w:val="auto"/>
                      <w:sz w:val="21"/>
                      <w:szCs w:val="21"/>
                      <w:lang w:val="en-US" w:eastAsia="zh-CN"/>
                    </w:rPr>
                  </w:pPr>
                  <w:r>
                    <w:rPr>
                      <w:rFonts w:hint="eastAsia"/>
                    </w:rPr>
                    <w:t>6.44E-04</w:t>
                  </w:r>
                </w:p>
              </w:tc>
              <w:tc>
                <w:tcPr>
                  <w:tcW w:w="669" w:type="pct"/>
                  <w:noWrap w:val="0"/>
                  <w:vAlign w:val="center"/>
                </w:tcPr>
                <w:p w14:paraId="74B82DDD">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63C149A8">
                  <w:pPr>
                    <w:jc w:val="center"/>
                    <w:rPr>
                      <w:rFonts w:hint="eastAsia"/>
                    </w:rPr>
                  </w:pPr>
                  <w:r>
                    <w:rPr>
                      <w:rFonts w:hint="eastAsia"/>
                    </w:rPr>
                    <w:t>2.42E-04</w:t>
                  </w:r>
                </w:p>
              </w:tc>
              <w:tc>
                <w:tcPr>
                  <w:tcW w:w="668" w:type="pct"/>
                  <w:noWrap w:val="0"/>
                  <w:vAlign w:val="center"/>
                </w:tcPr>
                <w:p w14:paraId="4AEB10DF">
                  <w:pPr>
                    <w:jc w:val="center"/>
                    <w:rPr>
                      <w:rFonts w:hint="eastAsia"/>
                    </w:rPr>
                  </w:pPr>
                  <w:r>
                    <w:rPr>
                      <w:rFonts w:hint="eastAsia"/>
                    </w:rPr>
                    <w:t>0.03</w:t>
                  </w:r>
                </w:p>
              </w:tc>
              <w:tc>
                <w:tcPr>
                  <w:tcW w:w="669" w:type="pct"/>
                  <w:noWrap w:val="0"/>
                  <w:vAlign w:val="center"/>
                </w:tcPr>
                <w:p w14:paraId="357EDE61">
                  <w:pPr>
                    <w:jc w:val="center"/>
                    <w:rPr>
                      <w:rFonts w:hint="eastAsia"/>
                    </w:rPr>
                  </w:pPr>
                  <w:r>
                    <w:rPr>
                      <w:rFonts w:hint="eastAsia"/>
                    </w:rPr>
                    <w:t>1.15E-04</w:t>
                  </w:r>
                </w:p>
              </w:tc>
              <w:tc>
                <w:tcPr>
                  <w:tcW w:w="669" w:type="pct"/>
                  <w:noWrap w:val="0"/>
                  <w:vAlign w:val="center"/>
                </w:tcPr>
                <w:p w14:paraId="373FFB8F">
                  <w:pPr>
                    <w:jc w:val="center"/>
                    <w:rPr>
                      <w:rFonts w:hint="eastAsia"/>
                    </w:rPr>
                  </w:pPr>
                  <w:r>
                    <w:rPr>
                      <w:rFonts w:hint="eastAsia"/>
                    </w:rPr>
                    <w:t>0.01</w:t>
                  </w:r>
                </w:p>
              </w:tc>
            </w:tr>
            <w:tr w14:paraId="2894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889947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375</w:t>
                  </w:r>
                </w:p>
              </w:tc>
              <w:tc>
                <w:tcPr>
                  <w:tcW w:w="944" w:type="pct"/>
                  <w:noWrap w:val="0"/>
                  <w:vAlign w:val="center"/>
                </w:tcPr>
                <w:p w14:paraId="110E5A66">
                  <w:pPr>
                    <w:jc w:val="center"/>
                    <w:rPr>
                      <w:rFonts w:hint="default" w:ascii="Times New Roman" w:hAnsi="Times New Roman" w:eastAsia="宋体" w:cs="Times New Roman"/>
                      <w:color w:val="auto"/>
                      <w:sz w:val="21"/>
                      <w:szCs w:val="21"/>
                      <w:lang w:val="en-US" w:eastAsia="zh-CN"/>
                    </w:rPr>
                  </w:pPr>
                  <w:r>
                    <w:rPr>
                      <w:rFonts w:hint="eastAsia"/>
                    </w:rPr>
                    <w:t>6.20E-04</w:t>
                  </w:r>
                </w:p>
              </w:tc>
              <w:tc>
                <w:tcPr>
                  <w:tcW w:w="669" w:type="pct"/>
                  <w:noWrap w:val="0"/>
                  <w:vAlign w:val="center"/>
                </w:tcPr>
                <w:p w14:paraId="345BC174">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5E321A35">
                  <w:pPr>
                    <w:jc w:val="center"/>
                    <w:rPr>
                      <w:rFonts w:hint="eastAsia"/>
                    </w:rPr>
                  </w:pPr>
                  <w:r>
                    <w:rPr>
                      <w:rFonts w:hint="eastAsia"/>
                    </w:rPr>
                    <w:t>2.33E-04</w:t>
                  </w:r>
                </w:p>
              </w:tc>
              <w:tc>
                <w:tcPr>
                  <w:tcW w:w="668" w:type="pct"/>
                  <w:noWrap w:val="0"/>
                  <w:vAlign w:val="center"/>
                </w:tcPr>
                <w:p w14:paraId="6908DC84">
                  <w:pPr>
                    <w:jc w:val="center"/>
                    <w:rPr>
                      <w:rFonts w:hint="eastAsia"/>
                    </w:rPr>
                  </w:pPr>
                  <w:r>
                    <w:rPr>
                      <w:rFonts w:hint="eastAsia"/>
                    </w:rPr>
                    <w:t>0.03</w:t>
                  </w:r>
                </w:p>
              </w:tc>
              <w:tc>
                <w:tcPr>
                  <w:tcW w:w="669" w:type="pct"/>
                  <w:noWrap w:val="0"/>
                  <w:vAlign w:val="center"/>
                </w:tcPr>
                <w:p w14:paraId="0F983CC3">
                  <w:pPr>
                    <w:jc w:val="center"/>
                    <w:rPr>
                      <w:rFonts w:hint="eastAsia"/>
                    </w:rPr>
                  </w:pPr>
                  <w:r>
                    <w:rPr>
                      <w:rFonts w:hint="eastAsia"/>
                    </w:rPr>
                    <w:t>1.10E-04</w:t>
                  </w:r>
                </w:p>
              </w:tc>
              <w:tc>
                <w:tcPr>
                  <w:tcW w:w="669" w:type="pct"/>
                  <w:noWrap w:val="0"/>
                  <w:vAlign w:val="center"/>
                </w:tcPr>
                <w:p w14:paraId="51F80A1B">
                  <w:pPr>
                    <w:jc w:val="center"/>
                    <w:rPr>
                      <w:rFonts w:hint="eastAsia"/>
                    </w:rPr>
                  </w:pPr>
                  <w:r>
                    <w:rPr>
                      <w:rFonts w:hint="eastAsia"/>
                    </w:rPr>
                    <w:t>0.01</w:t>
                  </w:r>
                </w:p>
              </w:tc>
            </w:tr>
            <w:tr w14:paraId="1C78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332DEDB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944" w:type="pct"/>
                  <w:noWrap w:val="0"/>
                  <w:vAlign w:val="center"/>
                </w:tcPr>
                <w:p w14:paraId="54FE7C55">
                  <w:pPr>
                    <w:jc w:val="center"/>
                    <w:rPr>
                      <w:rFonts w:hint="default" w:ascii="Times New Roman" w:hAnsi="Times New Roman" w:eastAsia="宋体" w:cs="Times New Roman"/>
                      <w:color w:val="auto"/>
                      <w:sz w:val="21"/>
                      <w:szCs w:val="21"/>
                      <w:lang w:val="en-US" w:eastAsia="zh-CN"/>
                    </w:rPr>
                  </w:pPr>
                  <w:r>
                    <w:rPr>
                      <w:rFonts w:hint="eastAsia"/>
                    </w:rPr>
                    <w:t>5.95E-04</w:t>
                  </w:r>
                </w:p>
              </w:tc>
              <w:tc>
                <w:tcPr>
                  <w:tcW w:w="669" w:type="pct"/>
                  <w:noWrap w:val="0"/>
                  <w:vAlign w:val="center"/>
                </w:tcPr>
                <w:p w14:paraId="4E721981">
                  <w:pPr>
                    <w:jc w:val="center"/>
                    <w:rPr>
                      <w:rFonts w:hint="default" w:ascii="Times New Roman" w:hAnsi="Times New Roman" w:eastAsia="宋体" w:cs="Times New Roman"/>
                      <w:color w:val="auto"/>
                      <w:sz w:val="21"/>
                      <w:szCs w:val="21"/>
                      <w:lang w:val="en-US" w:eastAsia="zh-CN"/>
                    </w:rPr>
                  </w:pPr>
                  <w:r>
                    <w:rPr>
                      <w:rFonts w:hint="eastAsia"/>
                    </w:rPr>
                    <w:t>0.07</w:t>
                  </w:r>
                </w:p>
              </w:tc>
              <w:tc>
                <w:tcPr>
                  <w:tcW w:w="668" w:type="pct"/>
                  <w:noWrap w:val="0"/>
                  <w:vAlign w:val="center"/>
                </w:tcPr>
                <w:p w14:paraId="77C4ADC3">
                  <w:pPr>
                    <w:jc w:val="center"/>
                    <w:rPr>
                      <w:rFonts w:hint="eastAsia"/>
                    </w:rPr>
                  </w:pPr>
                  <w:r>
                    <w:rPr>
                      <w:rFonts w:hint="eastAsia"/>
                    </w:rPr>
                    <w:t>2.24E-04</w:t>
                  </w:r>
                </w:p>
              </w:tc>
              <w:tc>
                <w:tcPr>
                  <w:tcW w:w="668" w:type="pct"/>
                  <w:noWrap w:val="0"/>
                  <w:vAlign w:val="center"/>
                </w:tcPr>
                <w:p w14:paraId="761CCAA6">
                  <w:pPr>
                    <w:jc w:val="center"/>
                    <w:rPr>
                      <w:rFonts w:hint="eastAsia"/>
                    </w:rPr>
                  </w:pPr>
                  <w:r>
                    <w:rPr>
                      <w:rFonts w:hint="eastAsia"/>
                    </w:rPr>
                    <w:t>0.02</w:t>
                  </w:r>
                </w:p>
              </w:tc>
              <w:tc>
                <w:tcPr>
                  <w:tcW w:w="669" w:type="pct"/>
                  <w:noWrap w:val="0"/>
                  <w:vAlign w:val="center"/>
                </w:tcPr>
                <w:p w14:paraId="312392F4">
                  <w:pPr>
                    <w:jc w:val="center"/>
                    <w:rPr>
                      <w:rFonts w:hint="eastAsia"/>
                    </w:rPr>
                  </w:pPr>
                  <w:r>
                    <w:rPr>
                      <w:rFonts w:hint="eastAsia"/>
                    </w:rPr>
                    <w:t>1.06E-04</w:t>
                  </w:r>
                </w:p>
              </w:tc>
              <w:tc>
                <w:tcPr>
                  <w:tcW w:w="669" w:type="pct"/>
                  <w:noWrap w:val="0"/>
                  <w:vAlign w:val="center"/>
                </w:tcPr>
                <w:p w14:paraId="1CC8372F">
                  <w:pPr>
                    <w:jc w:val="center"/>
                    <w:rPr>
                      <w:rFonts w:hint="eastAsia"/>
                    </w:rPr>
                  </w:pPr>
                  <w:r>
                    <w:rPr>
                      <w:rFonts w:hint="eastAsia"/>
                    </w:rPr>
                    <w:t>0.01</w:t>
                  </w:r>
                </w:p>
              </w:tc>
            </w:tr>
            <w:tr w14:paraId="736D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45C372A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425</w:t>
                  </w:r>
                </w:p>
              </w:tc>
              <w:tc>
                <w:tcPr>
                  <w:tcW w:w="944" w:type="pct"/>
                  <w:noWrap w:val="0"/>
                  <w:vAlign w:val="center"/>
                </w:tcPr>
                <w:p w14:paraId="731BD89C">
                  <w:pPr>
                    <w:jc w:val="center"/>
                    <w:rPr>
                      <w:rFonts w:hint="default" w:ascii="Times New Roman" w:hAnsi="Times New Roman" w:eastAsia="宋体" w:cs="Times New Roman"/>
                      <w:color w:val="auto"/>
                      <w:sz w:val="21"/>
                      <w:szCs w:val="21"/>
                      <w:lang w:val="en-US" w:eastAsia="zh-CN"/>
                    </w:rPr>
                  </w:pPr>
                  <w:r>
                    <w:rPr>
                      <w:rFonts w:hint="eastAsia"/>
                    </w:rPr>
                    <w:t>5.70E-04</w:t>
                  </w:r>
                </w:p>
              </w:tc>
              <w:tc>
                <w:tcPr>
                  <w:tcW w:w="669" w:type="pct"/>
                  <w:noWrap w:val="0"/>
                  <w:vAlign w:val="center"/>
                </w:tcPr>
                <w:p w14:paraId="7D5C6DE0">
                  <w:pPr>
                    <w:jc w:val="center"/>
                    <w:rPr>
                      <w:rFonts w:hint="default" w:ascii="Times New Roman" w:hAnsi="Times New Roman" w:eastAsia="宋体" w:cs="Times New Roman"/>
                      <w:color w:val="auto"/>
                      <w:sz w:val="21"/>
                      <w:szCs w:val="21"/>
                      <w:lang w:val="en-US" w:eastAsia="zh-CN"/>
                    </w:rPr>
                  </w:pPr>
                  <w:r>
                    <w:rPr>
                      <w:rFonts w:hint="eastAsia"/>
                    </w:rPr>
                    <w:t>0.06</w:t>
                  </w:r>
                </w:p>
              </w:tc>
              <w:tc>
                <w:tcPr>
                  <w:tcW w:w="668" w:type="pct"/>
                  <w:noWrap w:val="0"/>
                  <w:vAlign w:val="center"/>
                </w:tcPr>
                <w:p w14:paraId="517E58B2">
                  <w:pPr>
                    <w:jc w:val="center"/>
                    <w:rPr>
                      <w:rFonts w:hint="eastAsia"/>
                    </w:rPr>
                  </w:pPr>
                  <w:r>
                    <w:rPr>
                      <w:rFonts w:hint="eastAsia"/>
                    </w:rPr>
                    <w:t>2.15E-04</w:t>
                  </w:r>
                </w:p>
              </w:tc>
              <w:tc>
                <w:tcPr>
                  <w:tcW w:w="668" w:type="pct"/>
                  <w:noWrap w:val="0"/>
                  <w:vAlign w:val="center"/>
                </w:tcPr>
                <w:p w14:paraId="6BFD595B">
                  <w:pPr>
                    <w:jc w:val="center"/>
                    <w:rPr>
                      <w:rFonts w:hint="eastAsia"/>
                    </w:rPr>
                  </w:pPr>
                  <w:r>
                    <w:rPr>
                      <w:rFonts w:hint="eastAsia"/>
                    </w:rPr>
                    <w:t>0.02</w:t>
                  </w:r>
                </w:p>
              </w:tc>
              <w:tc>
                <w:tcPr>
                  <w:tcW w:w="669" w:type="pct"/>
                  <w:noWrap w:val="0"/>
                  <w:vAlign w:val="center"/>
                </w:tcPr>
                <w:p w14:paraId="61ACF62D">
                  <w:pPr>
                    <w:jc w:val="center"/>
                    <w:rPr>
                      <w:rFonts w:hint="eastAsia"/>
                    </w:rPr>
                  </w:pPr>
                  <w:r>
                    <w:rPr>
                      <w:rFonts w:hint="eastAsia"/>
                    </w:rPr>
                    <w:t>1.02E-04</w:t>
                  </w:r>
                </w:p>
              </w:tc>
              <w:tc>
                <w:tcPr>
                  <w:tcW w:w="669" w:type="pct"/>
                  <w:noWrap w:val="0"/>
                  <w:vAlign w:val="center"/>
                </w:tcPr>
                <w:p w14:paraId="3C4314E9">
                  <w:pPr>
                    <w:jc w:val="center"/>
                    <w:rPr>
                      <w:rFonts w:hint="eastAsia"/>
                    </w:rPr>
                  </w:pPr>
                  <w:r>
                    <w:rPr>
                      <w:rFonts w:hint="eastAsia"/>
                    </w:rPr>
                    <w:t>0.01</w:t>
                  </w:r>
                </w:p>
              </w:tc>
            </w:tr>
            <w:tr w14:paraId="1510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20E535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w:t>
                  </w:r>
                </w:p>
              </w:tc>
              <w:tc>
                <w:tcPr>
                  <w:tcW w:w="944" w:type="pct"/>
                  <w:noWrap w:val="0"/>
                  <w:vAlign w:val="center"/>
                </w:tcPr>
                <w:p w14:paraId="414581D8">
                  <w:pPr>
                    <w:jc w:val="center"/>
                    <w:rPr>
                      <w:rFonts w:hint="default" w:ascii="Times New Roman" w:hAnsi="Times New Roman" w:eastAsia="宋体" w:cs="Times New Roman"/>
                      <w:color w:val="auto"/>
                      <w:sz w:val="21"/>
                      <w:szCs w:val="21"/>
                      <w:lang w:val="en-US" w:eastAsia="zh-CN"/>
                    </w:rPr>
                  </w:pPr>
                  <w:r>
                    <w:rPr>
                      <w:rFonts w:hint="eastAsia"/>
                    </w:rPr>
                    <w:t>5.46E-04</w:t>
                  </w:r>
                </w:p>
              </w:tc>
              <w:tc>
                <w:tcPr>
                  <w:tcW w:w="669" w:type="pct"/>
                  <w:noWrap w:val="0"/>
                  <w:vAlign w:val="center"/>
                </w:tcPr>
                <w:p w14:paraId="024D746F">
                  <w:pPr>
                    <w:jc w:val="center"/>
                    <w:rPr>
                      <w:rFonts w:hint="default" w:ascii="Times New Roman" w:hAnsi="Times New Roman" w:eastAsia="宋体" w:cs="Times New Roman"/>
                      <w:color w:val="auto"/>
                      <w:sz w:val="21"/>
                      <w:szCs w:val="21"/>
                      <w:lang w:val="en-US" w:eastAsia="zh-CN"/>
                    </w:rPr>
                  </w:pPr>
                  <w:r>
                    <w:rPr>
                      <w:rFonts w:hint="eastAsia"/>
                    </w:rPr>
                    <w:t>0.06</w:t>
                  </w:r>
                </w:p>
              </w:tc>
              <w:tc>
                <w:tcPr>
                  <w:tcW w:w="668" w:type="pct"/>
                  <w:noWrap w:val="0"/>
                  <w:vAlign w:val="center"/>
                </w:tcPr>
                <w:p w14:paraId="723BB56E">
                  <w:pPr>
                    <w:jc w:val="center"/>
                    <w:rPr>
                      <w:rFonts w:hint="eastAsia"/>
                    </w:rPr>
                  </w:pPr>
                  <w:r>
                    <w:rPr>
                      <w:rFonts w:hint="eastAsia"/>
                    </w:rPr>
                    <w:t>2.05E-04</w:t>
                  </w:r>
                </w:p>
              </w:tc>
              <w:tc>
                <w:tcPr>
                  <w:tcW w:w="668" w:type="pct"/>
                  <w:noWrap w:val="0"/>
                  <w:vAlign w:val="center"/>
                </w:tcPr>
                <w:p w14:paraId="2520C436">
                  <w:pPr>
                    <w:jc w:val="center"/>
                    <w:rPr>
                      <w:rFonts w:hint="eastAsia"/>
                    </w:rPr>
                  </w:pPr>
                  <w:r>
                    <w:rPr>
                      <w:rFonts w:hint="eastAsia"/>
                    </w:rPr>
                    <w:t>0.02</w:t>
                  </w:r>
                </w:p>
              </w:tc>
              <w:tc>
                <w:tcPr>
                  <w:tcW w:w="669" w:type="pct"/>
                  <w:noWrap w:val="0"/>
                  <w:vAlign w:val="center"/>
                </w:tcPr>
                <w:p w14:paraId="348D41BB">
                  <w:pPr>
                    <w:jc w:val="center"/>
                    <w:rPr>
                      <w:rFonts w:hint="eastAsia"/>
                    </w:rPr>
                  </w:pPr>
                  <w:r>
                    <w:rPr>
                      <w:rFonts w:hint="eastAsia"/>
                    </w:rPr>
                    <w:t>9.72E-05</w:t>
                  </w:r>
                </w:p>
              </w:tc>
              <w:tc>
                <w:tcPr>
                  <w:tcW w:w="669" w:type="pct"/>
                  <w:noWrap w:val="0"/>
                  <w:vAlign w:val="center"/>
                </w:tcPr>
                <w:p w14:paraId="14E00522">
                  <w:pPr>
                    <w:jc w:val="center"/>
                    <w:rPr>
                      <w:rFonts w:hint="eastAsia"/>
                    </w:rPr>
                  </w:pPr>
                  <w:r>
                    <w:rPr>
                      <w:rFonts w:hint="eastAsia"/>
                    </w:rPr>
                    <w:t>0.01</w:t>
                  </w:r>
                </w:p>
              </w:tc>
            </w:tr>
            <w:tr w14:paraId="5128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79A15F8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475</w:t>
                  </w:r>
                </w:p>
              </w:tc>
              <w:tc>
                <w:tcPr>
                  <w:tcW w:w="944" w:type="pct"/>
                  <w:noWrap w:val="0"/>
                  <w:vAlign w:val="center"/>
                </w:tcPr>
                <w:p w14:paraId="6CC65C11">
                  <w:pPr>
                    <w:jc w:val="center"/>
                    <w:rPr>
                      <w:rFonts w:hint="default" w:ascii="Times New Roman" w:hAnsi="Times New Roman" w:eastAsia="宋体" w:cs="Times New Roman"/>
                      <w:color w:val="auto"/>
                      <w:sz w:val="21"/>
                      <w:szCs w:val="21"/>
                      <w:lang w:val="en-US" w:eastAsia="zh-CN"/>
                    </w:rPr>
                  </w:pPr>
                  <w:r>
                    <w:rPr>
                      <w:rFonts w:hint="eastAsia"/>
                    </w:rPr>
                    <w:t>5.22E-04</w:t>
                  </w:r>
                </w:p>
              </w:tc>
              <w:tc>
                <w:tcPr>
                  <w:tcW w:w="669" w:type="pct"/>
                  <w:noWrap w:val="0"/>
                  <w:vAlign w:val="center"/>
                </w:tcPr>
                <w:p w14:paraId="3B74F109">
                  <w:pPr>
                    <w:jc w:val="center"/>
                    <w:rPr>
                      <w:rFonts w:hint="default" w:ascii="Times New Roman" w:hAnsi="Times New Roman" w:eastAsia="宋体" w:cs="Times New Roman"/>
                      <w:color w:val="auto"/>
                      <w:sz w:val="21"/>
                      <w:szCs w:val="21"/>
                      <w:lang w:val="en-US" w:eastAsia="zh-CN"/>
                    </w:rPr>
                  </w:pPr>
                  <w:r>
                    <w:rPr>
                      <w:rFonts w:hint="eastAsia"/>
                    </w:rPr>
                    <w:t>0.06</w:t>
                  </w:r>
                </w:p>
              </w:tc>
              <w:tc>
                <w:tcPr>
                  <w:tcW w:w="668" w:type="pct"/>
                  <w:noWrap w:val="0"/>
                  <w:vAlign w:val="center"/>
                </w:tcPr>
                <w:p w14:paraId="00F93894">
                  <w:pPr>
                    <w:jc w:val="center"/>
                    <w:rPr>
                      <w:rFonts w:hint="eastAsia"/>
                    </w:rPr>
                  </w:pPr>
                  <w:r>
                    <w:rPr>
                      <w:rFonts w:hint="eastAsia"/>
                    </w:rPr>
                    <w:t>1.96E-04</w:t>
                  </w:r>
                </w:p>
              </w:tc>
              <w:tc>
                <w:tcPr>
                  <w:tcW w:w="668" w:type="pct"/>
                  <w:noWrap w:val="0"/>
                  <w:vAlign w:val="center"/>
                </w:tcPr>
                <w:p w14:paraId="2DBEC695">
                  <w:pPr>
                    <w:jc w:val="center"/>
                    <w:rPr>
                      <w:rFonts w:hint="eastAsia"/>
                    </w:rPr>
                  </w:pPr>
                  <w:r>
                    <w:rPr>
                      <w:rFonts w:hint="eastAsia"/>
                    </w:rPr>
                    <w:t>0.02</w:t>
                  </w:r>
                </w:p>
              </w:tc>
              <w:tc>
                <w:tcPr>
                  <w:tcW w:w="669" w:type="pct"/>
                  <w:noWrap w:val="0"/>
                  <w:vAlign w:val="center"/>
                </w:tcPr>
                <w:p w14:paraId="28CBE574">
                  <w:pPr>
                    <w:jc w:val="center"/>
                    <w:rPr>
                      <w:rFonts w:hint="eastAsia"/>
                    </w:rPr>
                  </w:pPr>
                  <w:r>
                    <w:rPr>
                      <w:rFonts w:hint="eastAsia"/>
                    </w:rPr>
                    <w:t>9.30E-05</w:t>
                  </w:r>
                </w:p>
              </w:tc>
              <w:tc>
                <w:tcPr>
                  <w:tcW w:w="669" w:type="pct"/>
                  <w:noWrap w:val="0"/>
                  <w:vAlign w:val="center"/>
                </w:tcPr>
                <w:p w14:paraId="50598209">
                  <w:pPr>
                    <w:jc w:val="center"/>
                    <w:rPr>
                      <w:rFonts w:hint="eastAsia"/>
                    </w:rPr>
                  </w:pPr>
                  <w:r>
                    <w:rPr>
                      <w:rFonts w:hint="eastAsia"/>
                    </w:rPr>
                    <w:t>0.01</w:t>
                  </w:r>
                </w:p>
              </w:tc>
            </w:tr>
            <w:tr w14:paraId="740F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3E0D2AB9">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944" w:type="pct"/>
                  <w:noWrap w:val="0"/>
                  <w:vAlign w:val="center"/>
                </w:tcPr>
                <w:p w14:paraId="1758AE4E">
                  <w:pPr>
                    <w:jc w:val="center"/>
                    <w:rPr>
                      <w:rFonts w:hint="default" w:ascii="Times New Roman" w:hAnsi="Times New Roman" w:eastAsia="宋体" w:cs="Times New Roman"/>
                      <w:color w:val="auto"/>
                      <w:sz w:val="21"/>
                      <w:szCs w:val="21"/>
                      <w:lang w:val="en-US" w:eastAsia="zh-CN"/>
                    </w:rPr>
                  </w:pPr>
                  <w:r>
                    <w:rPr>
                      <w:rFonts w:hint="eastAsia"/>
                    </w:rPr>
                    <w:t>4.99E-04</w:t>
                  </w:r>
                </w:p>
              </w:tc>
              <w:tc>
                <w:tcPr>
                  <w:tcW w:w="669" w:type="pct"/>
                  <w:noWrap w:val="0"/>
                  <w:vAlign w:val="center"/>
                </w:tcPr>
                <w:p w14:paraId="789859C4">
                  <w:pPr>
                    <w:jc w:val="center"/>
                    <w:rPr>
                      <w:rFonts w:hint="default" w:ascii="Times New Roman" w:hAnsi="Times New Roman" w:eastAsia="宋体" w:cs="Times New Roman"/>
                      <w:color w:val="auto"/>
                      <w:sz w:val="21"/>
                      <w:szCs w:val="21"/>
                      <w:lang w:val="en-US" w:eastAsia="zh-CN"/>
                    </w:rPr>
                  </w:pPr>
                  <w:r>
                    <w:rPr>
                      <w:rFonts w:hint="eastAsia"/>
                    </w:rPr>
                    <w:t>0.06</w:t>
                  </w:r>
                </w:p>
              </w:tc>
              <w:tc>
                <w:tcPr>
                  <w:tcW w:w="668" w:type="pct"/>
                  <w:noWrap w:val="0"/>
                  <w:vAlign w:val="center"/>
                </w:tcPr>
                <w:p w14:paraId="2E3780FA">
                  <w:pPr>
                    <w:jc w:val="center"/>
                    <w:rPr>
                      <w:rFonts w:hint="eastAsia"/>
                    </w:rPr>
                  </w:pPr>
                  <w:r>
                    <w:rPr>
                      <w:rFonts w:hint="eastAsia"/>
                    </w:rPr>
                    <w:t>1.88E-04</w:t>
                  </w:r>
                </w:p>
              </w:tc>
              <w:tc>
                <w:tcPr>
                  <w:tcW w:w="668" w:type="pct"/>
                  <w:noWrap w:val="0"/>
                  <w:vAlign w:val="center"/>
                </w:tcPr>
                <w:p w14:paraId="1C1FF45A">
                  <w:pPr>
                    <w:jc w:val="center"/>
                    <w:rPr>
                      <w:rFonts w:hint="eastAsia"/>
                    </w:rPr>
                  </w:pPr>
                  <w:r>
                    <w:rPr>
                      <w:rFonts w:hint="eastAsia"/>
                    </w:rPr>
                    <w:t>0.02</w:t>
                  </w:r>
                </w:p>
              </w:tc>
              <w:tc>
                <w:tcPr>
                  <w:tcW w:w="669" w:type="pct"/>
                  <w:noWrap w:val="0"/>
                  <w:vAlign w:val="center"/>
                </w:tcPr>
                <w:p w14:paraId="119A4325">
                  <w:pPr>
                    <w:jc w:val="center"/>
                    <w:rPr>
                      <w:rFonts w:hint="eastAsia"/>
                    </w:rPr>
                  </w:pPr>
                  <w:r>
                    <w:rPr>
                      <w:rFonts w:hint="eastAsia"/>
                    </w:rPr>
                    <w:t>8.90E-05</w:t>
                  </w:r>
                </w:p>
              </w:tc>
              <w:tc>
                <w:tcPr>
                  <w:tcW w:w="669" w:type="pct"/>
                  <w:noWrap w:val="0"/>
                  <w:vAlign w:val="center"/>
                </w:tcPr>
                <w:p w14:paraId="08F96691">
                  <w:pPr>
                    <w:jc w:val="center"/>
                    <w:rPr>
                      <w:rFonts w:hint="eastAsia"/>
                    </w:rPr>
                  </w:pPr>
                  <w:r>
                    <w:rPr>
                      <w:rFonts w:hint="eastAsia"/>
                    </w:rPr>
                    <w:t>0.01</w:t>
                  </w:r>
                </w:p>
              </w:tc>
            </w:tr>
            <w:tr w14:paraId="606D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6791F99">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944" w:type="pct"/>
                  <w:noWrap w:val="0"/>
                  <w:vAlign w:val="center"/>
                </w:tcPr>
                <w:p w14:paraId="7FDE03B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3.88E-04</w:t>
                  </w:r>
                </w:p>
              </w:tc>
              <w:tc>
                <w:tcPr>
                  <w:tcW w:w="669" w:type="pct"/>
                  <w:noWrap w:val="0"/>
                  <w:vAlign w:val="center"/>
                </w:tcPr>
                <w:p w14:paraId="5883B3E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668" w:type="pct"/>
                  <w:noWrap w:val="0"/>
                  <w:vAlign w:val="center"/>
                </w:tcPr>
                <w:p w14:paraId="6306293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1.46E-04</w:t>
                  </w:r>
                </w:p>
              </w:tc>
              <w:tc>
                <w:tcPr>
                  <w:tcW w:w="668" w:type="pct"/>
                  <w:noWrap w:val="0"/>
                  <w:vAlign w:val="center"/>
                </w:tcPr>
                <w:p w14:paraId="27E1ED2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c>
                <w:tcPr>
                  <w:tcW w:w="669" w:type="pct"/>
                  <w:noWrap w:val="0"/>
                  <w:vAlign w:val="center"/>
                </w:tcPr>
                <w:p w14:paraId="53D483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6.92E-05</w:t>
                  </w:r>
                </w:p>
              </w:tc>
              <w:tc>
                <w:tcPr>
                  <w:tcW w:w="669" w:type="pct"/>
                  <w:noWrap w:val="0"/>
                  <w:vAlign w:val="center"/>
                </w:tcPr>
                <w:p w14:paraId="72F92C9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r>
            <w:tr w14:paraId="3393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14:paraId="051B570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944" w:type="pct"/>
                  <w:noWrap w:val="0"/>
                  <w:vAlign w:val="center"/>
                </w:tcPr>
                <w:p w14:paraId="6070EA1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1.73E-04</w:t>
                  </w:r>
                </w:p>
              </w:tc>
              <w:tc>
                <w:tcPr>
                  <w:tcW w:w="669" w:type="pct"/>
                  <w:noWrap w:val="0"/>
                  <w:vAlign w:val="center"/>
                </w:tcPr>
                <w:p w14:paraId="1340F89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68" w:type="pct"/>
                  <w:noWrap w:val="0"/>
                  <w:vAlign w:val="center"/>
                </w:tcPr>
                <w:p w14:paraId="4E80C442">
                  <w:pPr>
                    <w:jc w:val="center"/>
                    <w:rPr>
                      <w:rFonts w:hint="eastAsia" w:cs="Times New Roman"/>
                      <w:color w:val="auto"/>
                      <w:sz w:val="21"/>
                      <w:szCs w:val="21"/>
                      <w:lang w:val="en-US" w:eastAsia="zh-CN"/>
                    </w:rPr>
                  </w:pPr>
                  <w:r>
                    <w:rPr>
                      <w:rFonts w:hint="eastAsia" w:cs="Times New Roman"/>
                      <w:color w:val="auto"/>
                      <w:sz w:val="21"/>
                      <w:szCs w:val="21"/>
                      <w:lang w:val="en-US" w:eastAsia="zh-CN"/>
                    </w:rPr>
                    <w:t>6.49E-05</w:t>
                  </w:r>
                </w:p>
              </w:tc>
              <w:tc>
                <w:tcPr>
                  <w:tcW w:w="668" w:type="pct"/>
                  <w:noWrap w:val="0"/>
                  <w:vAlign w:val="center"/>
                </w:tcPr>
                <w:p w14:paraId="309EDD21">
                  <w:pPr>
                    <w:jc w:val="center"/>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669" w:type="pct"/>
                  <w:noWrap w:val="0"/>
                  <w:vAlign w:val="center"/>
                </w:tcPr>
                <w:p w14:paraId="47F4C542">
                  <w:pPr>
                    <w:jc w:val="center"/>
                    <w:rPr>
                      <w:rFonts w:hint="eastAsia" w:cs="Times New Roman"/>
                      <w:color w:val="auto"/>
                      <w:sz w:val="21"/>
                      <w:szCs w:val="21"/>
                      <w:lang w:val="en-US" w:eastAsia="zh-CN"/>
                    </w:rPr>
                  </w:pPr>
                  <w:r>
                    <w:rPr>
                      <w:rFonts w:hint="eastAsia" w:cs="Times New Roman"/>
                      <w:color w:val="auto"/>
                      <w:sz w:val="21"/>
                      <w:szCs w:val="21"/>
                      <w:lang w:val="en-US" w:eastAsia="zh-CN"/>
                    </w:rPr>
                    <w:t>3.07E-05</w:t>
                  </w:r>
                </w:p>
              </w:tc>
              <w:tc>
                <w:tcPr>
                  <w:tcW w:w="669" w:type="pct"/>
                  <w:noWrap w:val="0"/>
                  <w:vAlign w:val="center"/>
                </w:tcPr>
                <w:p w14:paraId="5E6D3DA3">
                  <w:pPr>
                    <w:jc w:val="center"/>
                    <w:rPr>
                      <w:rFonts w:hint="default" w:cs="Times New Roman"/>
                      <w:color w:val="auto"/>
                      <w:sz w:val="21"/>
                      <w:szCs w:val="21"/>
                      <w:lang w:val="en-US" w:eastAsia="zh-CN"/>
                    </w:rPr>
                  </w:pPr>
                  <w:r>
                    <w:rPr>
                      <w:rFonts w:hint="eastAsia" w:cs="Times New Roman"/>
                      <w:color w:val="auto"/>
                      <w:sz w:val="21"/>
                      <w:szCs w:val="21"/>
                      <w:lang w:val="en-US" w:eastAsia="zh-CN"/>
                    </w:rPr>
                    <w:t>0.00</w:t>
                  </w:r>
                </w:p>
              </w:tc>
            </w:tr>
            <w:tr w14:paraId="2EDE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pct"/>
                  <w:noWrap w:val="0"/>
                  <w:vAlign w:val="center"/>
                </w:tcPr>
                <w:p w14:paraId="693CAE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占标率范围</w:t>
                  </w:r>
                </w:p>
              </w:tc>
              <w:tc>
                <w:tcPr>
                  <w:tcW w:w="4290" w:type="pct"/>
                  <w:gridSpan w:val="6"/>
                  <w:noWrap w:val="0"/>
                  <w:vAlign w:val="center"/>
                </w:tcPr>
                <w:p w14:paraId="6D8AA225">
                  <w:pPr>
                    <w:jc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rPr>
                    <w:t>P&lt;1%</w:t>
                  </w:r>
                </w:p>
              </w:tc>
            </w:tr>
            <w:tr w14:paraId="72EF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pct"/>
                  <w:noWrap w:val="0"/>
                  <w:vAlign w:val="center"/>
                </w:tcPr>
                <w:p w14:paraId="26DB41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D10%最远距离/m</w:t>
                  </w:r>
                </w:p>
              </w:tc>
              <w:tc>
                <w:tcPr>
                  <w:tcW w:w="4290" w:type="pct"/>
                  <w:gridSpan w:val="6"/>
                  <w:noWrap w:val="0"/>
                  <w:vAlign w:val="center"/>
                </w:tcPr>
                <w:p w14:paraId="5E084EB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267</w:t>
                  </w:r>
                </w:p>
              </w:tc>
            </w:tr>
            <w:tr w14:paraId="1D60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pct"/>
                  <w:noWrap w:val="0"/>
                  <w:vAlign w:val="center"/>
                </w:tcPr>
                <w:p w14:paraId="4EEE633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4290" w:type="pct"/>
                  <w:gridSpan w:val="6"/>
                  <w:noWrap w:val="0"/>
                  <w:vAlign w:val="center"/>
                </w:tcPr>
                <w:p w14:paraId="23099B2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4D77517D">
            <w:pPr>
              <w:pStyle w:val="12"/>
              <w:jc w:val="center"/>
            </w:pPr>
          </w:p>
          <w:p w14:paraId="1FF84CE0">
            <w:pPr>
              <w:pStyle w:val="12"/>
              <w:rPr>
                <w:rFonts w:hint="eastAsia" w:eastAsia="宋体"/>
                <w:lang w:eastAsia="zh-CN"/>
              </w:rPr>
            </w:pPr>
            <w:r>
              <w:rPr>
                <w:rFonts w:hint="eastAsia" w:eastAsia="宋体"/>
                <w:lang w:eastAsia="zh-CN"/>
              </w:rPr>
              <w:drawing>
                <wp:inline distT="0" distB="0" distL="114300" distR="114300">
                  <wp:extent cx="6330950" cy="6906895"/>
                  <wp:effectExtent l="0" t="0" r="12700" b="8255"/>
                  <wp:docPr id="5" name="图片 5" descr="QQ截图2021012611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10126110615"/>
                          <pic:cNvPicPr>
                            <a:picLocks noChangeAspect="1"/>
                          </pic:cNvPicPr>
                        </pic:nvPicPr>
                        <pic:blipFill>
                          <a:blip r:embed="rId16"/>
                          <a:stretch>
                            <a:fillRect/>
                          </a:stretch>
                        </pic:blipFill>
                        <pic:spPr>
                          <a:xfrm>
                            <a:off x="0" y="0"/>
                            <a:ext cx="6330950" cy="6906895"/>
                          </a:xfrm>
                          <a:prstGeom prst="rect">
                            <a:avLst/>
                          </a:prstGeom>
                        </pic:spPr>
                      </pic:pic>
                    </a:graphicData>
                  </a:graphic>
                </wp:inline>
              </w:drawing>
            </w:r>
          </w:p>
          <w:p w14:paraId="2AA57035">
            <w:pPr>
              <w:spacing w:line="360" w:lineRule="auto"/>
              <w:jc w:val="center"/>
              <w:rPr>
                <w:rFonts w:hint="default" w:ascii="Times New Roman" w:hAnsi="Times New Roman" w:eastAsia="宋体" w:cs="Arial"/>
                <w:b/>
                <w:kern w:val="2"/>
                <w:sz w:val="21"/>
                <w:szCs w:val="20"/>
                <w:lang w:val="en-US" w:eastAsia="zh-CN" w:bidi="ar-SA"/>
              </w:rPr>
            </w:pPr>
            <w:r>
              <w:rPr>
                <w:rFonts w:hint="eastAsia" w:ascii="Times New Roman" w:hAnsi="Times New Roman" w:eastAsia="宋体" w:cs="Arial"/>
                <w:b/>
                <w:kern w:val="2"/>
                <w:sz w:val="21"/>
                <w:szCs w:val="20"/>
                <w:lang w:val="en-US" w:eastAsia="zh-CN" w:bidi="ar-SA"/>
              </w:rPr>
              <w:t>图7-1 生产车间</w:t>
            </w:r>
            <w:r>
              <w:rPr>
                <w:rFonts w:hint="eastAsia" w:cs="Arial"/>
                <w:b/>
                <w:kern w:val="2"/>
                <w:sz w:val="21"/>
                <w:szCs w:val="20"/>
                <w:lang w:val="en-US" w:eastAsia="zh-CN" w:bidi="ar-SA"/>
              </w:rPr>
              <w:t>TSP有、无组织</w:t>
            </w:r>
            <w:r>
              <w:rPr>
                <w:rFonts w:hint="eastAsia" w:ascii="Times New Roman" w:hAnsi="Times New Roman" w:eastAsia="宋体" w:cs="Arial"/>
                <w:b/>
                <w:kern w:val="2"/>
                <w:sz w:val="21"/>
                <w:szCs w:val="20"/>
                <w:lang w:val="en-US" w:eastAsia="zh-CN" w:bidi="ar-SA"/>
              </w:rPr>
              <w:t>排放占标率预测结果图</w:t>
            </w:r>
          </w:p>
          <w:p w14:paraId="0E66284D">
            <w:pPr>
              <w:spacing w:line="360" w:lineRule="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6329045" cy="6774180"/>
                  <wp:effectExtent l="0" t="0" r="14605" b="7620"/>
                  <wp:docPr id="12" name="图片 12" descr="QQ截图202101261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10126110630"/>
                          <pic:cNvPicPr>
                            <a:picLocks noChangeAspect="1"/>
                          </pic:cNvPicPr>
                        </pic:nvPicPr>
                        <pic:blipFill>
                          <a:blip r:embed="rId17"/>
                          <a:stretch>
                            <a:fillRect/>
                          </a:stretch>
                        </pic:blipFill>
                        <pic:spPr>
                          <a:xfrm>
                            <a:off x="0" y="0"/>
                            <a:ext cx="6329045" cy="6774180"/>
                          </a:xfrm>
                          <a:prstGeom prst="rect">
                            <a:avLst/>
                          </a:prstGeom>
                        </pic:spPr>
                      </pic:pic>
                    </a:graphicData>
                  </a:graphic>
                </wp:inline>
              </w:drawing>
            </w:r>
          </w:p>
          <w:p w14:paraId="5492618B">
            <w:pPr>
              <w:spacing w:line="360" w:lineRule="auto"/>
              <w:ind w:firstLine="422" w:firstLineChars="200"/>
              <w:jc w:val="center"/>
              <w:rPr>
                <w:rFonts w:hint="eastAsia" w:ascii="宋体" w:hAnsi="宋体" w:eastAsia="宋体" w:cs="宋体"/>
                <w:sz w:val="24"/>
              </w:rPr>
            </w:pPr>
            <w:r>
              <w:rPr>
                <w:rFonts w:hint="eastAsia"/>
                <w:b/>
                <w:bCs/>
                <w:sz w:val="21"/>
                <w:szCs w:val="21"/>
                <w:lang w:eastAsia="zh-CN"/>
              </w:rPr>
              <w:t>图</w:t>
            </w:r>
            <w:r>
              <w:rPr>
                <w:rFonts w:hint="default"/>
                <w:b/>
                <w:bCs/>
                <w:sz w:val="21"/>
                <w:szCs w:val="21"/>
              </w:rPr>
              <w:t>7-</w:t>
            </w:r>
            <w:r>
              <w:rPr>
                <w:rFonts w:hint="eastAsia"/>
                <w:b/>
                <w:bCs/>
                <w:sz w:val="21"/>
                <w:szCs w:val="21"/>
                <w:lang w:val="en-US" w:eastAsia="zh-CN"/>
              </w:rPr>
              <w:t>2   1#排气筒TSP排放浓度预测结果图</w:t>
            </w:r>
          </w:p>
          <w:p w14:paraId="5C6F6E5A">
            <w:pPr>
              <w:spacing w:line="360" w:lineRule="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6333490" cy="6827520"/>
                  <wp:effectExtent l="0" t="0" r="10160" b="11430"/>
                  <wp:docPr id="13" name="图片 13" descr="QQ截图202101261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10126110638"/>
                          <pic:cNvPicPr>
                            <a:picLocks noChangeAspect="1"/>
                          </pic:cNvPicPr>
                        </pic:nvPicPr>
                        <pic:blipFill>
                          <a:blip r:embed="rId18"/>
                          <a:stretch>
                            <a:fillRect/>
                          </a:stretch>
                        </pic:blipFill>
                        <pic:spPr>
                          <a:xfrm>
                            <a:off x="0" y="0"/>
                            <a:ext cx="6333490" cy="6827520"/>
                          </a:xfrm>
                          <a:prstGeom prst="rect">
                            <a:avLst/>
                          </a:prstGeom>
                        </pic:spPr>
                      </pic:pic>
                    </a:graphicData>
                  </a:graphic>
                </wp:inline>
              </w:drawing>
            </w:r>
          </w:p>
          <w:p w14:paraId="257503A6">
            <w:pPr>
              <w:spacing w:line="360" w:lineRule="auto"/>
              <w:ind w:firstLine="422" w:firstLineChars="200"/>
              <w:jc w:val="center"/>
              <w:rPr>
                <w:rFonts w:hint="eastAsia" w:ascii="宋体" w:hAnsi="宋体" w:eastAsia="宋体" w:cs="宋体"/>
                <w:sz w:val="24"/>
              </w:rPr>
            </w:pPr>
            <w:r>
              <w:rPr>
                <w:rFonts w:hint="eastAsia"/>
                <w:b/>
                <w:bCs/>
                <w:sz w:val="21"/>
                <w:szCs w:val="21"/>
                <w:lang w:eastAsia="zh-CN"/>
              </w:rPr>
              <w:t>图</w:t>
            </w:r>
            <w:r>
              <w:rPr>
                <w:rFonts w:hint="default"/>
                <w:b/>
                <w:bCs/>
                <w:sz w:val="21"/>
                <w:szCs w:val="21"/>
              </w:rPr>
              <w:t>7-</w:t>
            </w:r>
            <w:r>
              <w:rPr>
                <w:rFonts w:hint="eastAsia"/>
                <w:b/>
                <w:bCs/>
                <w:sz w:val="21"/>
                <w:szCs w:val="21"/>
                <w:lang w:val="en-US" w:eastAsia="zh-CN"/>
              </w:rPr>
              <w:t>3   2#排气筒TSP排放浓度预测结果图</w:t>
            </w:r>
          </w:p>
          <w:p w14:paraId="5D752D41">
            <w:pPr>
              <w:spacing w:line="360" w:lineRule="auto"/>
              <w:ind w:firstLine="480" w:firstLineChars="200"/>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6333490" cy="7016750"/>
                  <wp:effectExtent l="0" t="0" r="10160" b="12700"/>
                  <wp:docPr id="33" name="图片 33" descr="QQ截图202101261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210126110647"/>
                          <pic:cNvPicPr>
                            <a:picLocks noChangeAspect="1"/>
                          </pic:cNvPicPr>
                        </pic:nvPicPr>
                        <pic:blipFill>
                          <a:blip r:embed="rId19"/>
                          <a:stretch>
                            <a:fillRect/>
                          </a:stretch>
                        </pic:blipFill>
                        <pic:spPr>
                          <a:xfrm>
                            <a:off x="0" y="0"/>
                            <a:ext cx="6333490" cy="7016750"/>
                          </a:xfrm>
                          <a:prstGeom prst="rect">
                            <a:avLst/>
                          </a:prstGeom>
                        </pic:spPr>
                      </pic:pic>
                    </a:graphicData>
                  </a:graphic>
                </wp:inline>
              </w:drawing>
            </w:r>
          </w:p>
          <w:p w14:paraId="209F5752">
            <w:pPr>
              <w:spacing w:line="360" w:lineRule="auto"/>
              <w:ind w:firstLine="422" w:firstLineChars="200"/>
              <w:jc w:val="center"/>
              <w:rPr>
                <w:rFonts w:hint="eastAsia" w:ascii="宋体" w:hAnsi="宋体" w:eastAsia="宋体" w:cs="宋体"/>
                <w:sz w:val="24"/>
              </w:rPr>
            </w:pPr>
            <w:r>
              <w:rPr>
                <w:rFonts w:hint="eastAsia"/>
                <w:b/>
                <w:bCs/>
                <w:sz w:val="21"/>
                <w:szCs w:val="21"/>
                <w:lang w:eastAsia="zh-CN"/>
              </w:rPr>
              <w:t>图</w:t>
            </w:r>
            <w:r>
              <w:rPr>
                <w:rFonts w:hint="default"/>
                <w:b/>
                <w:bCs/>
                <w:sz w:val="21"/>
                <w:szCs w:val="21"/>
              </w:rPr>
              <w:t>7-</w:t>
            </w:r>
            <w:r>
              <w:rPr>
                <w:rFonts w:hint="eastAsia"/>
                <w:b/>
                <w:bCs/>
                <w:sz w:val="21"/>
                <w:szCs w:val="21"/>
                <w:lang w:val="en-US" w:eastAsia="zh-CN"/>
              </w:rPr>
              <w:t>4   3#排气筒TSP排放浓度预测结果图</w:t>
            </w:r>
          </w:p>
          <w:p w14:paraId="048BEC32">
            <w:pPr>
              <w:spacing w:line="360" w:lineRule="auto"/>
              <w:ind w:firstLine="480" w:firstLineChars="200"/>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6332220" cy="6972300"/>
                  <wp:effectExtent l="0" t="0" r="11430" b="0"/>
                  <wp:docPr id="38" name="图片 38" descr="QQ截图202101261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210126110657"/>
                          <pic:cNvPicPr>
                            <a:picLocks noChangeAspect="1"/>
                          </pic:cNvPicPr>
                        </pic:nvPicPr>
                        <pic:blipFill>
                          <a:blip r:embed="rId20"/>
                          <a:stretch>
                            <a:fillRect/>
                          </a:stretch>
                        </pic:blipFill>
                        <pic:spPr>
                          <a:xfrm>
                            <a:off x="0" y="0"/>
                            <a:ext cx="6332220" cy="6972300"/>
                          </a:xfrm>
                          <a:prstGeom prst="rect">
                            <a:avLst/>
                          </a:prstGeom>
                        </pic:spPr>
                      </pic:pic>
                    </a:graphicData>
                  </a:graphic>
                </wp:inline>
              </w:drawing>
            </w:r>
          </w:p>
          <w:p w14:paraId="7E9951F3">
            <w:pPr>
              <w:spacing w:line="360" w:lineRule="auto"/>
              <w:ind w:firstLine="422" w:firstLineChars="200"/>
              <w:jc w:val="center"/>
              <w:rPr>
                <w:rFonts w:hint="eastAsia" w:ascii="宋体" w:hAnsi="宋体" w:eastAsia="宋体" w:cs="宋体"/>
                <w:sz w:val="24"/>
              </w:rPr>
            </w:pPr>
            <w:r>
              <w:rPr>
                <w:rFonts w:hint="eastAsia"/>
                <w:b/>
                <w:bCs/>
                <w:sz w:val="21"/>
                <w:szCs w:val="21"/>
                <w:lang w:eastAsia="zh-CN"/>
              </w:rPr>
              <w:t>图</w:t>
            </w:r>
            <w:r>
              <w:rPr>
                <w:rFonts w:hint="default"/>
                <w:b/>
                <w:bCs/>
                <w:sz w:val="21"/>
                <w:szCs w:val="21"/>
              </w:rPr>
              <w:t>7-</w:t>
            </w:r>
            <w:r>
              <w:rPr>
                <w:rFonts w:hint="eastAsia"/>
                <w:b/>
                <w:bCs/>
                <w:sz w:val="21"/>
                <w:szCs w:val="21"/>
                <w:lang w:val="en-US" w:eastAsia="zh-CN"/>
              </w:rPr>
              <w:t>5  项目生产车间TSP无组织排放浓度预测结果图</w:t>
            </w:r>
          </w:p>
          <w:p w14:paraId="2D7D6898">
            <w:pPr>
              <w:spacing w:line="360" w:lineRule="auto"/>
              <w:ind w:firstLine="480" w:firstLineChars="200"/>
              <w:rPr>
                <w:rFonts w:hint="default" w:ascii="Times New Roman" w:hAnsi="Times New Roman" w:eastAsia="宋体" w:cs="Times New Roman"/>
                <w:color w:val="auto"/>
                <w:sz w:val="24"/>
                <w:lang w:eastAsia="zh-CN"/>
              </w:rPr>
            </w:pPr>
            <w:r>
              <w:rPr>
                <w:rFonts w:hint="eastAsia" w:ascii="宋体" w:hAnsi="宋体" w:eastAsia="宋体" w:cs="宋体"/>
                <w:sz w:val="24"/>
              </w:rPr>
              <w:t>综上所述，经估算模式预测，本项目排放污染物下风向最大质量浓度占标率为</w:t>
            </w:r>
            <w:r>
              <w:rPr>
                <w:rFonts w:hint="eastAsia" w:ascii="宋体" w:hAnsi="宋体" w:cs="宋体"/>
                <w:sz w:val="24"/>
                <w:lang w:val="en-US" w:eastAsia="zh-CN"/>
              </w:rPr>
              <w:t>2.17</w:t>
            </w:r>
            <w:r>
              <w:rPr>
                <w:rFonts w:hint="eastAsia" w:ascii="宋体" w:hAnsi="宋体" w:eastAsia="宋体" w:cs="宋体"/>
                <w:sz w:val="24"/>
              </w:rPr>
              <w:t>%，小于1</w:t>
            </w:r>
            <w:r>
              <w:rPr>
                <w:rFonts w:hint="eastAsia" w:ascii="宋体" w:hAnsi="宋体" w:eastAsia="宋体" w:cs="宋体"/>
                <w:sz w:val="24"/>
                <w:lang w:val="en-US" w:eastAsia="zh-CN"/>
              </w:rPr>
              <w:t>0</w:t>
            </w:r>
            <w:r>
              <w:rPr>
                <w:rFonts w:hint="eastAsia" w:ascii="宋体" w:hAnsi="宋体" w:eastAsia="宋体" w:cs="宋体"/>
                <w:sz w:val="24"/>
              </w:rPr>
              <w:t>%，根据《环境影响评价技术导则—大气环境》（HJ2.2-2018）</w:t>
            </w:r>
            <w:r>
              <w:rPr>
                <w:rFonts w:hint="eastAsia" w:ascii="宋体" w:hAnsi="宋体" w:eastAsia="宋体" w:cs="宋体"/>
                <w:b w:val="0"/>
                <w:bCs w:val="0"/>
                <w:sz w:val="24"/>
              </w:rPr>
              <w:t>，大气环境评价工作等级为</w:t>
            </w:r>
            <w:r>
              <w:rPr>
                <w:rFonts w:hint="eastAsia" w:ascii="宋体" w:hAnsi="宋体" w:cs="宋体"/>
                <w:b w:val="0"/>
                <w:bCs w:val="0"/>
                <w:sz w:val="24"/>
                <w:lang w:val="en-US" w:eastAsia="zh-CN"/>
              </w:rPr>
              <w:t>二</w:t>
            </w:r>
            <w:r>
              <w:rPr>
                <w:rFonts w:hint="eastAsia" w:ascii="宋体" w:hAnsi="宋体" w:eastAsia="宋体" w:cs="宋体"/>
                <w:b w:val="0"/>
                <w:bCs w:val="0"/>
                <w:sz w:val="24"/>
              </w:rPr>
              <w:t>级。</w:t>
            </w:r>
          </w:p>
          <w:p w14:paraId="4B1EE85E">
            <w:pPr>
              <w:spacing w:line="360" w:lineRule="auto"/>
              <w:ind w:firstLine="482"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3、污染物排放量核算</w:t>
            </w:r>
            <w:r>
              <w:rPr>
                <w:rFonts w:hint="default" w:ascii="Times New Roman" w:hAnsi="Times New Roman" w:eastAsia="宋体" w:cs="Times New Roman"/>
                <w:color w:val="auto"/>
                <w:sz w:val="24"/>
                <w:lang w:eastAsia="zh-CN"/>
              </w:rPr>
              <w:t xml:space="preserve"> </w:t>
            </w:r>
          </w:p>
          <w:p w14:paraId="5696AA5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根据《环境影响评价技术导则—大气环境》HJ2.2-2018 要求“二级评价项目不进行进一步预测与评价，只对污染物排放量进行核算</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具体情况如下</w:t>
            </w:r>
            <w:r>
              <w:rPr>
                <w:rFonts w:hint="eastAsia" w:cs="Times New Roman"/>
                <w:color w:val="auto"/>
                <w:sz w:val="24"/>
                <w:lang w:val="en-US" w:eastAsia="zh-CN"/>
              </w:rPr>
              <w:t>：</w:t>
            </w:r>
          </w:p>
          <w:p w14:paraId="1223CD6B">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（1）有组织排放量核算</w:t>
            </w:r>
          </w:p>
          <w:p w14:paraId="6DF9FFE9">
            <w:pPr>
              <w:pStyle w:val="12"/>
              <w:spacing w:before="158"/>
              <w:ind w:firstLine="420" w:firstLineChars="200"/>
              <w:rPr>
                <w:color w:val="auto"/>
              </w:rPr>
            </w:pPr>
            <w:r>
              <w:rPr>
                <w:b w:val="0"/>
                <w:bCs w:val="0"/>
                <w:color w:val="auto"/>
              </w:rPr>
              <w:t>项目有组织排放量核算具体情况详见下表：</w:t>
            </w:r>
            <w:r>
              <w:rPr>
                <w:color w:val="auto"/>
              </w:rPr>
              <w:t xml:space="preserve"> </w:t>
            </w:r>
          </w:p>
          <w:p w14:paraId="5D744BE2">
            <w:pPr>
              <w:pStyle w:val="7"/>
              <w:spacing w:before="161"/>
              <w:ind w:right="48"/>
              <w:jc w:val="center"/>
              <w:rPr>
                <w:rFonts w:hint="eastAsia" w:ascii="Times New Roman" w:hAnsi="Times New Roman" w:eastAsia="黑体" w:cs="Times New Roman"/>
                <w:b w:val="0"/>
                <w:bCs w:val="0"/>
                <w:snapToGrid w:val="0"/>
                <w:color w:val="auto"/>
                <w:kern w:val="0"/>
                <w:sz w:val="21"/>
                <w:szCs w:val="21"/>
                <w:lang w:val="fr-FR" w:bidi="ar-SA"/>
              </w:rPr>
            </w:pPr>
            <w:r>
              <w:rPr>
                <w:rFonts w:hint="eastAsia" w:ascii="Times New Roman" w:hAnsi="Times New Roman" w:eastAsia="黑体" w:cs="Times New Roman"/>
                <w:b w:val="0"/>
                <w:bCs w:val="0"/>
                <w:snapToGrid w:val="0"/>
                <w:color w:val="auto"/>
                <w:kern w:val="0"/>
                <w:sz w:val="21"/>
                <w:szCs w:val="21"/>
                <w:lang w:val="fr-FR" w:bidi="ar-SA"/>
              </w:rPr>
              <w:t>表 7-</w:t>
            </w:r>
            <w:r>
              <w:rPr>
                <w:rFonts w:hint="eastAsia" w:ascii="Times New Roman" w:hAnsi="Times New Roman" w:eastAsia="黑体" w:cs="Times New Roman"/>
                <w:b w:val="0"/>
                <w:bCs w:val="0"/>
                <w:snapToGrid w:val="0"/>
                <w:color w:val="auto"/>
                <w:kern w:val="0"/>
                <w:sz w:val="21"/>
                <w:szCs w:val="21"/>
                <w:lang w:val="en-US" w:eastAsia="zh-CN" w:bidi="ar-SA"/>
              </w:rPr>
              <w:t>12</w:t>
            </w:r>
            <w:r>
              <w:rPr>
                <w:rFonts w:hint="eastAsia" w:ascii="Times New Roman" w:hAnsi="Times New Roman" w:eastAsia="黑体" w:cs="Times New Roman"/>
                <w:b w:val="0"/>
                <w:bCs w:val="0"/>
                <w:snapToGrid w:val="0"/>
                <w:color w:val="auto"/>
                <w:kern w:val="0"/>
                <w:sz w:val="21"/>
                <w:szCs w:val="21"/>
                <w:lang w:val="fr-FR" w:bidi="ar-SA"/>
              </w:rPr>
              <w:t xml:space="preserve"> 项目有组织排放量核算表</w:t>
            </w:r>
          </w:p>
          <w:tbl>
            <w:tblPr>
              <w:tblStyle w:val="22"/>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70"/>
              <w:gridCol w:w="2098"/>
              <w:gridCol w:w="1183"/>
              <w:gridCol w:w="2400"/>
              <w:gridCol w:w="2330"/>
              <w:gridCol w:w="1613"/>
            </w:tblGrid>
            <w:tr w14:paraId="33A027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80" w:type="pct"/>
                  <w:tcBorders>
                    <w:tl2br w:val="nil"/>
                    <w:tr2bl w:val="nil"/>
                  </w:tcBorders>
                  <w:noWrap w:val="0"/>
                  <w:vAlign w:val="center"/>
                </w:tcPr>
                <w:p w14:paraId="74889162">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029" w:type="pct"/>
                  <w:tcBorders>
                    <w:tl2br w:val="nil"/>
                    <w:tr2bl w:val="nil"/>
                  </w:tcBorders>
                  <w:noWrap w:val="0"/>
                  <w:vAlign w:val="center"/>
                </w:tcPr>
                <w:p w14:paraId="58240F8B">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排放源</w:t>
                  </w:r>
                </w:p>
              </w:tc>
              <w:tc>
                <w:tcPr>
                  <w:tcW w:w="580" w:type="pct"/>
                  <w:tcBorders>
                    <w:tl2br w:val="nil"/>
                    <w:tr2bl w:val="nil"/>
                  </w:tcBorders>
                  <w:noWrap w:val="0"/>
                  <w:vAlign w:val="center"/>
                </w:tcPr>
                <w:p w14:paraId="2145C39F">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污染物</w:t>
                  </w:r>
                </w:p>
              </w:tc>
              <w:tc>
                <w:tcPr>
                  <w:tcW w:w="1177" w:type="pct"/>
                  <w:tcBorders>
                    <w:tl2br w:val="nil"/>
                    <w:tr2bl w:val="nil"/>
                  </w:tcBorders>
                  <w:noWrap w:val="0"/>
                  <w:vAlign w:val="center"/>
                </w:tcPr>
                <w:p w14:paraId="49A1462D">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核算排放浓度（mg/m</w:t>
                  </w:r>
                  <w:r>
                    <w:rPr>
                      <w:rFonts w:hint="eastAsia" w:ascii="宋体" w:hAnsi="宋体" w:eastAsia="宋体" w:cs="宋体"/>
                      <w:b/>
                      <w:color w:val="auto"/>
                      <w:sz w:val="21"/>
                      <w:szCs w:val="21"/>
                      <w:vertAlign w:val="superscript"/>
                    </w:rPr>
                    <w:t>3</w:t>
                  </w:r>
                  <w:r>
                    <w:rPr>
                      <w:rFonts w:hint="eastAsia" w:ascii="宋体" w:hAnsi="宋体" w:eastAsia="宋体" w:cs="宋体"/>
                      <w:b/>
                      <w:color w:val="auto"/>
                      <w:sz w:val="21"/>
                      <w:szCs w:val="21"/>
                    </w:rPr>
                    <w:t>）</w:t>
                  </w:r>
                </w:p>
              </w:tc>
              <w:tc>
                <w:tcPr>
                  <w:tcW w:w="1142" w:type="pct"/>
                  <w:tcBorders>
                    <w:tl2br w:val="nil"/>
                    <w:tr2bl w:val="nil"/>
                  </w:tcBorders>
                  <w:noWrap w:val="0"/>
                  <w:vAlign w:val="center"/>
                </w:tcPr>
                <w:p w14:paraId="4E30BA68">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核算排放速率</w:t>
                  </w:r>
                </w:p>
                <w:p w14:paraId="104C9686">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（kg/h）</w:t>
                  </w:r>
                </w:p>
              </w:tc>
              <w:tc>
                <w:tcPr>
                  <w:tcW w:w="789" w:type="pct"/>
                  <w:tcBorders>
                    <w:tl2br w:val="nil"/>
                    <w:tr2bl w:val="nil"/>
                  </w:tcBorders>
                  <w:noWrap w:val="0"/>
                  <w:vAlign w:val="center"/>
                </w:tcPr>
                <w:p w14:paraId="37ED17D8">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核算年排放量（</w:t>
                  </w:r>
                  <w:r>
                    <w:rPr>
                      <w:rFonts w:hint="eastAsia" w:ascii="Times New Roman" w:hAnsi="Times New Roman" w:eastAsia="宋体" w:cs="Times New Roman"/>
                      <w:b/>
                      <w:color w:val="auto"/>
                      <w:sz w:val="18"/>
                      <w:szCs w:val="18"/>
                      <w:lang w:eastAsia="zh-CN"/>
                    </w:rPr>
                    <w:t>t</w:t>
                  </w:r>
                  <w:r>
                    <w:rPr>
                      <w:rFonts w:hint="eastAsia" w:ascii="宋体" w:hAnsi="宋体" w:eastAsia="宋体" w:cs="宋体"/>
                      <w:b/>
                      <w:color w:val="auto"/>
                      <w:sz w:val="21"/>
                      <w:szCs w:val="21"/>
                    </w:rPr>
                    <w:t>/a）</w:t>
                  </w:r>
                </w:p>
              </w:tc>
            </w:tr>
            <w:tr w14:paraId="1B06B4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25BF6ADA">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一般排放口</w:t>
                  </w:r>
                </w:p>
              </w:tc>
            </w:tr>
            <w:tr w14:paraId="247EE9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280" w:type="pct"/>
                  <w:tcBorders>
                    <w:tl2br w:val="nil"/>
                    <w:tr2bl w:val="nil"/>
                  </w:tcBorders>
                  <w:noWrap w:val="0"/>
                  <w:vAlign w:val="center"/>
                </w:tcPr>
                <w:p w14:paraId="29D9330E">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29" w:type="pct"/>
                  <w:tcBorders>
                    <w:tl2br w:val="nil"/>
                    <w:tr2bl w:val="nil"/>
                  </w:tcBorders>
                  <w:noWrap w:val="0"/>
                  <w:vAlign w:val="center"/>
                </w:tcPr>
                <w:p w14:paraId="165B85A0">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580" w:type="pct"/>
                  <w:vMerge w:val="restart"/>
                  <w:tcBorders>
                    <w:tl2br w:val="nil"/>
                    <w:tr2bl w:val="nil"/>
                  </w:tcBorders>
                  <w:noWrap w:val="0"/>
                  <w:vAlign w:val="center"/>
                </w:tcPr>
                <w:p w14:paraId="4996D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2347" w:type="dxa"/>
                  <w:tcBorders>
                    <w:tl2br w:val="nil"/>
                    <w:tr2bl w:val="nil"/>
                  </w:tcBorders>
                  <w:noWrap w:val="0"/>
                  <w:vAlign w:val="center"/>
                </w:tcPr>
                <w:p w14:paraId="43FE9F11">
                  <w:pPr>
                    <w:keepNext w:val="0"/>
                    <w:keepLines w:val="0"/>
                    <w:widowControl w:val="0"/>
                    <w:suppressLineNumbers w:val="0"/>
                    <w:snapToGrid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Times New Roman" w:hAnsi="Times New Roman" w:cs="Times New Roman"/>
                      <w:color w:val="auto"/>
                      <w:sz w:val="18"/>
                      <w:szCs w:val="18"/>
                      <w:lang w:val="en-US" w:eastAsia="zh-CN"/>
                    </w:rPr>
                    <w:t>4.6</w:t>
                  </w:r>
                </w:p>
              </w:tc>
              <w:tc>
                <w:tcPr>
                  <w:tcW w:w="2279" w:type="dxa"/>
                  <w:tcBorders>
                    <w:tl2br w:val="nil"/>
                    <w:tr2bl w:val="nil"/>
                  </w:tcBorders>
                  <w:noWrap w:val="0"/>
                  <w:vAlign w:val="center"/>
                </w:tcPr>
                <w:p w14:paraId="38348B6A">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color w:val="auto"/>
                      <w:sz w:val="18"/>
                      <w:szCs w:val="18"/>
                      <w:lang w:val="en-US" w:eastAsia="zh-CN"/>
                    </w:rPr>
                    <w:t>0.0101</w:t>
                  </w:r>
                </w:p>
              </w:tc>
              <w:tc>
                <w:tcPr>
                  <w:tcW w:w="1575" w:type="dxa"/>
                  <w:tcBorders>
                    <w:tl2br w:val="nil"/>
                    <w:tr2bl w:val="nil"/>
                  </w:tcBorders>
                  <w:noWrap w:val="0"/>
                  <w:vAlign w:val="center"/>
                </w:tcPr>
                <w:p w14:paraId="29D626E3">
                  <w:pPr>
                    <w:pStyle w:val="69"/>
                    <w:adjustRightInd w:val="0"/>
                    <w:snapToGrid w:val="0"/>
                    <w:jc w:val="center"/>
                    <w:rPr>
                      <w:rFonts w:hint="default" w:ascii="宋体" w:hAnsi="宋体" w:eastAsia="宋体" w:cs="宋体"/>
                      <w:color w:val="auto"/>
                      <w:sz w:val="21"/>
                      <w:szCs w:val="21"/>
                      <w:lang w:val="en-US" w:eastAsia="zh-CN"/>
                    </w:rPr>
                  </w:pPr>
                  <w:r>
                    <w:rPr>
                      <w:rFonts w:hint="eastAsia"/>
                      <w:color w:val="auto"/>
                      <w:sz w:val="18"/>
                      <w:szCs w:val="18"/>
                      <w:shd w:val="clear" w:color="auto" w:fill="auto"/>
                      <w:lang w:val="en-US" w:eastAsia="zh-CN"/>
                    </w:rPr>
                    <w:t>0.000114</w:t>
                  </w:r>
                </w:p>
              </w:tc>
            </w:tr>
            <w:tr w14:paraId="011BB6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280" w:type="pct"/>
                  <w:tcBorders>
                    <w:tl2br w:val="nil"/>
                    <w:tr2bl w:val="nil"/>
                  </w:tcBorders>
                  <w:noWrap w:val="0"/>
                  <w:vAlign w:val="center"/>
                </w:tcPr>
                <w:p w14:paraId="4AF5F253">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29" w:type="pct"/>
                  <w:tcBorders>
                    <w:tl2br w:val="nil"/>
                    <w:tr2bl w:val="nil"/>
                  </w:tcBorders>
                  <w:noWrap w:val="0"/>
                  <w:vAlign w:val="center"/>
                </w:tcPr>
                <w:p w14:paraId="54A68097">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580" w:type="pct"/>
                  <w:vMerge w:val="continue"/>
                  <w:tcBorders>
                    <w:tl2br w:val="nil"/>
                    <w:tr2bl w:val="nil"/>
                  </w:tcBorders>
                  <w:noWrap w:val="0"/>
                  <w:vAlign w:val="center"/>
                </w:tcPr>
                <w:p w14:paraId="2BE464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1"/>
                      <w:szCs w:val="21"/>
                    </w:rPr>
                  </w:pPr>
                </w:p>
              </w:tc>
              <w:tc>
                <w:tcPr>
                  <w:tcW w:w="2347" w:type="dxa"/>
                  <w:tcBorders>
                    <w:tl2br w:val="nil"/>
                    <w:tr2bl w:val="nil"/>
                  </w:tcBorders>
                  <w:noWrap w:val="0"/>
                  <w:vAlign w:val="center"/>
                </w:tcPr>
                <w:p w14:paraId="11BEE3C5">
                  <w:pPr>
                    <w:keepNext w:val="0"/>
                    <w:keepLines w:val="0"/>
                    <w:widowControl w:val="0"/>
                    <w:suppressLineNumbers w:val="0"/>
                    <w:snapToGrid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Times New Roman" w:hAnsi="Times New Roman" w:cs="Times New Roman"/>
                      <w:color w:val="auto"/>
                      <w:sz w:val="18"/>
                      <w:szCs w:val="18"/>
                      <w:lang w:val="en-US" w:eastAsia="zh-CN"/>
                    </w:rPr>
                    <w:t>0.38</w:t>
                  </w:r>
                </w:p>
              </w:tc>
              <w:tc>
                <w:tcPr>
                  <w:tcW w:w="2279" w:type="dxa"/>
                  <w:tcBorders>
                    <w:tl2br w:val="nil"/>
                    <w:tr2bl w:val="nil"/>
                  </w:tcBorders>
                  <w:noWrap w:val="0"/>
                  <w:vAlign w:val="center"/>
                </w:tcPr>
                <w:p w14:paraId="0F18ADCD">
                  <w:pPr>
                    <w:keepNext w:val="0"/>
                    <w:keepLines w:val="0"/>
                    <w:widowControl w:val="0"/>
                    <w:suppressLineNumbers w:val="0"/>
                    <w:snapToGrid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color w:val="auto"/>
                      <w:sz w:val="18"/>
                      <w:szCs w:val="18"/>
                      <w:lang w:eastAsia="zh-CN"/>
                    </w:rPr>
                    <w:t>0.</w:t>
                  </w:r>
                  <w:r>
                    <w:rPr>
                      <w:rFonts w:hint="eastAsia"/>
                      <w:color w:val="auto"/>
                      <w:sz w:val="18"/>
                      <w:szCs w:val="18"/>
                      <w:lang w:val="en-US" w:eastAsia="zh-CN"/>
                    </w:rPr>
                    <w:t>0038</w:t>
                  </w:r>
                </w:p>
              </w:tc>
              <w:tc>
                <w:tcPr>
                  <w:tcW w:w="1575" w:type="dxa"/>
                  <w:tcBorders>
                    <w:tl2br w:val="nil"/>
                    <w:tr2bl w:val="nil"/>
                  </w:tcBorders>
                  <w:noWrap w:val="0"/>
                  <w:vAlign w:val="center"/>
                </w:tcPr>
                <w:p w14:paraId="01D7A5F2">
                  <w:pPr>
                    <w:pStyle w:val="69"/>
                    <w:adjustRightInd w:val="0"/>
                    <w:snapToGrid w:val="0"/>
                    <w:jc w:val="center"/>
                    <w:rPr>
                      <w:rFonts w:hint="default" w:ascii="宋体" w:hAnsi="宋体" w:eastAsia="宋体" w:cs="宋体"/>
                      <w:color w:val="auto"/>
                      <w:sz w:val="21"/>
                      <w:szCs w:val="21"/>
                      <w:lang w:val="en-US" w:eastAsia="zh-CN"/>
                    </w:rPr>
                  </w:pPr>
                  <w:r>
                    <w:rPr>
                      <w:rFonts w:hint="eastAsia"/>
                      <w:color w:val="auto"/>
                      <w:sz w:val="18"/>
                      <w:szCs w:val="18"/>
                      <w:shd w:val="clear" w:color="auto" w:fill="auto"/>
                      <w:lang w:val="en-US" w:eastAsia="zh-CN"/>
                    </w:rPr>
                    <w:t>0.00912</w:t>
                  </w:r>
                </w:p>
              </w:tc>
            </w:tr>
            <w:tr w14:paraId="44248D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280" w:type="pct"/>
                  <w:tcBorders>
                    <w:tl2br w:val="nil"/>
                    <w:tr2bl w:val="nil"/>
                  </w:tcBorders>
                  <w:noWrap w:val="0"/>
                  <w:vAlign w:val="center"/>
                </w:tcPr>
                <w:p w14:paraId="221FB03F">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029" w:type="pct"/>
                  <w:tcBorders>
                    <w:tl2br w:val="nil"/>
                    <w:tr2bl w:val="nil"/>
                  </w:tcBorders>
                  <w:noWrap w:val="0"/>
                  <w:vAlign w:val="center"/>
                </w:tcPr>
                <w:p w14:paraId="050819D1">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580" w:type="pct"/>
                  <w:vMerge w:val="continue"/>
                  <w:tcBorders>
                    <w:tl2br w:val="nil"/>
                    <w:tr2bl w:val="nil"/>
                  </w:tcBorders>
                  <w:noWrap w:val="0"/>
                  <w:vAlign w:val="top"/>
                </w:tcPr>
                <w:p w14:paraId="3AC2C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1"/>
                      <w:szCs w:val="21"/>
                    </w:rPr>
                  </w:pPr>
                </w:p>
              </w:tc>
              <w:tc>
                <w:tcPr>
                  <w:tcW w:w="2347" w:type="dxa"/>
                  <w:tcBorders>
                    <w:tl2br w:val="nil"/>
                    <w:tr2bl w:val="nil"/>
                  </w:tcBorders>
                  <w:noWrap w:val="0"/>
                  <w:vAlign w:val="center"/>
                </w:tcPr>
                <w:p w14:paraId="48AF73AF">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color w:val="auto"/>
                      <w:sz w:val="21"/>
                      <w:szCs w:val="21"/>
                      <w:lang w:val="en-US" w:eastAsia="zh-CN"/>
                    </w:rPr>
                  </w:pPr>
                  <w:r>
                    <w:rPr>
                      <w:rFonts w:hint="eastAsia" w:ascii="Times New Roman" w:hAnsi="Times New Roman" w:cs="Times New Roman"/>
                      <w:color w:val="auto"/>
                      <w:sz w:val="18"/>
                      <w:szCs w:val="18"/>
                      <w:lang w:val="en-US" w:eastAsia="zh-CN"/>
                    </w:rPr>
                    <w:t>0.9</w:t>
                  </w:r>
                </w:p>
              </w:tc>
              <w:tc>
                <w:tcPr>
                  <w:tcW w:w="2279" w:type="dxa"/>
                  <w:tcBorders>
                    <w:tl2br w:val="nil"/>
                    <w:tr2bl w:val="nil"/>
                  </w:tcBorders>
                  <w:noWrap w:val="0"/>
                  <w:vAlign w:val="center"/>
                </w:tcPr>
                <w:p w14:paraId="3E30A3B3">
                  <w:pPr>
                    <w:keepNext w:val="0"/>
                    <w:keepLines w:val="0"/>
                    <w:widowControl w:val="0"/>
                    <w:suppressLineNumbers w:val="0"/>
                    <w:snapToGrid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color w:val="auto"/>
                      <w:sz w:val="18"/>
                      <w:szCs w:val="18"/>
                      <w:lang w:val="en-US" w:eastAsia="zh-CN"/>
                    </w:rPr>
                    <w:t>0.0018</w:t>
                  </w:r>
                </w:p>
              </w:tc>
              <w:tc>
                <w:tcPr>
                  <w:tcW w:w="1575" w:type="dxa"/>
                  <w:tcBorders>
                    <w:tl2br w:val="nil"/>
                    <w:tr2bl w:val="nil"/>
                  </w:tcBorders>
                  <w:noWrap w:val="0"/>
                  <w:vAlign w:val="center"/>
                </w:tcPr>
                <w:p w14:paraId="5B2BA2F5">
                  <w:pPr>
                    <w:pStyle w:val="69"/>
                    <w:adjustRightInd w:val="0"/>
                    <w:snapToGrid w:val="0"/>
                    <w:jc w:val="center"/>
                    <w:rPr>
                      <w:rFonts w:hint="eastAsia" w:ascii="宋体" w:hAnsi="宋体" w:eastAsia="宋体" w:cs="宋体"/>
                      <w:color w:val="auto"/>
                      <w:sz w:val="21"/>
                      <w:szCs w:val="21"/>
                      <w:lang w:val="en-US" w:eastAsia="zh-CN"/>
                    </w:rPr>
                  </w:pPr>
                  <w:r>
                    <w:rPr>
                      <w:rFonts w:hint="eastAsia"/>
                      <w:color w:val="auto"/>
                      <w:sz w:val="18"/>
                      <w:szCs w:val="18"/>
                      <w:shd w:val="clear" w:color="auto" w:fill="auto"/>
                      <w:lang w:val="en-US" w:eastAsia="zh-CN"/>
                    </w:rPr>
                    <w:t>0.00216</w:t>
                  </w:r>
                </w:p>
              </w:tc>
            </w:tr>
            <w:tr w14:paraId="2B8C46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9" w:type="pct"/>
                  <w:gridSpan w:val="2"/>
                  <w:tcBorders>
                    <w:tl2br w:val="nil"/>
                    <w:tr2bl w:val="nil"/>
                  </w:tcBorders>
                  <w:noWrap w:val="0"/>
                  <w:vAlign w:val="center"/>
                </w:tcPr>
                <w:p w14:paraId="65B020DC">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eastAsia" w:ascii="宋体" w:hAnsi="宋体" w:eastAsia="宋体" w:cs="宋体"/>
                      <w:color w:val="auto"/>
                      <w:kern w:val="2"/>
                      <w:sz w:val="18"/>
                      <w:szCs w:val="18"/>
                      <w:shd w:val="clear" w:color="auto" w:fill="auto"/>
                      <w:lang w:val="en-US" w:eastAsia="zh-CN" w:bidi="zh-CN"/>
                    </w:rPr>
                  </w:pPr>
                  <w:r>
                    <w:rPr>
                      <w:rFonts w:hint="eastAsia" w:ascii="宋体" w:hAnsi="宋体" w:eastAsia="宋体" w:cs="宋体"/>
                      <w:b/>
                      <w:bCs/>
                      <w:color w:val="auto"/>
                      <w:kern w:val="2"/>
                      <w:sz w:val="18"/>
                      <w:szCs w:val="18"/>
                      <w:shd w:val="clear" w:color="auto" w:fill="auto"/>
                      <w:lang w:val="en-US" w:eastAsia="zh-CN" w:bidi="zh-CN"/>
                    </w:rPr>
                    <w:t>有组织排放总计</w:t>
                  </w:r>
                </w:p>
              </w:tc>
              <w:tc>
                <w:tcPr>
                  <w:tcW w:w="2900" w:type="pct"/>
                  <w:gridSpan w:val="3"/>
                  <w:tcBorders>
                    <w:tl2br w:val="nil"/>
                    <w:tr2bl w:val="nil"/>
                  </w:tcBorders>
                  <w:noWrap w:val="0"/>
                  <w:vAlign w:val="center"/>
                </w:tcPr>
                <w:p w14:paraId="5B301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18"/>
                      <w:szCs w:val="18"/>
                      <w:shd w:val="clear" w:color="auto" w:fill="auto"/>
                      <w:lang w:val="en-US" w:eastAsia="zh-CN" w:bidi="zh-CN"/>
                    </w:rPr>
                  </w:pPr>
                  <w:r>
                    <w:rPr>
                      <w:rFonts w:hint="eastAsia" w:ascii="宋体" w:hAnsi="宋体" w:eastAsia="宋体" w:cs="宋体"/>
                      <w:color w:val="auto"/>
                      <w:kern w:val="2"/>
                      <w:sz w:val="18"/>
                      <w:szCs w:val="18"/>
                      <w:shd w:val="clear" w:color="auto" w:fill="auto"/>
                      <w:lang w:val="en-US" w:eastAsia="zh-CN" w:bidi="zh-CN"/>
                    </w:rPr>
                    <w:t>颗粒物</w:t>
                  </w:r>
                </w:p>
              </w:tc>
              <w:tc>
                <w:tcPr>
                  <w:tcW w:w="789" w:type="pct"/>
                  <w:tcBorders>
                    <w:tl2br w:val="nil"/>
                    <w:tr2bl w:val="nil"/>
                  </w:tcBorders>
                  <w:noWrap w:val="0"/>
                  <w:vAlign w:val="center"/>
                </w:tcPr>
                <w:p w14:paraId="794C316E">
                  <w:pPr>
                    <w:keepNext w:val="0"/>
                    <w:keepLines w:val="0"/>
                    <w:pageBreakBefore w:val="0"/>
                    <w:widowControl w:val="0"/>
                    <w:kinsoku/>
                    <w:wordWrap/>
                    <w:overflowPunct/>
                    <w:topLinePunct w:val="0"/>
                    <w:autoSpaceDE/>
                    <w:autoSpaceDN/>
                    <w:bidi w:val="0"/>
                    <w:adjustRightInd w:val="0"/>
                    <w:snapToGrid w:val="0"/>
                    <w:spacing w:before="74" w:line="240" w:lineRule="auto"/>
                    <w:ind w:firstLine="0" w:firstLineChars="0"/>
                    <w:jc w:val="center"/>
                    <w:textAlignment w:val="auto"/>
                    <w:outlineLvl w:val="9"/>
                    <w:rPr>
                      <w:rFonts w:hint="default" w:ascii="宋体" w:hAnsi="宋体" w:eastAsia="宋体" w:cs="宋体"/>
                      <w:color w:val="auto"/>
                      <w:kern w:val="2"/>
                      <w:sz w:val="18"/>
                      <w:szCs w:val="18"/>
                      <w:shd w:val="clear" w:color="auto" w:fill="auto"/>
                      <w:lang w:val="en-US" w:eastAsia="zh-CN" w:bidi="zh-CN"/>
                    </w:rPr>
                  </w:pPr>
                  <w:r>
                    <w:rPr>
                      <w:rFonts w:hint="eastAsia" w:ascii="宋体" w:hAnsi="宋体" w:eastAsia="宋体" w:cs="宋体"/>
                      <w:color w:val="auto"/>
                      <w:kern w:val="2"/>
                      <w:sz w:val="18"/>
                      <w:szCs w:val="18"/>
                      <w:shd w:val="clear" w:color="auto" w:fill="auto"/>
                      <w:lang w:val="en-US" w:eastAsia="zh-CN" w:bidi="zh-CN"/>
                    </w:rPr>
                    <w:t>0.0</w:t>
                  </w:r>
                  <w:r>
                    <w:rPr>
                      <w:rFonts w:hint="eastAsia" w:ascii="宋体" w:hAnsi="宋体" w:cs="宋体"/>
                      <w:color w:val="auto"/>
                      <w:kern w:val="2"/>
                      <w:sz w:val="18"/>
                      <w:szCs w:val="18"/>
                      <w:shd w:val="clear" w:color="auto" w:fill="auto"/>
                      <w:lang w:val="en-US" w:eastAsia="zh-CN" w:bidi="zh-CN"/>
                    </w:rPr>
                    <w:t>11394</w:t>
                  </w:r>
                </w:p>
              </w:tc>
            </w:tr>
          </w:tbl>
          <w:p w14:paraId="29D8A601">
            <w:pPr>
              <w:rPr>
                <w:color w:val="auto"/>
                <w:lang w:val="fr-FR"/>
              </w:rPr>
            </w:pPr>
          </w:p>
          <w:p w14:paraId="39A00197">
            <w:pPr>
              <w:pStyle w:val="7"/>
              <w:spacing w:before="161"/>
              <w:ind w:left="0" w:right="48" w:firstLine="480" w:firstLineChars="200"/>
              <w:rPr>
                <w:b w:val="0"/>
                <w:bCs w:val="0"/>
                <w:color w:val="auto"/>
                <w:lang w:val="en-US"/>
              </w:rPr>
            </w:pPr>
            <w:r>
              <w:rPr>
                <w:rFonts w:hint="eastAsia"/>
                <w:b w:val="0"/>
                <w:bCs w:val="0"/>
                <w:color w:val="auto"/>
                <w:lang w:val="en-US"/>
              </w:rPr>
              <w:t xml:space="preserve">（2）无组织排放量核算 </w:t>
            </w:r>
          </w:p>
          <w:p w14:paraId="639069A8">
            <w:pPr>
              <w:pStyle w:val="7"/>
              <w:spacing w:before="161"/>
              <w:ind w:left="0" w:right="48" w:firstLine="480" w:firstLineChars="200"/>
              <w:rPr>
                <w:rFonts w:hint="eastAsia"/>
                <w:b w:val="0"/>
                <w:bCs w:val="0"/>
                <w:color w:val="auto"/>
                <w:lang w:val="en-US"/>
              </w:rPr>
            </w:pPr>
            <w:r>
              <w:rPr>
                <w:rFonts w:hint="eastAsia"/>
                <w:b w:val="0"/>
                <w:bCs w:val="0"/>
                <w:color w:val="auto"/>
                <w:lang w:val="en-US"/>
              </w:rPr>
              <w:t>项目无组织排放量核算详见下表：</w:t>
            </w:r>
          </w:p>
          <w:p w14:paraId="6B0A562B">
            <w:pPr>
              <w:pStyle w:val="27"/>
              <w:jc w:val="center"/>
              <w:rPr>
                <w:rFonts w:hint="eastAsia" w:ascii="Times New Roman" w:hAnsi="Times New Roman" w:eastAsia="黑体" w:cs="Times New Roman"/>
                <w:snapToGrid w:val="0"/>
                <w:color w:val="auto"/>
                <w:sz w:val="21"/>
                <w:szCs w:val="21"/>
                <w:lang w:val="en-US" w:eastAsia="zh-CN"/>
              </w:rPr>
            </w:pPr>
            <w:r>
              <w:rPr>
                <w:rFonts w:hint="eastAsia" w:ascii="Times New Roman" w:hAnsi="Times New Roman" w:eastAsia="黑体" w:cs="Times New Roman"/>
                <w:snapToGrid w:val="0"/>
                <w:color w:val="auto"/>
                <w:sz w:val="21"/>
                <w:szCs w:val="21"/>
                <w:lang w:val="fr-FR" w:eastAsia="zh-CN"/>
              </w:rPr>
              <w:t>表 7</w:t>
            </w:r>
            <w:r>
              <w:rPr>
                <w:rFonts w:hint="eastAsia" w:ascii="Times New Roman" w:eastAsia="黑体" w:cs="Times New Roman"/>
                <w:snapToGrid w:val="0"/>
                <w:color w:val="auto"/>
                <w:sz w:val="21"/>
                <w:szCs w:val="21"/>
                <w:lang w:val="en-US" w:eastAsia="zh-CN"/>
              </w:rPr>
              <w:t>-13</w:t>
            </w:r>
            <w:r>
              <w:rPr>
                <w:rFonts w:hint="eastAsia" w:ascii="Times New Roman" w:hAnsi="Times New Roman" w:eastAsia="黑体" w:cs="Times New Roman"/>
                <w:snapToGrid w:val="0"/>
                <w:color w:val="auto"/>
                <w:sz w:val="21"/>
                <w:szCs w:val="21"/>
                <w:lang w:val="fr-FR" w:eastAsia="zh-CN"/>
              </w:rPr>
              <w:t xml:space="preserve"> 项目无组织排放量核算表 </w:t>
            </w:r>
          </w:p>
          <w:tbl>
            <w:tblPr>
              <w:tblStyle w:val="22"/>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731"/>
              <w:gridCol w:w="1542"/>
              <w:gridCol w:w="1531"/>
              <w:gridCol w:w="1478"/>
              <w:gridCol w:w="2220"/>
              <w:gridCol w:w="998"/>
              <w:gridCol w:w="1661"/>
            </w:tblGrid>
            <w:tr w14:paraId="2449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65" w:hRule="atLeast"/>
              </w:trPr>
              <w:tc>
                <w:tcPr>
                  <w:tcW w:w="360" w:type="pct"/>
                  <w:vMerge w:val="restart"/>
                  <w:shd w:val="clear" w:color="auto" w:fill="FFFFFF" w:themeFill="background1"/>
                  <w:vAlign w:val="center"/>
                </w:tcPr>
                <w:p w14:paraId="236DF498">
                  <w:pPr>
                    <w:pStyle w:val="69"/>
                    <w:adjustRightInd w:val="0"/>
                    <w:snapToGrid w:val="0"/>
                    <w:jc w:val="center"/>
                    <w:rPr>
                      <w:rFonts w:ascii="Times New Roman" w:hAnsi="Times New Roman" w:eastAsia="宋体" w:cs="Times New Roman"/>
                      <w:b/>
                      <w:color w:val="auto"/>
                      <w:sz w:val="18"/>
                      <w:szCs w:val="18"/>
                      <w:lang w:eastAsia="zh-CN"/>
                    </w:rPr>
                  </w:pPr>
                </w:p>
                <w:p w14:paraId="34C88397">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序号</w:t>
                  </w:r>
                </w:p>
              </w:tc>
              <w:tc>
                <w:tcPr>
                  <w:tcW w:w="759" w:type="pct"/>
                  <w:vMerge w:val="restart"/>
                  <w:shd w:val="clear" w:color="auto" w:fill="FFFFFF" w:themeFill="background1"/>
                  <w:vAlign w:val="center"/>
                </w:tcPr>
                <w:p w14:paraId="1383042F">
                  <w:pPr>
                    <w:pStyle w:val="69"/>
                    <w:adjustRightInd w:val="0"/>
                    <w:snapToGrid w:val="0"/>
                    <w:jc w:val="center"/>
                    <w:rPr>
                      <w:rFonts w:ascii="Times New Roman" w:hAnsi="Times New Roman" w:eastAsia="宋体" w:cs="Times New Roman"/>
                      <w:b/>
                      <w:color w:val="auto"/>
                      <w:sz w:val="18"/>
                      <w:szCs w:val="18"/>
                      <w:lang w:eastAsia="zh-CN"/>
                    </w:rPr>
                  </w:pPr>
                </w:p>
                <w:p w14:paraId="45CD8254">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产生位置</w:t>
                  </w:r>
                </w:p>
              </w:tc>
              <w:tc>
                <w:tcPr>
                  <w:tcW w:w="753" w:type="pct"/>
                  <w:vMerge w:val="restart"/>
                  <w:shd w:val="clear" w:color="auto" w:fill="FFFFFF" w:themeFill="background1"/>
                  <w:vAlign w:val="center"/>
                </w:tcPr>
                <w:p w14:paraId="28782D89">
                  <w:pPr>
                    <w:pStyle w:val="69"/>
                    <w:adjustRightInd w:val="0"/>
                    <w:snapToGrid w:val="0"/>
                    <w:jc w:val="center"/>
                    <w:rPr>
                      <w:rFonts w:ascii="Times New Roman" w:hAnsi="Times New Roman" w:eastAsia="宋体" w:cs="Times New Roman"/>
                      <w:b/>
                      <w:color w:val="auto"/>
                      <w:sz w:val="18"/>
                      <w:szCs w:val="18"/>
                      <w:lang w:eastAsia="zh-CN"/>
                    </w:rPr>
                  </w:pPr>
                </w:p>
                <w:p w14:paraId="0B26F9DC">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产污环节</w:t>
                  </w:r>
                </w:p>
              </w:tc>
              <w:tc>
                <w:tcPr>
                  <w:tcW w:w="727" w:type="pct"/>
                  <w:vMerge w:val="restart"/>
                  <w:shd w:val="clear" w:color="auto" w:fill="FFFFFF" w:themeFill="background1"/>
                  <w:vAlign w:val="center"/>
                </w:tcPr>
                <w:p w14:paraId="3E8CD33D">
                  <w:pPr>
                    <w:pStyle w:val="69"/>
                    <w:adjustRightInd w:val="0"/>
                    <w:snapToGrid w:val="0"/>
                    <w:jc w:val="center"/>
                    <w:rPr>
                      <w:rFonts w:ascii="Times New Roman" w:hAnsi="Times New Roman" w:eastAsia="宋体" w:cs="Times New Roman"/>
                      <w:b/>
                      <w:color w:val="auto"/>
                      <w:sz w:val="18"/>
                      <w:szCs w:val="18"/>
                      <w:lang w:eastAsia="zh-CN"/>
                    </w:rPr>
                  </w:pPr>
                </w:p>
                <w:p w14:paraId="7F823D80">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污染物</w:t>
                  </w:r>
                </w:p>
              </w:tc>
              <w:tc>
                <w:tcPr>
                  <w:tcW w:w="1583" w:type="pct"/>
                  <w:gridSpan w:val="2"/>
                  <w:shd w:val="clear" w:color="auto" w:fill="FFFFFF" w:themeFill="background1"/>
                  <w:vAlign w:val="center"/>
                </w:tcPr>
                <w:p w14:paraId="60AD8F45">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国家或地方污染物排放标准</w:t>
                  </w:r>
                </w:p>
              </w:tc>
              <w:tc>
                <w:tcPr>
                  <w:tcW w:w="817" w:type="pct"/>
                  <w:vMerge w:val="restart"/>
                  <w:shd w:val="clear" w:color="auto" w:fill="FFFFFF" w:themeFill="background1"/>
                  <w:vAlign w:val="center"/>
                </w:tcPr>
                <w:p w14:paraId="79FDCC1F">
                  <w:pPr>
                    <w:pStyle w:val="69"/>
                    <w:adjustRightInd w:val="0"/>
                    <w:snapToGrid w:val="0"/>
                    <w:jc w:val="center"/>
                    <w:rPr>
                      <w:rFonts w:ascii="Times New Roman" w:hAnsi="Times New Roman" w:eastAsia="宋体" w:cs="Times New Roman"/>
                      <w:bCs/>
                      <w:color w:val="auto"/>
                      <w:sz w:val="18"/>
                      <w:szCs w:val="18"/>
                      <w:lang w:eastAsia="zh-CN"/>
                    </w:rPr>
                  </w:pPr>
                </w:p>
                <w:p w14:paraId="7493A3B2">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
                      <w:color w:val="auto"/>
                      <w:sz w:val="18"/>
                      <w:szCs w:val="18"/>
                      <w:lang w:eastAsia="zh-CN"/>
                    </w:rPr>
                    <w:t>年排放量/（t/a）</w:t>
                  </w:r>
                </w:p>
              </w:tc>
            </w:tr>
            <w:tr w14:paraId="0FEC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16" w:hRule="atLeast"/>
              </w:trPr>
              <w:tc>
                <w:tcPr>
                  <w:tcW w:w="360" w:type="pct"/>
                  <w:vMerge w:val="continue"/>
                  <w:shd w:val="clear" w:color="auto" w:fill="FFFFFF" w:themeFill="background1"/>
                  <w:vAlign w:val="center"/>
                </w:tcPr>
                <w:p w14:paraId="47662834">
                  <w:pPr>
                    <w:pStyle w:val="69"/>
                    <w:adjustRightInd w:val="0"/>
                    <w:snapToGrid w:val="0"/>
                    <w:jc w:val="center"/>
                    <w:rPr>
                      <w:rFonts w:ascii="Times New Roman" w:hAnsi="Times New Roman" w:eastAsia="宋体" w:cs="Times New Roman"/>
                      <w:b/>
                      <w:color w:val="auto"/>
                      <w:sz w:val="18"/>
                      <w:szCs w:val="18"/>
                      <w:lang w:eastAsia="zh-CN"/>
                    </w:rPr>
                  </w:pPr>
                </w:p>
              </w:tc>
              <w:tc>
                <w:tcPr>
                  <w:tcW w:w="759" w:type="pct"/>
                  <w:vMerge w:val="continue"/>
                  <w:shd w:val="clear" w:color="auto" w:fill="FFFFFF" w:themeFill="background1"/>
                  <w:vAlign w:val="center"/>
                </w:tcPr>
                <w:p w14:paraId="47DFF265">
                  <w:pPr>
                    <w:pStyle w:val="69"/>
                    <w:adjustRightInd w:val="0"/>
                    <w:snapToGrid w:val="0"/>
                    <w:jc w:val="center"/>
                    <w:rPr>
                      <w:rFonts w:ascii="Times New Roman" w:hAnsi="Times New Roman" w:eastAsia="宋体" w:cs="Times New Roman"/>
                      <w:b/>
                      <w:color w:val="auto"/>
                      <w:sz w:val="18"/>
                      <w:szCs w:val="18"/>
                      <w:lang w:eastAsia="zh-CN"/>
                    </w:rPr>
                  </w:pPr>
                </w:p>
              </w:tc>
              <w:tc>
                <w:tcPr>
                  <w:tcW w:w="753" w:type="pct"/>
                  <w:vMerge w:val="continue"/>
                  <w:shd w:val="clear" w:color="auto" w:fill="FFFFFF" w:themeFill="background1"/>
                  <w:vAlign w:val="center"/>
                </w:tcPr>
                <w:p w14:paraId="5CDDB05C">
                  <w:pPr>
                    <w:pStyle w:val="69"/>
                    <w:adjustRightInd w:val="0"/>
                    <w:snapToGrid w:val="0"/>
                    <w:jc w:val="center"/>
                    <w:rPr>
                      <w:rFonts w:ascii="Times New Roman" w:hAnsi="Times New Roman" w:eastAsia="宋体" w:cs="Times New Roman"/>
                      <w:b/>
                      <w:color w:val="auto"/>
                      <w:sz w:val="18"/>
                      <w:szCs w:val="18"/>
                      <w:lang w:eastAsia="zh-CN"/>
                    </w:rPr>
                  </w:pPr>
                </w:p>
              </w:tc>
              <w:tc>
                <w:tcPr>
                  <w:tcW w:w="727" w:type="pct"/>
                  <w:vMerge w:val="continue"/>
                  <w:shd w:val="clear" w:color="auto" w:fill="FFFFFF" w:themeFill="background1"/>
                  <w:vAlign w:val="center"/>
                </w:tcPr>
                <w:p w14:paraId="6342382B">
                  <w:pPr>
                    <w:pStyle w:val="69"/>
                    <w:adjustRightInd w:val="0"/>
                    <w:snapToGrid w:val="0"/>
                    <w:jc w:val="center"/>
                    <w:rPr>
                      <w:rFonts w:ascii="Times New Roman" w:hAnsi="Times New Roman" w:eastAsia="宋体" w:cs="Times New Roman"/>
                      <w:b/>
                      <w:color w:val="auto"/>
                      <w:sz w:val="18"/>
                      <w:szCs w:val="18"/>
                      <w:lang w:eastAsia="zh-CN"/>
                    </w:rPr>
                  </w:pPr>
                </w:p>
              </w:tc>
              <w:tc>
                <w:tcPr>
                  <w:tcW w:w="1092" w:type="pct"/>
                  <w:shd w:val="clear" w:color="auto" w:fill="FFFFFF" w:themeFill="background1"/>
                  <w:vAlign w:val="center"/>
                </w:tcPr>
                <w:p w14:paraId="7FC35778">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标准名称</w:t>
                  </w:r>
                </w:p>
              </w:tc>
              <w:tc>
                <w:tcPr>
                  <w:tcW w:w="491" w:type="pct"/>
                  <w:shd w:val="clear" w:color="auto" w:fill="FFFFFF" w:themeFill="background1"/>
                  <w:vAlign w:val="center"/>
                </w:tcPr>
                <w:p w14:paraId="0B06CC5F">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浓度限值/</w:t>
                  </w:r>
                </w:p>
                <w:p w14:paraId="2CC89C5E">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（mg/m</w:t>
                  </w:r>
                  <w:r>
                    <w:rPr>
                      <w:rFonts w:hint="eastAsia" w:ascii="Times New Roman" w:hAnsi="Times New Roman" w:eastAsia="宋体" w:cs="Times New Roman"/>
                      <w:b/>
                      <w:color w:val="auto"/>
                      <w:sz w:val="18"/>
                      <w:szCs w:val="18"/>
                      <w:vertAlign w:val="superscript"/>
                      <w:lang w:eastAsia="zh-CN"/>
                    </w:rPr>
                    <w:t>3</w:t>
                  </w:r>
                  <w:r>
                    <w:rPr>
                      <w:rFonts w:hint="eastAsia" w:ascii="Times New Roman" w:hAnsi="Times New Roman" w:eastAsia="宋体" w:cs="Times New Roman"/>
                      <w:b/>
                      <w:color w:val="auto"/>
                      <w:sz w:val="18"/>
                      <w:szCs w:val="18"/>
                      <w:lang w:eastAsia="zh-CN"/>
                    </w:rPr>
                    <w:t>）</w:t>
                  </w:r>
                </w:p>
              </w:tc>
              <w:tc>
                <w:tcPr>
                  <w:tcW w:w="817" w:type="pct"/>
                  <w:vMerge w:val="continue"/>
                  <w:shd w:val="clear" w:color="auto" w:fill="FFFFFF" w:themeFill="background1"/>
                  <w:vAlign w:val="center"/>
                </w:tcPr>
                <w:p w14:paraId="302F28D8">
                  <w:pPr>
                    <w:pStyle w:val="69"/>
                    <w:adjustRightInd w:val="0"/>
                    <w:snapToGrid w:val="0"/>
                    <w:jc w:val="center"/>
                    <w:rPr>
                      <w:rFonts w:ascii="Times New Roman" w:hAnsi="Times New Roman" w:eastAsia="宋体" w:cs="Times New Roman"/>
                      <w:bCs/>
                      <w:color w:val="auto"/>
                      <w:sz w:val="18"/>
                      <w:szCs w:val="18"/>
                      <w:lang w:eastAsia="zh-CN"/>
                    </w:rPr>
                  </w:pPr>
                </w:p>
              </w:tc>
            </w:tr>
            <w:tr w14:paraId="60C6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27" w:hRule="atLeast"/>
              </w:trPr>
              <w:tc>
                <w:tcPr>
                  <w:tcW w:w="360" w:type="pct"/>
                  <w:shd w:val="clear" w:color="auto" w:fill="FFFFFF" w:themeFill="background1"/>
                  <w:vAlign w:val="center"/>
                </w:tcPr>
                <w:p w14:paraId="773EA0E8">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1</w:t>
                  </w:r>
                </w:p>
              </w:tc>
              <w:tc>
                <w:tcPr>
                  <w:tcW w:w="759" w:type="pct"/>
                  <w:shd w:val="clear" w:color="auto" w:fill="FFFFFF" w:themeFill="background1"/>
                  <w:vAlign w:val="center"/>
                </w:tcPr>
                <w:p w14:paraId="41D61720">
                  <w:pPr>
                    <w:pStyle w:val="69"/>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sz w:val="18"/>
                      <w:szCs w:val="18"/>
                      <w:lang w:val="en-US" w:eastAsia="zh-CN"/>
                    </w:rPr>
                    <w:t>原料堆存</w:t>
                  </w:r>
                </w:p>
              </w:tc>
              <w:tc>
                <w:tcPr>
                  <w:tcW w:w="753" w:type="pct"/>
                  <w:shd w:val="clear" w:color="auto" w:fill="FFFFFF" w:themeFill="background1"/>
                  <w:vAlign w:val="center"/>
                </w:tcPr>
                <w:p w14:paraId="7673D2FF">
                  <w:pPr>
                    <w:jc w:val="center"/>
                    <w:rPr>
                      <w:rFonts w:ascii="Times New Roman" w:hAnsi="Times New Roman" w:eastAsia="宋体" w:cs="Times New Roman"/>
                      <w:bCs/>
                      <w:color w:val="auto"/>
                      <w:sz w:val="18"/>
                      <w:szCs w:val="18"/>
                      <w:lang w:eastAsia="zh-CN"/>
                    </w:rPr>
                  </w:pPr>
                  <w:r>
                    <w:rPr>
                      <w:rFonts w:hint="eastAsia" w:ascii="宋体" w:hAnsi="宋体" w:cs="宋体"/>
                      <w:color w:val="auto"/>
                      <w:sz w:val="18"/>
                      <w:szCs w:val="18"/>
                      <w:lang w:val="en-US" w:eastAsia="zh-CN"/>
                    </w:rPr>
                    <w:t>砂石原料</w:t>
                  </w:r>
                  <w:r>
                    <w:rPr>
                      <w:rFonts w:hint="eastAsia" w:ascii="宋体" w:hAnsi="宋体" w:eastAsia="宋体" w:cs="宋体"/>
                      <w:color w:val="auto"/>
                      <w:sz w:val="18"/>
                      <w:szCs w:val="18"/>
                      <w:lang w:val="en-US" w:eastAsia="zh-CN"/>
                    </w:rPr>
                    <w:t>库房</w:t>
                  </w:r>
                </w:p>
              </w:tc>
              <w:tc>
                <w:tcPr>
                  <w:tcW w:w="727" w:type="pct"/>
                  <w:vMerge w:val="restart"/>
                  <w:shd w:val="clear" w:color="auto" w:fill="FFFFFF" w:themeFill="background1"/>
                  <w:vAlign w:val="center"/>
                </w:tcPr>
                <w:p w14:paraId="4E74C51A">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颗粒物</w:t>
                  </w:r>
                </w:p>
              </w:tc>
              <w:tc>
                <w:tcPr>
                  <w:tcW w:w="1092" w:type="pct"/>
                  <w:vMerge w:val="restart"/>
                  <w:shd w:val="clear" w:color="auto" w:fill="FFFFFF" w:themeFill="background1"/>
                  <w:vAlign w:val="center"/>
                </w:tcPr>
                <w:p w14:paraId="755D0FD5">
                  <w:pPr>
                    <w:pStyle w:val="69"/>
                    <w:adjustRightInd w:val="0"/>
                    <w:snapToGrid w:val="0"/>
                    <w:jc w:val="center"/>
                    <w:rPr>
                      <w:rFonts w:ascii="Times New Roman" w:hAnsi="Times New Roman" w:eastAsia="宋体" w:cs="Times New Roman"/>
                      <w:bCs/>
                      <w:color w:val="auto"/>
                      <w:sz w:val="18"/>
                      <w:szCs w:val="18"/>
                      <w:lang w:eastAsia="zh-CN"/>
                    </w:rPr>
                  </w:pPr>
                  <w:r>
                    <w:rPr>
                      <w:color w:val="auto"/>
                      <w:sz w:val="18"/>
                      <w:szCs w:val="18"/>
                      <w:lang w:eastAsia="zh-CN"/>
                    </w:rPr>
                    <w:t>《大气污染物综合排放标准》（GB16297-1996）</w:t>
                  </w:r>
                </w:p>
              </w:tc>
              <w:tc>
                <w:tcPr>
                  <w:tcW w:w="491" w:type="pct"/>
                  <w:vMerge w:val="restart"/>
                  <w:shd w:val="clear" w:color="auto" w:fill="FFFFFF" w:themeFill="background1"/>
                  <w:vAlign w:val="center"/>
                </w:tcPr>
                <w:p w14:paraId="5C3C9411">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1.0</w:t>
                  </w:r>
                </w:p>
              </w:tc>
              <w:tc>
                <w:tcPr>
                  <w:tcW w:w="817" w:type="pct"/>
                  <w:shd w:val="clear" w:color="auto" w:fill="FFFFFF" w:themeFill="background1"/>
                  <w:vAlign w:val="center"/>
                </w:tcPr>
                <w:p w14:paraId="29D3BE6B">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0.0233</w:t>
                  </w:r>
                </w:p>
              </w:tc>
            </w:tr>
            <w:tr w14:paraId="6EE7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72" w:hRule="atLeast"/>
              </w:trPr>
              <w:tc>
                <w:tcPr>
                  <w:tcW w:w="360" w:type="pct"/>
                  <w:shd w:val="clear" w:color="auto" w:fill="FFFFFF" w:themeFill="background1"/>
                  <w:vAlign w:val="center"/>
                </w:tcPr>
                <w:p w14:paraId="777B8E9A">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2</w:t>
                  </w:r>
                </w:p>
              </w:tc>
              <w:tc>
                <w:tcPr>
                  <w:tcW w:w="759" w:type="pct"/>
                  <w:shd w:val="clear" w:color="auto" w:fill="FFFFFF" w:themeFill="background1"/>
                  <w:vAlign w:val="center"/>
                </w:tcPr>
                <w:p w14:paraId="08B41610">
                  <w:pPr>
                    <w:pStyle w:val="69"/>
                    <w:jc w:val="center"/>
                    <w:rPr>
                      <w:rFonts w:ascii="Times New Roman" w:hAnsi="Times New Roman" w:eastAsia="宋体" w:cs="Times New Roman"/>
                      <w:bCs/>
                      <w:color w:val="auto"/>
                      <w:sz w:val="18"/>
                      <w:szCs w:val="18"/>
                      <w:lang w:eastAsia="zh-CN"/>
                    </w:rPr>
                  </w:pPr>
                  <w:r>
                    <w:rPr>
                      <w:rFonts w:hint="eastAsia" w:ascii="Times New Roman" w:hAnsi="Times New Roman" w:cs="Times New Roman"/>
                      <w:sz w:val="18"/>
                      <w:szCs w:val="18"/>
                      <w:lang w:val="en-US" w:eastAsia="zh-CN"/>
                    </w:rPr>
                    <w:t>物料输送</w:t>
                  </w:r>
                  <w:r>
                    <w:rPr>
                      <w:rFonts w:hint="default" w:ascii="Times New Roman" w:hAnsi="Times New Roman" w:cs="Times New Roman"/>
                      <w:sz w:val="18"/>
                      <w:szCs w:val="18"/>
                      <w:lang w:val="en-US" w:eastAsia="zh-CN"/>
                    </w:rPr>
                    <w:t>环节转运</w:t>
                  </w:r>
                  <w:r>
                    <w:rPr>
                      <w:rFonts w:hint="default"/>
                      <w:color w:val="auto"/>
                      <w:sz w:val="18"/>
                      <w:szCs w:val="18"/>
                      <w:shd w:val="clear" w:color="auto" w:fill="auto"/>
                      <w:lang w:val="en-US" w:eastAsia="zh-CN"/>
                    </w:rPr>
                    <w:t>产生的粉尘</w:t>
                  </w:r>
                </w:p>
              </w:tc>
              <w:tc>
                <w:tcPr>
                  <w:tcW w:w="753" w:type="pct"/>
                  <w:shd w:val="clear" w:color="auto" w:fill="FFFFFF" w:themeFill="background1"/>
                  <w:vAlign w:val="center"/>
                </w:tcPr>
                <w:p w14:paraId="5FBEFC6F">
                  <w:pPr>
                    <w:jc w:val="center"/>
                    <w:rPr>
                      <w:rFonts w:ascii="Times New Roman" w:hAnsi="Times New Roman" w:eastAsia="宋体" w:cs="Times New Roman"/>
                      <w:bCs/>
                      <w:color w:val="auto"/>
                      <w:sz w:val="18"/>
                      <w:szCs w:val="18"/>
                      <w:lang w:eastAsia="zh-CN"/>
                    </w:rPr>
                  </w:pPr>
                  <w:r>
                    <w:rPr>
                      <w:rFonts w:hint="eastAsia" w:ascii="宋体" w:hAnsi="宋体" w:cs="宋体"/>
                      <w:color w:val="auto"/>
                      <w:sz w:val="18"/>
                      <w:szCs w:val="18"/>
                      <w:lang w:val="en-US" w:eastAsia="zh-CN"/>
                    </w:rPr>
                    <w:t>生产车间</w:t>
                  </w:r>
                </w:p>
              </w:tc>
              <w:tc>
                <w:tcPr>
                  <w:tcW w:w="727" w:type="pct"/>
                  <w:vMerge w:val="continue"/>
                  <w:shd w:val="clear" w:color="auto" w:fill="FFFFFF" w:themeFill="background1"/>
                  <w:vAlign w:val="center"/>
                </w:tcPr>
                <w:p w14:paraId="2E76C38D">
                  <w:pPr>
                    <w:pStyle w:val="69"/>
                    <w:adjustRightInd w:val="0"/>
                    <w:snapToGrid w:val="0"/>
                    <w:jc w:val="center"/>
                    <w:rPr>
                      <w:rFonts w:ascii="Times New Roman" w:hAnsi="Times New Roman" w:eastAsia="宋体" w:cs="Times New Roman"/>
                      <w:bCs/>
                      <w:color w:val="auto"/>
                      <w:sz w:val="18"/>
                      <w:szCs w:val="18"/>
                      <w:lang w:eastAsia="zh-CN"/>
                    </w:rPr>
                  </w:pPr>
                </w:p>
              </w:tc>
              <w:tc>
                <w:tcPr>
                  <w:tcW w:w="1092" w:type="pct"/>
                  <w:vMerge w:val="continue"/>
                  <w:shd w:val="clear" w:color="auto" w:fill="FFFFFF" w:themeFill="background1"/>
                  <w:vAlign w:val="center"/>
                </w:tcPr>
                <w:p w14:paraId="64594A7F">
                  <w:pPr>
                    <w:pStyle w:val="69"/>
                    <w:adjustRightInd w:val="0"/>
                    <w:snapToGrid w:val="0"/>
                    <w:jc w:val="center"/>
                    <w:rPr>
                      <w:rFonts w:ascii="Times New Roman" w:hAnsi="Times New Roman" w:eastAsia="宋体" w:cs="Times New Roman"/>
                      <w:bCs/>
                      <w:color w:val="auto"/>
                      <w:sz w:val="18"/>
                      <w:szCs w:val="18"/>
                      <w:lang w:eastAsia="zh-CN"/>
                    </w:rPr>
                  </w:pPr>
                </w:p>
              </w:tc>
              <w:tc>
                <w:tcPr>
                  <w:tcW w:w="491" w:type="pct"/>
                  <w:vMerge w:val="continue"/>
                  <w:shd w:val="clear" w:color="auto" w:fill="FFFFFF" w:themeFill="background1"/>
                  <w:vAlign w:val="center"/>
                </w:tcPr>
                <w:p w14:paraId="081E4CA4">
                  <w:pPr>
                    <w:pStyle w:val="69"/>
                    <w:adjustRightInd w:val="0"/>
                    <w:snapToGrid w:val="0"/>
                    <w:jc w:val="center"/>
                    <w:rPr>
                      <w:rFonts w:ascii="Times New Roman" w:hAnsi="Times New Roman" w:eastAsia="宋体" w:cs="Times New Roman"/>
                      <w:bCs/>
                      <w:color w:val="auto"/>
                      <w:sz w:val="18"/>
                      <w:szCs w:val="18"/>
                      <w:lang w:eastAsia="zh-CN"/>
                    </w:rPr>
                  </w:pPr>
                </w:p>
              </w:tc>
              <w:tc>
                <w:tcPr>
                  <w:tcW w:w="817" w:type="pct"/>
                  <w:shd w:val="clear" w:color="auto" w:fill="FFFFFF" w:themeFill="background1"/>
                  <w:vAlign w:val="center"/>
                </w:tcPr>
                <w:p w14:paraId="56F259DA">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0.00475</w:t>
                  </w:r>
                </w:p>
              </w:tc>
            </w:tr>
            <w:tr w14:paraId="1035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2" w:hRule="atLeast"/>
              </w:trPr>
              <w:tc>
                <w:tcPr>
                  <w:tcW w:w="360" w:type="pct"/>
                  <w:shd w:val="clear" w:color="auto" w:fill="FFFFFF" w:themeFill="background1"/>
                  <w:vAlign w:val="center"/>
                </w:tcPr>
                <w:p w14:paraId="0660C436">
                  <w:pPr>
                    <w:pStyle w:val="69"/>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3</w:t>
                  </w:r>
                </w:p>
              </w:tc>
              <w:tc>
                <w:tcPr>
                  <w:tcW w:w="759" w:type="pct"/>
                  <w:shd w:val="clear" w:color="auto" w:fill="FFFFFF" w:themeFill="background1"/>
                  <w:vAlign w:val="center"/>
                </w:tcPr>
                <w:p w14:paraId="770F8055">
                  <w:pPr>
                    <w:pStyle w:val="69"/>
                    <w:jc w:val="center"/>
                    <w:rPr>
                      <w:rFonts w:hint="default"/>
                      <w:color w:val="auto"/>
                      <w:sz w:val="18"/>
                      <w:szCs w:val="18"/>
                      <w:shd w:val="clear" w:color="auto" w:fill="auto"/>
                      <w:lang w:val="en-US" w:eastAsia="zh-CN"/>
                    </w:rPr>
                  </w:pPr>
                  <w:r>
                    <w:rPr>
                      <w:rFonts w:hint="eastAsia" w:ascii="Times New Roman" w:hAnsi="Times New Roman" w:cs="Times New Roman"/>
                      <w:sz w:val="18"/>
                      <w:szCs w:val="18"/>
                      <w:lang w:val="en-US" w:eastAsia="zh-CN"/>
                    </w:rPr>
                    <w:t>搅拌</w:t>
                  </w:r>
                </w:p>
              </w:tc>
              <w:tc>
                <w:tcPr>
                  <w:tcW w:w="753" w:type="pct"/>
                  <w:shd w:val="clear" w:color="auto" w:fill="FFFFFF" w:themeFill="background1"/>
                  <w:vAlign w:val="center"/>
                </w:tcPr>
                <w:p w14:paraId="723EFA29">
                  <w:pPr>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生产车间</w:t>
                  </w:r>
                </w:p>
              </w:tc>
              <w:tc>
                <w:tcPr>
                  <w:tcW w:w="727" w:type="pct"/>
                  <w:vMerge w:val="continue"/>
                  <w:shd w:val="clear" w:color="auto" w:fill="FFFFFF" w:themeFill="background1"/>
                  <w:vAlign w:val="center"/>
                </w:tcPr>
                <w:p w14:paraId="03D45520">
                  <w:pPr>
                    <w:pStyle w:val="69"/>
                    <w:adjustRightInd w:val="0"/>
                    <w:snapToGrid w:val="0"/>
                    <w:jc w:val="center"/>
                    <w:rPr>
                      <w:rFonts w:ascii="Times New Roman" w:hAnsi="Times New Roman" w:eastAsia="宋体" w:cs="Times New Roman"/>
                      <w:bCs/>
                      <w:color w:val="auto"/>
                      <w:sz w:val="18"/>
                      <w:szCs w:val="18"/>
                      <w:lang w:eastAsia="zh-CN"/>
                    </w:rPr>
                  </w:pPr>
                </w:p>
              </w:tc>
              <w:tc>
                <w:tcPr>
                  <w:tcW w:w="1092" w:type="pct"/>
                  <w:vMerge w:val="continue"/>
                  <w:shd w:val="clear" w:color="auto" w:fill="FFFFFF" w:themeFill="background1"/>
                  <w:vAlign w:val="center"/>
                </w:tcPr>
                <w:p w14:paraId="2B564DC7">
                  <w:pPr>
                    <w:pStyle w:val="69"/>
                    <w:adjustRightInd w:val="0"/>
                    <w:snapToGrid w:val="0"/>
                    <w:jc w:val="center"/>
                    <w:rPr>
                      <w:rFonts w:ascii="Times New Roman" w:hAnsi="Times New Roman" w:eastAsia="宋体" w:cs="Times New Roman"/>
                      <w:bCs/>
                      <w:color w:val="auto"/>
                      <w:sz w:val="18"/>
                      <w:szCs w:val="18"/>
                      <w:lang w:eastAsia="zh-CN"/>
                    </w:rPr>
                  </w:pPr>
                </w:p>
              </w:tc>
              <w:tc>
                <w:tcPr>
                  <w:tcW w:w="491" w:type="pct"/>
                  <w:vMerge w:val="continue"/>
                  <w:shd w:val="clear" w:color="auto" w:fill="FFFFFF" w:themeFill="background1"/>
                  <w:vAlign w:val="center"/>
                </w:tcPr>
                <w:p w14:paraId="7FD9230D">
                  <w:pPr>
                    <w:pStyle w:val="69"/>
                    <w:adjustRightInd w:val="0"/>
                    <w:snapToGrid w:val="0"/>
                    <w:jc w:val="center"/>
                    <w:rPr>
                      <w:rFonts w:ascii="Times New Roman" w:hAnsi="Times New Roman" w:eastAsia="宋体" w:cs="Times New Roman"/>
                      <w:bCs/>
                      <w:color w:val="auto"/>
                      <w:sz w:val="18"/>
                      <w:szCs w:val="18"/>
                      <w:lang w:eastAsia="zh-CN"/>
                    </w:rPr>
                  </w:pPr>
                </w:p>
              </w:tc>
              <w:tc>
                <w:tcPr>
                  <w:tcW w:w="817" w:type="pct"/>
                  <w:shd w:val="clear" w:color="auto" w:fill="FFFFFF" w:themeFill="background1"/>
                  <w:vAlign w:val="center"/>
                </w:tcPr>
                <w:p w14:paraId="7FE1723A">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0.0228</w:t>
                  </w:r>
                </w:p>
              </w:tc>
            </w:tr>
            <w:tr w14:paraId="5DC9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52" w:hRule="atLeast"/>
              </w:trPr>
              <w:tc>
                <w:tcPr>
                  <w:tcW w:w="360" w:type="pct"/>
                  <w:shd w:val="clear" w:color="auto" w:fill="FFFFFF" w:themeFill="background1"/>
                  <w:vAlign w:val="center"/>
                </w:tcPr>
                <w:p w14:paraId="507B0161">
                  <w:pPr>
                    <w:pStyle w:val="69"/>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4</w:t>
                  </w:r>
                </w:p>
              </w:tc>
              <w:tc>
                <w:tcPr>
                  <w:tcW w:w="759" w:type="pct"/>
                  <w:shd w:val="clear" w:color="auto" w:fill="FFFFFF" w:themeFill="background1"/>
                  <w:vAlign w:val="center"/>
                </w:tcPr>
                <w:p w14:paraId="42F850AF">
                  <w:pPr>
                    <w:pStyle w:val="69"/>
                    <w:jc w:val="center"/>
                    <w:rPr>
                      <w:rFonts w:hint="default"/>
                      <w:color w:val="auto"/>
                      <w:sz w:val="18"/>
                      <w:szCs w:val="18"/>
                      <w:shd w:val="clear" w:color="auto" w:fill="auto"/>
                      <w:lang w:val="en-US" w:eastAsia="zh-CN"/>
                    </w:rPr>
                  </w:pPr>
                  <w:r>
                    <w:rPr>
                      <w:rFonts w:hint="eastAsia" w:ascii="Times New Roman" w:hAnsi="Times New Roman" w:cs="Times New Roman"/>
                      <w:sz w:val="18"/>
                      <w:szCs w:val="18"/>
                      <w:lang w:val="en-US" w:eastAsia="zh-CN"/>
                    </w:rPr>
                    <w:t>焊接</w:t>
                  </w:r>
                </w:p>
              </w:tc>
              <w:tc>
                <w:tcPr>
                  <w:tcW w:w="753" w:type="pct"/>
                  <w:shd w:val="clear" w:color="auto" w:fill="FFFFFF" w:themeFill="background1"/>
                  <w:vAlign w:val="center"/>
                </w:tcPr>
                <w:p w14:paraId="592C5AC9">
                  <w:pPr>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生产车间</w:t>
                  </w:r>
                </w:p>
              </w:tc>
              <w:tc>
                <w:tcPr>
                  <w:tcW w:w="727" w:type="pct"/>
                  <w:vMerge w:val="continue"/>
                  <w:shd w:val="clear" w:color="auto" w:fill="FFFFFF" w:themeFill="background1"/>
                  <w:vAlign w:val="center"/>
                </w:tcPr>
                <w:p w14:paraId="2D0391D0">
                  <w:pPr>
                    <w:pStyle w:val="69"/>
                    <w:adjustRightInd w:val="0"/>
                    <w:snapToGrid w:val="0"/>
                    <w:jc w:val="center"/>
                    <w:rPr>
                      <w:rFonts w:ascii="Times New Roman" w:hAnsi="Times New Roman" w:eastAsia="宋体" w:cs="Times New Roman"/>
                      <w:bCs/>
                      <w:color w:val="auto"/>
                      <w:sz w:val="18"/>
                      <w:szCs w:val="18"/>
                      <w:lang w:eastAsia="zh-CN"/>
                    </w:rPr>
                  </w:pPr>
                </w:p>
              </w:tc>
              <w:tc>
                <w:tcPr>
                  <w:tcW w:w="1092" w:type="pct"/>
                  <w:vMerge w:val="continue"/>
                  <w:shd w:val="clear" w:color="auto" w:fill="FFFFFF" w:themeFill="background1"/>
                  <w:vAlign w:val="center"/>
                </w:tcPr>
                <w:p w14:paraId="7F61F68F">
                  <w:pPr>
                    <w:pStyle w:val="69"/>
                    <w:adjustRightInd w:val="0"/>
                    <w:snapToGrid w:val="0"/>
                    <w:jc w:val="center"/>
                    <w:rPr>
                      <w:rFonts w:ascii="Times New Roman" w:hAnsi="Times New Roman" w:eastAsia="宋体" w:cs="Times New Roman"/>
                      <w:bCs/>
                      <w:color w:val="auto"/>
                      <w:sz w:val="18"/>
                      <w:szCs w:val="18"/>
                      <w:lang w:eastAsia="zh-CN"/>
                    </w:rPr>
                  </w:pPr>
                </w:p>
              </w:tc>
              <w:tc>
                <w:tcPr>
                  <w:tcW w:w="491" w:type="pct"/>
                  <w:vMerge w:val="continue"/>
                  <w:shd w:val="clear" w:color="auto" w:fill="FFFFFF" w:themeFill="background1"/>
                  <w:vAlign w:val="center"/>
                </w:tcPr>
                <w:p w14:paraId="5258A815">
                  <w:pPr>
                    <w:pStyle w:val="69"/>
                    <w:adjustRightInd w:val="0"/>
                    <w:snapToGrid w:val="0"/>
                    <w:jc w:val="center"/>
                    <w:rPr>
                      <w:rFonts w:ascii="Times New Roman" w:hAnsi="Times New Roman" w:eastAsia="宋体" w:cs="Times New Roman"/>
                      <w:bCs/>
                      <w:color w:val="auto"/>
                      <w:sz w:val="18"/>
                      <w:szCs w:val="18"/>
                      <w:lang w:eastAsia="zh-CN"/>
                    </w:rPr>
                  </w:pPr>
                </w:p>
              </w:tc>
              <w:tc>
                <w:tcPr>
                  <w:tcW w:w="817" w:type="pct"/>
                  <w:shd w:val="clear" w:color="auto" w:fill="FFFFFF" w:themeFill="background1"/>
                  <w:vAlign w:val="center"/>
                </w:tcPr>
                <w:p w14:paraId="79D11AC8">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0.0024</w:t>
                  </w:r>
                </w:p>
              </w:tc>
            </w:tr>
            <w:tr w14:paraId="29DC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77" w:hRule="atLeast"/>
              </w:trPr>
              <w:tc>
                <w:tcPr>
                  <w:tcW w:w="4182" w:type="pct"/>
                  <w:gridSpan w:val="6"/>
                  <w:shd w:val="clear" w:color="auto" w:fill="FFFFFF" w:themeFill="background1"/>
                  <w:vAlign w:val="center"/>
                </w:tcPr>
                <w:p w14:paraId="3C18CD8E">
                  <w:pPr>
                    <w:pStyle w:val="69"/>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
                      <w:bCs w:val="0"/>
                      <w:color w:val="auto"/>
                      <w:sz w:val="18"/>
                      <w:szCs w:val="18"/>
                      <w:lang w:val="en-US" w:eastAsia="zh-CN"/>
                    </w:rPr>
                    <w:t>无组织排放总计</w:t>
                  </w:r>
                </w:p>
              </w:tc>
              <w:tc>
                <w:tcPr>
                  <w:tcW w:w="817" w:type="pct"/>
                  <w:shd w:val="clear" w:color="auto" w:fill="FFFFFF" w:themeFill="background1"/>
                  <w:vAlign w:val="center"/>
                </w:tcPr>
                <w:p w14:paraId="48234A65">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0.03273</w:t>
                  </w:r>
                </w:p>
              </w:tc>
            </w:tr>
          </w:tbl>
          <w:p w14:paraId="1EFDC227">
            <w:pPr>
              <w:spacing w:line="360" w:lineRule="auto"/>
              <w:ind w:firstLine="480" w:firstLineChars="200"/>
              <w:jc w:val="left"/>
              <w:rPr>
                <w:rFonts w:hAnsi="宋体"/>
                <w:bCs/>
                <w:color w:val="auto"/>
                <w:sz w:val="24"/>
              </w:rPr>
            </w:pPr>
            <w:r>
              <w:rPr>
                <w:rFonts w:hint="eastAsia" w:hAnsi="宋体"/>
                <w:bCs/>
                <w:color w:val="auto"/>
                <w:sz w:val="24"/>
              </w:rPr>
              <w:t>项目大气污染物年排放量核算详见下表</w:t>
            </w:r>
            <w:r>
              <w:rPr>
                <w:rFonts w:hint="eastAsia" w:hAnsi="宋体"/>
                <w:bCs/>
                <w:color w:val="auto"/>
                <w:sz w:val="24"/>
                <w:lang w:eastAsia="zh-CN"/>
              </w:rPr>
              <w:t>：</w:t>
            </w:r>
            <w:r>
              <w:rPr>
                <w:rFonts w:hint="eastAsia" w:hAnsi="宋体"/>
                <w:bCs/>
                <w:color w:val="auto"/>
                <w:sz w:val="24"/>
              </w:rPr>
              <w:t xml:space="preserve"> </w:t>
            </w:r>
          </w:p>
          <w:p w14:paraId="7FB3E5FA">
            <w:pPr>
              <w:spacing w:line="360" w:lineRule="auto"/>
              <w:ind w:firstLine="420" w:firstLineChars="200"/>
              <w:jc w:val="center"/>
              <w:rPr>
                <w:rFonts w:hint="eastAsia" w:ascii="Times New Roman" w:hAnsi="Times New Roman" w:eastAsia="黑体" w:cs="Times New Roman"/>
                <w:snapToGrid w:val="0"/>
                <w:color w:val="auto"/>
                <w:kern w:val="0"/>
                <w:sz w:val="21"/>
                <w:szCs w:val="21"/>
                <w:lang w:val="fr-FR" w:eastAsia="zh-CN" w:bidi="ar-SA"/>
              </w:rPr>
            </w:pPr>
            <w:r>
              <w:rPr>
                <w:rFonts w:hint="eastAsia" w:ascii="Times New Roman" w:hAnsi="Times New Roman" w:eastAsia="黑体" w:cs="Times New Roman"/>
                <w:snapToGrid w:val="0"/>
                <w:color w:val="auto"/>
                <w:kern w:val="0"/>
                <w:sz w:val="21"/>
                <w:szCs w:val="21"/>
                <w:lang w:val="fr-FR" w:eastAsia="zh-CN" w:bidi="ar-SA"/>
              </w:rPr>
              <w:t>表 7-</w:t>
            </w:r>
            <w:r>
              <w:rPr>
                <w:rFonts w:hint="eastAsia" w:eastAsia="黑体" w:cs="Times New Roman"/>
                <w:snapToGrid w:val="0"/>
                <w:color w:val="auto"/>
                <w:kern w:val="0"/>
                <w:sz w:val="21"/>
                <w:szCs w:val="21"/>
                <w:lang w:val="en-US" w:eastAsia="zh-CN" w:bidi="ar-SA"/>
              </w:rPr>
              <w:t>14</w:t>
            </w:r>
            <w:r>
              <w:rPr>
                <w:rFonts w:hint="eastAsia" w:ascii="Times New Roman" w:hAnsi="Times New Roman" w:eastAsia="黑体" w:cs="Times New Roman"/>
                <w:snapToGrid w:val="0"/>
                <w:color w:val="auto"/>
                <w:kern w:val="0"/>
                <w:sz w:val="21"/>
                <w:szCs w:val="21"/>
                <w:lang w:val="fr-FR" w:eastAsia="zh-CN" w:bidi="ar-SA"/>
              </w:rPr>
              <w:t xml:space="preserve">  项目大气污染物年排放量核算表</w:t>
            </w:r>
          </w:p>
          <w:tbl>
            <w:tblPr>
              <w:tblStyle w:val="22"/>
              <w:tblW w:w="997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hemeFill="background1"/>
              <w:tblLayout w:type="autofit"/>
              <w:tblCellMar>
                <w:top w:w="0" w:type="dxa"/>
                <w:left w:w="0" w:type="dxa"/>
                <w:bottom w:w="0" w:type="dxa"/>
                <w:right w:w="0" w:type="dxa"/>
              </w:tblCellMar>
            </w:tblPr>
            <w:tblGrid>
              <w:gridCol w:w="2345"/>
              <w:gridCol w:w="1877"/>
              <w:gridCol w:w="1877"/>
              <w:gridCol w:w="3873"/>
            </w:tblGrid>
            <w:tr w14:paraId="0CC7EE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hemeFill="background1"/>
                <w:tblCellMar>
                  <w:top w:w="0" w:type="dxa"/>
                  <w:left w:w="0" w:type="dxa"/>
                  <w:bottom w:w="0" w:type="dxa"/>
                  <w:right w:w="0" w:type="dxa"/>
                </w:tblCellMar>
              </w:tblPrEx>
              <w:trPr>
                <w:trHeight w:val="450" w:hRule="atLeast"/>
                <w:jc w:val="center"/>
              </w:trPr>
              <w:tc>
                <w:tcPr>
                  <w:tcW w:w="2345" w:type="dxa"/>
                  <w:tcBorders>
                    <w:top w:val="single" w:color="auto" w:sz="4" w:space="0"/>
                    <w:left w:val="single" w:color="auto" w:sz="0" w:space="0"/>
                    <w:bottom w:val="single" w:color="auto" w:sz="4" w:space="0"/>
                    <w:right w:val="single" w:color="auto" w:sz="4" w:space="0"/>
                  </w:tcBorders>
                  <w:shd w:val="clear" w:color="auto" w:fill="FFFFFF" w:themeFill="background1"/>
                  <w:vAlign w:val="center"/>
                </w:tcPr>
                <w:p w14:paraId="2E55947D">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排放类型</w:t>
                  </w:r>
                </w:p>
              </w:tc>
              <w:tc>
                <w:tcPr>
                  <w:tcW w:w="18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145D96">
                  <w:pPr>
                    <w:pStyle w:val="69"/>
                    <w:adjustRightInd w:val="0"/>
                    <w:snapToGrid w:val="0"/>
                    <w:jc w:val="center"/>
                    <w:rPr>
                      <w:rFonts w:hint="eastAsia"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产生位置</w:t>
                  </w:r>
                </w:p>
              </w:tc>
              <w:tc>
                <w:tcPr>
                  <w:tcW w:w="18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3F6D65">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污染物</w:t>
                  </w:r>
                </w:p>
              </w:tc>
              <w:tc>
                <w:tcPr>
                  <w:tcW w:w="387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1EE72D">
                  <w:pPr>
                    <w:pStyle w:val="69"/>
                    <w:adjustRightInd w:val="0"/>
                    <w:snapToGrid w:val="0"/>
                    <w:jc w:val="center"/>
                    <w:rPr>
                      <w:rFonts w:ascii="Times New Roman" w:hAnsi="Times New Roman" w:eastAsia="宋体" w:cs="Times New Roman"/>
                      <w:b/>
                      <w:color w:val="auto"/>
                      <w:sz w:val="18"/>
                      <w:szCs w:val="18"/>
                      <w:lang w:eastAsia="zh-CN"/>
                    </w:rPr>
                  </w:pPr>
                  <w:r>
                    <w:rPr>
                      <w:rFonts w:hint="eastAsia" w:ascii="Times New Roman" w:hAnsi="Times New Roman" w:eastAsia="宋体" w:cs="Times New Roman"/>
                      <w:b/>
                      <w:color w:val="auto"/>
                      <w:sz w:val="18"/>
                      <w:szCs w:val="18"/>
                      <w:lang w:eastAsia="zh-CN"/>
                    </w:rPr>
                    <w:t>年排放量/（t/a）</w:t>
                  </w:r>
                </w:p>
              </w:tc>
            </w:tr>
            <w:tr w14:paraId="490F88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hemeFill="background1"/>
                <w:tblCellMar>
                  <w:top w:w="0" w:type="dxa"/>
                  <w:left w:w="0" w:type="dxa"/>
                  <w:bottom w:w="0" w:type="dxa"/>
                  <w:right w:w="0" w:type="dxa"/>
                </w:tblCellMar>
              </w:tblPrEx>
              <w:trPr>
                <w:trHeight w:val="266" w:hRule="atLeast"/>
                <w:jc w:val="center"/>
              </w:trPr>
              <w:tc>
                <w:tcPr>
                  <w:tcW w:w="2345" w:type="dxa"/>
                  <w:tcBorders>
                    <w:top w:val="single" w:color="auto" w:sz="4" w:space="0"/>
                    <w:left w:val="single" w:color="auto" w:sz="4" w:space="0"/>
                    <w:right w:val="single" w:color="auto" w:sz="4" w:space="0"/>
                  </w:tcBorders>
                  <w:shd w:val="clear" w:color="auto" w:fill="FFFFFF" w:themeFill="background1"/>
                  <w:vAlign w:val="center"/>
                </w:tcPr>
                <w:p w14:paraId="3C617658">
                  <w:pPr>
                    <w:pStyle w:val="69"/>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有组织</w:t>
                  </w:r>
                </w:p>
              </w:tc>
              <w:tc>
                <w:tcPr>
                  <w:tcW w:w="18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3DE7BF">
                  <w:pPr>
                    <w:pStyle w:val="69"/>
                    <w:jc w:val="center"/>
                    <w:rPr>
                      <w:rFonts w:hint="default" w:ascii="宋体" w:hAnsi="宋体" w:eastAsia="宋体" w:cs="宋体"/>
                      <w:color w:val="auto"/>
                      <w:sz w:val="18"/>
                      <w:szCs w:val="18"/>
                      <w:lang w:val="en-US" w:eastAsia="zh-CN"/>
                    </w:rPr>
                  </w:pPr>
                  <w:r>
                    <w:rPr>
                      <w:rFonts w:hint="eastAsia" w:cs="宋体"/>
                      <w:color w:val="auto"/>
                      <w:sz w:val="18"/>
                      <w:szCs w:val="18"/>
                      <w:lang w:val="en-US" w:eastAsia="zh-CN"/>
                    </w:rPr>
                    <w:t>生产车间</w:t>
                  </w:r>
                </w:p>
              </w:tc>
              <w:tc>
                <w:tcPr>
                  <w:tcW w:w="1877" w:type="dxa"/>
                  <w:tcBorders>
                    <w:top w:val="single" w:color="auto" w:sz="4" w:space="0"/>
                    <w:left w:val="single" w:color="auto" w:sz="4" w:space="0"/>
                    <w:right w:val="single" w:color="auto" w:sz="4" w:space="0"/>
                  </w:tcBorders>
                  <w:shd w:val="clear" w:color="auto" w:fill="FFFFFF" w:themeFill="background1"/>
                  <w:vAlign w:val="center"/>
                </w:tcPr>
                <w:p w14:paraId="6F201285">
                  <w:pPr>
                    <w:pStyle w:val="69"/>
                    <w:adjustRightInd w:val="0"/>
                    <w:snapToGrid w:val="0"/>
                    <w:jc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颗粒物</w:t>
                  </w:r>
                </w:p>
              </w:tc>
              <w:tc>
                <w:tcPr>
                  <w:tcW w:w="387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E47A6B">
                  <w:pPr>
                    <w:pStyle w:val="69"/>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0.011394</w:t>
                  </w:r>
                </w:p>
              </w:tc>
            </w:tr>
            <w:tr w14:paraId="5965C1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hemeFill="background1"/>
                <w:tblCellMar>
                  <w:top w:w="0" w:type="dxa"/>
                  <w:left w:w="0" w:type="dxa"/>
                  <w:bottom w:w="0" w:type="dxa"/>
                  <w:right w:w="0" w:type="dxa"/>
                </w:tblCellMar>
              </w:tblPrEx>
              <w:trPr>
                <w:trHeight w:val="266" w:hRule="atLeast"/>
                <w:jc w:val="center"/>
              </w:trPr>
              <w:tc>
                <w:tcPr>
                  <w:tcW w:w="2345" w:type="dxa"/>
                  <w:tcBorders>
                    <w:top w:val="single" w:color="auto" w:sz="4" w:space="0"/>
                    <w:left w:val="single" w:color="auto" w:sz="4" w:space="0"/>
                    <w:right w:val="single" w:color="auto" w:sz="4" w:space="0"/>
                  </w:tcBorders>
                  <w:shd w:val="clear" w:color="auto" w:fill="FFFFFF" w:themeFill="background1"/>
                  <w:vAlign w:val="center"/>
                </w:tcPr>
                <w:p w14:paraId="06DF69B3">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无组织</w:t>
                  </w:r>
                </w:p>
              </w:tc>
              <w:tc>
                <w:tcPr>
                  <w:tcW w:w="18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32EAAD">
                  <w:pPr>
                    <w:pStyle w:val="69"/>
                    <w:jc w:val="center"/>
                    <w:rPr>
                      <w:rFonts w:hint="eastAsia" w:ascii="Times New Roman" w:hAnsi="Times New Roman" w:eastAsia="宋体" w:cs="Times New Roman"/>
                      <w:bCs/>
                      <w:color w:val="auto"/>
                      <w:sz w:val="18"/>
                      <w:szCs w:val="18"/>
                      <w:lang w:eastAsia="zh-CN"/>
                    </w:rPr>
                  </w:pPr>
                  <w:r>
                    <w:rPr>
                      <w:rFonts w:hint="eastAsia" w:cs="宋体"/>
                      <w:color w:val="auto"/>
                      <w:sz w:val="18"/>
                      <w:szCs w:val="18"/>
                      <w:lang w:val="en-US" w:eastAsia="zh-CN"/>
                    </w:rPr>
                    <w:t>生产车间</w:t>
                  </w:r>
                </w:p>
              </w:tc>
              <w:tc>
                <w:tcPr>
                  <w:tcW w:w="1877" w:type="dxa"/>
                  <w:tcBorders>
                    <w:top w:val="single" w:color="auto" w:sz="4" w:space="0"/>
                    <w:left w:val="single" w:color="auto" w:sz="4" w:space="0"/>
                    <w:right w:val="single" w:color="auto" w:sz="4" w:space="0"/>
                  </w:tcBorders>
                  <w:shd w:val="clear" w:color="auto" w:fill="FFFFFF" w:themeFill="background1"/>
                  <w:vAlign w:val="center"/>
                </w:tcPr>
                <w:p w14:paraId="2F77D2B1">
                  <w:pPr>
                    <w:pStyle w:val="69"/>
                    <w:adjustRightInd w:val="0"/>
                    <w:snapToGrid w:val="0"/>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颗粒物</w:t>
                  </w:r>
                </w:p>
              </w:tc>
              <w:tc>
                <w:tcPr>
                  <w:tcW w:w="387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3A2925">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0.03273</w:t>
                  </w:r>
                </w:p>
              </w:tc>
            </w:tr>
            <w:tr w14:paraId="618868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FFFFFF" w:themeFill="background1"/>
                <w:tblCellMar>
                  <w:top w:w="0" w:type="dxa"/>
                  <w:left w:w="0" w:type="dxa"/>
                  <w:bottom w:w="0" w:type="dxa"/>
                  <w:right w:w="0" w:type="dxa"/>
                </w:tblCellMar>
              </w:tblPrEx>
              <w:trPr>
                <w:trHeight w:val="291" w:hRule="atLeast"/>
                <w:jc w:val="center"/>
              </w:trPr>
              <w:tc>
                <w:tcPr>
                  <w:tcW w:w="6099" w:type="dxa"/>
                  <w:gridSpan w:val="3"/>
                  <w:tcBorders>
                    <w:left w:val="single" w:color="auto" w:sz="4" w:space="0"/>
                    <w:bottom w:val="single" w:color="auto" w:sz="4" w:space="0"/>
                    <w:right w:val="single" w:color="auto" w:sz="4" w:space="0"/>
                  </w:tcBorders>
                  <w:shd w:val="clear" w:color="auto" w:fill="FFFFFF" w:themeFill="background1"/>
                  <w:vAlign w:val="center"/>
                </w:tcPr>
                <w:p w14:paraId="1989D9AB">
                  <w:pPr>
                    <w:pStyle w:val="69"/>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总计</w:t>
                  </w:r>
                </w:p>
              </w:tc>
              <w:tc>
                <w:tcPr>
                  <w:tcW w:w="387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52EB71">
                  <w:pPr>
                    <w:pStyle w:val="69"/>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0.044124</w:t>
                  </w:r>
                </w:p>
              </w:tc>
            </w:tr>
          </w:tbl>
          <w:p w14:paraId="78379E99">
            <w:pPr>
              <w:spacing w:before="66"/>
              <w:ind w:firstLine="482" w:firstLineChars="200"/>
              <w:jc w:val="left"/>
              <w:rPr>
                <w:b/>
                <w:color w:val="auto"/>
                <w:sz w:val="24"/>
              </w:rPr>
            </w:pPr>
            <w:r>
              <w:rPr>
                <w:rFonts w:hint="eastAsia"/>
                <w:b/>
                <w:color w:val="auto"/>
                <w:sz w:val="24"/>
                <w:lang w:val="en-US" w:eastAsia="zh-CN"/>
              </w:rPr>
              <w:t>3</w:t>
            </w:r>
            <w:r>
              <w:rPr>
                <w:b/>
                <w:color w:val="auto"/>
                <w:sz w:val="24"/>
              </w:rPr>
              <w:t>、</w:t>
            </w:r>
            <w:r>
              <w:rPr>
                <w:rFonts w:hint="eastAsia"/>
                <w:b/>
                <w:color w:val="auto"/>
                <w:sz w:val="24"/>
              </w:rPr>
              <w:t>卫生</w:t>
            </w:r>
            <w:r>
              <w:rPr>
                <w:b/>
                <w:color w:val="auto"/>
                <w:sz w:val="24"/>
              </w:rPr>
              <w:t>防护距离</w:t>
            </w:r>
            <w:r>
              <w:rPr>
                <w:b/>
                <w:color w:val="auto"/>
                <w:w w:val="99"/>
                <w:sz w:val="24"/>
              </w:rPr>
              <w:t xml:space="preserve"> </w:t>
            </w:r>
          </w:p>
          <w:p w14:paraId="2096F693">
            <w:pPr>
              <w:adjustRightInd w:val="0"/>
              <w:spacing w:line="360" w:lineRule="auto"/>
              <w:ind w:firstLine="480" w:firstLineChars="200"/>
              <w:rPr>
                <w:b w:val="0"/>
                <w:bCs w:val="0"/>
                <w:color w:val="auto"/>
                <w:sz w:val="11"/>
              </w:rPr>
            </w:pPr>
            <w:r>
              <w:rPr>
                <w:rFonts w:hint="eastAsia" w:ascii="宋体" w:hAnsi="宋体" w:eastAsia="宋体" w:cs="宋体"/>
                <w:sz w:val="24"/>
              </w:rPr>
              <w:t xml:space="preserve">卫生防护距离的计算方法采用《制定地方大气污染物排放标准的技术方法（GB/T1203-91）》所指定的方法： </w:t>
            </w:r>
          </w:p>
          <w:p w14:paraId="0C0F2A82">
            <w:pPr>
              <w:spacing w:before="99" w:line="267" w:lineRule="exact"/>
              <w:ind w:left="3595"/>
              <w:jc w:val="left"/>
              <w:rPr>
                <w:i/>
                <w:color w:val="auto"/>
                <w:sz w:val="9"/>
              </w:rPr>
            </w:pPr>
            <w:r>
              <w:rPr>
                <w:i/>
                <w:color w:val="auto"/>
                <w:w w:val="135"/>
                <w:position w:val="11"/>
                <w:sz w:val="16"/>
              </w:rPr>
              <w:t>Q</w:t>
            </w:r>
            <w:r>
              <w:rPr>
                <w:i/>
                <w:color w:val="auto"/>
                <w:w w:val="135"/>
                <w:position w:val="7"/>
                <w:sz w:val="9"/>
              </w:rPr>
              <w:t xml:space="preserve">c </w:t>
            </w:r>
            <w:r>
              <w:rPr>
                <w:rFonts w:ascii="Symbol" w:hAnsi="Symbol"/>
                <w:color w:val="auto"/>
                <w:w w:val="135"/>
                <w:sz w:val="16"/>
              </w:rPr>
              <w:t></w:t>
            </w:r>
            <w:r>
              <w:rPr>
                <w:color w:val="auto"/>
                <w:w w:val="135"/>
                <w:sz w:val="16"/>
              </w:rPr>
              <w:t xml:space="preserve"> </w:t>
            </w:r>
            <w:r>
              <w:rPr>
                <w:color w:val="auto"/>
                <w:w w:val="135"/>
                <w:position w:val="10"/>
                <w:sz w:val="16"/>
              </w:rPr>
              <w:t xml:space="preserve">1 </w:t>
            </w:r>
            <w:r>
              <w:rPr>
                <w:color w:val="auto"/>
                <w:w w:val="135"/>
                <w:sz w:val="16"/>
              </w:rPr>
              <w:t>(</w:t>
            </w:r>
            <w:r>
              <w:rPr>
                <w:i/>
                <w:color w:val="auto"/>
                <w:w w:val="135"/>
                <w:sz w:val="16"/>
              </w:rPr>
              <w:t>BL</w:t>
            </w:r>
            <w:r>
              <w:rPr>
                <w:i/>
                <w:color w:val="auto"/>
                <w:w w:val="135"/>
                <w:position w:val="7"/>
                <w:sz w:val="9"/>
              </w:rPr>
              <w:t xml:space="preserve">c </w:t>
            </w:r>
            <w:r>
              <w:rPr>
                <w:rFonts w:ascii="Symbol" w:hAnsi="Symbol"/>
                <w:color w:val="auto"/>
                <w:w w:val="135"/>
                <w:sz w:val="16"/>
              </w:rPr>
              <w:t></w:t>
            </w:r>
            <w:r>
              <w:rPr>
                <w:color w:val="auto"/>
                <w:w w:val="135"/>
                <w:sz w:val="16"/>
              </w:rPr>
              <w:t xml:space="preserve"> 0.25</w:t>
            </w:r>
            <w:r>
              <w:rPr>
                <w:i/>
                <w:color w:val="auto"/>
                <w:w w:val="135"/>
                <w:sz w:val="16"/>
              </w:rPr>
              <w:t xml:space="preserve">r </w:t>
            </w:r>
            <w:r>
              <w:rPr>
                <w:color w:val="auto"/>
                <w:w w:val="135"/>
                <w:position w:val="7"/>
                <w:sz w:val="9"/>
              </w:rPr>
              <w:t xml:space="preserve">2 </w:t>
            </w:r>
            <w:r>
              <w:rPr>
                <w:color w:val="auto"/>
                <w:w w:val="135"/>
                <w:sz w:val="16"/>
              </w:rPr>
              <w:t>)</w:t>
            </w:r>
            <w:r>
              <w:rPr>
                <w:color w:val="auto"/>
                <w:w w:val="135"/>
                <w:position w:val="7"/>
                <w:sz w:val="9"/>
              </w:rPr>
              <w:t xml:space="preserve">0.5 </w:t>
            </w:r>
            <w:r>
              <w:rPr>
                <w:i/>
                <w:color w:val="auto"/>
                <w:w w:val="135"/>
                <w:sz w:val="16"/>
              </w:rPr>
              <w:t>L</w:t>
            </w:r>
            <w:r>
              <w:rPr>
                <w:i/>
                <w:color w:val="auto"/>
                <w:w w:val="135"/>
                <w:position w:val="7"/>
                <w:sz w:val="9"/>
              </w:rPr>
              <w:t>D</w:t>
            </w:r>
          </w:p>
          <w:p w14:paraId="33ED54BD">
            <w:pPr>
              <w:tabs>
                <w:tab w:val="left" w:pos="4118"/>
              </w:tabs>
              <w:spacing w:line="181" w:lineRule="exact"/>
              <w:ind w:left="3579"/>
              <w:jc w:val="left"/>
              <w:rPr>
                <w:i/>
                <w:color w:val="auto"/>
                <w:sz w:val="16"/>
              </w:rPr>
            </w:pPr>
            <w:r>
              <w:rPr>
                <w:i/>
                <w:color w:val="auto"/>
                <w:spacing w:val="3"/>
                <w:w w:val="135"/>
                <w:sz w:val="16"/>
              </w:rPr>
              <w:t>C</w:t>
            </w:r>
            <w:r>
              <w:rPr>
                <w:i/>
                <w:color w:val="auto"/>
                <w:spacing w:val="3"/>
                <w:w w:val="135"/>
                <w:position w:val="-3"/>
                <w:sz w:val="9"/>
              </w:rPr>
              <w:t>m</w:t>
            </w:r>
            <w:r>
              <w:rPr>
                <w:i/>
                <w:color w:val="auto"/>
                <w:spacing w:val="3"/>
                <w:w w:val="135"/>
                <w:position w:val="-3"/>
                <w:sz w:val="9"/>
              </w:rPr>
              <w:tab/>
            </w:r>
            <w:r>
              <w:rPr>
                <w:i/>
                <w:color w:val="auto"/>
                <w:w w:val="135"/>
                <w:sz w:val="16"/>
              </w:rPr>
              <w:t>A</w:t>
            </w:r>
          </w:p>
          <w:p w14:paraId="4D2E0D96">
            <w:pPr>
              <w:pStyle w:val="12"/>
              <w:spacing w:before="173" w:after="0" w:line="300" w:lineRule="auto"/>
              <w:ind w:left="978"/>
              <w:rPr>
                <w:rFonts w:ascii="宋体" w:hAnsi="宋体" w:eastAsia="宋体" w:cs="Times New Roman"/>
                <w:b w:val="0"/>
                <w:bCs w:val="0"/>
                <w:color w:val="auto"/>
                <w:position w:val="2"/>
                <w:sz w:val="24"/>
              </w:rPr>
            </w:pPr>
            <w:r>
              <w:rPr>
                <w:rFonts w:ascii="宋体" w:hAnsi="宋体" w:eastAsia="宋体" w:cs="Times New Roman"/>
                <w:b w:val="0"/>
                <w:bCs w:val="0"/>
                <w:color w:val="auto"/>
                <w:position w:val="2"/>
                <w:sz w:val="24"/>
              </w:rPr>
              <w:t>式中：Cm—排放标准浓度限值（mg/m</w:t>
            </w:r>
            <w:r>
              <w:rPr>
                <w:rFonts w:ascii="宋体" w:hAnsi="宋体" w:eastAsia="宋体" w:cs="Times New Roman"/>
                <w:b w:val="0"/>
                <w:bCs w:val="0"/>
                <w:color w:val="auto"/>
                <w:position w:val="2"/>
                <w:sz w:val="24"/>
                <w:vertAlign w:val="superscript"/>
              </w:rPr>
              <w:t>3</w:t>
            </w:r>
            <w:r>
              <w:rPr>
                <w:rFonts w:ascii="宋体" w:hAnsi="宋体" w:eastAsia="宋体" w:cs="Times New Roman"/>
                <w:b w:val="0"/>
                <w:bCs w:val="0"/>
                <w:color w:val="auto"/>
                <w:position w:val="2"/>
                <w:sz w:val="24"/>
              </w:rPr>
              <w:t xml:space="preserve">）； </w:t>
            </w:r>
          </w:p>
          <w:p w14:paraId="2956D6BD">
            <w:pPr>
              <w:pStyle w:val="12"/>
              <w:spacing w:before="173" w:after="0" w:line="300" w:lineRule="auto"/>
              <w:ind w:firstLine="1680" w:firstLineChars="700"/>
              <w:rPr>
                <w:rFonts w:ascii="宋体" w:hAnsi="宋体" w:eastAsia="宋体" w:cs="Times New Roman"/>
                <w:b w:val="0"/>
                <w:bCs w:val="0"/>
                <w:color w:val="auto"/>
                <w:position w:val="2"/>
                <w:sz w:val="24"/>
              </w:rPr>
            </w:pPr>
            <w:r>
              <w:rPr>
                <w:rFonts w:ascii="宋体" w:hAnsi="宋体" w:eastAsia="宋体" w:cs="Times New Roman"/>
                <w:b w:val="0"/>
                <w:bCs w:val="0"/>
                <w:color w:val="auto"/>
                <w:position w:val="2"/>
                <w:sz w:val="24"/>
              </w:rPr>
              <w:t>Qc—工业企业有害气体无组织排放量可以达到的控制水平（kg/h）；</w:t>
            </w:r>
          </w:p>
          <w:p w14:paraId="34863C5B">
            <w:pPr>
              <w:pStyle w:val="12"/>
              <w:spacing w:before="173" w:after="0" w:line="300" w:lineRule="auto"/>
              <w:ind w:firstLine="1680" w:firstLineChars="700"/>
              <w:rPr>
                <w:rFonts w:ascii="宋体" w:hAnsi="宋体" w:eastAsia="宋体" w:cs="Times New Roman"/>
                <w:b w:val="0"/>
                <w:bCs w:val="0"/>
                <w:color w:val="auto"/>
                <w:position w:val="2"/>
                <w:sz w:val="24"/>
              </w:rPr>
            </w:pPr>
            <w:r>
              <w:rPr>
                <w:rFonts w:ascii="宋体" w:hAnsi="宋体" w:eastAsia="宋体" w:cs="Times New Roman"/>
                <w:b w:val="0"/>
                <w:bCs w:val="0"/>
                <w:color w:val="auto"/>
                <w:position w:val="2"/>
                <w:sz w:val="24"/>
              </w:rPr>
              <w:t xml:space="preserve">L—工业企业所需的卫生防护距离（m）； </w:t>
            </w:r>
          </w:p>
          <w:p w14:paraId="72EC10BC">
            <w:pPr>
              <w:pStyle w:val="12"/>
              <w:spacing w:before="173" w:after="0" w:line="300" w:lineRule="auto"/>
              <w:ind w:firstLine="1680" w:firstLineChars="700"/>
              <w:rPr>
                <w:rFonts w:ascii="宋体" w:hAnsi="宋体" w:eastAsia="宋体" w:cs="Times New Roman"/>
                <w:b w:val="0"/>
                <w:bCs w:val="0"/>
                <w:color w:val="auto"/>
                <w:position w:val="2"/>
                <w:sz w:val="24"/>
              </w:rPr>
            </w:pPr>
            <w:r>
              <w:rPr>
                <w:rFonts w:ascii="宋体" w:hAnsi="宋体" w:eastAsia="宋体" w:cs="Times New Roman"/>
                <w:b w:val="0"/>
                <w:bCs w:val="0"/>
                <w:color w:val="auto"/>
                <w:position w:val="2"/>
                <w:sz w:val="24"/>
              </w:rPr>
              <w:t>r—有害气体无组织排放浓度所产生单位的等效半径（m）；</w:t>
            </w:r>
          </w:p>
          <w:p w14:paraId="7CB0D49F">
            <w:pPr>
              <w:pStyle w:val="12"/>
              <w:spacing w:before="173" w:after="0" w:line="300" w:lineRule="auto"/>
              <w:ind w:firstLine="1680" w:firstLineChars="700"/>
              <w:rPr>
                <w:rFonts w:ascii="宋体" w:hAnsi="宋体" w:eastAsia="宋体" w:cs="Times New Roman"/>
                <w:b w:val="0"/>
                <w:bCs w:val="0"/>
                <w:color w:val="auto"/>
                <w:position w:val="2"/>
                <w:sz w:val="24"/>
              </w:rPr>
            </w:pPr>
            <w:r>
              <w:rPr>
                <w:rFonts w:ascii="宋体" w:hAnsi="宋体" w:eastAsia="宋体" w:cs="Times New Roman"/>
                <w:b w:val="0"/>
                <w:bCs w:val="0"/>
                <w:color w:val="auto"/>
                <w:position w:val="2"/>
                <w:sz w:val="24"/>
              </w:rPr>
              <w:t xml:space="preserve">A、B、C、D—卫生防护距离计算系数。 </w:t>
            </w:r>
          </w:p>
          <w:p w14:paraId="4E770696">
            <w:pPr>
              <w:spacing w:before="66"/>
              <w:ind w:left="150" w:right="48"/>
              <w:jc w:val="center"/>
              <w:rPr>
                <w:color w:val="auto"/>
                <w:sz w:val="12"/>
              </w:rPr>
            </w:pPr>
            <w:r>
              <w:rPr>
                <w:rFonts w:hint="eastAsia" w:eastAsia="黑体"/>
                <w:snapToGrid w:val="0"/>
                <w:color w:val="auto"/>
                <w:kern w:val="0"/>
                <w:szCs w:val="21"/>
                <w:lang w:val="fr-FR"/>
              </w:rPr>
              <w:t>表 7-</w:t>
            </w:r>
            <w:r>
              <w:rPr>
                <w:rFonts w:hint="eastAsia" w:eastAsia="黑体"/>
                <w:snapToGrid w:val="0"/>
                <w:color w:val="auto"/>
                <w:kern w:val="0"/>
                <w:szCs w:val="21"/>
                <w:lang w:val="en-US" w:eastAsia="zh-CN"/>
              </w:rPr>
              <w:t>15</w:t>
            </w:r>
            <w:r>
              <w:rPr>
                <w:rFonts w:hint="eastAsia" w:eastAsia="黑体"/>
                <w:snapToGrid w:val="0"/>
                <w:color w:val="auto"/>
                <w:kern w:val="0"/>
                <w:szCs w:val="21"/>
                <w:lang w:val="fr-FR"/>
              </w:rPr>
              <w:t xml:space="preserve">  卫生防护距离计算系数</w:t>
            </w:r>
            <w:r>
              <w:rPr>
                <w:color w:val="auto"/>
                <w:w w:val="99"/>
                <w:sz w:val="24"/>
              </w:rPr>
              <w:t xml:space="preserve">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857"/>
              <w:gridCol w:w="2277"/>
              <w:gridCol w:w="716"/>
              <w:gridCol w:w="716"/>
              <w:gridCol w:w="720"/>
              <w:gridCol w:w="1017"/>
              <w:gridCol w:w="1021"/>
              <w:gridCol w:w="359"/>
              <w:gridCol w:w="357"/>
              <w:gridCol w:w="718"/>
              <w:gridCol w:w="716"/>
              <w:gridCol w:w="716"/>
            </w:tblGrid>
            <w:tr w14:paraId="6423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4" w:hRule="atLeast"/>
              </w:trPr>
              <w:tc>
                <w:tcPr>
                  <w:tcW w:w="421" w:type="pct"/>
                  <w:vMerge w:val="restart"/>
                  <w:shd w:val="clear" w:color="auto" w:fill="FFFFFF"/>
                  <w:noWrap w:val="0"/>
                  <w:vAlign w:val="top"/>
                </w:tcPr>
                <w:p w14:paraId="41B380A0">
                  <w:pPr>
                    <w:pStyle w:val="69"/>
                    <w:rPr>
                      <w:b/>
                      <w:color w:val="auto"/>
                      <w:sz w:val="20"/>
                      <w:lang w:eastAsia="zh-CN"/>
                    </w:rPr>
                  </w:pPr>
                </w:p>
                <w:p w14:paraId="04591CAF">
                  <w:pPr>
                    <w:pStyle w:val="69"/>
                    <w:spacing w:before="8"/>
                    <w:rPr>
                      <w:b/>
                      <w:color w:val="auto"/>
                      <w:sz w:val="15"/>
                      <w:lang w:eastAsia="zh-CN"/>
                    </w:rPr>
                  </w:pPr>
                </w:p>
                <w:p w14:paraId="3B7E162B">
                  <w:pPr>
                    <w:pStyle w:val="69"/>
                    <w:spacing w:line="278" w:lineRule="auto"/>
                    <w:ind w:left="148" w:right="141"/>
                    <w:rPr>
                      <w:color w:val="auto"/>
                      <w:sz w:val="21"/>
                    </w:rPr>
                  </w:pPr>
                  <w:r>
                    <w:rPr>
                      <w:color w:val="auto"/>
                      <w:sz w:val="21"/>
                    </w:rPr>
                    <w:t>计算系数</w:t>
                  </w:r>
                </w:p>
              </w:tc>
              <w:tc>
                <w:tcPr>
                  <w:tcW w:w="1117" w:type="pct"/>
                  <w:vMerge w:val="restart"/>
                  <w:shd w:val="clear" w:color="auto" w:fill="FFFFFF"/>
                  <w:noWrap w:val="0"/>
                  <w:vAlign w:val="top"/>
                </w:tcPr>
                <w:p w14:paraId="3BF161F7">
                  <w:pPr>
                    <w:pStyle w:val="69"/>
                    <w:spacing w:before="5"/>
                    <w:rPr>
                      <w:b/>
                      <w:color w:val="auto"/>
                      <w:sz w:val="23"/>
                      <w:lang w:eastAsia="zh-CN"/>
                    </w:rPr>
                  </w:pPr>
                </w:p>
                <w:p w14:paraId="650DC8E0">
                  <w:pPr>
                    <w:pStyle w:val="69"/>
                    <w:spacing w:before="1" w:line="278" w:lineRule="auto"/>
                    <w:ind w:left="208" w:right="211"/>
                    <w:jc w:val="center"/>
                    <w:rPr>
                      <w:rFonts w:ascii="Times New Roman" w:eastAsia="Times New Roman"/>
                      <w:color w:val="auto"/>
                      <w:sz w:val="21"/>
                      <w:lang w:eastAsia="zh-CN"/>
                    </w:rPr>
                  </w:pPr>
                  <w:r>
                    <w:rPr>
                      <w:color w:val="auto"/>
                      <w:spacing w:val="-2"/>
                      <w:sz w:val="21"/>
                      <w:lang w:eastAsia="zh-CN"/>
                    </w:rPr>
                    <w:t xml:space="preserve">工业企业所在 </w:t>
                  </w:r>
                  <w:r>
                    <w:rPr>
                      <w:color w:val="auto"/>
                      <w:spacing w:val="-5"/>
                      <w:sz w:val="21"/>
                      <w:lang w:eastAsia="zh-CN"/>
                    </w:rPr>
                    <w:t>地区近五年平均</w:t>
                  </w:r>
                  <w:r>
                    <w:rPr>
                      <w:color w:val="auto"/>
                      <w:spacing w:val="-18"/>
                      <w:sz w:val="21"/>
                      <w:lang w:eastAsia="zh-CN"/>
                    </w:rPr>
                    <w:t xml:space="preserve">风速 </w:t>
                  </w:r>
                  <w:r>
                    <w:rPr>
                      <w:rFonts w:ascii="Times New Roman" w:eastAsia="Times New Roman"/>
                      <w:color w:val="auto"/>
                      <w:spacing w:val="-2"/>
                      <w:sz w:val="21"/>
                      <w:lang w:eastAsia="zh-CN"/>
                    </w:rPr>
                    <w:t>m/s</w:t>
                  </w:r>
                </w:p>
              </w:tc>
              <w:tc>
                <w:tcPr>
                  <w:tcW w:w="3460" w:type="pct"/>
                  <w:gridSpan w:val="10"/>
                  <w:shd w:val="clear" w:color="auto" w:fill="FFFFFF"/>
                  <w:noWrap w:val="0"/>
                  <w:vAlign w:val="top"/>
                </w:tcPr>
                <w:p w14:paraId="04CA5187">
                  <w:pPr>
                    <w:pStyle w:val="69"/>
                    <w:spacing w:before="127"/>
                    <w:ind w:left="2073" w:right="2073"/>
                    <w:jc w:val="center"/>
                    <w:rPr>
                      <w:rFonts w:ascii="Times New Roman" w:eastAsia="Times New Roman"/>
                      <w:color w:val="auto"/>
                      <w:sz w:val="21"/>
                    </w:rPr>
                  </w:pPr>
                  <w:r>
                    <w:rPr>
                      <w:color w:val="auto"/>
                      <w:sz w:val="21"/>
                    </w:rPr>
                    <w:t xml:space="preserve">卫生防护距离 </w:t>
                  </w:r>
                  <w:r>
                    <w:rPr>
                      <w:rFonts w:ascii="Times New Roman" w:eastAsia="Times New Roman"/>
                      <w:color w:val="auto"/>
                      <w:sz w:val="21"/>
                    </w:rPr>
                    <w:t>L,m</w:t>
                  </w:r>
                </w:p>
              </w:tc>
            </w:tr>
            <w:tr w14:paraId="22C7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1" w:hRule="atLeast"/>
              </w:trPr>
              <w:tc>
                <w:tcPr>
                  <w:tcW w:w="421" w:type="pct"/>
                  <w:vMerge w:val="continue"/>
                  <w:shd w:val="clear" w:color="auto" w:fill="FFFFFF"/>
                  <w:noWrap w:val="0"/>
                  <w:vAlign w:val="top"/>
                </w:tcPr>
                <w:p w14:paraId="3EA2467B">
                  <w:pPr>
                    <w:rPr>
                      <w:color w:val="auto"/>
                      <w:sz w:val="2"/>
                      <w:szCs w:val="2"/>
                    </w:rPr>
                  </w:pPr>
                </w:p>
              </w:tc>
              <w:tc>
                <w:tcPr>
                  <w:tcW w:w="1117" w:type="pct"/>
                  <w:vMerge w:val="continue"/>
                  <w:shd w:val="clear" w:color="auto" w:fill="FFFFFF"/>
                  <w:noWrap w:val="0"/>
                  <w:vAlign w:val="top"/>
                </w:tcPr>
                <w:p w14:paraId="4750E78E">
                  <w:pPr>
                    <w:rPr>
                      <w:color w:val="auto"/>
                      <w:sz w:val="2"/>
                      <w:szCs w:val="2"/>
                    </w:rPr>
                  </w:pPr>
                </w:p>
              </w:tc>
              <w:tc>
                <w:tcPr>
                  <w:tcW w:w="1055" w:type="pct"/>
                  <w:gridSpan w:val="3"/>
                  <w:shd w:val="clear" w:color="auto" w:fill="FFFFFF"/>
                  <w:noWrap w:val="0"/>
                  <w:vAlign w:val="top"/>
                </w:tcPr>
                <w:p w14:paraId="78D28E54">
                  <w:pPr>
                    <w:pStyle w:val="69"/>
                    <w:spacing w:before="36"/>
                    <w:ind w:left="563"/>
                    <w:rPr>
                      <w:rFonts w:ascii="Times New Roman" w:hAnsi="Times New Roman"/>
                      <w:color w:val="auto"/>
                      <w:sz w:val="21"/>
                    </w:rPr>
                  </w:pPr>
                  <w:r>
                    <w:rPr>
                      <w:rFonts w:ascii="Times New Roman" w:hAnsi="Times New Roman"/>
                      <w:color w:val="auto"/>
                      <w:sz w:val="21"/>
                    </w:rPr>
                    <w:t>L≤1000</w:t>
                  </w:r>
                </w:p>
              </w:tc>
              <w:tc>
                <w:tcPr>
                  <w:tcW w:w="1176" w:type="pct"/>
                  <w:gridSpan w:val="3"/>
                  <w:shd w:val="clear" w:color="auto" w:fill="FFFFFF"/>
                  <w:noWrap w:val="0"/>
                  <w:vAlign w:val="top"/>
                </w:tcPr>
                <w:p w14:paraId="25200250">
                  <w:pPr>
                    <w:pStyle w:val="69"/>
                    <w:spacing w:before="22"/>
                    <w:ind w:left="350"/>
                    <w:rPr>
                      <w:rFonts w:ascii="Times New Roman" w:hAnsi="Times New Roman" w:eastAsia="Times New Roman"/>
                      <w:color w:val="auto"/>
                      <w:sz w:val="21"/>
                    </w:rPr>
                  </w:pPr>
                  <w:r>
                    <w:rPr>
                      <w:rFonts w:ascii="Times New Roman" w:hAnsi="Times New Roman" w:eastAsia="Times New Roman"/>
                      <w:color w:val="auto"/>
                      <w:sz w:val="21"/>
                    </w:rPr>
                    <w:t>1000</w:t>
                  </w:r>
                  <w:r>
                    <w:rPr>
                      <w:color w:val="auto"/>
                      <w:sz w:val="21"/>
                    </w:rPr>
                    <w:t>＜</w:t>
                  </w:r>
                  <w:r>
                    <w:rPr>
                      <w:rFonts w:ascii="Times New Roman" w:hAnsi="Times New Roman" w:eastAsia="Times New Roman"/>
                      <w:color w:val="auto"/>
                      <w:sz w:val="21"/>
                    </w:rPr>
                    <w:t>L≤2000</w:t>
                  </w:r>
                </w:p>
              </w:tc>
              <w:tc>
                <w:tcPr>
                  <w:tcW w:w="1229" w:type="pct"/>
                  <w:gridSpan w:val="4"/>
                  <w:shd w:val="clear" w:color="auto" w:fill="FFFFFF"/>
                  <w:noWrap w:val="0"/>
                  <w:vAlign w:val="top"/>
                </w:tcPr>
                <w:p w14:paraId="13708A58">
                  <w:pPr>
                    <w:pStyle w:val="69"/>
                    <w:spacing w:before="22"/>
                    <w:ind w:left="663"/>
                    <w:rPr>
                      <w:rFonts w:ascii="Times New Roman" w:eastAsia="Times New Roman"/>
                      <w:color w:val="auto"/>
                      <w:sz w:val="21"/>
                    </w:rPr>
                  </w:pPr>
                  <w:r>
                    <w:rPr>
                      <w:rFonts w:ascii="Times New Roman" w:eastAsia="Times New Roman"/>
                      <w:color w:val="auto"/>
                      <w:sz w:val="21"/>
                    </w:rPr>
                    <w:t>L</w:t>
                  </w:r>
                  <w:r>
                    <w:rPr>
                      <w:color w:val="auto"/>
                      <w:sz w:val="21"/>
                    </w:rPr>
                    <w:t>＞</w:t>
                  </w:r>
                  <w:r>
                    <w:rPr>
                      <w:rFonts w:ascii="Times New Roman" w:eastAsia="Times New Roman"/>
                      <w:color w:val="auto"/>
                      <w:sz w:val="21"/>
                    </w:rPr>
                    <w:t>2000</w:t>
                  </w:r>
                </w:p>
              </w:tc>
            </w:tr>
            <w:tr w14:paraId="105D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421" w:type="pct"/>
                  <w:vMerge w:val="continue"/>
                  <w:shd w:val="clear" w:color="auto" w:fill="FFFFFF"/>
                  <w:noWrap w:val="0"/>
                  <w:vAlign w:val="top"/>
                </w:tcPr>
                <w:p w14:paraId="6AFA11C1">
                  <w:pPr>
                    <w:rPr>
                      <w:color w:val="auto"/>
                      <w:sz w:val="2"/>
                      <w:szCs w:val="2"/>
                    </w:rPr>
                  </w:pPr>
                </w:p>
              </w:tc>
              <w:tc>
                <w:tcPr>
                  <w:tcW w:w="1117" w:type="pct"/>
                  <w:vMerge w:val="continue"/>
                  <w:shd w:val="clear" w:color="auto" w:fill="FFFFFF"/>
                  <w:noWrap w:val="0"/>
                  <w:vAlign w:val="top"/>
                </w:tcPr>
                <w:p w14:paraId="1B91A4CD">
                  <w:pPr>
                    <w:rPr>
                      <w:color w:val="auto"/>
                      <w:sz w:val="2"/>
                      <w:szCs w:val="2"/>
                    </w:rPr>
                  </w:pPr>
                </w:p>
              </w:tc>
              <w:tc>
                <w:tcPr>
                  <w:tcW w:w="3460" w:type="pct"/>
                  <w:gridSpan w:val="10"/>
                  <w:shd w:val="clear" w:color="auto" w:fill="FFFFFF"/>
                  <w:noWrap w:val="0"/>
                  <w:vAlign w:val="top"/>
                </w:tcPr>
                <w:p w14:paraId="077BE09F">
                  <w:pPr>
                    <w:pStyle w:val="69"/>
                    <w:spacing w:before="22"/>
                    <w:ind w:left="1497"/>
                    <w:rPr>
                      <w:rFonts w:ascii="Times New Roman" w:eastAsia="Times New Roman"/>
                      <w:color w:val="auto"/>
                      <w:sz w:val="14"/>
                      <w:lang w:eastAsia="zh-CN"/>
                    </w:rPr>
                  </w:pPr>
                  <w:r>
                    <w:rPr>
                      <w:color w:val="auto"/>
                      <w:sz w:val="21"/>
                      <w:lang w:eastAsia="zh-CN"/>
                    </w:rPr>
                    <w:t xml:space="preserve">工业企业大气污染源构成类别 </w:t>
                  </w:r>
                  <w:r>
                    <w:rPr>
                      <w:rFonts w:ascii="Times New Roman" w:eastAsia="Times New Roman"/>
                      <w:color w:val="auto"/>
                      <w:position w:val="7"/>
                      <w:sz w:val="14"/>
                      <w:lang w:eastAsia="zh-CN"/>
                    </w:rPr>
                    <w:t>1)</w:t>
                  </w:r>
                </w:p>
              </w:tc>
            </w:tr>
            <w:tr w14:paraId="45C9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421" w:type="pct"/>
                  <w:vMerge w:val="continue"/>
                  <w:shd w:val="clear" w:color="auto" w:fill="FFFFFF"/>
                  <w:noWrap w:val="0"/>
                  <w:vAlign w:val="top"/>
                </w:tcPr>
                <w:p w14:paraId="6131AB37">
                  <w:pPr>
                    <w:rPr>
                      <w:color w:val="auto"/>
                      <w:sz w:val="2"/>
                      <w:szCs w:val="2"/>
                    </w:rPr>
                  </w:pPr>
                </w:p>
              </w:tc>
              <w:tc>
                <w:tcPr>
                  <w:tcW w:w="1117" w:type="pct"/>
                  <w:vMerge w:val="continue"/>
                  <w:shd w:val="clear" w:color="auto" w:fill="FFFFFF"/>
                  <w:noWrap w:val="0"/>
                  <w:vAlign w:val="top"/>
                </w:tcPr>
                <w:p w14:paraId="266BCB42">
                  <w:pPr>
                    <w:rPr>
                      <w:color w:val="auto"/>
                      <w:sz w:val="2"/>
                      <w:szCs w:val="2"/>
                    </w:rPr>
                  </w:pPr>
                </w:p>
              </w:tc>
              <w:tc>
                <w:tcPr>
                  <w:tcW w:w="351" w:type="pct"/>
                  <w:shd w:val="clear" w:color="auto" w:fill="FFFFFF"/>
                  <w:noWrap w:val="0"/>
                  <w:vAlign w:val="top"/>
                </w:tcPr>
                <w:p w14:paraId="59E67616">
                  <w:pPr>
                    <w:pStyle w:val="69"/>
                    <w:spacing w:before="22"/>
                    <w:jc w:val="center"/>
                    <w:rPr>
                      <w:color w:val="auto"/>
                      <w:sz w:val="21"/>
                      <w:lang w:eastAsia="zh-CN"/>
                    </w:rPr>
                  </w:pPr>
                  <w:r>
                    <w:rPr>
                      <w:color w:val="auto"/>
                      <w:sz w:val="21"/>
                      <w:lang w:eastAsia="zh-CN"/>
                    </w:rPr>
                    <w:t>Ⅰ</w:t>
                  </w:r>
                </w:p>
              </w:tc>
              <w:tc>
                <w:tcPr>
                  <w:tcW w:w="351" w:type="pct"/>
                  <w:shd w:val="clear" w:color="auto" w:fill="FFFFFF"/>
                  <w:noWrap w:val="0"/>
                  <w:vAlign w:val="top"/>
                </w:tcPr>
                <w:p w14:paraId="7729DFF1">
                  <w:pPr>
                    <w:pStyle w:val="69"/>
                    <w:spacing w:before="22"/>
                    <w:jc w:val="center"/>
                    <w:rPr>
                      <w:color w:val="auto"/>
                      <w:sz w:val="21"/>
                      <w:lang w:eastAsia="zh-CN"/>
                    </w:rPr>
                  </w:pPr>
                  <w:r>
                    <w:rPr>
                      <w:color w:val="auto"/>
                      <w:sz w:val="21"/>
                      <w:lang w:eastAsia="zh-CN"/>
                    </w:rPr>
                    <w:t>Ⅱ</w:t>
                  </w:r>
                </w:p>
              </w:tc>
              <w:tc>
                <w:tcPr>
                  <w:tcW w:w="352" w:type="pct"/>
                  <w:shd w:val="clear" w:color="auto" w:fill="FFFFFF"/>
                  <w:noWrap w:val="0"/>
                  <w:vAlign w:val="top"/>
                </w:tcPr>
                <w:p w14:paraId="5EBCA782">
                  <w:pPr>
                    <w:pStyle w:val="69"/>
                    <w:spacing w:before="22"/>
                    <w:jc w:val="center"/>
                    <w:rPr>
                      <w:color w:val="auto"/>
                      <w:sz w:val="21"/>
                      <w:lang w:eastAsia="zh-CN"/>
                    </w:rPr>
                  </w:pPr>
                  <w:r>
                    <w:rPr>
                      <w:color w:val="auto"/>
                      <w:sz w:val="21"/>
                      <w:lang w:eastAsia="zh-CN"/>
                    </w:rPr>
                    <w:t>Ⅲ</w:t>
                  </w:r>
                </w:p>
              </w:tc>
              <w:tc>
                <w:tcPr>
                  <w:tcW w:w="499" w:type="pct"/>
                  <w:shd w:val="clear" w:color="auto" w:fill="FFFFFF"/>
                  <w:noWrap w:val="0"/>
                  <w:vAlign w:val="top"/>
                </w:tcPr>
                <w:p w14:paraId="30A562E8">
                  <w:pPr>
                    <w:pStyle w:val="69"/>
                    <w:spacing w:before="22"/>
                    <w:ind w:right="1"/>
                    <w:jc w:val="center"/>
                    <w:rPr>
                      <w:color w:val="auto"/>
                      <w:sz w:val="21"/>
                      <w:lang w:eastAsia="zh-CN"/>
                    </w:rPr>
                  </w:pPr>
                  <w:r>
                    <w:rPr>
                      <w:color w:val="auto"/>
                      <w:sz w:val="21"/>
                      <w:lang w:eastAsia="zh-CN"/>
                    </w:rPr>
                    <w:t>Ⅰ</w:t>
                  </w:r>
                </w:p>
              </w:tc>
              <w:tc>
                <w:tcPr>
                  <w:tcW w:w="501" w:type="pct"/>
                  <w:shd w:val="clear" w:color="auto" w:fill="FFFFFF"/>
                  <w:noWrap w:val="0"/>
                  <w:vAlign w:val="top"/>
                </w:tcPr>
                <w:p w14:paraId="683B3701">
                  <w:pPr>
                    <w:pStyle w:val="69"/>
                    <w:spacing w:before="22"/>
                    <w:ind w:right="316"/>
                    <w:jc w:val="right"/>
                    <w:rPr>
                      <w:color w:val="auto"/>
                      <w:sz w:val="21"/>
                      <w:lang w:eastAsia="zh-CN"/>
                    </w:rPr>
                  </w:pPr>
                  <w:r>
                    <w:rPr>
                      <w:color w:val="auto"/>
                      <w:sz w:val="21"/>
                      <w:lang w:eastAsia="zh-CN"/>
                    </w:rPr>
                    <w:t>Ⅱ</w:t>
                  </w:r>
                </w:p>
              </w:tc>
              <w:tc>
                <w:tcPr>
                  <w:tcW w:w="351" w:type="pct"/>
                  <w:gridSpan w:val="2"/>
                  <w:shd w:val="clear" w:color="auto" w:fill="FFFFFF"/>
                  <w:noWrap w:val="0"/>
                  <w:vAlign w:val="top"/>
                </w:tcPr>
                <w:p w14:paraId="43869F22">
                  <w:pPr>
                    <w:pStyle w:val="69"/>
                    <w:spacing w:before="22"/>
                    <w:ind w:left="187"/>
                    <w:rPr>
                      <w:color w:val="auto"/>
                      <w:sz w:val="21"/>
                      <w:lang w:eastAsia="zh-CN"/>
                    </w:rPr>
                  </w:pPr>
                  <w:r>
                    <w:rPr>
                      <w:color w:val="auto"/>
                      <w:sz w:val="21"/>
                      <w:lang w:eastAsia="zh-CN"/>
                    </w:rPr>
                    <w:t>Ⅲ</w:t>
                  </w:r>
                </w:p>
              </w:tc>
              <w:tc>
                <w:tcPr>
                  <w:tcW w:w="352" w:type="pct"/>
                  <w:shd w:val="clear" w:color="auto" w:fill="FFFFFF"/>
                  <w:noWrap w:val="0"/>
                  <w:vAlign w:val="top"/>
                </w:tcPr>
                <w:p w14:paraId="54BF10CA">
                  <w:pPr>
                    <w:pStyle w:val="69"/>
                    <w:spacing w:before="22"/>
                    <w:ind w:left="187"/>
                    <w:rPr>
                      <w:color w:val="auto"/>
                      <w:sz w:val="21"/>
                      <w:lang w:eastAsia="zh-CN"/>
                    </w:rPr>
                  </w:pPr>
                  <w:r>
                    <w:rPr>
                      <w:color w:val="auto"/>
                      <w:sz w:val="21"/>
                      <w:lang w:eastAsia="zh-CN"/>
                    </w:rPr>
                    <w:t>Ⅰ</w:t>
                  </w:r>
                </w:p>
              </w:tc>
              <w:tc>
                <w:tcPr>
                  <w:tcW w:w="351" w:type="pct"/>
                  <w:shd w:val="clear" w:color="auto" w:fill="FFFFFF"/>
                  <w:noWrap w:val="0"/>
                  <w:vAlign w:val="top"/>
                </w:tcPr>
                <w:p w14:paraId="60960F7B">
                  <w:pPr>
                    <w:pStyle w:val="69"/>
                    <w:spacing w:before="22"/>
                    <w:ind w:right="1"/>
                    <w:jc w:val="center"/>
                    <w:rPr>
                      <w:color w:val="auto"/>
                      <w:sz w:val="21"/>
                      <w:lang w:eastAsia="zh-CN"/>
                    </w:rPr>
                  </w:pPr>
                  <w:r>
                    <w:rPr>
                      <w:color w:val="auto"/>
                      <w:sz w:val="21"/>
                      <w:lang w:eastAsia="zh-CN"/>
                    </w:rPr>
                    <w:t>Ⅱ</w:t>
                  </w:r>
                </w:p>
              </w:tc>
              <w:tc>
                <w:tcPr>
                  <w:tcW w:w="350" w:type="pct"/>
                  <w:shd w:val="clear" w:color="auto" w:fill="FFFFFF"/>
                  <w:noWrap w:val="0"/>
                  <w:vAlign w:val="top"/>
                </w:tcPr>
                <w:p w14:paraId="1DD57984">
                  <w:pPr>
                    <w:pStyle w:val="69"/>
                    <w:spacing w:before="22"/>
                    <w:ind w:left="185"/>
                    <w:rPr>
                      <w:color w:val="auto"/>
                      <w:sz w:val="21"/>
                      <w:lang w:eastAsia="zh-CN"/>
                    </w:rPr>
                  </w:pPr>
                  <w:r>
                    <w:rPr>
                      <w:color w:val="auto"/>
                      <w:sz w:val="21"/>
                      <w:lang w:eastAsia="zh-CN"/>
                    </w:rPr>
                    <w:t>Ⅲ</w:t>
                  </w:r>
                </w:p>
              </w:tc>
            </w:tr>
            <w:tr w14:paraId="33D6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1" w:hRule="atLeast"/>
              </w:trPr>
              <w:tc>
                <w:tcPr>
                  <w:tcW w:w="421" w:type="pct"/>
                  <w:vMerge w:val="restart"/>
                  <w:shd w:val="clear" w:color="auto" w:fill="FFFFFF"/>
                  <w:noWrap w:val="0"/>
                  <w:vAlign w:val="top"/>
                </w:tcPr>
                <w:p w14:paraId="01EEF540">
                  <w:pPr>
                    <w:pStyle w:val="69"/>
                    <w:spacing w:before="1"/>
                    <w:rPr>
                      <w:b/>
                      <w:color w:val="auto"/>
                      <w:sz w:val="28"/>
                      <w:lang w:eastAsia="zh-CN"/>
                    </w:rPr>
                  </w:pPr>
                </w:p>
                <w:p w14:paraId="284AFD73">
                  <w:pPr>
                    <w:pStyle w:val="69"/>
                    <w:ind w:left="3"/>
                    <w:jc w:val="center"/>
                    <w:rPr>
                      <w:rFonts w:ascii="Times New Roman"/>
                      <w:color w:val="auto"/>
                      <w:sz w:val="21"/>
                      <w:lang w:eastAsia="zh-CN"/>
                    </w:rPr>
                  </w:pPr>
                  <w:r>
                    <w:rPr>
                      <w:rFonts w:ascii="Times New Roman"/>
                      <w:color w:val="auto"/>
                      <w:sz w:val="21"/>
                      <w:lang w:eastAsia="zh-CN"/>
                    </w:rPr>
                    <w:t>A</w:t>
                  </w:r>
                </w:p>
              </w:tc>
              <w:tc>
                <w:tcPr>
                  <w:tcW w:w="1117" w:type="pct"/>
                  <w:shd w:val="clear" w:color="auto" w:fill="FFFFFF"/>
                  <w:noWrap w:val="0"/>
                  <w:vAlign w:val="top"/>
                </w:tcPr>
                <w:p w14:paraId="2EBDB7D6">
                  <w:pPr>
                    <w:pStyle w:val="69"/>
                    <w:spacing w:before="36"/>
                    <w:ind w:left="91" w:right="93"/>
                    <w:jc w:val="center"/>
                    <w:rPr>
                      <w:rFonts w:ascii="Times New Roman"/>
                      <w:color w:val="auto"/>
                      <w:sz w:val="21"/>
                      <w:lang w:eastAsia="zh-CN"/>
                    </w:rPr>
                  </w:pPr>
                  <w:r>
                    <w:rPr>
                      <w:rFonts w:ascii="Times New Roman"/>
                      <w:color w:val="auto"/>
                      <w:sz w:val="21"/>
                      <w:lang w:eastAsia="zh-CN"/>
                    </w:rPr>
                    <w:t>&lt;2</w:t>
                  </w:r>
                </w:p>
              </w:tc>
              <w:tc>
                <w:tcPr>
                  <w:tcW w:w="351" w:type="pct"/>
                  <w:shd w:val="clear" w:color="auto" w:fill="FFFFFF"/>
                  <w:noWrap w:val="0"/>
                  <w:vAlign w:val="top"/>
                </w:tcPr>
                <w:p w14:paraId="298DD0F9">
                  <w:pPr>
                    <w:pStyle w:val="69"/>
                    <w:spacing w:before="36"/>
                    <w:ind w:left="117" w:right="117"/>
                    <w:jc w:val="center"/>
                    <w:rPr>
                      <w:rFonts w:ascii="Times New Roman"/>
                      <w:color w:val="auto"/>
                      <w:sz w:val="21"/>
                      <w:lang w:eastAsia="zh-CN"/>
                    </w:rPr>
                  </w:pPr>
                  <w:r>
                    <w:rPr>
                      <w:rFonts w:ascii="Times New Roman"/>
                      <w:color w:val="auto"/>
                      <w:sz w:val="21"/>
                      <w:lang w:eastAsia="zh-CN"/>
                    </w:rPr>
                    <w:t>400</w:t>
                  </w:r>
                </w:p>
              </w:tc>
              <w:tc>
                <w:tcPr>
                  <w:tcW w:w="351" w:type="pct"/>
                  <w:shd w:val="clear" w:color="auto" w:fill="FFFFFF"/>
                  <w:noWrap w:val="0"/>
                  <w:vAlign w:val="top"/>
                </w:tcPr>
                <w:p w14:paraId="5EBEBD5F">
                  <w:pPr>
                    <w:pStyle w:val="69"/>
                    <w:spacing w:before="36"/>
                    <w:ind w:left="117" w:right="117"/>
                    <w:jc w:val="center"/>
                    <w:rPr>
                      <w:rFonts w:ascii="Times New Roman"/>
                      <w:color w:val="auto"/>
                      <w:sz w:val="21"/>
                      <w:lang w:eastAsia="zh-CN"/>
                    </w:rPr>
                  </w:pPr>
                  <w:r>
                    <w:rPr>
                      <w:rFonts w:ascii="Times New Roman"/>
                      <w:color w:val="auto"/>
                      <w:sz w:val="21"/>
                      <w:lang w:eastAsia="zh-CN"/>
                    </w:rPr>
                    <w:t>400</w:t>
                  </w:r>
                </w:p>
              </w:tc>
              <w:tc>
                <w:tcPr>
                  <w:tcW w:w="352" w:type="pct"/>
                  <w:shd w:val="clear" w:color="auto" w:fill="FFFFFF"/>
                  <w:noWrap w:val="0"/>
                  <w:vAlign w:val="top"/>
                </w:tcPr>
                <w:p w14:paraId="4FB89287">
                  <w:pPr>
                    <w:pStyle w:val="69"/>
                    <w:spacing w:before="36"/>
                    <w:ind w:left="117" w:right="117"/>
                    <w:jc w:val="center"/>
                    <w:rPr>
                      <w:rFonts w:ascii="Times New Roman"/>
                      <w:color w:val="auto"/>
                      <w:sz w:val="21"/>
                      <w:lang w:eastAsia="zh-CN"/>
                    </w:rPr>
                  </w:pPr>
                  <w:r>
                    <w:rPr>
                      <w:rFonts w:ascii="Times New Roman"/>
                      <w:color w:val="auto"/>
                      <w:sz w:val="21"/>
                      <w:lang w:eastAsia="zh-CN"/>
                    </w:rPr>
                    <w:t>400</w:t>
                  </w:r>
                </w:p>
              </w:tc>
              <w:tc>
                <w:tcPr>
                  <w:tcW w:w="499" w:type="pct"/>
                  <w:shd w:val="clear" w:color="auto" w:fill="FFFFFF"/>
                  <w:noWrap w:val="0"/>
                  <w:vAlign w:val="top"/>
                </w:tcPr>
                <w:p w14:paraId="42D879E6">
                  <w:pPr>
                    <w:pStyle w:val="69"/>
                    <w:spacing w:before="36"/>
                    <w:ind w:left="245" w:right="242"/>
                    <w:jc w:val="center"/>
                    <w:rPr>
                      <w:rFonts w:ascii="Times New Roman"/>
                      <w:color w:val="auto"/>
                      <w:sz w:val="21"/>
                      <w:lang w:eastAsia="zh-CN"/>
                    </w:rPr>
                  </w:pPr>
                  <w:r>
                    <w:rPr>
                      <w:rFonts w:ascii="Times New Roman"/>
                      <w:color w:val="auto"/>
                      <w:sz w:val="21"/>
                      <w:lang w:eastAsia="zh-CN"/>
                    </w:rPr>
                    <w:t>400</w:t>
                  </w:r>
                </w:p>
              </w:tc>
              <w:tc>
                <w:tcPr>
                  <w:tcW w:w="501" w:type="pct"/>
                  <w:shd w:val="clear" w:color="auto" w:fill="FFFFFF"/>
                  <w:noWrap w:val="0"/>
                  <w:vAlign w:val="top"/>
                </w:tcPr>
                <w:p w14:paraId="1B6E7E4F">
                  <w:pPr>
                    <w:pStyle w:val="69"/>
                    <w:spacing w:before="36"/>
                    <w:ind w:right="260"/>
                    <w:jc w:val="right"/>
                    <w:rPr>
                      <w:rFonts w:ascii="Times New Roman"/>
                      <w:color w:val="auto"/>
                      <w:sz w:val="21"/>
                      <w:lang w:eastAsia="zh-CN"/>
                    </w:rPr>
                  </w:pPr>
                  <w:r>
                    <w:rPr>
                      <w:rFonts w:ascii="Times New Roman"/>
                      <w:color w:val="auto"/>
                      <w:sz w:val="21"/>
                      <w:lang w:eastAsia="zh-CN"/>
                    </w:rPr>
                    <w:t>400</w:t>
                  </w:r>
                </w:p>
              </w:tc>
              <w:tc>
                <w:tcPr>
                  <w:tcW w:w="351" w:type="pct"/>
                  <w:gridSpan w:val="2"/>
                  <w:shd w:val="clear" w:color="auto" w:fill="FFFFFF"/>
                  <w:noWrap w:val="0"/>
                  <w:vAlign w:val="top"/>
                </w:tcPr>
                <w:p w14:paraId="65120FEB">
                  <w:pPr>
                    <w:pStyle w:val="69"/>
                    <w:spacing w:before="36"/>
                    <w:ind w:left="135"/>
                    <w:rPr>
                      <w:rFonts w:ascii="Times New Roman"/>
                      <w:color w:val="auto"/>
                      <w:sz w:val="21"/>
                      <w:lang w:eastAsia="zh-CN"/>
                    </w:rPr>
                  </w:pPr>
                  <w:r>
                    <w:rPr>
                      <w:rFonts w:ascii="Times New Roman"/>
                      <w:color w:val="auto"/>
                      <w:sz w:val="21"/>
                      <w:lang w:eastAsia="zh-CN"/>
                    </w:rPr>
                    <w:t>400</w:t>
                  </w:r>
                </w:p>
              </w:tc>
              <w:tc>
                <w:tcPr>
                  <w:tcW w:w="352" w:type="pct"/>
                  <w:shd w:val="clear" w:color="auto" w:fill="FFFFFF"/>
                  <w:noWrap w:val="0"/>
                  <w:vAlign w:val="top"/>
                </w:tcPr>
                <w:p w14:paraId="6F8599F0">
                  <w:pPr>
                    <w:pStyle w:val="69"/>
                    <w:spacing w:before="36"/>
                    <w:ind w:left="187"/>
                    <w:rPr>
                      <w:rFonts w:ascii="Times New Roman"/>
                      <w:color w:val="auto"/>
                      <w:sz w:val="21"/>
                      <w:lang w:eastAsia="zh-CN"/>
                    </w:rPr>
                  </w:pPr>
                  <w:r>
                    <w:rPr>
                      <w:rFonts w:ascii="Times New Roman"/>
                      <w:color w:val="auto"/>
                      <w:sz w:val="21"/>
                      <w:lang w:eastAsia="zh-CN"/>
                    </w:rPr>
                    <w:t>80</w:t>
                  </w:r>
                </w:p>
              </w:tc>
              <w:tc>
                <w:tcPr>
                  <w:tcW w:w="351" w:type="pct"/>
                  <w:shd w:val="clear" w:color="auto" w:fill="FFFFFF"/>
                  <w:noWrap w:val="0"/>
                  <w:vAlign w:val="top"/>
                </w:tcPr>
                <w:p w14:paraId="14642B2E">
                  <w:pPr>
                    <w:pStyle w:val="69"/>
                    <w:spacing w:before="36"/>
                    <w:ind w:left="116" w:right="117"/>
                    <w:jc w:val="center"/>
                    <w:rPr>
                      <w:rFonts w:ascii="Times New Roman"/>
                      <w:color w:val="auto"/>
                      <w:sz w:val="21"/>
                      <w:lang w:eastAsia="zh-CN"/>
                    </w:rPr>
                  </w:pPr>
                  <w:r>
                    <w:rPr>
                      <w:rFonts w:ascii="Times New Roman"/>
                      <w:color w:val="auto"/>
                      <w:sz w:val="21"/>
                      <w:lang w:eastAsia="zh-CN"/>
                    </w:rPr>
                    <w:t>80</w:t>
                  </w:r>
                </w:p>
              </w:tc>
              <w:tc>
                <w:tcPr>
                  <w:tcW w:w="350" w:type="pct"/>
                  <w:shd w:val="clear" w:color="auto" w:fill="FFFFFF"/>
                  <w:noWrap w:val="0"/>
                  <w:vAlign w:val="top"/>
                </w:tcPr>
                <w:p w14:paraId="29B9CEC0">
                  <w:pPr>
                    <w:pStyle w:val="69"/>
                    <w:spacing w:before="36"/>
                    <w:ind w:left="185"/>
                    <w:rPr>
                      <w:rFonts w:ascii="Times New Roman"/>
                      <w:color w:val="auto"/>
                      <w:sz w:val="21"/>
                      <w:lang w:eastAsia="zh-CN"/>
                    </w:rPr>
                  </w:pPr>
                  <w:r>
                    <w:rPr>
                      <w:rFonts w:ascii="Times New Roman"/>
                      <w:color w:val="auto"/>
                      <w:sz w:val="21"/>
                      <w:lang w:eastAsia="zh-CN"/>
                    </w:rPr>
                    <w:t>80</w:t>
                  </w:r>
                </w:p>
              </w:tc>
            </w:tr>
            <w:tr w14:paraId="0A3B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421" w:type="pct"/>
                  <w:vMerge w:val="continue"/>
                  <w:shd w:val="clear" w:color="auto" w:fill="FFFFFF"/>
                  <w:noWrap w:val="0"/>
                  <w:vAlign w:val="top"/>
                </w:tcPr>
                <w:p w14:paraId="79274089">
                  <w:pPr>
                    <w:rPr>
                      <w:color w:val="auto"/>
                      <w:sz w:val="2"/>
                      <w:szCs w:val="2"/>
                    </w:rPr>
                  </w:pPr>
                </w:p>
              </w:tc>
              <w:tc>
                <w:tcPr>
                  <w:tcW w:w="1117" w:type="pct"/>
                  <w:shd w:val="clear" w:color="auto" w:fill="FFFFFF"/>
                  <w:noWrap w:val="0"/>
                  <w:vAlign w:val="top"/>
                </w:tcPr>
                <w:p w14:paraId="70DB81D7">
                  <w:pPr>
                    <w:pStyle w:val="69"/>
                    <w:spacing w:before="25"/>
                    <w:ind w:left="91" w:right="94"/>
                    <w:jc w:val="center"/>
                    <w:rPr>
                      <w:rFonts w:ascii="Times New Roman" w:eastAsia="Times New Roman"/>
                      <w:color w:val="auto"/>
                      <w:sz w:val="21"/>
                      <w:lang w:eastAsia="zh-CN"/>
                    </w:rPr>
                  </w:pPr>
                  <w:r>
                    <w:rPr>
                      <w:rFonts w:ascii="Times New Roman" w:eastAsia="Times New Roman"/>
                      <w:color w:val="auto"/>
                      <w:sz w:val="21"/>
                      <w:lang w:eastAsia="zh-CN"/>
                    </w:rPr>
                    <w:t>2</w:t>
                  </w:r>
                  <w:r>
                    <w:rPr>
                      <w:color w:val="auto"/>
                      <w:sz w:val="21"/>
                      <w:lang w:eastAsia="zh-CN"/>
                    </w:rPr>
                    <w:t>～</w:t>
                  </w:r>
                  <w:r>
                    <w:rPr>
                      <w:rFonts w:ascii="Times New Roman" w:eastAsia="Times New Roman"/>
                      <w:color w:val="auto"/>
                      <w:sz w:val="21"/>
                      <w:lang w:eastAsia="zh-CN"/>
                    </w:rPr>
                    <w:t>4</w:t>
                  </w:r>
                </w:p>
              </w:tc>
              <w:tc>
                <w:tcPr>
                  <w:tcW w:w="351" w:type="pct"/>
                  <w:shd w:val="clear" w:color="auto" w:fill="FFFFFF"/>
                  <w:noWrap w:val="0"/>
                  <w:vAlign w:val="top"/>
                </w:tcPr>
                <w:p w14:paraId="09D74DFA">
                  <w:pPr>
                    <w:pStyle w:val="69"/>
                    <w:spacing w:before="39"/>
                    <w:ind w:left="117" w:right="117"/>
                    <w:jc w:val="center"/>
                    <w:rPr>
                      <w:rFonts w:ascii="Times New Roman"/>
                      <w:color w:val="auto"/>
                      <w:sz w:val="21"/>
                      <w:lang w:eastAsia="zh-CN"/>
                    </w:rPr>
                  </w:pPr>
                  <w:r>
                    <w:rPr>
                      <w:rFonts w:ascii="Times New Roman"/>
                      <w:color w:val="auto"/>
                      <w:sz w:val="21"/>
                      <w:lang w:eastAsia="zh-CN"/>
                    </w:rPr>
                    <w:t>700</w:t>
                  </w:r>
                </w:p>
              </w:tc>
              <w:tc>
                <w:tcPr>
                  <w:tcW w:w="351" w:type="pct"/>
                  <w:shd w:val="clear" w:color="auto" w:fill="FFFFFF"/>
                  <w:noWrap w:val="0"/>
                  <w:vAlign w:val="top"/>
                </w:tcPr>
                <w:p w14:paraId="642544F0">
                  <w:pPr>
                    <w:pStyle w:val="69"/>
                    <w:spacing w:before="39"/>
                    <w:ind w:left="117" w:right="117"/>
                    <w:jc w:val="center"/>
                    <w:rPr>
                      <w:rFonts w:ascii="Times New Roman"/>
                      <w:color w:val="auto"/>
                      <w:sz w:val="21"/>
                      <w:lang w:eastAsia="zh-CN"/>
                    </w:rPr>
                  </w:pPr>
                  <w:r>
                    <w:rPr>
                      <w:rFonts w:ascii="Times New Roman"/>
                      <w:color w:val="auto"/>
                      <w:sz w:val="21"/>
                      <w:lang w:eastAsia="zh-CN"/>
                    </w:rPr>
                    <w:t>470</w:t>
                  </w:r>
                </w:p>
              </w:tc>
              <w:tc>
                <w:tcPr>
                  <w:tcW w:w="352" w:type="pct"/>
                  <w:shd w:val="clear" w:color="auto" w:fill="FFFFFF"/>
                  <w:noWrap w:val="0"/>
                  <w:vAlign w:val="top"/>
                </w:tcPr>
                <w:p w14:paraId="6F7C9CF4">
                  <w:pPr>
                    <w:pStyle w:val="69"/>
                    <w:spacing w:before="39"/>
                    <w:ind w:left="117" w:right="117"/>
                    <w:jc w:val="center"/>
                    <w:rPr>
                      <w:rFonts w:ascii="Times New Roman"/>
                      <w:color w:val="auto"/>
                      <w:sz w:val="21"/>
                      <w:lang w:eastAsia="zh-CN"/>
                    </w:rPr>
                  </w:pPr>
                  <w:r>
                    <w:rPr>
                      <w:rFonts w:ascii="Times New Roman"/>
                      <w:color w:val="auto"/>
                      <w:sz w:val="21"/>
                      <w:lang w:eastAsia="zh-CN"/>
                    </w:rPr>
                    <w:t>350</w:t>
                  </w:r>
                </w:p>
              </w:tc>
              <w:tc>
                <w:tcPr>
                  <w:tcW w:w="499" w:type="pct"/>
                  <w:shd w:val="clear" w:color="auto" w:fill="FFFFFF"/>
                  <w:noWrap w:val="0"/>
                  <w:vAlign w:val="top"/>
                </w:tcPr>
                <w:p w14:paraId="7F35D186">
                  <w:pPr>
                    <w:pStyle w:val="69"/>
                    <w:spacing w:before="39"/>
                    <w:ind w:left="245" w:right="242"/>
                    <w:jc w:val="center"/>
                    <w:rPr>
                      <w:rFonts w:ascii="Times New Roman"/>
                      <w:color w:val="auto"/>
                      <w:sz w:val="21"/>
                      <w:lang w:eastAsia="zh-CN"/>
                    </w:rPr>
                  </w:pPr>
                  <w:r>
                    <w:rPr>
                      <w:rFonts w:ascii="Times New Roman"/>
                      <w:color w:val="auto"/>
                      <w:sz w:val="21"/>
                      <w:lang w:eastAsia="zh-CN"/>
                    </w:rPr>
                    <w:t>700</w:t>
                  </w:r>
                </w:p>
              </w:tc>
              <w:tc>
                <w:tcPr>
                  <w:tcW w:w="501" w:type="pct"/>
                  <w:shd w:val="clear" w:color="auto" w:fill="FFFFFF"/>
                  <w:noWrap w:val="0"/>
                  <w:vAlign w:val="top"/>
                </w:tcPr>
                <w:p w14:paraId="03612BE1">
                  <w:pPr>
                    <w:pStyle w:val="69"/>
                    <w:spacing w:before="39"/>
                    <w:ind w:right="260"/>
                    <w:jc w:val="right"/>
                    <w:rPr>
                      <w:rFonts w:ascii="Times New Roman"/>
                      <w:color w:val="auto"/>
                      <w:sz w:val="21"/>
                      <w:lang w:eastAsia="zh-CN"/>
                    </w:rPr>
                  </w:pPr>
                  <w:r>
                    <w:rPr>
                      <w:rFonts w:ascii="Times New Roman"/>
                      <w:color w:val="auto"/>
                      <w:sz w:val="21"/>
                      <w:lang w:eastAsia="zh-CN"/>
                    </w:rPr>
                    <w:t>470</w:t>
                  </w:r>
                </w:p>
              </w:tc>
              <w:tc>
                <w:tcPr>
                  <w:tcW w:w="351" w:type="pct"/>
                  <w:gridSpan w:val="2"/>
                  <w:shd w:val="clear" w:color="auto" w:fill="FFFFFF"/>
                  <w:noWrap w:val="0"/>
                  <w:vAlign w:val="top"/>
                </w:tcPr>
                <w:p w14:paraId="681D2CB8">
                  <w:pPr>
                    <w:pStyle w:val="69"/>
                    <w:spacing w:before="39"/>
                    <w:ind w:left="135"/>
                    <w:rPr>
                      <w:rFonts w:ascii="Times New Roman"/>
                      <w:color w:val="auto"/>
                      <w:sz w:val="21"/>
                      <w:lang w:eastAsia="zh-CN"/>
                    </w:rPr>
                  </w:pPr>
                  <w:r>
                    <w:rPr>
                      <w:rFonts w:ascii="Times New Roman"/>
                      <w:color w:val="auto"/>
                      <w:sz w:val="21"/>
                      <w:lang w:eastAsia="zh-CN"/>
                    </w:rPr>
                    <w:t>350</w:t>
                  </w:r>
                </w:p>
              </w:tc>
              <w:tc>
                <w:tcPr>
                  <w:tcW w:w="352" w:type="pct"/>
                  <w:shd w:val="clear" w:color="auto" w:fill="FFFFFF"/>
                  <w:noWrap w:val="0"/>
                  <w:vAlign w:val="top"/>
                </w:tcPr>
                <w:p w14:paraId="324E5357">
                  <w:pPr>
                    <w:pStyle w:val="69"/>
                    <w:spacing w:before="39"/>
                    <w:ind w:left="135"/>
                    <w:rPr>
                      <w:rFonts w:ascii="Times New Roman"/>
                      <w:color w:val="auto"/>
                      <w:sz w:val="21"/>
                      <w:lang w:eastAsia="zh-CN"/>
                    </w:rPr>
                  </w:pPr>
                  <w:r>
                    <w:rPr>
                      <w:rFonts w:ascii="Times New Roman"/>
                      <w:color w:val="auto"/>
                      <w:sz w:val="21"/>
                      <w:lang w:eastAsia="zh-CN"/>
                    </w:rPr>
                    <w:t>380</w:t>
                  </w:r>
                </w:p>
              </w:tc>
              <w:tc>
                <w:tcPr>
                  <w:tcW w:w="351" w:type="pct"/>
                  <w:shd w:val="clear" w:color="auto" w:fill="FFFFFF"/>
                  <w:noWrap w:val="0"/>
                  <w:vAlign w:val="top"/>
                </w:tcPr>
                <w:p w14:paraId="6E57AE50">
                  <w:pPr>
                    <w:pStyle w:val="69"/>
                    <w:spacing w:before="39"/>
                    <w:ind w:left="116" w:right="117"/>
                    <w:jc w:val="center"/>
                    <w:rPr>
                      <w:rFonts w:ascii="Times New Roman"/>
                      <w:color w:val="auto"/>
                      <w:sz w:val="21"/>
                      <w:lang w:eastAsia="zh-CN"/>
                    </w:rPr>
                  </w:pPr>
                  <w:r>
                    <w:rPr>
                      <w:rFonts w:ascii="Times New Roman"/>
                      <w:color w:val="auto"/>
                      <w:sz w:val="21"/>
                      <w:lang w:eastAsia="zh-CN"/>
                    </w:rPr>
                    <w:t>250</w:t>
                  </w:r>
                </w:p>
              </w:tc>
              <w:tc>
                <w:tcPr>
                  <w:tcW w:w="350" w:type="pct"/>
                  <w:shd w:val="clear" w:color="auto" w:fill="FFFFFF"/>
                  <w:noWrap w:val="0"/>
                  <w:vAlign w:val="top"/>
                </w:tcPr>
                <w:p w14:paraId="5B61C995">
                  <w:pPr>
                    <w:pStyle w:val="69"/>
                    <w:spacing w:before="39"/>
                    <w:ind w:left="134"/>
                    <w:rPr>
                      <w:rFonts w:ascii="Times New Roman"/>
                      <w:color w:val="auto"/>
                      <w:sz w:val="21"/>
                      <w:lang w:eastAsia="zh-CN"/>
                    </w:rPr>
                  </w:pPr>
                  <w:r>
                    <w:rPr>
                      <w:rFonts w:ascii="Times New Roman"/>
                      <w:color w:val="auto"/>
                      <w:sz w:val="21"/>
                      <w:lang w:eastAsia="zh-CN"/>
                    </w:rPr>
                    <w:t>190</w:t>
                  </w:r>
                </w:p>
              </w:tc>
            </w:tr>
            <w:tr w14:paraId="4CBE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1" w:hRule="atLeast"/>
              </w:trPr>
              <w:tc>
                <w:tcPr>
                  <w:tcW w:w="421" w:type="pct"/>
                  <w:vMerge w:val="continue"/>
                  <w:shd w:val="clear" w:color="auto" w:fill="FFFFFF"/>
                  <w:noWrap w:val="0"/>
                  <w:vAlign w:val="top"/>
                </w:tcPr>
                <w:p w14:paraId="03AB9965">
                  <w:pPr>
                    <w:rPr>
                      <w:color w:val="auto"/>
                      <w:sz w:val="2"/>
                      <w:szCs w:val="2"/>
                    </w:rPr>
                  </w:pPr>
                </w:p>
              </w:tc>
              <w:tc>
                <w:tcPr>
                  <w:tcW w:w="1117" w:type="pct"/>
                  <w:shd w:val="clear" w:color="auto" w:fill="FFFFFF"/>
                  <w:noWrap w:val="0"/>
                  <w:vAlign w:val="top"/>
                </w:tcPr>
                <w:p w14:paraId="6A877DEF">
                  <w:pPr>
                    <w:pStyle w:val="69"/>
                    <w:spacing w:before="36"/>
                    <w:ind w:left="91" w:right="93"/>
                    <w:jc w:val="center"/>
                    <w:rPr>
                      <w:rFonts w:ascii="Times New Roman"/>
                      <w:color w:val="auto"/>
                      <w:sz w:val="21"/>
                      <w:lang w:eastAsia="zh-CN"/>
                    </w:rPr>
                  </w:pPr>
                  <w:r>
                    <w:rPr>
                      <w:rFonts w:ascii="Times New Roman"/>
                      <w:color w:val="auto"/>
                      <w:sz w:val="21"/>
                      <w:lang w:eastAsia="zh-CN"/>
                    </w:rPr>
                    <w:t>&gt;4</w:t>
                  </w:r>
                </w:p>
              </w:tc>
              <w:tc>
                <w:tcPr>
                  <w:tcW w:w="351" w:type="pct"/>
                  <w:shd w:val="clear" w:color="auto" w:fill="FFFFFF"/>
                  <w:noWrap w:val="0"/>
                  <w:vAlign w:val="top"/>
                </w:tcPr>
                <w:p w14:paraId="327DE893">
                  <w:pPr>
                    <w:pStyle w:val="69"/>
                    <w:spacing w:before="36"/>
                    <w:ind w:left="117" w:right="117"/>
                    <w:jc w:val="center"/>
                    <w:rPr>
                      <w:rFonts w:ascii="Times New Roman"/>
                      <w:color w:val="auto"/>
                      <w:sz w:val="21"/>
                      <w:lang w:eastAsia="zh-CN"/>
                    </w:rPr>
                  </w:pPr>
                  <w:r>
                    <w:rPr>
                      <w:rFonts w:ascii="Times New Roman"/>
                      <w:color w:val="auto"/>
                      <w:sz w:val="21"/>
                      <w:lang w:eastAsia="zh-CN"/>
                    </w:rPr>
                    <w:t>530</w:t>
                  </w:r>
                </w:p>
              </w:tc>
              <w:tc>
                <w:tcPr>
                  <w:tcW w:w="351" w:type="pct"/>
                  <w:shd w:val="clear" w:color="auto" w:fill="FFFFFF"/>
                  <w:noWrap w:val="0"/>
                  <w:vAlign w:val="top"/>
                </w:tcPr>
                <w:p w14:paraId="764531F9">
                  <w:pPr>
                    <w:pStyle w:val="69"/>
                    <w:spacing w:before="36"/>
                    <w:ind w:left="117" w:right="117"/>
                    <w:jc w:val="center"/>
                    <w:rPr>
                      <w:rFonts w:ascii="Times New Roman"/>
                      <w:color w:val="auto"/>
                      <w:sz w:val="21"/>
                      <w:lang w:eastAsia="zh-CN"/>
                    </w:rPr>
                  </w:pPr>
                  <w:r>
                    <w:rPr>
                      <w:rFonts w:ascii="Times New Roman"/>
                      <w:color w:val="auto"/>
                      <w:sz w:val="21"/>
                      <w:lang w:eastAsia="zh-CN"/>
                    </w:rPr>
                    <w:t>350</w:t>
                  </w:r>
                </w:p>
              </w:tc>
              <w:tc>
                <w:tcPr>
                  <w:tcW w:w="352" w:type="pct"/>
                  <w:shd w:val="clear" w:color="auto" w:fill="FFFFFF"/>
                  <w:noWrap w:val="0"/>
                  <w:vAlign w:val="top"/>
                </w:tcPr>
                <w:p w14:paraId="2EEC49D4">
                  <w:pPr>
                    <w:pStyle w:val="69"/>
                    <w:spacing w:before="36"/>
                    <w:ind w:left="117" w:right="117"/>
                    <w:jc w:val="center"/>
                    <w:rPr>
                      <w:rFonts w:ascii="Times New Roman"/>
                      <w:color w:val="auto"/>
                      <w:sz w:val="21"/>
                      <w:lang w:eastAsia="zh-CN"/>
                    </w:rPr>
                  </w:pPr>
                  <w:r>
                    <w:rPr>
                      <w:rFonts w:ascii="Times New Roman"/>
                      <w:color w:val="auto"/>
                      <w:sz w:val="21"/>
                      <w:lang w:eastAsia="zh-CN"/>
                    </w:rPr>
                    <w:t>260</w:t>
                  </w:r>
                </w:p>
              </w:tc>
              <w:tc>
                <w:tcPr>
                  <w:tcW w:w="499" w:type="pct"/>
                  <w:shd w:val="clear" w:color="auto" w:fill="FFFFFF"/>
                  <w:noWrap w:val="0"/>
                  <w:vAlign w:val="top"/>
                </w:tcPr>
                <w:p w14:paraId="60B27749">
                  <w:pPr>
                    <w:pStyle w:val="69"/>
                    <w:spacing w:before="36"/>
                    <w:ind w:left="245" w:right="242"/>
                    <w:jc w:val="center"/>
                    <w:rPr>
                      <w:rFonts w:ascii="Times New Roman"/>
                      <w:color w:val="auto"/>
                      <w:sz w:val="21"/>
                      <w:lang w:eastAsia="zh-CN"/>
                    </w:rPr>
                  </w:pPr>
                  <w:r>
                    <w:rPr>
                      <w:rFonts w:ascii="Times New Roman"/>
                      <w:color w:val="auto"/>
                      <w:sz w:val="21"/>
                      <w:lang w:eastAsia="zh-CN"/>
                    </w:rPr>
                    <w:t>530</w:t>
                  </w:r>
                </w:p>
              </w:tc>
              <w:tc>
                <w:tcPr>
                  <w:tcW w:w="501" w:type="pct"/>
                  <w:shd w:val="clear" w:color="auto" w:fill="FFFFFF"/>
                  <w:noWrap w:val="0"/>
                  <w:vAlign w:val="top"/>
                </w:tcPr>
                <w:p w14:paraId="169E4849">
                  <w:pPr>
                    <w:pStyle w:val="69"/>
                    <w:spacing w:before="36"/>
                    <w:ind w:right="260"/>
                    <w:jc w:val="right"/>
                    <w:rPr>
                      <w:rFonts w:ascii="Times New Roman"/>
                      <w:color w:val="auto"/>
                      <w:sz w:val="21"/>
                      <w:lang w:eastAsia="zh-CN"/>
                    </w:rPr>
                  </w:pPr>
                  <w:r>
                    <w:rPr>
                      <w:rFonts w:ascii="Times New Roman"/>
                      <w:color w:val="auto"/>
                      <w:sz w:val="21"/>
                      <w:lang w:eastAsia="zh-CN"/>
                    </w:rPr>
                    <w:t>350</w:t>
                  </w:r>
                </w:p>
              </w:tc>
              <w:tc>
                <w:tcPr>
                  <w:tcW w:w="351" w:type="pct"/>
                  <w:gridSpan w:val="2"/>
                  <w:shd w:val="clear" w:color="auto" w:fill="FFFFFF"/>
                  <w:noWrap w:val="0"/>
                  <w:vAlign w:val="top"/>
                </w:tcPr>
                <w:p w14:paraId="2F5CD15B">
                  <w:pPr>
                    <w:pStyle w:val="69"/>
                    <w:spacing w:before="36"/>
                    <w:ind w:left="135"/>
                    <w:rPr>
                      <w:rFonts w:ascii="Times New Roman"/>
                      <w:color w:val="auto"/>
                      <w:sz w:val="21"/>
                      <w:lang w:eastAsia="zh-CN"/>
                    </w:rPr>
                  </w:pPr>
                  <w:r>
                    <w:rPr>
                      <w:rFonts w:ascii="Times New Roman"/>
                      <w:color w:val="auto"/>
                      <w:sz w:val="21"/>
                      <w:lang w:eastAsia="zh-CN"/>
                    </w:rPr>
                    <w:t>260</w:t>
                  </w:r>
                </w:p>
              </w:tc>
              <w:tc>
                <w:tcPr>
                  <w:tcW w:w="352" w:type="pct"/>
                  <w:shd w:val="clear" w:color="auto" w:fill="FFFFFF"/>
                  <w:noWrap w:val="0"/>
                  <w:vAlign w:val="top"/>
                </w:tcPr>
                <w:p w14:paraId="54BF2EA6">
                  <w:pPr>
                    <w:pStyle w:val="69"/>
                    <w:spacing w:before="36"/>
                    <w:ind w:left="135"/>
                    <w:rPr>
                      <w:rFonts w:ascii="Times New Roman"/>
                      <w:color w:val="auto"/>
                      <w:sz w:val="21"/>
                      <w:lang w:eastAsia="zh-CN"/>
                    </w:rPr>
                  </w:pPr>
                  <w:r>
                    <w:rPr>
                      <w:rFonts w:ascii="Times New Roman"/>
                      <w:color w:val="auto"/>
                      <w:sz w:val="21"/>
                      <w:lang w:eastAsia="zh-CN"/>
                    </w:rPr>
                    <w:t>290</w:t>
                  </w:r>
                </w:p>
              </w:tc>
              <w:tc>
                <w:tcPr>
                  <w:tcW w:w="351" w:type="pct"/>
                  <w:shd w:val="clear" w:color="auto" w:fill="FFFFFF"/>
                  <w:noWrap w:val="0"/>
                  <w:vAlign w:val="top"/>
                </w:tcPr>
                <w:p w14:paraId="1DC8CC80">
                  <w:pPr>
                    <w:pStyle w:val="69"/>
                    <w:spacing w:before="36"/>
                    <w:ind w:left="116" w:right="117"/>
                    <w:jc w:val="center"/>
                    <w:rPr>
                      <w:rFonts w:ascii="Times New Roman"/>
                      <w:color w:val="auto"/>
                      <w:sz w:val="21"/>
                      <w:lang w:eastAsia="zh-CN"/>
                    </w:rPr>
                  </w:pPr>
                  <w:r>
                    <w:rPr>
                      <w:rFonts w:ascii="Times New Roman"/>
                      <w:color w:val="auto"/>
                      <w:sz w:val="21"/>
                      <w:lang w:eastAsia="zh-CN"/>
                    </w:rPr>
                    <w:t>190</w:t>
                  </w:r>
                </w:p>
              </w:tc>
              <w:tc>
                <w:tcPr>
                  <w:tcW w:w="350" w:type="pct"/>
                  <w:shd w:val="clear" w:color="auto" w:fill="FFFFFF"/>
                  <w:noWrap w:val="0"/>
                  <w:vAlign w:val="top"/>
                </w:tcPr>
                <w:p w14:paraId="1B78FC2F">
                  <w:pPr>
                    <w:pStyle w:val="69"/>
                    <w:spacing w:before="36"/>
                    <w:ind w:left="134"/>
                    <w:rPr>
                      <w:rFonts w:ascii="Times New Roman"/>
                      <w:color w:val="auto"/>
                      <w:sz w:val="21"/>
                      <w:lang w:eastAsia="zh-CN"/>
                    </w:rPr>
                  </w:pPr>
                  <w:r>
                    <w:rPr>
                      <w:rFonts w:ascii="Times New Roman"/>
                      <w:color w:val="auto"/>
                      <w:sz w:val="21"/>
                      <w:lang w:eastAsia="zh-CN"/>
                    </w:rPr>
                    <w:t>140</w:t>
                  </w:r>
                </w:p>
              </w:tc>
            </w:tr>
            <w:tr w14:paraId="4E18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1" w:hRule="atLeast"/>
              </w:trPr>
              <w:tc>
                <w:tcPr>
                  <w:tcW w:w="421" w:type="pct"/>
                  <w:vMerge w:val="restart"/>
                  <w:shd w:val="clear" w:color="auto" w:fill="FFFFFF"/>
                  <w:noWrap w:val="0"/>
                  <w:vAlign w:val="top"/>
                </w:tcPr>
                <w:p w14:paraId="0BEC89C6">
                  <w:pPr>
                    <w:pStyle w:val="69"/>
                    <w:spacing w:before="197"/>
                    <w:ind w:left="6"/>
                    <w:jc w:val="center"/>
                    <w:rPr>
                      <w:rFonts w:ascii="Times New Roman"/>
                      <w:color w:val="auto"/>
                      <w:sz w:val="21"/>
                      <w:lang w:eastAsia="zh-CN"/>
                    </w:rPr>
                  </w:pPr>
                  <w:r>
                    <w:rPr>
                      <w:rFonts w:ascii="Times New Roman"/>
                      <w:color w:val="auto"/>
                      <w:sz w:val="21"/>
                      <w:lang w:eastAsia="zh-CN"/>
                    </w:rPr>
                    <w:t>B</w:t>
                  </w:r>
                </w:p>
              </w:tc>
              <w:tc>
                <w:tcPr>
                  <w:tcW w:w="1117" w:type="pct"/>
                  <w:shd w:val="clear" w:color="auto" w:fill="FFFFFF"/>
                  <w:noWrap w:val="0"/>
                  <w:vAlign w:val="top"/>
                </w:tcPr>
                <w:p w14:paraId="0283EEDD">
                  <w:pPr>
                    <w:pStyle w:val="69"/>
                    <w:spacing w:before="36"/>
                    <w:ind w:left="91" w:right="93"/>
                    <w:jc w:val="center"/>
                    <w:rPr>
                      <w:rFonts w:ascii="Times New Roman"/>
                      <w:color w:val="auto"/>
                      <w:sz w:val="21"/>
                      <w:lang w:eastAsia="zh-CN"/>
                    </w:rPr>
                  </w:pPr>
                  <w:r>
                    <w:rPr>
                      <w:rFonts w:ascii="Times New Roman"/>
                      <w:color w:val="auto"/>
                      <w:sz w:val="21"/>
                      <w:lang w:eastAsia="zh-CN"/>
                    </w:rPr>
                    <w:t>&lt;2</w:t>
                  </w:r>
                </w:p>
              </w:tc>
              <w:tc>
                <w:tcPr>
                  <w:tcW w:w="1055" w:type="pct"/>
                  <w:gridSpan w:val="3"/>
                  <w:shd w:val="clear" w:color="auto" w:fill="FFFFFF"/>
                  <w:noWrap w:val="0"/>
                  <w:vAlign w:val="top"/>
                </w:tcPr>
                <w:p w14:paraId="1B98C214">
                  <w:pPr>
                    <w:pStyle w:val="69"/>
                    <w:spacing w:before="36"/>
                    <w:ind w:left="638" w:right="638"/>
                    <w:jc w:val="center"/>
                    <w:rPr>
                      <w:rFonts w:ascii="Times New Roman"/>
                      <w:color w:val="auto"/>
                      <w:sz w:val="21"/>
                      <w:lang w:eastAsia="zh-CN"/>
                    </w:rPr>
                  </w:pPr>
                  <w:r>
                    <w:rPr>
                      <w:rFonts w:ascii="Times New Roman"/>
                      <w:color w:val="auto"/>
                      <w:sz w:val="21"/>
                      <w:lang w:eastAsia="zh-CN"/>
                    </w:rPr>
                    <w:t>0.01</w:t>
                  </w:r>
                </w:p>
              </w:tc>
              <w:tc>
                <w:tcPr>
                  <w:tcW w:w="1176" w:type="pct"/>
                  <w:gridSpan w:val="3"/>
                  <w:shd w:val="clear" w:color="auto" w:fill="FFFFFF"/>
                  <w:noWrap w:val="0"/>
                  <w:vAlign w:val="top"/>
                </w:tcPr>
                <w:p w14:paraId="50B3F85C">
                  <w:pPr>
                    <w:pStyle w:val="69"/>
                    <w:spacing w:before="36"/>
                    <w:ind w:left="742" w:right="741"/>
                    <w:jc w:val="center"/>
                    <w:rPr>
                      <w:rFonts w:ascii="Times New Roman"/>
                      <w:color w:val="auto"/>
                      <w:sz w:val="21"/>
                      <w:lang w:eastAsia="zh-CN"/>
                    </w:rPr>
                  </w:pPr>
                  <w:r>
                    <w:rPr>
                      <w:rFonts w:ascii="Times New Roman"/>
                      <w:color w:val="auto"/>
                      <w:sz w:val="21"/>
                      <w:lang w:eastAsia="zh-CN"/>
                    </w:rPr>
                    <w:t>0.015</w:t>
                  </w:r>
                </w:p>
              </w:tc>
              <w:tc>
                <w:tcPr>
                  <w:tcW w:w="1229" w:type="pct"/>
                  <w:gridSpan w:val="4"/>
                  <w:shd w:val="clear" w:color="auto" w:fill="FFFFFF"/>
                  <w:noWrap w:val="0"/>
                  <w:vAlign w:val="top"/>
                </w:tcPr>
                <w:p w14:paraId="35FD8A53">
                  <w:pPr>
                    <w:pStyle w:val="69"/>
                    <w:spacing w:before="36"/>
                    <w:ind w:left="787" w:right="790"/>
                    <w:jc w:val="center"/>
                    <w:rPr>
                      <w:rFonts w:ascii="Times New Roman"/>
                      <w:color w:val="auto"/>
                      <w:sz w:val="21"/>
                      <w:lang w:eastAsia="zh-CN"/>
                    </w:rPr>
                  </w:pPr>
                  <w:r>
                    <w:rPr>
                      <w:rFonts w:ascii="Times New Roman"/>
                      <w:color w:val="auto"/>
                      <w:sz w:val="21"/>
                      <w:lang w:eastAsia="zh-CN"/>
                    </w:rPr>
                    <w:t>0.015</w:t>
                  </w:r>
                </w:p>
              </w:tc>
            </w:tr>
            <w:tr w14:paraId="3727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1" w:hRule="atLeast"/>
              </w:trPr>
              <w:tc>
                <w:tcPr>
                  <w:tcW w:w="421" w:type="pct"/>
                  <w:vMerge w:val="continue"/>
                  <w:shd w:val="clear" w:color="auto" w:fill="FFFFFF"/>
                  <w:noWrap w:val="0"/>
                  <w:vAlign w:val="top"/>
                </w:tcPr>
                <w:p w14:paraId="675EDCF0">
                  <w:pPr>
                    <w:rPr>
                      <w:color w:val="auto"/>
                      <w:sz w:val="2"/>
                      <w:szCs w:val="2"/>
                    </w:rPr>
                  </w:pPr>
                </w:p>
              </w:tc>
              <w:tc>
                <w:tcPr>
                  <w:tcW w:w="1117" w:type="pct"/>
                  <w:shd w:val="clear" w:color="auto" w:fill="FFFFFF"/>
                  <w:noWrap w:val="0"/>
                  <w:vAlign w:val="top"/>
                </w:tcPr>
                <w:p w14:paraId="5C493F20">
                  <w:pPr>
                    <w:pStyle w:val="69"/>
                    <w:spacing w:before="36"/>
                    <w:ind w:left="91" w:right="93"/>
                    <w:jc w:val="center"/>
                    <w:rPr>
                      <w:rFonts w:ascii="Times New Roman"/>
                      <w:color w:val="auto"/>
                      <w:sz w:val="21"/>
                      <w:lang w:eastAsia="zh-CN"/>
                    </w:rPr>
                  </w:pPr>
                  <w:r>
                    <w:rPr>
                      <w:rFonts w:ascii="Times New Roman"/>
                      <w:color w:val="auto"/>
                      <w:sz w:val="21"/>
                      <w:lang w:eastAsia="zh-CN"/>
                    </w:rPr>
                    <w:t>&gt;2</w:t>
                  </w:r>
                </w:p>
              </w:tc>
              <w:tc>
                <w:tcPr>
                  <w:tcW w:w="1055" w:type="pct"/>
                  <w:gridSpan w:val="3"/>
                  <w:shd w:val="clear" w:color="auto" w:fill="FFFFFF"/>
                  <w:noWrap w:val="0"/>
                  <w:vAlign w:val="top"/>
                </w:tcPr>
                <w:p w14:paraId="491CA1D7">
                  <w:pPr>
                    <w:pStyle w:val="69"/>
                    <w:spacing w:before="36"/>
                    <w:ind w:left="638" w:right="638"/>
                    <w:jc w:val="center"/>
                    <w:rPr>
                      <w:rFonts w:ascii="Times New Roman"/>
                      <w:color w:val="auto"/>
                      <w:sz w:val="21"/>
                      <w:lang w:eastAsia="zh-CN"/>
                    </w:rPr>
                  </w:pPr>
                  <w:r>
                    <w:rPr>
                      <w:rFonts w:ascii="Times New Roman"/>
                      <w:color w:val="auto"/>
                      <w:sz w:val="21"/>
                      <w:lang w:eastAsia="zh-CN"/>
                    </w:rPr>
                    <w:t>0.021</w:t>
                  </w:r>
                </w:p>
              </w:tc>
              <w:tc>
                <w:tcPr>
                  <w:tcW w:w="1176" w:type="pct"/>
                  <w:gridSpan w:val="3"/>
                  <w:shd w:val="clear" w:color="auto" w:fill="FFFFFF"/>
                  <w:noWrap w:val="0"/>
                  <w:vAlign w:val="top"/>
                </w:tcPr>
                <w:p w14:paraId="432FDA14">
                  <w:pPr>
                    <w:pStyle w:val="69"/>
                    <w:spacing w:before="36"/>
                    <w:ind w:left="742" w:right="741"/>
                    <w:jc w:val="center"/>
                    <w:rPr>
                      <w:rFonts w:ascii="Times New Roman"/>
                      <w:color w:val="auto"/>
                      <w:sz w:val="21"/>
                      <w:lang w:eastAsia="zh-CN"/>
                    </w:rPr>
                  </w:pPr>
                  <w:r>
                    <w:rPr>
                      <w:rFonts w:ascii="Times New Roman"/>
                      <w:color w:val="auto"/>
                      <w:sz w:val="21"/>
                      <w:lang w:eastAsia="zh-CN"/>
                    </w:rPr>
                    <w:t>0.036</w:t>
                  </w:r>
                </w:p>
              </w:tc>
              <w:tc>
                <w:tcPr>
                  <w:tcW w:w="1229" w:type="pct"/>
                  <w:gridSpan w:val="4"/>
                  <w:shd w:val="clear" w:color="auto" w:fill="FFFFFF"/>
                  <w:noWrap w:val="0"/>
                  <w:vAlign w:val="top"/>
                </w:tcPr>
                <w:p w14:paraId="6E2E4839">
                  <w:pPr>
                    <w:pStyle w:val="69"/>
                    <w:spacing w:before="36"/>
                    <w:ind w:left="787" w:right="790"/>
                    <w:jc w:val="center"/>
                    <w:rPr>
                      <w:rFonts w:ascii="Times New Roman"/>
                      <w:color w:val="auto"/>
                      <w:sz w:val="21"/>
                      <w:lang w:eastAsia="zh-CN"/>
                    </w:rPr>
                  </w:pPr>
                  <w:r>
                    <w:rPr>
                      <w:rFonts w:ascii="Times New Roman"/>
                      <w:color w:val="auto"/>
                      <w:sz w:val="21"/>
                      <w:lang w:eastAsia="zh-CN"/>
                    </w:rPr>
                    <w:t>0.036</w:t>
                  </w:r>
                </w:p>
              </w:tc>
            </w:tr>
            <w:tr w14:paraId="7AF3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421" w:type="pct"/>
                  <w:vMerge w:val="restart"/>
                  <w:shd w:val="clear" w:color="auto" w:fill="FFFFFF"/>
                  <w:noWrap w:val="0"/>
                  <w:vAlign w:val="top"/>
                </w:tcPr>
                <w:p w14:paraId="598FDDBD">
                  <w:pPr>
                    <w:pStyle w:val="69"/>
                    <w:spacing w:before="198"/>
                    <w:ind w:left="6"/>
                    <w:jc w:val="center"/>
                    <w:rPr>
                      <w:rFonts w:ascii="Times New Roman"/>
                      <w:color w:val="auto"/>
                      <w:sz w:val="21"/>
                      <w:lang w:eastAsia="zh-CN"/>
                    </w:rPr>
                  </w:pPr>
                  <w:r>
                    <w:rPr>
                      <w:rFonts w:ascii="Times New Roman"/>
                      <w:color w:val="auto"/>
                      <w:sz w:val="21"/>
                      <w:lang w:eastAsia="zh-CN"/>
                    </w:rPr>
                    <w:t>C</w:t>
                  </w:r>
                </w:p>
              </w:tc>
              <w:tc>
                <w:tcPr>
                  <w:tcW w:w="1117" w:type="pct"/>
                  <w:shd w:val="clear" w:color="auto" w:fill="FFFFFF"/>
                  <w:noWrap w:val="0"/>
                  <w:vAlign w:val="top"/>
                </w:tcPr>
                <w:p w14:paraId="58D35AA7">
                  <w:pPr>
                    <w:pStyle w:val="69"/>
                    <w:spacing w:before="37"/>
                    <w:ind w:left="91" w:right="93"/>
                    <w:jc w:val="center"/>
                    <w:rPr>
                      <w:rFonts w:ascii="Times New Roman"/>
                      <w:color w:val="auto"/>
                      <w:sz w:val="21"/>
                      <w:lang w:eastAsia="zh-CN"/>
                    </w:rPr>
                  </w:pPr>
                  <w:r>
                    <w:rPr>
                      <w:rFonts w:ascii="Times New Roman"/>
                      <w:color w:val="auto"/>
                      <w:sz w:val="21"/>
                      <w:lang w:eastAsia="zh-CN"/>
                    </w:rPr>
                    <w:t>&lt;2</w:t>
                  </w:r>
                </w:p>
              </w:tc>
              <w:tc>
                <w:tcPr>
                  <w:tcW w:w="1055" w:type="pct"/>
                  <w:gridSpan w:val="3"/>
                  <w:shd w:val="clear" w:color="auto" w:fill="FFFFFF"/>
                  <w:noWrap w:val="0"/>
                  <w:vAlign w:val="top"/>
                </w:tcPr>
                <w:p w14:paraId="274F590F">
                  <w:pPr>
                    <w:pStyle w:val="69"/>
                    <w:spacing w:before="37"/>
                    <w:ind w:left="638" w:right="638"/>
                    <w:jc w:val="center"/>
                    <w:rPr>
                      <w:rFonts w:ascii="Times New Roman"/>
                      <w:color w:val="auto"/>
                      <w:sz w:val="21"/>
                      <w:lang w:eastAsia="zh-CN"/>
                    </w:rPr>
                  </w:pPr>
                  <w:r>
                    <w:rPr>
                      <w:rFonts w:ascii="Times New Roman"/>
                      <w:color w:val="auto"/>
                      <w:sz w:val="21"/>
                      <w:lang w:eastAsia="zh-CN"/>
                    </w:rPr>
                    <w:t>1.85</w:t>
                  </w:r>
                </w:p>
              </w:tc>
              <w:tc>
                <w:tcPr>
                  <w:tcW w:w="1176" w:type="pct"/>
                  <w:gridSpan w:val="3"/>
                  <w:shd w:val="clear" w:color="auto" w:fill="FFFFFF"/>
                  <w:noWrap w:val="0"/>
                  <w:vAlign w:val="top"/>
                </w:tcPr>
                <w:p w14:paraId="133625C6">
                  <w:pPr>
                    <w:pStyle w:val="69"/>
                    <w:spacing w:before="37"/>
                    <w:ind w:left="742" w:right="741"/>
                    <w:jc w:val="center"/>
                    <w:rPr>
                      <w:rFonts w:ascii="Times New Roman"/>
                      <w:color w:val="auto"/>
                      <w:sz w:val="21"/>
                      <w:lang w:eastAsia="zh-CN"/>
                    </w:rPr>
                  </w:pPr>
                  <w:r>
                    <w:rPr>
                      <w:rFonts w:ascii="Times New Roman"/>
                      <w:color w:val="auto"/>
                      <w:sz w:val="21"/>
                      <w:lang w:eastAsia="zh-CN"/>
                    </w:rPr>
                    <w:t>1.79</w:t>
                  </w:r>
                </w:p>
              </w:tc>
              <w:tc>
                <w:tcPr>
                  <w:tcW w:w="1229" w:type="pct"/>
                  <w:gridSpan w:val="4"/>
                  <w:shd w:val="clear" w:color="auto" w:fill="FFFFFF"/>
                  <w:noWrap w:val="0"/>
                  <w:vAlign w:val="top"/>
                </w:tcPr>
                <w:p w14:paraId="3DEB38B7">
                  <w:pPr>
                    <w:pStyle w:val="69"/>
                    <w:spacing w:before="37"/>
                    <w:ind w:left="787" w:right="790"/>
                    <w:jc w:val="center"/>
                    <w:rPr>
                      <w:rFonts w:ascii="Times New Roman"/>
                      <w:color w:val="auto"/>
                      <w:sz w:val="21"/>
                      <w:lang w:eastAsia="zh-CN"/>
                    </w:rPr>
                  </w:pPr>
                  <w:r>
                    <w:rPr>
                      <w:rFonts w:ascii="Times New Roman"/>
                      <w:color w:val="auto"/>
                      <w:sz w:val="21"/>
                      <w:lang w:eastAsia="zh-CN"/>
                    </w:rPr>
                    <w:t>1.79</w:t>
                  </w:r>
                </w:p>
              </w:tc>
            </w:tr>
            <w:tr w14:paraId="72D5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421" w:type="pct"/>
                  <w:vMerge w:val="continue"/>
                  <w:shd w:val="clear" w:color="auto" w:fill="FFFFFF"/>
                  <w:noWrap w:val="0"/>
                  <w:vAlign w:val="top"/>
                </w:tcPr>
                <w:p w14:paraId="7799A594">
                  <w:pPr>
                    <w:rPr>
                      <w:color w:val="auto"/>
                      <w:sz w:val="2"/>
                      <w:szCs w:val="2"/>
                    </w:rPr>
                  </w:pPr>
                </w:p>
              </w:tc>
              <w:tc>
                <w:tcPr>
                  <w:tcW w:w="1117" w:type="pct"/>
                  <w:shd w:val="clear" w:color="auto" w:fill="FFFFFF"/>
                  <w:noWrap w:val="0"/>
                  <w:vAlign w:val="top"/>
                </w:tcPr>
                <w:p w14:paraId="235BD183">
                  <w:pPr>
                    <w:pStyle w:val="69"/>
                    <w:spacing w:before="36"/>
                    <w:ind w:left="91" w:right="93"/>
                    <w:jc w:val="center"/>
                    <w:rPr>
                      <w:rFonts w:ascii="Times New Roman"/>
                      <w:color w:val="auto"/>
                      <w:sz w:val="21"/>
                      <w:lang w:eastAsia="zh-CN"/>
                    </w:rPr>
                  </w:pPr>
                  <w:r>
                    <w:rPr>
                      <w:rFonts w:ascii="Times New Roman"/>
                      <w:color w:val="auto"/>
                      <w:sz w:val="21"/>
                      <w:lang w:eastAsia="zh-CN"/>
                    </w:rPr>
                    <w:t>&gt;2</w:t>
                  </w:r>
                </w:p>
              </w:tc>
              <w:tc>
                <w:tcPr>
                  <w:tcW w:w="1055" w:type="pct"/>
                  <w:gridSpan w:val="3"/>
                  <w:shd w:val="clear" w:color="auto" w:fill="FFFFFF"/>
                  <w:noWrap w:val="0"/>
                  <w:vAlign w:val="top"/>
                </w:tcPr>
                <w:p w14:paraId="39CFE6B0">
                  <w:pPr>
                    <w:pStyle w:val="69"/>
                    <w:spacing w:before="36"/>
                    <w:ind w:left="638" w:right="638"/>
                    <w:jc w:val="center"/>
                    <w:rPr>
                      <w:rFonts w:ascii="Times New Roman"/>
                      <w:color w:val="auto"/>
                      <w:sz w:val="21"/>
                      <w:lang w:eastAsia="zh-CN"/>
                    </w:rPr>
                  </w:pPr>
                  <w:r>
                    <w:rPr>
                      <w:rFonts w:ascii="Times New Roman"/>
                      <w:color w:val="auto"/>
                      <w:sz w:val="21"/>
                      <w:lang w:eastAsia="zh-CN"/>
                    </w:rPr>
                    <w:t>1.85</w:t>
                  </w:r>
                </w:p>
              </w:tc>
              <w:tc>
                <w:tcPr>
                  <w:tcW w:w="1176" w:type="pct"/>
                  <w:gridSpan w:val="3"/>
                  <w:shd w:val="clear" w:color="auto" w:fill="FFFFFF"/>
                  <w:noWrap w:val="0"/>
                  <w:vAlign w:val="top"/>
                </w:tcPr>
                <w:p w14:paraId="4309750E">
                  <w:pPr>
                    <w:pStyle w:val="69"/>
                    <w:spacing w:before="36"/>
                    <w:ind w:left="742" w:right="741"/>
                    <w:jc w:val="center"/>
                    <w:rPr>
                      <w:rFonts w:ascii="Times New Roman"/>
                      <w:color w:val="auto"/>
                      <w:sz w:val="21"/>
                      <w:lang w:eastAsia="zh-CN"/>
                    </w:rPr>
                  </w:pPr>
                  <w:r>
                    <w:rPr>
                      <w:rFonts w:ascii="Times New Roman"/>
                      <w:color w:val="auto"/>
                      <w:sz w:val="21"/>
                      <w:lang w:eastAsia="zh-CN"/>
                    </w:rPr>
                    <w:t>1.77</w:t>
                  </w:r>
                </w:p>
              </w:tc>
              <w:tc>
                <w:tcPr>
                  <w:tcW w:w="1229" w:type="pct"/>
                  <w:gridSpan w:val="4"/>
                  <w:shd w:val="clear" w:color="auto" w:fill="FFFFFF"/>
                  <w:noWrap w:val="0"/>
                  <w:vAlign w:val="top"/>
                </w:tcPr>
                <w:p w14:paraId="51E0EA7F">
                  <w:pPr>
                    <w:pStyle w:val="69"/>
                    <w:spacing w:before="36"/>
                    <w:ind w:left="787" w:right="790"/>
                    <w:jc w:val="center"/>
                    <w:rPr>
                      <w:rFonts w:ascii="Times New Roman"/>
                      <w:color w:val="auto"/>
                      <w:sz w:val="21"/>
                      <w:lang w:eastAsia="zh-CN"/>
                    </w:rPr>
                  </w:pPr>
                  <w:r>
                    <w:rPr>
                      <w:rFonts w:ascii="Times New Roman"/>
                      <w:color w:val="auto"/>
                      <w:sz w:val="21"/>
                      <w:lang w:eastAsia="zh-CN"/>
                    </w:rPr>
                    <w:t>1.77</w:t>
                  </w:r>
                </w:p>
              </w:tc>
            </w:tr>
            <w:tr w14:paraId="4C79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21" w:type="pct"/>
                  <w:vMerge w:val="restart"/>
                  <w:shd w:val="clear" w:color="auto" w:fill="FFFFFF"/>
                  <w:noWrap w:val="0"/>
                  <w:vAlign w:val="top"/>
                </w:tcPr>
                <w:p w14:paraId="4DA70439">
                  <w:pPr>
                    <w:pStyle w:val="69"/>
                    <w:spacing w:before="7"/>
                    <w:rPr>
                      <w:b/>
                      <w:color w:val="auto"/>
                      <w:sz w:val="15"/>
                      <w:lang w:eastAsia="zh-CN"/>
                    </w:rPr>
                  </w:pPr>
                </w:p>
                <w:p w14:paraId="74182A28">
                  <w:pPr>
                    <w:pStyle w:val="69"/>
                    <w:ind w:left="3"/>
                    <w:jc w:val="center"/>
                    <w:rPr>
                      <w:rFonts w:ascii="Times New Roman"/>
                      <w:color w:val="auto"/>
                      <w:sz w:val="21"/>
                      <w:lang w:eastAsia="zh-CN"/>
                    </w:rPr>
                  </w:pPr>
                  <w:r>
                    <w:rPr>
                      <w:rFonts w:ascii="Times New Roman"/>
                      <w:color w:val="auto"/>
                      <w:sz w:val="21"/>
                      <w:lang w:eastAsia="zh-CN"/>
                    </w:rPr>
                    <w:t>D</w:t>
                  </w:r>
                </w:p>
              </w:tc>
              <w:tc>
                <w:tcPr>
                  <w:tcW w:w="1117" w:type="pct"/>
                  <w:shd w:val="clear" w:color="auto" w:fill="FFFFFF"/>
                  <w:noWrap w:val="0"/>
                  <w:vAlign w:val="top"/>
                </w:tcPr>
                <w:p w14:paraId="4F1604C4">
                  <w:pPr>
                    <w:pStyle w:val="69"/>
                    <w:spacing w:before="39"/>
                    <w:ind w:left="91" w:right="93"/>
                    <w:jc w:val="center"/>
                    <w:rPr>
                      <w:rFonts w:ascii="Times New Roman"/>
                      <w:color w:val="auto"/>
                      <w:sz w:val="21"/>
                      <w:lang w:eastAsia="zh-CN"/>
                    </w:rPr>
                  </w:pPr>
                  <w:r>
                    <w:rPr>
                      <w:rFonts w:ascii="Times New Roman"/>
                      <w:color w:val="auto"/>
                      <w:sz w:val="21"/>
                      <w:lang w:eastAsia="zh-CN"/>
                    </w:rPr>
                    <w:t>&lt;2</w:t>
                  </w:r>
                </w:p>
              </w:tc>
              <w:tc>
                <w:tcPr>
                  <w:tcW w:w="1055" w:type="pct"/>
                  <w:gridSpan w:val="3"/>
                  <w:shd w:val="clear" w:color="auto" w:fill="FFFFFF"/>
                  <w:noWrap w:val="0"/>
                  <w:vAlign w:val="top"/>
                </w:tcPr>
                <w:p w14:paraId="6A700854">
                  <w:pPr>
                    <w:pStyle w:val="69"/>
                    <w:spacing w:before="39"/>
                    <w:ind w:left="638" w:right="638"/>
                    <w:jc w:val="center"/>
                    <w:rPr>
                      <w:rFonts w:ascii="Times New Roman"/>
                      <w:color w:val="auto"/>
                      <w:sz w:val="21"/>
                      <w:lang w:eastAsia="zh-CN"/>
                    </w:rPr>
                  </w:pPr>
                  <w:r>
                    <w:rPr>
                      <w:rFonts w:ascii="Times New Roman"/>
                      <w:color w:val="auto"/>
                      <w:sz w:val="21"/>
                      <w:lang w:eastAsia="zh-CN"/>
                    </w:rPr>
                    <w:t>0.78</w:t>
                  </w:r>
                </w:p>
              </w:tc>
              <w:tc>
                <w:tcPr>
                  <w:tcW w:w="1176" w:type="pct"/>
                  <w:gridSpan w:val="3"/>
                  <w:shd w:val="clear" w:color="auto" w:fill="FFFFFF"/>
                  <w:noWrap w:val="0"/>
                  <w:vAlign w:val="top"/>
                </w:tcPr>
                <w:p w14:paraId="62B074CD">
                  <w:pPr>
                    <w:pStyle w:val="69"/>
                    <w:spacing w:before="39"/>
                    <w:ind w:left="742" w:right="741"/>
                    <w:jc w:val="center"/>
                    <w:rPr>
                      <w:rFonts w:ascii="Times New Roman"/>
                      <w:color w:val="auto"/>
                      <w:sz w:val="21"/>
                      <w:lang w:eastAsia="zh-CN"/>
                    </w:rPr>
                  </w:pPr>
                  <w:r>
                    <w:rPr>
                      <w:rFonts w:ascii="Times New Roman"/>
                      <w:color w:val="auto"/>
                      <w:sz w:val="21"/>
                      <w:lang w:eastAsia="zh-CN"/>
                    </w:rPr>
                    <w:t>0.78</w:t>
                  </w:r>
                </w:p>
              </w:tc>
              <w:tc>
                <w:tcPr>
                  <w:tcW w:w="1229" w:type="pct"/>
                  <w:gridSpan w:val="4"/>
                  <w:shd w:val="clear" w:color="auto" w:fill="FFFFFF"/>
                  <w:noWrap w:val="0"/>
                  <w:vAlign w:val="top"/>
                </w:tcPr>
                <w:p w14:paraId="71F52408">
                  <w:pPr>
                    <w:pStyle w:val="69"/>
                    <w:spacing w:before="39"/>
                    <w:ind w:left="787" w:right="790"/>
                    <w:jc w:val="center"/>
                    <w:rPr>
                      <w:rFonts w:ascii="Times New Roman"/>
                      <w:color w:val="auto"/>
                      <w:sz w:val="21"/>
                      <w:lang w:eastAsia="zh-CN"/>
                    </w:rPr>
                  </w:pPr>
                  <w:r>
                    <w:rPr>
                      <w:rFonts w:ascii="Times New Roman"/>
                      <w:color w:val="auto"/>
                      <w:sz w:val="21"/>
                      <w:lang w:eastAsia="zh-CN"/>
                    </w:rPr>
                    <w:t>0.57</w:t>
                  </w:r>
                </w:p>
              </w:tc>
            </w:tr>
            <w:tr w14:paraId="6CCC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1" w:hRule="atLeast"/>
              </w:trPr>
              <w:tc>
                <w:tcPr>
                  <w:tcW w:w="421" w:type="pct"/>
                  <w:vMerge w:val="continue"/>
                  <w:shd w:val="clear" w:color="auto" w:fill="FFFFFF"/>
                  <w:noWrap w:val="0"/>
                  <w:vAlign w:val="top"/>
                </w:tcPr>
                <w:p w14:paraId="6E9E5D3A">
                  <w:pPr>
                    <w:rPr>
                      <w:color w:val="auto"/>
                      <w:sz w:val="2"/>
                      <w:szCs w:val="2"/>
                    </w:rPr>
                  </w:pPr>
                </w:p>
              </w:tc>
              <w:tc>
                <w:tcPr>
                  <w:tcW w:w="1117" w:type="pct"/>
                  <w:shd w:val="clear" w:color="auto" w:fill="FFFFFF"/>
                  <w:noWrap w:val="0"/>
                  <w:vAlign w:val="top"/>
                </w:tcPr>
                <w:p w14:paraId="17DD4C98">
                  <w:pPr>
                    <w:pStyle w:val="69"/>
                    <w:spacing w:before="26"/>
                    <w:ind w:left="91" w:right="93"/>
                    <w:jc w:val="center"/>
                    <w:rPr>
                      <w:rFonts w:ascii="Times New Roman"/>
                      <w:color w:val="auto"/>
                      <w:sz w:val="21"/>
                      <w:lang w:eastAsia="zh-CN"/>
                    </w:rPr>
                  </w:pPr>
                  <w:r>
                    <w:rPr>
                      <w:rFonts w:ascii="Times New Roman"/>
                      <w:color w:val="auto"/>
                      <w:sz w:val="21"/>
                      <w:lang w:eastAsia="zh-CN"/>
                    </w:rPr>
                    <w:t>&gt;2</w:t>
                  </w:r>
                </w:p>
              </w:tc>
              <w:tc>
                <w:tcPr>
                  <w:tcW w:w="1055" w:type="pct"/>
                  <w:gridSpan w:val="3"/>
                  <w:shd w:val="clear" w:color="auto" w:fill="FFFFFF"/>
                  <w:noWrap w:val="0"/>
                  <w:vAlign w:val="top"/>
                </w:tcPr>
                <w:p w14:paraId="1855AE3E">
                  <w:pPr>
                    <w:pStyle w:val="69"/>
                    <w:spacing w:before="26"/>
                    <w:ind w:left="638" w:right="638"/>
                    <w:jc w:val="center"/>
                    <w:rPr>
                      <w:rFonts w:ascii="Times New Roman"/>
                      <w:color w:val="auto"/>
                      <w:sz w:val="21"/>
                      <w:lang w:eastAsia="zh-CN"/>
                    </w:rPr>
                  </w:pPr>
                  <w:r>
                    <w:rPr>
                      <w:rFonts w:ascii="Times New Roman"/>
                      <w:color w:val="auto"/>
                      <w:sz w:val="21"/>
                      <w:lang w:eastAsia="zh-CN"/>
                    </w:rPr>
                    <w:t>0.84</w:t>
                  </w:r>
                </w:p>
              </w:tc>
              <w:tc>
                <w:tcPr>
                  <w:tcW w:w="1176" w:type="pct"/>
                  <w:gridSpan w:val="3"/>
                  <w:shd w:val="clear" w:color="auto" w:fill="FFFFFF"/>
                  <w:noWrap w:val="0"/>
                  <w:vAlign w:val="top"/>
                </w:tcPr>
                <w:p w14:paraId="2C932D79">
                  <w:pPr>
                    <w:pStyle w:val="69"/>
                    <w:spacing w:before="26"/>
                    <w:ind w:left="742" w:right="741"/>
                    <w:jc w:val="center"/>
                    <w:rPr>
                      <w:rFonts w:ascii="Times New Roman"/>
                      <w:color w:val="auto"/>
                      <w:sz w:val="21"/>
                      <w:lang w:eastAsia="zh-CN"/>
                    </w:rPr>
                  </w:pPr>
                  <w:r>
                    <w:rPr>
                      <w:rFonts w:ascii="Times New Roman"/>
                      <w:color w:val="auto"/>
                      <w:sz w:val="21"/>
                      <w:lang w:eastAsia="zh-CN"/>
                    </w:rPr>
                    <w:t>0.84</w:t>
                  </w:r>
                </w:p>
              </w:tc>
              <w:tc>
                <w:tcPr>
                  <w:tcW w:w="1229" w:type="pct"/>
                  <w:gridSpan w:val="4"/>
                  <w:shd w:val="clear" w:color="auto" w:fill="FFFFFF"/>
                  <w:noWrap w:val="0"/>
                  <w:vAlign w:val="top"/>
                </w:tcPr>
                <w:p w14:paraId="394F034F">
                  <w:pPr>
                    <w:pStyle w:val="69"/>
                    <w:spacing w:before="26"/>
                    <w:ind w:left="787" w:right="790"/>
                    <w:jc w:val="center"/>
                    <w:rPr>
                      <w:rFonts w:ascii="Times New Roman"/>
                      <w:color w:val="auto"/>
                      <w:sz w:val="21"/>
                      <w:lang w:eastAsia="zh-CN"/>
                    </w:rPr>
                  </w:pPr>
                  <w:r>
                    <w:rPr>
                      <w:rFonts w:ascii="Times New Roman"/>
                      <w:color w:val="auto"/>
                      <w:sz w:val="21"/>
                      <w:lang w:eastAsia="zh-CN"/>
                    </w:rPr>
                    <w:t>0.76</w:t>
                  </w:r>
                </w:p>
              </w:tc>
            </w:tr>
          </w:tbl>
          <w:p w14:paraId="7AC69ED1">
            <w:pPr>
              <w:pStyle w:val="12"/>
              <w:rPr>
                <w:color w:val="auto"/>
              </w:rPr>
            </w:pPr>
          </w:p>
          <w:p w14:paraId="3FB32C70">
            <w:pPr>
              <w:spacing w:line="302" w:lineRule="auto"/>
              <w:ind w:right="393" w:firstLine="456" w:firstLineChars="200"/>
              <w:jc w:val="left"/>
              <w:rPr>
                <w:color w:val="auto"/>
                <w:spacing w:val="-11"/>
                <w:sz w:val="24"/>
              </w:rPr>
            </w:pPr>
            <w:r>
              <w:rPr>
                <w:color w:val="auto"/>
                <w:spacing w:val="-6"/>
                <w:sz w:val="24"/>
              </w:rPr>
              <w:t>本项目无组织源卫生防护距离计算系数为：</w:t>
            </w:r>
            <w:r>
              <w:rPr>
                <w:rFonts w:eastAsia="Times New Roman"/>
                <w:color w:val="auto"/>
                <w:w w:val="99"/>
                <w:sz w:val="24"/>
              </w:rPr>
              <w:t>A</w:t>
            </w:r>
            <w:r>
              <w:rPr>
                <w:rFonts w:eastAsia="Times New Roman"/>
                <w:color w:val="auto"/>
                <w:spacing w:val="-2"/>
                <w:w w:val="99"/>
                <w:sz w:val="24"/>
              </w:rPr>
              <w:t>=</w:t>
            </w:r>
            <w:r>
              <w:rPr>
                <w:rFonts w:eastAsia="Times New Roman"/>
                <w:color w:val="auto"/>
                <w:sz w:val="24"/>
              </w:rPr>
              <w:t>400</w:t>
            </w:r>
            <w:r>
              <w:rPr>
                <w:color w:val="auto"/>
                <w:spacing w:val="-99"/>
                <w:sz w:val="24"/>
              </w:rPr>
              <w:t>，</w:t>
            </w:r>
            <w:r>
              <w:rPr>
                <w:rFonts w:eastAsia="Times New Roman"/>
                <w:color w:val="auto"/>
                <w:spacing w:val="-2"/>
                <w:sz w:val="24"/>
              </w:rPr>
              <w:t>B</w:t>
            </w:r>
            <w:r>
              <w:rPr>
                <w:rFonts w:eastAsia="Times New Roman"/>
                <w:color w:val="auto"/>
                <w:spacing w:val="-1"/>
                <w:sz w:val="24"/>
              </w:rPr>
              <w:t>=</w:t>
            </w:r>
            <w:r>
              <w:rPr>
                <w:rFonts w:eastAsia="Times New Roman"/>
                <w:color w:val="auto"/>
                <w:sz w:val="24"/>
              </w:rPr>
              <w:t>0.01</w:t>
            </w:r>
            <w:r>
              <w:rPr>
                <w:color w:val="auto"/>
                <w:spacing w:val="-99"/>
                <w:sz w:val="24"/>
              </w:rPr>
              <w:t>，</w:t>
            </w:r>
            <w:r>
              <w:rPr>
                <w:rFonts w:eastAsia="Times New Roman"/>
                <w:color w:val="auto"/>
                <w:sz w:val="24"/>
              </w:rPr>
              <w:t>C</w:t>
            </w:r>
            <w:r>
              <w:rPr>
                <w:rFonts w:eastAsia="Times New Roman"/>
                <w:color w:val="auto"/>
                <w:spacing w:val="-1"/>
                <w:sz w:val="24"/>
              </w:rPr>
              <w:t>=</w:t>
            </w:r>
            <w:r>
              <w:rPr>
                <w:rFonts w:eastAsia="Times New Roman"/>
                <w:color w:val="auto"/>
                <w:sz w:val="24"/>
              </w:rPr>
              <w:t>1.85</w:t>
            </w:r>
            <w:r>
              <w:rPr>
                <w:color w:val="auto"/>
                <w:spacing w:val="-99"/>
                <w:sz w:val="24"/>
              </w:rPr>
              <w:t>，</w:t>
            </w:r>
            <w:r>
              <w:rPr>
                <w:rFonts w:eastAsia="Times New Roman"/>
                <w:color w:val="auto"/>
                <w:spacing w:val="1"/>
                <w:w w:val="99"/>
                <w:sz w:val="24"/>
              </w:rPr>
              <w:t>D</w:t>
            </w:r>
            <w:r>
              <w:rPr>
                <w:rFonts w:eastAsia="Times New Roman"/>
                <w:color w:val="auto"/>
                <w:spacing w:val="-1"/>
                <w:sz w:val="24"/>
              </w:rPr>
              <w:t>=</w:t>
            </w:r>
            <w:r>
              <w:rPr>
                <w:rFonts w:eastAsia="Times New Roman"/>
                <w:color w:val="auto"/>
                <w:sz w:val="24"/>
              </w:rPr>
              <w:t>0.78</w:t>
            </w:r>
            <w:r>
              <w:rPr>
                <w:color w:val="auto"/>
                <w:spacing w:val="-11"/>
                <w:sz w:val="24"/>
              </w:rPr>
              <w:t>。</w:t>
            </w:r>
          </w:p>
          <w:p w14:paraId="10DD1003">
            <w:pPr>
              <w:spacing w:line="302" w:lineRule="auto"/>
              <w:ind w:right="393"/>
              <w:jc w:val="center"/>
              <w:rPr>
                <w:color w:val="auto"/>
              </w:rPr>
            </w:pPr>
            <w:r>
              <w:rPr>
                <w:rFonts w:hint="eastAsia" w:eastAsia="黑体"/>
                <w:snapToGrid w:val="0"/>
                <w:color w:val="auto"/>
                <w:kern w:val="0"/>
                <w:szCs w:val="21"/>
                <w:lang w:val="fr-FR"/>
              </w:rPr>
              <w:t>表 7-</w:t>
            </w:r>
            <w:r>
              <w:rPr>
                <w:rFonts w:hint="eastAsia" w:eastAsia="黑体"/>
                <w:snapToGrid w:val="0"/>
                <w:color w:val="auto"/>
                <w:kern w:val="0"/>
                <w:szCs w:val="21"/>
                <w:lang w:val="en-US" w:eastAsia="zh-CN"/>
              </w:rPr>
              <w:t>16</w:t>
            </w:r>
            <w:r>
              <w:rPr>
                <w:rFonts w:hint="eastAsia" w:eastAsia="黑体"/>
                <w:snapToGrid w:val="0"/>
                <w:color w:val="auto"/>
                <w:kern w:val="0"/>
                <w:szCs w:val="21"/>
                <w:lang w:val="fr-FR"/>
              </w:rPr>
              <w:t xml:space="preserve">  本项目卫生防护距离计算结果</w:t>
            </w:r>
          </w:p>
          <w:tbl>
            <w:tblPr>
              <w:tblStyle w:val="77"/>
              <w:tblW w:w="49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70"/>
              <w:gridCol w:w="1122"/>
              <w:gridCol w:w="1725"/>
              <w:gridCol w:w="1271"/>
              <w:gridCol w:w="1198"/>
              <w:gridCol w:w="1196"/>
              <w:gridCol w:w="1196"/>
              <w:gridCol w:w="1198"/>
            </w:tblGrid>
            <w:tr w14:paraId="0C04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exact"/>
                <w:jc w:val="center"/>
              </w:trPr>
              <w:tc>
                <w:tcPr>
                  <w:tcW w:w="624" w:type="pct"/>
                  <w:tcBorders>
                    <w:left w:val="single" w:color="auto" w:sz="4" w:space="0"/>
                  </w:tcBorders>
                  <w:noWrap w:val="0"/>
                  <w:vAlign w:val="center"/>
                </w:tcPr>
                <w:p w14:paraId="5B0B9958">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无组织排放源</w:t>
                  </w:r>
                </w:p>
              </w:tc>
              <w:tc>
                <w:tcPr>
                  <w:tcW w:w="551" w:type="pct"/>
                  <w:noWrap w:val="0"/>
                  <w:vAlign w:val="center"/>
                </w:tcPr>
                <w:p w14:paraId="2A7485C5">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污染物</w:t>
                  </w:r>
                </w:p>
              </w:tc>
              <w:tc>
                <w:tcPr>
                  <w:tcW w:w="847" w:type="pct"/>
                  <w:noWrap w:val="0"/>
                  <w:vAlign w:val="center"/>
                </w:tcPr>
                <w:p w14:paraId="7713C1C2">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无组织源强(kg/h)</w:t>
                  </w:r>
                </w:p>
              </w:tc>
              <w:tc>
                <w:tcPr>
                  <w:tcW w:w="624" w:type="pct"/>
                  <w:noWrap w:val="0"/>
                  <w:vAlign w:val="center"/>
                </w:tcPr>
                <w:p w14:paraId="4FEB5082">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面源长度</w:t>
                  </w:r>
                </w:p>
                <w:p w14:paraId="03A94E47">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（m）</w:t>
                  </w:r>
                </w:p>
              </w:tc>
              <w:tc>
                <w:tcPr>
                  <w:tcW w:w="588" w:type="pct"/>
                  <w:noWrap w:val="0"/>
                  <w:vAlign w:val="center"/>
                </w:tcPr>
                <w:p w14:paraId="428C06D3">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面源宽度</w:t>
                  </w:r>
                </w:p>
                <w:p w14:paraId="5A86839B">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（m）</w:t>
                  </w:r>
                </w:p>
              </w:tc>
              <w:tc>
                <w:tcPr>
                  <w:tcW w:w="587" w:type="pct"/>
                  <w:noWrap w:val="0"/>
                  <w:vAlign w:val="center"/>
                </w:tcPr>
                <w:p w14:paraId="529A7B13">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面源高度</w:t>
                  </w:r>
                </w:p>
                <w:p w14:paraId="437F4365">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（m）</w:t>
                  </w:r>
                </w:p>
              </w:tc>
              <w:tc>
                <w:tcPr>
                  <w:tcW w:w="587" w:type="pct"/>
                  <w:noWrap w:val="0"/>
                  <w:vAlign w:val="center"/>
                </w:tcPr>
                <w:p w14:paraId="00F48046">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计算距离</w:t>
                  </w:r>
                </w:p>
                <w:p w14:paraId="68154380">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（m）</w:t>
                  </w:r>
                </w:p>
              </w:tc>
              <w:tc>
                <w:tcPr>
                  <w:tcW w:w="588" w:type="pct"/>
                  <w:noWrap w:val="0"/>
                  <w:vAlign w:val="center"/>
                </w:tcPr>
                <w:p w14:paraId="64CCDD17">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卫生防护距离</w:t>
                  </w:r>
                </w:p>
                <w:p w14:paraId="09CB022E">
                  <w:pPr>
                    <w:pStyle w:val="69"/>
                    <w:jc w:val="center"/>
                    <w:rPr>
                      <w:rFonts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（m）</w:t>
                  </w:r>
                </w:p>
              </w:tc>
            </w:tr>
            <w:tr w14:paraId="76D44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624" w:type="pct"/>
                  <w:tcBorders>
                    <w:left w:val="single" w:color="auto" w:sz="4" w:space="0"/>
                  </w:tcBorders>
                  <w:noWrap w:val="0"/>
                  <w:vAlign w:val="center"/>
                </w:tcPr>
                <w:p w14:paraId="5C2A046A">
                  <w:pPr>
                    <w:pStyle w:val="69"/>
                    <w:jc w:val="center"/>
                    <w:rPr>
                      <w:rFonts w:ascii="宋体" w:hAnsi="宋体" w:eastAsia="宋体" w:cs="宋体"/>
                      <w:bCs/>
                      <w:color w:val="auto"/>
                      <w:sz w:val="18"/>
                      <w:szCs w:val="18"/>
                      <w:lang w:eastAsia="zh-CN"/>
                    </w:rPr>
                  </w:pPr>
                  <w:r>
                    <w:rPr>
                      <w:rFonts w:hint="eastAsia"/>
                      <w:lang w:val="en-US" w:eastAsia="zh-CN"/>
                    </w:rPr>
                    <w:t>生产车间</w:t>
                  </w:r>
                </w:p>
              </w:tc>
              <w:tc>
                <w:tcPr>
                  <w:tcW w:w="551" w:type="pct"/>
                  <w:noWrap w:val="0"/>
                  <w:vAlign w:val="center"/>
                </w:tcPr>
                <w:p w14:paraId="33E9D1FA">
                  <w:pPr>
                    <w:pStyle w:val="69"/>
                    <w:jc w:val="center"/>
                    <w:rPr>
                      <w:rFonts w:hint="default" w:ascii="宋体" w:hAnsi="宋体" w:eastAsia="宋体" w:cs="宋体"/>
                      <w:bCs/>
                      <w:color w:val="auto"/>
                      <w:sz w:val="18"/>
                      <w:szCs w:val="18"/>
                      <w:lang w:val="en-US" w:eastAsia="zh-CN"/>
                    </w:rPr>
                  </w:pPr>
                  <w:r>
                    <w:rPr>
                      <w:rFonts w:hint="eastAsia" w:ascii="宋体" w:hAnsi="宋体" w:eastAsia="宋体" w:cs="宋体"/>
                      <w:bCs/>
                      <w:color w:val="auto"/>
                      <w:sz w:val="18"/>
                      <w:szCs w:val="18"/>
                      <w:lang w:val="en-US" w:eastAsia="zh-CN"/>
                    </w:rPr>
                    <w:t>颗粒物</w:t>
                  </w:r>
                </w:p>
              </w:tc>
              <w:tc>
                <w:tcPr>
                  <w:tcW w:w="847" w:type="pct"/>
                  <w:noWrap w:val="0"/>
                  <w:vAlign w:val="center"/>
                </w:tcPr>
                <w:p w14:paraId="476AD169">
                  <w:pPr>
                    <w:pStyle w:val="69"/>
                    <w:jc w:val="center"/>
                    <w:rPr>
                      <w:rFonts w:hint="default" w:hAnsi="宋体"/>
                      <w:bCs/>
                      <w:color w:val="auto"/>
                      <w:sz w:val="18"/>
                      <w:szCs w:val="18"/>
                      <w:lang w:val="en-US" w:eastAsia="zh-CN"/>
                    </w:rPr>
                  </w:pPr>
                  <w:r>
                    <w:rPr>
                      <w:rFonts w:hint="eastAsia"/>
                      <w:color w:val="auto"/>
                      <w:lang w:val="en-US" w:eastAsia="zh-CN"/>
                    </w:rPr>
                    <w:t>0.0232</w:t>
                  </w:r>
                </w:p>
              </w:tc>
              <w:tc>
                <w:tcPr>
                  <w:tcW w:w="624" w:type="pct"/>
                  <w:noWrap w:val="0"/>
                  <w:vAlign w:val="center"/>
                </w:tcPr>
                <w:p w14:paraId="2EA73F4B">
                  <w:pPr>
                    <w:pStyle w:val="69"/>
                    <w:jc w:val="center"/>
                    <w:rPr>
                      <w:rFonts w:ascii="宋体" w:hAnsi="宋体" w:eastAsia="宋体" w:cs="宋体"/>
                      <w:bCs/>
                      <w:color w:val="auto"/>
                      <w:sz w:val="18"/>
                      <w:szCs w:val="18"/>
                      <w:lang w:eastAsia="zh-CN"/>
                    </w:rPr>
                  </w:pPr>
                  <w:r>
                    <w:rPr>
                      <w:rFonts w:hint="eastAsia" w:cs="宋体"/>
                      <w:color w:val="auto"/>
                      <w:sz w:val="18"/>
                      <w:szCs w:val="18"/>
                      <w:lang w:val="en-US" w:eastAsia="zh-CN"/>
                    </w:rPr>
                    <w:t>36</w:t>
                  </w:r>
                  <w:r>
                    <w:rPr>
                      <w:rFonts w:hint="default" w:ascii="宋体" w:hAnsi="宋体" w:eastAsia="宋体" w:cs="宋体"/>
                      <w:color w:val="auto"/>
                      <w:sz w:val="18"/>
                      <w:szCs w:val="18"/>
                      <w:lang w:val="en-US" w:eastAsia="zh-CN"/>
                    </w:rPr>
                    <w:t>　</w:t>
                  </w:r>
                </w:p>
              </w:tc>
              <w:tc>
                <w:tcPr>
                  <w:tcW w:w="588" w:type="pct"/>
                  <w:noWrap w:val="0"/>
                  <w:vAlign w:val="center"/>
                </w:tcPr>
                <w:p w14:paraId="314C7AA3">
                  <w:pPr>
                    <w:pStyle w:val="69"/>
                    <w:jc w:val="center"/>
                    <w:rPr>
                      <w:rFonts w:hint="default" w:ascii="宋体" w:hAnsi="宋体" w:eastAsia="宋体" w:cs="宋体"/>
                      <w:bCs/>
                      <w:color w:val="auto"/>
                      <w:sz w:val="18"/>
                      <w:szCs w:val="18"/>
                      <w:lang w:val="en-US" w:eastAsia="zh-CN"/>
                    </w:rPr>
                  </w:pPr>
                  <w:r>
                    <w:rPr>
                      <w:rFonts w:hint="eastAsia" w:cs="宋体"/>
                      <w:bCs/>
                      <w:color w:val="auto"/>
                      <w:sz w:val="18"/>
                      <w:szCs w:val="18"/>
                      <w:lang w:val="en-US" w:eastAsia="zh-CN"/>
                    </w:rPr>
                    <w:t>18</w:t>
                  </w:r>
                </w:p>
              </w:tc>
              <w:tc>
                <w:tcPr>
                  <w:tcW w:w="587" w:type="pct"/>
                  <w:noWrap w:val="0"/>
                  <w:vAlign w:val="center"/>
                </w:tcPr>
                <w:p w14:paraId="34546C00">
                  <w:pPr>
                    <w:pStyle w:val="69"/>
                    <w:jc w:val="center"/>
                    <w:rPr>
                      <w:rFonts w:hint="default" w:ascii="宋体" w:hAnsi="宋体" w:eastAsia="宋体" w:cs="宋体"/>
                      <w:bCs/>
                      <w:color w:val="auto"/>
                      <w:sz w:val="18"/>
                      <w:szCs w:val="18"/>
                      <w:lang w:val="en-US" w:eastAsia="zh-CN"/>
                    </w:rPr>
                  </w:pPr>
                  <w:r>
                    <w:rPr>
                      <w:rFonts w:hint="eastAsia" w:cs="宋体"/>
                      <w:color w:val="auto"/>
                      <w:sz w:val="18"/>
                      <w:szCs w:val="18"/>
                      <w:lang w:val="en-US" w:eastAsia="zh-CN"/>
                    </w:rPr>
                    <w:t>12</w:t>
                  </w:r>
                </w:p>
              </w:tc>
              <w:tc>
                <w:tcPr>
                  <w:tcW w:w="587" w:type="pct"/>
                  <w:noWrap w:val="0"/>
                  <w:vAlign w:val="center"/>
                </w:tcPr>
                <w:p w14:paraId="3821015A">
                  <w:pPr>
                    <w:pStyle w:val="69"/>
                    <w:jc w:val="center"/>
                    <w:rPr>
                      <w:rFonts w:hint="default" w:hAnsi="宋体"/>
                      <w:bCs/>
                      <w:color w:val="auto"/>
                      <w:sz w:val="18"/>
                      <w:szCs w:val="18"/>
                      <w:lang w:val="en-US" w:eastAsia="zh-CN"/>
                    </w:rPr>
                  </w:pPr>
                  <w:r>
                    <w:rPr>
                      <w:rFonts w:hint="default" w:hAnsi="宋体"/>
                      <w:bCs/>
                      <w:color w:val="auto"/>
                      <w:sz w:val="18"/>
                      <w:szCs w:val="18"/>
                      <w:lang w:val="en-US" w:eastAsia="zh-CN"/>
                    </w:rPr>
                    <w:t>1.389</w:t>
                  </w:r>
                </w:p>
              </w:tc>
              <w:tc>
                <w:tcPr>
                  <w:tcW w:w="588" w:type="pct"/>
                  <w:noWrap w:val="0"/>
                  <w:vAlign w:val="center"/>
                </w:tcPr>
                <w:p w14:paraId="71DCE401">
                  <w:pPr>
                    <w:pStyle w:val="69"/>
                    <w:jc w:val="center"/>
                    <w:rPr>
                      <w:rFonts w:hint="default" w:ascii="宋体" w:hAnsi="宋体" w:eastAsia="宋体" w:cs="宋体"/>
                      <w:bCs/>
                      <w:color w:val="auto"/>
                      <w:sz w:val="18"/>
                      <w:szCs w:val="18"/>
                      <w:lang w:val="en-US" w:eastAsia="zh-CN"/>
                    </w:rPr>
                  </w:pPr>
                  <w:r>
                    <w:rPr>
                      <w:rFonts w:hint="eastAsia" w:hAnsi="宋体"/>
                      <w:bCs/>
                      <w:color w:val="auto"/>
                      <w:sz w:val="18"/>
                      <w:szCs w:val="18"/>
                      <w:lang w:val="en-US" w:eastAsia="zh-CN"/>
                    </w:rPr>
                    <w:t>50</w:t>
                  </w:r>
                </w:p>
              </w:tc>
            </w:tr>
          </w:tbl>
          <w:p w14:paraId="217F085E">
            <w:pPr>
              <w:adjustRightInd w:val="0"/>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根据《制定地方大气污染物排放标准的技术方法》（GB/T 13201-91）中 7.3 条规定，卫生防护距离在 100m 以内时，级差为 50m；超过 100m，但小于或等于1000m 时，级差为 100m；超过 1000m 以上，级差为 200m。无组织排放多种有害气体的工业企业，按 Qc/Cm 的最大值计算其所需卫生防护距离；但当按两种或两种以上的有害气体的 Qc/Cm 值计算的卫生防护距离在同一级别时，该类工业企业的卫生防护距离级别应该高一级。 </w:t>
            </w:r>
          </w:p>
          <w:p w14:paraId="02199B6E">
            <w:pPr>
              <w:adjustRightInd w:val="0"/>
              <w:spacing w:line="360" w:lineRule="auto"/>
              <w:ind w:firstLine="480" w:firstLineChars="200"/>
              <w:rPr>
                <w:rFonts w:hint="eastAsia" w:ascii="宋体" w:hAnsi="宋体" w:eastAsia="宋体" w:cs="宋体"/>
                <w:sz w:val="24"/>
              </w:rPr>
            </w:pPr>
            <w:r>
              <w:rPr>
                <w:rFonts w:hint="eastAsia" w:ascii="宋体" w:hAnsi="宋体" w:eastAsia="宋体" w:cs="宋体"/>
                <w:sz w:val="24"/>
              </w:rPr>
              <w:t>因此，本项目以</w:t>
            </w:r>
            <w:r>
              <w:rPr>
                <w:rFonts w:hint="eastAsia" w:ascii="宋体" w:hAnsi="宋体" w:cs="宋体"/>
                <w:sz w:val="24"/>
                <w:lang w:val="en-US" w:eastAsia="zh-CN"/>
              </w:rPr>
              <w:t>生产车间和原料库房</w:t>
            </w:r>
            <w:r>
              <w:rPr>
                <w:rFonts w:hint="eastAsia" w:ascii="宋体" w:hAnsi="宋体" w:eastAsia="宋体" w:cs="宋体"/>
                <w:sz w:val="24"/>
                <w:lang w:val="en-US" w:eastAsia="zh-CN"/>
              </w:rPr>
              <w:t>为</w:t>
            </w:r>
            <w:r>
              <w:rPr>
                <w:rFonts w:hint="eastAsia" w:ascii="宋体" w:hAnsi="宋体" w:eastAsia="宋体" w:cs="宋体"/>
                <w:sz w:val="24"/>
              </w:rPr>
              <w:t xml:space="preserve">边界设定 </w:t>
            </w:r>
            <w:r>
              <w:rPr>
                <w:rFonts w:hint="eastAsia" w:ascii="宋体" w:hAnsi="宋体" w:eastAsia="宋体" w:cs="宋体"/>
                <w:sz w:val="24"/>
                <w:lang w:val="en-US" w:eastAsia="zh-CN"/>
              </w:rPr>
              <w:t>50</w:t>
            </w:r>
            <w:r>
              <w:rPr>
                <w:rFonts w:hint="eastAsia" w:ascii="宋体" w:hAnsi="宋体" w:eastAsia="宋体" w:cs="宋体"/>
                <w:sz w:val="24"/>
              </w:rPr>
              <w:t>m 卫生防护距离。经过现场踏勘，本项目划定的卫生防护距离范围包络线内，</w:t>
            </w:r>
            <w:r>
              <w:rPr>
                <w:rFonts w:hint="eastAsia" w:ascii="宋体" w:hAnsi="宋体" w:cs="宋体"/>
                <w:sz w:val="24"/>
                <w:lang w:val="en-US" w:eastAsia="zh-CN"/>
              </w:rPr>
              <w:t>东侧和北侧为农田</w:t>
            </w:r>
            <w:r>
              <w:rPr>
                <w:rFonts w:hint="eastAsia" w:ascii="宋体" w:hAnsi="宋体" w:cs="宋体"/>
                <w:sz w:val="24"/>
                <w:lang w:eastAsia="zh-CN"/>
              </w:rPr>
              <w:t>，</w:t>
            </w:r>
            <w:r>
              <w:rPr>
                <w:rFonts w:hint="eastAsia" w:ascii="宋体" w:hAnsi="宋体" w:cs="宋体"/>
                <w:sz w:val="24"/>
                <w:lang w:val="en-US" w:eastAsia="zh-CN"/>
              </w:rPr>
              <w:t>西侧为废养殖场，南侧有2户居民，东南侧有1户居民，目前建设单位已与这 3 户居民签订了房屋租用协议（见附件），作为临时库房使用。因此，建设单位与卫生防护距离内3户居民签订合同后，</w:t>
            </w:r>
            <w:r>
              <w:rPr>
                <w:rFonts w:hint="eastAsia" w:ascii="宋体" w:hAnsi="宋体" w:eastAsia="宋体" w:cs="宋体"/>
                <w:sz w:val="24"/>
              </w:rPr>
              <w:t>本项目卫生防护距离包络线范围内</w:t>
            </w:r>
            <w:r>
              <w:rPr>
                <w:rFonts w:hint="eastAsia" w:ascii="宋体" w:hAnsi="宋体" w:cs="宋体"/>
                <w:sz w:val="24"/>
                <w:lang w:val="en-US" w:eastAsia="zh-CN"/>
              </w:rPr>
              <w:t>无</w:t>
            </w:r>
            <w:r>
              <w:rPr>
                <w:rFonts w:hint="eastAsia" w:ascii="宋体" w:hAnsi="宋体" w:eastAsia="宋体" w:cs="宋体"/>
                <w:sz w:val="24"/>
              </w:rPr>
              <w:t>敏感保护目标，可满足卫生防护距离要求。</w:t>
            </w:r>
          </w:p>
          <w:p w14:paraId="32364ADE">
            <w:pPr>
              <w:adjustRightInd w:val="0"/>
              <w:spacing w:line="360" w:lineRule="auto"/>
              <w:ind w:firstLine="480" w:firstLineChars="200"/>
              <w:rPr>
                <w:rFonts w:hint="default" w:ascii="宋体" w:hAnsi="宋体" w:eastAsia="宋体" w:cs="宋体"/>
                <w:sz w:val="24"/>
              </w:rPr>
            </w:pPr>
            <w:r>
              <w:rPr>
                <w:rFonts w:hint="eastAsia" w:ascii="宋体" w:hAnsi="宋体" w:eastAsia="宋体" w:cs="宋体"/>
                <w:sz w:val="24"/>
              </w:rPr>
              <w:t>本项目卫生防护距离包络线图见附图。</w:t>
            </w:r>
          </w:p>
          <w:p w14:paraId="13185496">
            <w:pPr>
              <w:spacing w:line="360" w:lineRule="auto"/>
              <w:ind w:firstLine="480"/>
              <w:rPr>
                <w:rFonts w:hint="default" w:ascii="Times New Roman" w:hAnsi="Times New Roman" w:eastAsia="宋体" w:cs="Times New Roman"/>
                <w:b/>
                <w:color w:val="auto"/>
                <w:sz w:val="24"/>
                <w:szCs w:val="24"/>
              </w:rPr>
            </w:pPr>
            <w:r>
              <w:rPr>
                <w:rFonts w:hint="eastAsia" w:cs="Times New Roman"/>
                <w:b/>
                <w:color w:val="auto"/>
                <w:sz w:val="24"/>
                <w:szCs w:val="24"/>
                <w:lang w:eastAsia="zh-CN"/>
              </w:rPr>
              <w:t>（</w:t>
            </w:r>
            <w:r>
              <w:rPr>
                <w:rFonts w:hint="eastAsia" w:cs="Times New Roman"/>
                <w:b/>
                <w:color w:val="auto"/>
                <w:sz w:val="24"/>
                <w:szCs w:val="24"/>
                <w:lang w:val="en-US" w:eastAsia="zh-CN"/>
              </w:rPr>
              <w:t>二</w:t>
            </w:r>
            <w:r>
              <w:rPr>
                <w:rFonts w:hint="eastAsia" w:cs="Times New Roman"/>
                <w:b/>
                <w:color w:val="auto"/>
                <w:sz w:val="24"/>
                <w:szCs w:val="24"/>
                <w:lang w:eastAsia="zh-CN"/>
              </w:rPr>
              <w:t>）</w:t>
            </w:r>
            <w:r>
              <w:rPr>
                <w:rFonts w:hint="default" w:ascii="Times New Roman" w:hAnsi="Times New Roman" w:eastAsia="宋体" w:cs="Times New Roman"/>
                <w:b/>
                <w:color w:val="auto"/>
                <w:sz w:val="24"/>
                <w:szCs w:val="24"/>
              </w:rPr>
              <w:t>地表水环境影响分析</w:t>
            </w:r>
          </w:p>
          <w:p w14:paraId="034AEF53">
            <w:pPr>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评价等级确定：</w:t>
            </w:r>
          </w:p>
          <w:p w14:paraId="2BA8D3B6">
            <w:pPr>
              <w:pStyle w:val="2"/>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本项目为水污染影响型建设项目，根据《环境影响评价技术导则—地表水环境》（HJ2.</w:t>
            </w: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eastAsia="zh-CN"/>
              </w:rPr>
              <w:t>-2018）中水污染影响型建设项目评价等级判定确定本项目地表水评价等级，判定依据如下表</w:t>
            </w:r>
            <w:r>
              <w:rPr>
                <w:rFonts w:hint="default" w:ascii="Times New Roman" w:hAnsi="Times New Roman" w:eastAsia="宋体" w:cs="Times New Roman"/>
                <w:b w:val="0"/>
                <w:bCs w:val="0"/>
                <w:color w:val="auto"/>
                <w:sz w:val="24"/>
                <w:szCs w:val="24"/>
                <w:lang w:val="en-US" w:eastAsia="zh-CN"/>
              </w:rPr>
              <w:t>7-</w:t>
            </w:r>
            <w:r>
              <w:rPr>
                <w:rFonts w:hint="default" w:ascii="Times New Roman" w:hAnsi="Times New Roman" w:cs="Times New Roman"/>
                <w:b w:val="0"/>
                <w:bCs w:val="0"/>
                <w:color w:val="auto"/>
                <w:sz w:val="24"/>
                <w:szCs w:val="24"/>
                <w:lang w:val="en-US" w:eastAsia="zh-CN"/>
              </w:rPr>
              <w:t>1</w:t>
            </w:r>
            <w:r>
              <w:rPr>
                <w:rFonts w:hint="eastAsia" w:ascii="Times New Roman"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eastAsia="zh-CN"/>
              </w:rPr>
              <w:t>所示：</w:t>
            </w:r>
          </w:p>
          <w:p w14:paraId="6B8F8C06">
            <w:pPr>
              <w:pStyle w:val="2"/>
              <w:spacing w:line="360" w:lineRule="auto"/>
              <w:jc w:val="center"/>
              <w:rPr>
                <w:rFonts w:hint="default" w:ascii="Times New Roman" w:hAnsi="Times New Roman" w:cs="Times New Roman"/>
                <w:b w:val="0"/>
                <w:bCs w:val="0"/>
                <w:color w:val="auto"/>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水污染影响型建设项目评价等级判定</w:t>
            </w:r>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4"/>
              <w:gridCol w:w="2835"/>
              <w:gridCol w:w="2835"/>
            </w:tblGrid>
            <w:tr w14:paraId="3FA1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4" w:type="dxa"/>
                  <w:vMerge w:val="restart"/>
                  <w:vAlign w:val="center"/>
                </w:tcPr>
                <w:p w14:paraId="2E1270D5">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评价等级</w:t>
                  </w:r>
                </w:p>
              </w:tc>
              <w:tc>
                <w:tcPr>
                  <w:tcW w:w="5670" w:type="dxa"/>
                  <w:gridSpan w:val="2"/>
                  <w:vAlign w:val="center"/>
                </w:tcPr>
                <w:p w14:paraId="45C3A896">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判定依据</w:t>
                  </w:r>
                </w:p>
              </w:tc>
            </w:tr>
            <w:tr w14:paraId="0D70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4" w:type="dxa"/>
                  <w:vMerge w:val="continue"/>
                  <w:vAlign w:val="center"/>
                </w:tcPr>
                <w:p w14:paraId="738A8151">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p>
              </w:tc>
              <w:tc>
                <w:tcPr>
                  <w:tcW w:w="2835" w:type="dxa"/>
                  <w:vAlign w:val="center"/>
                </w:tcPr>
                <w:p w14:paraId="4E71E436">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排放方式</w:t>
                  </w:r>
                </w:p>
              </w:tc>
              <w:tc>
                <w:tcPr>
                  <w:tcW w:w="2835" w:type="dxa"/>
                  <w:vAlign w:val="center"/>
                </w:tcPr>
                <w:p w14:paraId="012ED121">
                  <w:pPr>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eastAsia="zh-CN"/>
                    </w:rPr>
                    <w:t>废水排放量</w:t>
                  </w:r>
                  <w:r>
                    <w:rPr>
                      <w:rFonts w:hint="default" w:ascii="Times New Roman" w:hAnsi="Times New Roman" w:cs="Times New Roman" w:eastAsiaTheme="minorEastAsia"/>
                      <w:b w:val="0"/>
                      <w:bCs w:val="0"/>
                      <w:i/>
                      <w:iCs/>
                      <w:color w:val="auto"/>
                      <w:sz w:val="21"/>
                      <w:szCs w:val="21"/>
                      <w:vertAlign w:val="baseline"/>
                      <w:lang w:val="en-US" w:eastAsia="zh-CN"/>
                    </w:rPr>
                    <w:t>Q</w:t>
                  </w:r>
                  <w:r>
                    <w:rPr>
                      <w:rFonts w:hint="default" w:ascii="Times New Roman" w:hAnsi="Times New Roman" w:cs="Times New Roman" w:eastAsiaTheme="minorEastAsia"/>
                      <w:b w:val="0"/>
                      <w:bCs w:val="0"/>
                      <w:color w:val="auto"/>
                      <w:sz w:val="21"/>
                      <w:szCs w:val="21"/>
                      <w:vertAlign w:val="baseline"/>
                      <w:lang w:val="en-US" w:eastAsia="zh-CN"/>
                    </w:rPr>
                    <w:t>/（m</w:t>
                  </w:r>
                  <w:r>
                    <w:rPr>
                      <w:rFonts w:hint="default" w:ascii="Times New Roman" w:hAnsi="Times New Roman" w:cs="Times New Roman" w:eastAsiaTheme="minorEastAsia"/>
                      <w:b w:val="0"/>
                      <w:bCs w:val="0"/>
                      <w:color w:val="auto"/>
                      <w:sz w:val="21"/>
                      <w:szCs w:val="21"/>
                      <w:vertAlign w:val="superscript"/>
                      <w:lang w:val="en-US" w:eastAsia="zh-CN"/>
                    </w:rPr>
                    <w:t>3</w:t>
                  </w:r>
                  <w:r>
                    <w:rPr>
                      <w:rFonts w:hint="default" w:ascii="Times New Roman" w:hAnsi="Times New Roman" w:cs="Times New Roman" w:eastAsiaTheme="minorEastAsia"/>
                      <w:b w:val="0"/>
                      <w:bCs w:val="0"/>
                      <w:color w:val="auto"/>
                      <w:sz w:val="21"/>
                      <w:szCs w:val="21"/>
                      <w:vertAlign w:val="baseline"/>
                      <w:lang w:val="en-US" w:eastAsia="zh-CN"/>
                    </w:rPr>
                    <w:t>/d）；水污染物当量书</w:t>
                  </w:r>
                  <w:r>
                    <w:rPr>
                      <w:rFonts w:hint="default" w:ascii="Times New Roman" w:hAnsi="Times New Roman" w:cs="Times New Roman" w:eastAsiaTheme="minorEastAsia"/>
                      <w:b w:val="0"/>
                      <w:bCs w:val="0"/>
                      <w:i/>
                      <w:iCs/>
                      <w:color w:val="auto"/>
                      <w:sz w:val="21"/>
                      <w:szCs w:val="21"/>
                      <w:vertAlign w:val="baseline"/>
                      <w:lang w:val="en-US" w:eastAsia="zh-CN"/>
                    </w:rPr>
                    <w:t>W</w:t>
                  </w:r>
                  <w:r>
                    <w:rPr>
                      <w:rFonts w:hint="default" w:ascii="Times New Roman" w:hAnsi="Times New Roman" w:cs="Times New Roman" w:eastAsiaTheme="minorEastAsia"/>
                      <w:b w:val="0"/>
                      <w:bCs w:val="0"/>
                      <w:color w:val="auto"/>
                      <w:sz w:val="21"/>
                      <w:szCs w:val="21"/>
                      <w:vertAlign w:val="baseline"/>
                      <w:lang w:val="en-US" w:eastAsia="zh-CN"/>
                    </w:rPr>
                    <w:t>/（无量纲）</w:t>
                  </w:r>
                </w:p>
              </w:tc>
            </w:tr>
            <w:tr w14:paraId="0775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4" w:type="dxa"/>
                  <w:vAlign w:val="center"/>
                </w:tcPr>
                <w:p w14:paraId="29D79A5F">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一级</w:t>
                  </w:r>
                </w:p>
              </w:tc>
              <w:tc>
                <w:tcPr>
                  <w:tcW w:w="2835" w:type="dxa"/>
                  <w:vAlign w:val="center"/>
                </w:tcPr>
                <w:p w14:paraId="2A19BDF0">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直接排放</w:t>
                  </w:r>
                </w:p>
              </w:tc>
              <w:tc>
                <w:tcPr>
                  <w:tcW w:w="2835" w:type="dxa"/>
                  <w:vAlign w:val="center"/>
                </w:tcPr>
                <w:p w14:paraId="4C337CCF">
                  <w:pPr>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i/>
                      <w:iCs/>
                      <w:color w:val="auto"/>
                      <w:sz w:val="21"/>
                      <w:szCs w:val="21"/>
                      <w:vertAlign w:val="baseline"/>
                      <w:lang w:val="en-US" w:eastAsia="zh-CN"/>
                    </w:rPr>
                    <w:t>Q</w:t>
                  </w:r>
                  <w:r>
                    <w:rPr>
                      <w:rFonts w:hint="default" w:ascii="Times New Roman" w:hAnsi="Times New Roman" w:cs="Times New Roman" w:eastAsiaTheme="minorEastAsia"/>
                      <w:b w:val="0"/>
                      <w:bCs w:val="0"/>
                      <w:color w:val="auto"/>
                      <w:sz w:val="21"/>
                      <w:szCs w:val="21"/>
                      <w:vertAlign w:val="baseline"/>
                      <w:lang w:val="en-US" w:eastAsia="zh-CN"/>
                    </w:rPr>
                    <w:t>≥20000或</w:t>
                  </w:r>
                  <w:r>
                    <w:rPr>
                      <w:rFonts w:hint="default" w:ascii="Times New Roman" w:hAnsi="Times New Roman" w:cs="Times New Roman" w:eastAsiaTheme="minorEastAsia"/>
                      <w:b w:val="0"/>
                      <w:bCs w:val="0"/>
                      <w:i/>
                      <w:iCs/>
                      <w:color w:val="auto"/>
                      <w:sz w:val="21"/>
                      <w:szCs w:val="21"/>
                      <w:vertAlign w:val="baseline"/>
                      <w:lang w:val="en-US" w:eastAsia="zh-CN"/>
                    </w:rPr>
                    <w:t>W</w:t>
                  </w:r>
                  <w:r>
                    <w:rPr>
                      <w:rFonts w:hint="default" w:ascii="Times New Roman" w:hAnsi="Times New Roman" w:cs="Times New Roman" w:eastAsiaTheme="minorEastAsia"/>
                      <w:b w:val="0"/>
                      <w:bCs w:val="0"/>
                      <w:color w:val="auto"/>
                      <w:sz w:val="21"/>
                      <w:szCs w:val="21"/>
                      <w:vertAlign w:val="baseline"/>
                      <w:lang w:val="en-US" w:eastAsia="zh-CN"/>
                    </w:rPr>
                    <w:t>≥600000</w:t>
                  </w:r>
                </w:p>
              </w:tc>
            </w:tr>
            <w:tr w14:paraId="69FB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4" w:type="dxa"/>
                  <w:vAlign w:val="center"/>
                </w:tcPr>
                <w:p w14:paraId="55F4A1D6">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二级</w:t>
                  </w:r>
                </w:p>
              </w:tc>
              <w:tc>
                <w:tcPr>
                  <w:tcW w:w="2835" w:type="dxa"/>
                  <w:vAlign w:val="center"/>
                </w:tcPr>
                <w:p w14:paraId="67C2F9B6">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直接排放</w:t>
                  </w:r>
                </w:p>
              </w:tc>
              <w:tc>
                <w:tcPr>
                  <w:tcW w:w="2835" w:type="dxa"/>
                  <w:vAlign w:val="center"/>
                </w:tcPr>
                <w:p w14:paraId="470A7164">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其他</w:t>
                  </w:r>
                </w:p>
              </w:tc>
            </w:tr>
            <w:tr w14:paraId="3B72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4" w:type="dxa"/>
                  <w:vAlign w:val="center"/>
                </w:tcPr>
                <w:p w14:paraId="731D2D5D">
                  <w:pPr>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eastAsia="zh-CN"/>
                    </w:rPr>
                    <w:t>三级</w:t>
                  </w:r>
                  <w:r>
                    <w:rPr>
                      <w:rFonts w:hint="default" w:ascii="Times New Roman" w:hAnsi="Times New Roman" w:cs="Times New Roman" w:eastAsiaTheme="minorEastAsia"/>
                      <w:b w:val="0"/>
                      <w:bCs w:val="0"/>
                      <w:color w:val="auto"/>
                      <w:sz w:val="21"/>
                      <w:szCs w:val="21"/>
                      <w:vertAlign w:val="baseline"/>
                      <w:lang w:val="en-US" w:eastAsia="zh-CN"/>
                    </w:rPr>
                    <w:t>A</w:t>
                  </w:r>
                </w:p>
              </w:tc>
              <w:tc>
                <w:tcPr>
                  <w:tcW w:w="2835" w:type="dxa"/>
                  <w:vAlign w:val="center"/>
                </w:tcPr>
                <w:p w14:paraId="7A65AF65">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直接排放</w:t>
                  </w:r>
                </w:p>
              </w:tc>
              <w:tc>
                <w:tcPr>
                  <w:tcW w:w="2835" w:type="dxa"/>
                  <w:vAlign w:val="center"/>
                </w:tcPr>
                <w:p w14:paraId="2F15E09B">
                  <w:pPr>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i/>
                      <w:iCs/>
                      <w:color w:val="auto"/>
                      <w:sz w:val="21"/>
                      <w:szCs w:val="21"/>
                      <w:vertAlign w:val="baseline"/>
                      <w:lang w:val="en-US" w:eastAsia="zh-CN"/>
                    </w:rPr>
                    <w:t>Q</w:t>
                  </w:r>
                  <w:r>
                    <w:rPr>
                      <w:rFonts w:hint="default" w:ascii="Times New Roman" w:hAnsi="Times New Roman" w:cs="Times New Roman" w:eastAsiaTheme="minorEastAsia"/>
                      <w:b w:val="0"/>
                      <w:bCs w:val="0"/>
                      <w:color w:val="auto"/>
                      <w:sz w:val="21"/>
                      <w:szCs w:val="21"/>
                      <w:vertAlign w:val="baseline"/>
                      <w:lang w:val="en-US" w:eastAsia="zh-CN"/>
                    </w:rPr>
                    <w:t>&lt;200且</w:t>
                  </w:r>
                  <w:r>
                    <w:rPr>
                      <w:rFonts w:hint="default" w:ascii="Times New Roman" w:hAnsi="Times New Roman" w:cs="Times New Roman" w:eastAsiaTheme="minorEastAsia"/>
                      <w:b w:val="0"/>
                      <w:bCs w:val="0"/>
                      <w:i/>
                      <w:iCs/>
                      <w:color w:val="auto"/>
                      <w:sz w:val="21"/>
                      <w:szCs w:val="21"/>
                      <w:vertAlign w:val="baseline"/>
                      <w:lang w:val="en-US" w:eastAsia="zh-CN"/>
                    </w:rPr>
                    <w:t>W</w:t>
                  </w:r>
                  <w:r>
                    <w:rPr>
                      <w:rFonts w:hint="default" w:ascii="Times New Roman" w:hAnsi="Times New Roman" w:cs="Times New Roman" w:eastAsiaTheme="minorEastAsia"/>
                      <w:b w:val="0"/>
                      <w:bCs w:val="0"/>
                      <w:color w:val="auto"/>
                      <w:sz w:val="21"/>
                      <w:szCs w:val="21"/>
                      <w:vertAlign w:val="baseline"/>
                      <w:lang w:val="en-US" w:eastAsia="zh-CN"/>
                    </w:rPr>
                    <w:t>&lt;6000</w:t>
                  </w:r>
                </w:p>
              </w:tc>
            </w:tr>
            <w:tr w14:paraId="4CD1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4" w:type="dxa"/>
                  <w:vAlign w:val="center"/>
                </w:tcPr>
                <w:p w14:paraId="1976FC47">
                  <w:pPr>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eastAsia="zh-CN"/>
                    </w:rPr>
                    <w:t>三级</w:t>
                  </w:r>
                  <w:r>
                    <w:rPr>
                      <w:rFonts w:hint="default" w:ascii="Times New Roman" w:hAnsi="Times New Roman" w:cs="Times New Roman" w:eastAsiaTheme="minorEastAsia"/>
                      <w:b w:val="0"/>
                      <w:bCs w:val="0"/>
                      <w:color w:val="auto"/>
                      <w:sz w:val="21"/>
                      <w:szCs w:val="21"/>
                      <w:vertAlign w:val="baseline"/>
                      <w:lang w:val="en-US" w:eastAsia="zh-CN"/>
                    </w:rPr>
                    <w:t>B</w:t>
                  </w:r>
                </w:p>
              </w:tc>
              <w:tc>
                <w:tcPr>
                  <w:tcW w:w="2835" w:type="dxa"/>
                  <w:vAlign w:val="center"/>
                </w:tcPr>
                <w:p w14:paraId="3BB3D94C">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间接排放</w:t>
                  </w:r>
                </w:p>
              </w:tc>
              <w:tc>
                <w:tcPr>
                  <w:tcW w:w="2835" w:type="dxa"/>
                  <w:vAlign w:val="center"/>
                </w:tcPr>
                <w:p w14:paraId="2A9AF4AF">
                  <w:pPr>
                    <w:spacing w:line="240" w:lineRule="auto"/>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b w:val="0"/>
                      <w:bCs w:val="0"/>
                      <w:color w:val="auto"/>
                      <w:sz w:val="21"/>
                      <w:szCs w:val="21"/>
                      <w:vertAlign w:val="baseline"/>
                      <w:lang w:eastAsia="zh-CN"/>
                    </w:rPr>
                    <w:t>—</w:t>
                  </w:r>
                </w:p>
              </w:tc>
            </w:tr>
          </w:tbl>
          <w:p w14:paraId="28CD1761">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本项目废水主要为生活污水和</w:t>
            </w:r>
            <w:r>
              <w:rPr>
                <w:rFonts w:hint="eastAsia" w:cs="Times New Roman"/>
                <w:color w:val="auto"/>
                <w:sz w:val="24"/>
                <w:szCs w:val="24"/>
                <w:lang w:val="en-US" w:eastAsia="zh-CN"/>
              </w:rPr>
              <w:t>作业地面</w:t>
            </w:r>
            <w:r>
              <w:rPr>
                <w:rFonts w:hint="default" w:ascii="Times New Roman" w:hAnsi="Times New Roman" w:cs="Times New Roman"/>
                <w:color w:val="auto"/>
                <w:sz w:val="24"/>
                <w:szCs w:val="24"/>
                <w:lang w:val="en-US" w:eastAsia="zh-CN"/>
              </w:rPr>
              <w:t>冲洗废水，生活污水经化粪池收集处理后由周边农户定期清掏用于农肥；冲洗废水经沉淀池沉淀后循环使用，不外排。项目无外排废水产生，故地表水评价等级为三级B。</w:t>
            </w:r>
          </w:p>
          <w:p w14:paraId="3EA31D91">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（1）化粪池收纳可行性分析</w:t>
            </w:r>
          </w:p>
          <w:p w14:paraId="41A3907C">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根据项目水平衡分析可知，项目生活污水产生量约</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24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w:t>
            </w:r>
            <w:r>
              <w:rPr>
                <w:rFonts w:hint="eastAsia" w:cs="Times New Roman"/>
                <w:color w:val="auto"/>
                <w:sz w:val="24"/>
                <w:szCs w:val="24"/>
                <w:lang w:val="en-US" w:eastAsia="zh-CN"/>
              </w:rPr>
              <w:t>72</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/a）。化粪池水力停留时间按24h计，项目</w:t>
            </w:r>
            <w:r>
              <w:rPr>
                <w:rFonts w:hint="eastAsia" w:cs="Times New Roman"/>
                <w:color w:val="auto"/>
                <w:sz w:val="24"/>
                <w:szCs w:val="24"/>
                <w:lang w:val="en-US" w:eastAsia="zh-CN"/>
              </w:rPr>
              <w:t>拟新</w:t>
            </w:r>
            <w:r>
              <w:rPr>
                <w:rFonts w:hint="default" w:ascii="Times New Roman" w:hAnsi="Times New Roman" w:cs="Times New Roman"/>
                <w:color w:val="auto"/>
                <w:sz w:val="24"/>
                <w:szCs w:val="24"/>
                <w:lang w:val="en-US" w:eastAsia="zh-CN"/>
              </w:rPr>
              <w:t>建</w:t>
            </w:r>
            <w:r>
              <w:rPr>
                <w:rFonts w:hint="default" w:ascii="Times New Roman" w:hAnsi="Times New Roman" w:cs="Times New Roman"/>
                <w:color w:val="auto"/>
                <w:sz w:val="24"/>
                <w:szCs w:val="24"/>
                <w:lang w:eastAsia="zh-CN"/>
              </w:rPr>
              <w:t>化粪池</w:t>
            </w:r>
            <w:r>
              <w:rPr>
                <w:rFonts w:hint="eastAsia" w:cs="Times New Roman"/>
                <w:color w:val="auto"/>
                <w:sz w:val="24"/>
                <w:szCs w:val="24"/>
                <w:lang w:val="en-US" w:eastAsia="zh-CN"/>
              </w:rPr>
              <w:t>一座，</w:t>
            </w:r>
            <w:r>
              <w:rPr>
                <w:rFonts w:hint="default" w:ascii="Times New Roman" w:hAnsi="Times New Roman" w:cs="Times New Roman"/>
                <w:color w:val="auto"/>
                <w:sz w:val="24"/>
                <w:szCs w:val="24"/>
                <w:lang w:eastAsia="zh-CN"/>
              </w:rPr>
              <w:t>容积为</w:t>
            </w:r>
            <w:r>
              <w:rPr>
                <w:rFonts w:hint="eastAsia" w:cs="Times New Roman"/>
                <w:color w:val="auto"/>
                <w:sz w:val="24"/>
                <w:szCs w:val="24"/>
                <w:lang w:val="en-US" w:eastAsia="zh-CN"/>
              </w:rPr>
              <w:t>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周边农户一般7天清掏一次化粪池，暂存最大水量为</w:t>
            </w:r>
            <w:r>
              <w:rPr>
                <w:rFonts w:hint="eastAsia" w:cs="Times New Roman"/>
                <w:color w:val="auto"/>
                <w:sz w:val="24"/>
                <w:szCs w:val="24"/>
                <w:vertAlign w:val="baseline"/>
                <w:lang w:val="en-US" w:eastAsia="zh-CN"/>
              </w:rPr>
              <w:t>1.89</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，故</w:t>
            </w:r>
            <w:r>
              <w:rPr>
                <w:rFonts w:hint="eastAsia" w:cs="Times New Roman"/>
                <w:color w:val="auto"/>
                <w:sz w:val="24"/>
                <w:szCs w:val="24"/>
                <w:vertAlign w:val="baseline"/>
                <w:lang w:val="en-US" w:eastAsia="zh-CN"/>
              </w:rPr>
              <w:t>新建</w:t>
            </w:r>
            <w:r>
              <w:rPr>
                <w:rFonts w:hint="default" w:ascii="Times New Roman" w:hAnsi="Times New Roman" w:cs="Times New Roman"/>
                <w:color w:val="auto"/>
                <w:sz w:val="24"/>
                <w:szCs w:val="24"/>
                <w:vertAlign w:val="baseline"/>
                <w:lang w:val="en-US" w:eastAsia="zh-CN"/>
              </w:rPr>
              <w:t>化粪池容积能够满足生活污水的收集暂存</w:t>
            </w:r>
            <w:r>
              <w:rPr>
                <w:rFonts w:hint="default" w:ascii="Times New Roman" w:hAnsi="Times New Roman" w:cs="Times New Roman"/>
                <w:color w:val="auto"/>
                <w:sz w:val="24"/>
                <w:szCs w:val="24"/>
                <w:lang w:eastAsia="zh-CN"/>
              </w:rPr>
              <w:t>。</w:t>
            </w:r>
          </w:p>
          <w:p w14:paraId="66B47896">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（2）</w:t>
            </w:r>
            <w:r>
              <w:rPr>
                <w:rFonts w:hint="default" w:ascii="Times New Roman" w:hAnsi="Times New Roman" w:cs="Times New Roman"/>
                <w:b/>
                <w:bCs/>
                <w:color w:val="auto"/>
                <w:sz w:val="24"/>
                <w:szCs w:val="24"/>
                <w:lang w:val="en-US" w:eastAsia="zh-CN"/>
              </w:rPr>
              <w:t>沉淀池收纳</w:t>
            </w:r>
            <w:r>
              <w:rPr>
                <w:rFonts w:hint="default" w:ascii="Times New Roman" w:hAnsi="Times New Roman" w:cs="Times New Roman"/>
                <w:b/>
                <w:bCs/>
                <w:color w:val="auto"/>
                <w:sz w:val="24"/>
                <w:szCs w:val="24"/>
                <w:lang w:eastAsia="zh-CN"/>
              </w:rPr>
              <w:t>可行性分析</w:t>
            </w:r>
          </w:p>
          <w:p w14:paraId="1A30C9C7">
            <w:pPr>
              <w:spacing w:line="360" w:lineRule="auto"/>
              <w:ind w:firstLine="480" w:firstLineChars="200"/>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lang w:val="en-US" w:eastAsia="zh-CN"/>
              </w:rPr>
              <w:t>本次评价要去建设单位</w:t>
            </w:r>
            <w:r>
              <w:rPr>
                <w:rFonts w:hint="eastAsia" w:cs="Times New Roman"/>
                <w:color w:val="auto"/>
                <w:sz w:val="24"/>
                <w:szCs w:val="24"/>
                <w:lang w:val="en-US" w:eastAsia="zh-CN"/>
              </w:rPr>
              <w:t>新建</w:t>
            </w:r>
            <w:r>
              <w:rPr>
                <w:rFonts w:hint="default" w:ascii="Times New Roman" w:hAnsi="Times New Roman" w:cs="Times New Roman"/>
                <w:color w:val="auto"/>
                <w:sz w:val="24"/>
                <w:szCs w:val="24"/>
                <w:lang w:val="en-US" w:eastAsia="zh-CN"/>
              </w:rPr>
              <w:t>1座容积为</w:t>
            </w:r>
            <w:r>
              <w:rPr>
                <w:rFonts w:hint="eastAsia" w:cs="Times New Roman"/>
                <w:color w:val="auto"/>
                <w:sz w:val="24"/>
                <w:szCs w:val="24"/>
                <w:lang w:val="en-US" w:eastAsia="zh-CN"/>
              </w:rPr>
              <w:t>15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沉淀池用于收集处理项目</w:t>
            </w:r>
            <w:r>
              <w:rPr>
                <w:rFonts w:hint="eastAsia" w:cs="Times New Roman"/>
                <w:color w:val="auto"/>
                <w:sz w:val="24"/>
                <w:szCs w:val="24"/>
                <w:vertAlign w:val="baseline"/>
                <w:lang w:val="en-US" w:eastAsia="zh-CN"/>
              </w:rPr>
              <w:t>地面</w:t>
            </w:r>
            <w:r>
              <w:rPr>
                <w:rFonts w:hint="default" w:ascii="Times New Roman" w:hAnsi="Times New Roman" w:cs="Times New Roman"/>
                <w:color w:val="auto"/>
                <w:sz w:val="24"/>
                <w:szCs w:val="24"/>
                <w:vertAlign w:val="baseline"/>
                <w:lang w:val="en-US" w:eastAsia="zh-CN"/>
              </w:rPr>
              <w:t>冲洗废水，通过前述水平衡可知，项目车辆冲洗废水的产生量为</w:t>
            </w:r>
            <w:r>
              <w:rPr>
                <w:rFonts w:hint="eastAsia" w:cs="Times New Roman"/>
                <w:color w:val="auto"/>
                <w:sz w:val="24"/>
                <w:szCs w:val="24"/>
                <w:vertAlign w:val="baseline"/>
                <w:lang w:val="en-US" w:eastAsia="zh-CN"/>
              </w:rPr>
              <w:t>1.4875</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/d，故拟建的沉淀池容积能够满足废水沉淀的收集处理需求。</w:t>
            </w:r>
          </w:p>
          <w:p w14:paraId="34E4460A">
            <w:pPr>
              <w:spacing w:line="360" w:lineRule="auto"/>
              <w:ind w:firstLine="482" w:firstLineChars="200"/>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（3）周边农田废水消纳可行性分析</w:t>
            </w:r>
          </w:p>
          <w:p w14:paraId="3AD190EE">
            <w:pPr>
              <w:pStyle w:val="80"/>
              <w:ind w:firstLine="482"/>
              <w:rPr>
                <w:rFonts w:hint="default" w:ascii="Times New Roman" w:hAnsi="Times New Roman" w:eastAsia="宋体" w:cs="Times New Roman"/>
                <w:b w:val="0"/>
                <w:bCs w:val="0"/>
                <w:color w:val="C00000"/>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根据业主提供的《污水消纳协议》，项目周边农户签订了污水消纳协议，根据业主提供数据，农户有农田合计约</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亩，每亩农田按旱作灌溉水量，即300m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/亩·年，则农田年需水量为</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，而本项目生活污水的产生量为</w:t>
            </w:r>
            <w:r>
              <w:rPr>
                <w:rFonts w:hint="eastAsia" w:ascii="Times New Roman" w:hAnsi="Times New Roman" w:eastAsia="宋体" w:cs="Times New Roman"/>
                <w:b w:val="0"/>
                <w:bCs w:val="0"/>
                <w:color w:val="auto"/>
                <w:sz w:val="24"/>
                <w:szCs w:val="24"/>
                <w:lang w:val="en-US" w:eastAsia="zh-CN"/>
              </w:rPr>
              <w:t>0.24</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72</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/a），小于该户农户农田需水量，故项目生活污水经化粪池收集处理后由周边农户清掏用于农肥可行。</w:t>
            </w:r>
          </w:p>
          <w:p w14:paraId="54C0787F">
            <w:pPr>
              <w:spacing w:line="360" w:lineRule="auto"/>
              <w:ind w:firstLine="48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lang w:eastAsia="zh-CN"/>
              </w:rPr>
              <w:t>综上所述，</w:t>
            </w:r>
            <w:r>
              <w:rPr>
                <w:rFonts w:hint="default" w:ascii="Times New Roman" w:hAnsi="Times New Roman" w:cs="Times New Roman"/>
                <w:b/>
                <w:bCs/>
                <w:color w:val="auto"/>
                <w:sz w:val="24"/>
                <w:szCs w:val="24"/>
                <w:lang w:val="en-US" w:eastAsia="zh-CN"/>
              </w:rPr>
              <w:t>项目废水处置措施合理可行，不会对周边地表水环境产生影响</w:t>
            </w:r>
            <w:r>
              <w:rPr>
                <w:rFonts w:hint="default" w:ascii="Times New Roman" w:hAnsi="Times New Roman" w:cs="Times New Roman"/>
                <w:b/>
                <w:bCs/>
                <w:color w:val="auto"/>
                <w:sz w:val="24"/>
                <w:szCs w:val="24"/>
                <w:lang w:eastAsia="zh-CN"/>
              </w:rPr>
              <w:t>。</w:t>
            </w:r>
          </w:p>
          <w:p w14:paraId="74A31AF3">
            <w:pPr>
              <w:spacing w:line="360" w:lineRule="auto"/>
              <w:ind w:firstLine="480"/>
              <w:rPr>
                <w:rFonts w:hint="default" w:ascii="Times New Roman" w:hAnsi="Times New Roman" w:eastAsia="宋体" w:cs="Times New Roman"/>
                <w:b/>
                <w:color w:val="auto"/>
                <w:sz w:val="24"/>
                <w:szCs w:val="24"/>
              </w:rPr>
            </w:pPr>
            <w:r>
              <w:rPr>
                <w:rFonts w:hint="eastAsia" w:cs="Times New Roman"/>
                <w:b/>
                <w:color w:val="auto"/>
                <w:sz w:val="24"/>
                <w:szCs w:val="24"/>
                <w:lang w:eastAsia="zh-CN"/>
              </w:rPr>
              <w:t>（</w:t>
            </w:r>
            <w:r>
              <w:rPr>
                <w:rFonts w:hint="eastAsia" w:cs="Times New Roman"/>
                <w:b/>
                <w:color w:val="auto"/>
                <w:sz w:val="24"/>
                <w:szCs w:val="24"/>
                <w:lang w:val="en-US" w:eastAsia="zh-CN"/>
              </w:rPr>
              <w:t>三</w:t>
            </w:r>
            <w:r>
              <w:rPr>
                <w:rFonts w:hint="eastAsia" w:cs="Times New Roman"/>
                <w:b/>
                <w:color w:val="auto"/>
                <w:sz w:val="24"/>
                <w:szCs w:val="24"/>
                <w:lang w:eastAsia="zh-CN"/>
              </w:rPr>
              <w:t>）</w:t>
            </w:r>
            <w:r>
              <w:rPr>
                <w:rFonts w:hint="default" w:ascii="Times New Roman" w:hAnsi="Times New Roman" w:eastAsia="宋体" w:cs="Times New Roman"/>
                <w:b/>
                <w:color w:val="auto"/>
                <w:sz w:val="24"/>
                <w:szCs w:val="24"/>
              </w:rPr>
              <w:t>地下水环境影响分析</w:t>
            </w:r>
          </w:p>
          <w:p w14:paraId="23141BE5">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项目位于</w:t>
            </w:r>
            <w:r>
              <w:rPr>
                <w:rFonts w:hint="eastAsia" w:cs="Times New Roman"/>
                <w:bCs/>
                <w:color w:val="auto"/>
                <w:sz w:val="24"/>
                <w:lang w:val="en-US" w:eastAsia="zh-CN"/>
              </w:rPr>
              <w:t xml:space="preserve">四川省遂宁市蓬溪县蓬南镇长石村3社 </w:t>
            </w:r>
            <w:r>
              <w:rPr>
                <w:rFonts w:hint="default" w:ascii="Times New Roman" w:hAnsi="Times New Roman" w:eastAsia="宋体" w:cs="Times New Roman"/>
                <w:bCs/>
                <w:color w:val="auto"/>
                <w:sz w:val="24"/>
              </w:rPr>
              <w:t>，周边地下水环境不属于集中式饮用水水源及国家或地方政府设定的与地下水环境相关的其它保护区。周边有分散的居民地下水井，地下水环境敏感程度为较敏感。</w:t>
            </w:r>
          </w:p>
          <w:p w14:paraId="6A190521">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本项目主要从事</w:t>
            </w:r>
            <w:r>
              <w:rPr>
                <w:rFonts w:hint="eastAsia" w:cs="Times New Roman"/>
                <w:bCs/>
                <w:color w:val="auto"/>
                <w:sz w:val="24"/>
                <w:lang w:val="en-US" w:eastAsia="zh-CN"/>
              </w:rPr>
              <w:t>栓结构制品和金属制品制作</w:t>
            </w:r>
            <w:r>
              <w:rPr>
                <w:rFonts w:hint="default" w:ascii="Times New Roman" w:hAnsi="Times New Roman" w:eastAsia="宋体" w:cs="Times New Roman"/>
                <w:bCs/>
                <w:color w:val="auto"/>
                <w:sz w:val="24"/>
              </w:rPr>
              <w:t>。根据《环境影响评价技术导则-地下水环境》（HJ610-2016）附录A中的地下水环境影响评价行业分类表，该项目属于“</w:t>
            </w:r>
            <w:r>
              <w:rPr>
                <w:rFonts w:hint="eastAsia" w:cs="Times New Roman"/>
                <w:bCs/>
                <w:color w:val="auto"/>
                <w:sz w:val="24"/>
                <w:lang w:val="en-US" w:eastAsia="zh-CN"/>
              </w:rPr>
              <w:t>53</w:t>
            </w:r>
            <w:r>
              <w:rPr>
                <w:rFonts w:hint="default" w:ascii="Times New Roman" w:hAnsi="Times New Roman" w:eastAsia="宋体" w:cs="Times New Roman"/>
                <w:bCs/>
                <w:color w:val="auto"/>
                <w:sz w:val="24"/>
              </w:rPr>
              <w:t>、</w:t>
            </w:r>
            <w:r>
              <w:rPr>
                <w:rFonts w:hint="eastAsia" w:cs="Times New Roman"/>
                <w:bCs/>
                <w:color w:val="auto"/>
                <w:sz w:val="24"/>
                <w:lang w:val="en-US" w:eastAsia="zh-CN"/>
              </w:rPr>
              <w:t>金属制品</w:t>
            </w:r>
            <w:r>
              <w:rPr>
                <w:rFonts w:hint="default" w:ascii="Times New Roman" w:hAnsi="Times New Roman" w:cs="Times New Roman"/>
                <w:bCs/>
                <w:color w:val="auto"/>
                <w:sz w:val="24"/>
                <w:lang w:val="en-US" w:eastAsia="zh-CN"/>
              </w:rPr>
              <w:t>加工</w:t>
            </w:r>
            <w:r>
              <w:rPr>
                <w:rFonts w:hint="eastAsia" w:cs="Times New Roman"/>
                <w:bCs/>
                <w:color w:val="auto"/>
                <w:sz w:val="24"/>
                <w:lang w:val="en-US" w:eastAsia="zh-CN"/>
              </w:rPr>
              <w:t>制造</w:t>
            </w:r>
            <w:r>
              <w:rPr>
                <w:rFonts w:hint="default" w:ascii="Times New Roman" w:hAnsi="Times New Roman" w:eastAsia="宋体" w:cs="Times New Roman"/>
                <w:bCs/>
                <w:color w:val="auto"/>
                <w:sz w:val="24"/>
              </w:rPr>
              <w:t>”中</w:t>
            </w:r>
            <w:r>
              <w:rPr>
                <w:rFonts w:hint="eastAsia" w:cs="Times New Roman"/>
                <w:bCs/>
                <w:color w:val="auto"/>
                <w:sz w:val="24"/>
                <w:lang w:eastAsia="zh-CN"/>
              </w:rPr>
              <w:t>“</w:t>
            </w:r>
            <w:r>
              <w:rPr>
                <w:rFonts w:hint="eastAsia" w:cs="Times New Roman"/>
                <w:bCs/>
                <w:color w:val="auto"/>
                <w:sz w:val="24"/>
                <w:lang w:val="en-US" w:eastAsia="zh-CN"/>
              </w:rPr>
              <w:t>其他”和</w:t>
            </w:r>
            <w:r>
              <w:rPr>
                <w:rFonts w:hint="default" w:ascii="Times New Roman" w:hAnsi="Times New Roman" w:eastAsia="宋体" w:cs="Times New Roman"/>
                <w:bCs/>
                <w:color w:val="auto"/>
                <w:sz w:val="24"/>
              </w:rPr>
              <w:t>“</w:t>
            </w:r>
            <w:r>
              <w:rPr>
                <w:rFonts w:hint="eastAsia" w:cs="Times New Roman"/>
                <w:bCs/>
                <w:color w:val="auto"/>
                <w:sz w:val="24"/>
                <w:lang w:val="en-US" w:eastAsia="zh-CN"/>
              </w:rPr>
              <w:t>60</w:t>
            </w:r>
            <w:r>
              <w:rPr>
                <w:rFonts w:hint="default" w:ascii="Times New Roman" w:hAnsi="Times New Roman" w:eastAsia="宋体" w:cs="Times New Roman"/>
                <w:bCs/>
                <w:color w:val="auto"/>
                <w:sz w:val="24"/>
              </w:rPr>
              <w:t>、</w:t>
            </w:r>
            <w:r>
              <w:rPr>
                <w:rFonts w:hint="eastAsia" w:cs="Times New Roman"/>
                <w:bCs/>
                <w:color w:val="auto"/>
                <w:sz w:val="24"/>
                <w:lang w:val="en-US" w:eastAsia="zh-CN"/>
              </w:rPr>
              <w:t>栓结构构件制造、商品混凝土加工</w:t>
            </w:r>
            <w:r>
              <w:rPr>
                <w:rFonts w:hint="default" w:ascii="Times New Roman" w:hAnsi="Times New Roman" w:eastAsia="宋体" w:cs="Times New Roman"/>
                <w:bCs/>
                <w:color w:val="auto"/>
                <w:sz w:val="24"/>
              </w:rPr>
              <w:t>”中</w:t>
            </w:r>
            <w:r>
              <w:rPr>
                <w:rFonts w:hint="eastAsia" w:cs="Times New Roman"/>
                <w:bCs/>
                <w:color w:val="auto"/>
                <w:sz w:val="24"/>
                <w:lang w:eastAsia="zh-CN"/>
              </w:rPr>
              <w:t>“</w:t>
            </w:r>
            <w:r>
              <w:rPr>
                <w:rFonts w:hint="eastAsia" w:cs="Times New Roman"/>
                <w:bCs/>
                <w:color w:val="auto"/>
                <w:sz w:val="24"/>
                <w:lang w:val="en-US" w:eastAsia="zh-CN"/>
              </w:rPr>
              <w:t>全部”</w:t>
            </w:r>
            <w:r>
              <w:rPr>
                <w:rFonts w:hint="default" w:ascii="Times New Roman" w:hAnsi="Times New Roman" w:eastAsia="宋体" w:cs="Times New Roman"/>
                <w:bCs/>
                <w:color w:val="auto"/>
                <w:sz w:val="24"/>
              </w:rPr>
              <w:t>，地下水环境影响评价项目类别为IV类，地下水环境影响评价项目类别为IV类项目可不开展地下水环境影响评价，本次评价仅</w:t>
            </w:r>
            <w:r>
              <w:rPr>
                <w:rFonts w:hint="eastAsia" w:cs="Times New Roman"/>
                <w:bCs/>
                <w:color w:val="auto"/>
                <w:sz w:val="24"/>
                <w:lang w:val="en-US" w:eastAsia="zh-CN"/>
              </w:rPr>
              <w:t>做</w:t>
            </w:r>
            <w:r>
              <w:rPr>
                <w:rFonts w:hint="default" w:ascii="Times New Roman" w:hAnsi="Times New Roman" w:eastAsia="宋体" w:cs="Times New Roman"/>
                <w:bCs/>
                <w:color w:val="auto"/>
                <w:sz w:val="24"/>
              </w:rPr>
              <w:t>简单分析。</w:t>
            </w:r>
          </w:p>
          <w:p w14:paraId="7B622049">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项目营运期污染物对地下水的影响主要是由于降雨或废水排放等通过垂直渗透进入包气带，进入包气带的污染物在物理、化学和生物作用下经吸附、转化、迁移和分解后输入地下水。</w:t>
            </w:r>
          </w:p>
          <w:p w14:paraId="68891FDA">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14:paraId="52F2B12E">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根据地下水环境保护措施和对策，按照“源头控制、分区防控、污染监控、应急响应”的原则。</w:t>
            </w:r>
          </w:p>
          <w:p w14:paraId="54970428">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（1）源头控制措施</w:t>
            </w:r>
          </w:p>
          <w:p w14:paraId="10B57335">
            <w:pPr>
              <w:pStyle w:val="2"/>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本项目地下水可能的污染途径为</w:t>
            </w:r>
            <w:r>
              <w:rPr>
                <w:rFonts w:hint="default" w:ascii="Times New Roman" w:hAnsi="Times New Roman" w:cs="Times New Roman"/>
                <w:b w:val="0"/>
                <w:bCs w:val="0"/>
                <w:color w:val="auto"/>
                <w:sz w:val="24"/>
                <w:szCs w:val="24"/>
                <w:lang w:eastAsia="zh-CN"/>
              </w:rPr>
              <w:t>化粪池、</w:t>
            </w:r>
            <w:r>
              <w:rPr>
                <w:rFonts w:hint="default" w:ascii="Times New Roman" w:hAnsi="Times New Roman" w:cs="Times New Roman"/>
                <w:b w:val="0"/>
                <w:bCs w:val="0"/>
                <w:color w:val="auto"/>
                <w:sz w:val="24"/>
                <w:szCs w:val="24"/>
                <w:lang w:val="en-US" w:eastAsia="zh-CN"/>
              </w:rPr>
              <w:t>沉淀池</w:t>
            </w:r>
            <w:r>
              <w:rPr>
                <w:rFonts w:hint="default" w:ascii="Times New Roman" w:hAnsi="Times New Roman" w:eastAsia="宋体" w:cs="Times New Roman"/>
                <w:b w:val="0"/>
                <w:bCs w:val="0"/>
                <w:color w:val="auto"/>
                <w:sz w:val="24"/>
                <w:szCs w:val="24"/>
              </w:rPr>
              <w:t>的防渗措施不到位，可能发生污染物跑、冒、滴、漏</w:t>
            </w:r>
            <w:r>
              <w:rPr>
                <w:rFonts w:hint="default" w:ascii="Times New Roman" w:hAnsi="Times New Roman" w:cs="Times New Roman"/>
                <w:b w:val="0"/>
                <w:bCs w:val="0"/>
                <w:color w:val="auto"/>
                <w:sz w:val="24"/>
                <w:szCs w:val="24"/>
                <w:lang w:eastAsia="zh-CN"/>
              </w:rPr>
              <w:t>。</w:t>
            </w:r>
          </w:p>
          <w:p w14:paraId="58022EBA">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0C46E9C2">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②对污水储存</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处理构筑物采取控制措施，防止污染物的跑、冒、滴、漏，将污染物泄漏的环境风险事故降到最低限度。</w:t>
            </w:r>
          </w:p>
          <w:p w14:paraId="78520C53">
            <w:pPr>
              <w:pStyle w:val="2"/>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（2）分区防控措施</w:t>
            </w:r>
          </w:p>
          <w:p w14:paraId="688D92DF">
            <w:pPr>
              <w:pStyle w:val="2"/>
              <w:spacing w:line="360" w:lineRule="auto"/>
              <w:ind w:firstLine="480" w:firstLineChars="200"/>
              <w:rPr>
                <w:rFonts w:hint="default" w:ascii="Times New Roman" w:hAnsi="Times New Roman" w:eastAsia="宋体" w:cs="Times New Roman"/>
                <w:b w:val="0"/>
                <w:bCs w:val="0"/>
                <w:color w:val="C00000"/>
                <w:sz w:val="24"/>
                <w:szCs w:val="24"/>
              </w:rPr>
            </w:pPr>
            <w:r>
              <w:rPr>
                <w:rFonts w:hint="default" w:ascii="Times New Roman" w:hAnsi="Times New Roman" w:eastAsia="宋体" w:cs="Times New Roman"/>
                <w:b w:val="0"/>
                <w:bCs w:val="0"/>
                <w:color w:val="auto"/>
                <w:sz w:val="24"/>
                <w:szCs w:val="24"/>
              </w:rPr>
              <w:t>按照相关规范、规定将本项目各功能单元所处的位置划分为</w:t>
            </w:r>
            <w:r>
              <w:rPr>
                <w:rFonts w:hint="default" w:ascii="宋体" w:hAnsi="宋体" w:cs="宋体"/>
                <w:color w:val="auto"/>
                <w:sz w:val="24"/>
                <w:lang w:val="en-US" w:eastAsia="zh-CN"/>
              </w:rPr>
              <w:t>重点防渗区、一般防渗区和简单防渗区，划分区域如下</w:t>
            </w:r>
            <w:r>
              <w:rPr>
                <w:rFonts w:hint="default" w:ascii="Times New Roman" w:hAnsi="Times New Roman" w:eastAsia="宋体" w:cs="Times New Roman"/>
                <w:b w:val="0"/>
                <w:bCs w:val="0"/>
                <w:color w:val="C00000"/>
                <w:sz w:val="24"/>
                <w:szCs w:val="24"/>
              </w:rPr>
              <w:t>：</w:t>
            </w:r>
          </w:p>
          <w:p w14:paraId="74FC139B">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重点防渗区：危废暂存间。</w:t>
            </w:r>
          </w:p>
          <w:p w14:paraId="7C16A20D">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一般防渗区：</w:t>
            </w:r>
            <w:r>
              <w:rPr>
                <w:rFonts w:hint="eastAsia" w:ascii="宋体" w:hAnsi="宋体" w:cs="宋体"/>
                <w:color w:val="auto"/>
                <w:sz w:val="24"/>
                <w:lang w:val="en-US" w:eastAsia="zh-CN"/>
              </w:rPr>
              <w:t>预处理池、沉淀池</w:t>
            </w:r>
            <w:r>
              <w:rPr>
                <w:rFonts w:hint="default" w:ascii="宋体" w:hAnsi="宋体" w:cs="宋体"/>
                <w:color w:val="auto"/>
                <w:sz w:val="24"/>
                <w:lang w:val="en-US" w:eastAsia="zh-CN"/>
              </w:rPr>
              <w:t>。</w:t>
            </w:r>
          </w:p>
          <w:p w14:paraId="2BEEF877">
            <w:pPr>
              <w:pStyle w:val="2"/>
              <w:spacing w:line="360" w:lineRule="auto"/>
              <w:ind w:firstLine="480" w:firstLineChars="200"/>
              <w:rPr>
                <w:rFonts w:hint="default" w:ascii="Times New Roman" w:hAnsi="Times New Roman" w:eastAsia="宋体" w:cs="Times New Roman"/>
                <w:b w:val="0"/>
                <w:bCs w:val="0"/>
                <w:color w:val="C00000"/>
                <w:sz w:val="24"/>
                <w:szCs w:val="24"/>
              </w:rPr>
            </w:pPr>
            <w:r>
              <w:rPr>
                <w:rFonts w:hint="default" w:ascii="宋体" w:hAnsi="宋体" w:cs="宋体"/>
                <w:color w:val="auto"/>
                <w:sz w:val="24"/>
                <w:lang w:val="en-US" w:eastAsia="zh-CN"/>
              </w:rPr>
              <w:t xml:space="preserve">简单防渗区：除重点防渗区、一般防渗区以外的区域。防渗技术要求为一般地面硬化。 </w:t>
            </w:r>
          </w:p>
          <w:p w14:paraId="468754DD">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要求建设单位：</w:t>
            </w:r>
          </w:p>
          <w:p w14:paraId="15BB7EE8">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a、按照重点防渗区的要求，将危废暂存间所在区域进行重点防渗，采用高密度聚乙烯防渗层或者其他人工材料，确保渗透系数≤10</w:t>
            </w:r>
            <w:r>
              <w:rPr>
                <w:rFonts w:hint="default" w:ascii="宋体" w:hAnsi="宋体" w:cs="宋体"/>
                <w:color w:val="auto"/>
                <w:sz w:val="24"/>
                <w:vertAlign w:val="superscript"/>
                <w:lang w:val="en-US" w:eastAsia="zh-CN"/>
              </w:rPr>
              <w:t>-7</w:t>
            </w:r>
            <w:r>
              <w:rPr>
                <w:rFonts w:hint="default" w:ascii="宋体" w:hAnsi="宋体" w:cs="宋体"/>
                <w:color w:val="auto"/>
                <w:sz w:val="24"/>
                <w:lang w:val="en-US" w:eastAsia="zh-CN"/>
              </w:rPr>
              <w:t xml:space="preserve">cm/s； </w:t>
            </w:r>
          </w:p>
          <w:p w14:paraId="6B047011">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b、危废暂存区确保其防渗技术要求达到《危险废物贮存污染控制标准》（GB18597-2001） 中要求：基础必须防渗，防渗层为至少1m 厚黏土层（渗透系数≤10</w:t>
            </w:r>
            <w:r>
              <w:rPr>
                <w:rFonts w:hint="default" w:ascii="宋体" w:hAnsi="宋体" w:cs="宋体"/>
                <w:color w:val="auto"/>
                <w:sz w:val="24"/>
                <w:vertAlign w:val="superscript"/>
                <w:lang w:val="en-US" w:eastAsia="zh-CN"/>
              </w:rPr>
              <w:t>-7</w:t>
            </w:r>
            <w:r>
              <w:rPr>
                <w:rFonts w:hint="default" w:ascii="宋体" w:hAnsi="宋体" w:cs="宋体"/>
                <w:color w:val="auto"/>
                <w:sz w:val="24"/>
                <w:lang w:val="en-US" w:eastAsia="zh-CN"/>
              </w:rPr>
              <w:t>cm/s）或 2mm 厚高密度聚乙烯，或至少 2mm 厚的其他人工材料，确保渗透系数≤10</w:t>
            </w:r>
            <w:r>
              <w:rPr>
                <w:rFonts w:hint="default" w:ascii="宋体" w:hAnsi="宋体" w:cs="宋体"/>
                <w:color w:val="auto"/>
                <w:sz w:val="24"/>
                <w:vertAlign w:val="superscript"/>
                <w:lang w:val="en-US" w:eastAsia="zh-CN"/>
              </w:rPr>
              <w:t>-10</w:t>
            </w:r>
            <w:r>
              <w:rPr>
                <w:rFonts w:hint="default" w:ascii="宋体" w:hAnsi="宋体" w:cs="宋体"/>
                <w:color w:val="auto"/>
                <w:sz w:val="24"/>
                <w:lang w:val="en-US" w:eastAsia="zh-CN"/>
              </w:rPr>
              <w:t xml:space="preserve">cm/s。 </w:t>
            </w:r>
          </w:p>
          <w:p w14:paraId="0F9F190F">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c、按照一般防渗区的要求，将车间内除重点防渗区的其他区域进行一般防渗。防渗技术要求为等效粘土防渗层 Mb≥1.5m，K≤10</w:t>
            </w:r>
            <w:r>
              <w:rPr>
                <w:rFonts w:hint="default" w:ascii="宋体" w:hAnsi="宋体" w:cs="宋体"/>
                <w:color w:val="auto"/>
                <w:sz w:val="24"/>
                <w:vertAlign w:val="superscript"/>
                <w:lang w:val="en-US" w:eastAsia="zh-CN"/>
              </w:rPr>
              <w:t>-7</w:t>
            </w:r>
            <w:r>
              <w:rPr>
                <w:rFonts w:hint="default" w:ascii="宋体" w:hAnsi="宋体" w:cs="宋体"/>
                <w:color w:val="auto"/>
                <w:sz w:val="24"/>
                <w:lang w:val="en-US" w:eastAsia="zh-CN"/>
              </w:rPr>
              <w:t xml:space="preserve">cm/s。 </w:t>
            </w:r>
          </w:p>
          <w:p w14:paraId="612472E4">
            <w:pPr>
              <w:spacing w:line="360" w:lineRule="auto"/>
              <w:ind w:firstLine="480"/>
              <w:rPr>
                <w:rFonts w:hint="default" w:ascii="Times New Roman" w:hAnsi="Times New Roman" w:eastAsia="宋体" w:cs="Times New Roman"/>
                <w:bCs/>
                <w:color w:val="C00000"/>
                <w:sz w:val="24"/>
              </w:rPr>
            </w:pPr>
            <w:r>
              <w:rPr>
                <w:rFonts w:hint="default" w:ascii="宋体" w:hAnsi="宋体" w:cs="宋体"/>
                <w:color w:val="auto"/>
                <w:sz w:val="24"/>
                <w:lang w:val="en-US" w:eastAsia="zh-CN"/>
              </w:rPr>
              <w:t>d、按照一般简单防渗区的要求，将办公生活区（办公区、食堂）及厂区道路等除重点防渗区、一般防渗区以外的区域进行简单防渗。防渗技术要求为一般地面硬化</w:t>
            </w:r>
            <w:r>
              <w:rPr>
                <w:rFonts w:hint="default" w:ascii="Times New Roman" w:hAnsi="Times New Roman" w:eastAsia="宋体" w:cs="Times New Roman"/>
                <w:bCs/>
                <w:color w:val="auto"/>
                <w:sz w:val="24"/>
              </w:rPr>
              <w:t>。</w:t>
            </w:r>
          </w:p>
          <w:p w14:paraId="7C44A2A7">
            <w:pPr>
              <w:spacing w:line="360" w:lineRule="auto"/>
              <w:ind w:firstLine="480" w:firstLineChars="200"/>
              <w:rPr>
                <w:rFonts w:hint="default" w:ascii="宋体" w:hAnsi="宋体" w:cs="宋体"/>
                <w:color w:val="auto"/>
                <w:sz w:val="24"/>
                <w:lang w:val="en-US" w:eastAsia="zh-CN"/>
              </w:rPr>
            </w:pPr>
            <w:r>
              <w:rPr>
                <w:rFonts w:hint="eastAsia" w:ascii="宋体" w:hAnsi="宋体" w:cs="宋体"/>
                <w:color w:val="auto"/>
                <w:sz w:val="24"/>
                <w:lang w:val="en-US" w:eastAsia="zh-CN"/>
              </w:rPr>
              <w:t>（3）</w:t>
            </w:r>
            <w:r>
              <w:rPr>
                <w:rFonts w:hint="default" w:ascii="宋体" w:hAnsi="宋体" w:cs="宋体"/>
                <w:color w:val="auto"/>
                <w:sz w:val="24"/>
                <w:lang w:val="en-US" w:eastAsia="zh-CN"/>
              </w:rPr>
              <w:t xml:space="preserve">管理措施 </w:t>
            </w:r>
          </w:p>
          <w:p w14:paraId="0D969AF0">
            <w:pPr>
              <w:spacing w:line="360" w:lineRule="auto"/>
              <w:ind w:firstLine="480" w:firstLineChars="200"/>
              <w:rPr>
                <w:rFonts w:hint="default" w:ascii="宋体" w:hAnsi="宋体" w:cs="宋体"/>
                <w:color w:val="auto"/>
                <w:sz w:val="24"/>
                <w:lang w:val="en-US" w:eastAsia="zh-CN"/>
              </w:rPr>
            </w:pPr>
            <w:r>
              <w:rPr>
                <w:rFonts w:hint="default" w:ascii="宋体" w:hAnsi="宋体" w:cs="宋体"/>
                <w:color w:val="auto"/>
                <w:sz w:val="24"/>
                <w:lang w:val="en-US" w:eastAsia="zh-CN"/>
              </w:rPr>
              <w:t>生产期间对生产设备、污染治理设备定期检查，以便于及时发生问题，防止因污水渗、漏造成地下水污染</w:t>
            </w:r>
            <w:r>
              <w:rPr>
                <w:rFonts w:hint="eastAsia" w:ascii="宋体" w:hAnsi="宋体" w:cs="宋体"/>
                <w:color w:val="auto"/>
                <w:sz w:val="24"/>
                <w:lang w:val="en-US" w:eastAsia="zh-CN"/>
              </w:rPr>
              <w:t>。</w:t>
            </w:r>
          </w:p>
          <w:p w14:paraId="2AD185BF">
            <w:pPr>
              <w:spacing w:line="360" w:lineRule="auto"/>
              <w:ind w:firstLine="480"/>
              <w:rPr>
                <w:rFonts w:hint="default" w:ascii="Times New Roman" w:hAnsi="Times New Roman" w:eastAsia="宋体" w:cs="Times New Roman"/>
                <w:color w:val="C00000"/>
                <w:sz w:val="24"/>
                <w:szCs w:val="24"/>
              </w:rPr>
            </w:pPr>
            <w:r>
              <w:rPr>
                <w:rFonts w:hint="default" w:ascii="Times New Roman" w:hAnsi="Times New Roman" w:eastAsia="宋体" w:cs="Times New Roman"/>
                <w:bCs/>
                <w:color w:val="auto"/>
                <w:sz w:val="24"/>
              </w:rPr>
              <w:t>综上所述，在采取上述防渗、防腐处理措施后，本项目对</w:t>
            </w:r>
            <w:r>
              <w:rPr>
                <w:rFonts w:hint="default" w:ascii="Times New Roman" w:hAnsi="Times New Roman" w:cs="Times New Roman"/>
                <w:bCs/>
                <w:color w:val="auto"/>
                <w:sz w:val="24"/>
                <w:lang w:val="en-US" w:eastAsia="zh-CN"/>
              </w:rPr>
              <w:t>周边</w:t>
            </w:r>
            <w:r>
              <w:rPr>
                <w:rFonts w:hint="default" w:ascii="Times New Roman" w:hAnsi="Times New Roman" w:eastAsia="宋体" w:cs="Times New Roman"/>
                <w:bCs/>
                <w:color w:val="auto"/>
                <w:sz w:val="24"/>
              </w:rPr>
              <w:t>地下水</w:t>
            </w:r>
            <w:r>
              <w:rPr>
                <w:rFonts w:hint="default" w:ascii="Times New Roman" w:hAnsi="Times New Roman" w:cs="Times New Roman"/>
                <w:bCs/>
                <w:color w:val="auto"/>
                <w:sz w:val="24"/>
                <w:lang w:val="en-US" w:eastAsia="zh-CN"/>
              </w:rPr>
              <w:t>环境</w:t>
            </w:r>
            <w:r>
              <w:rPr>
                <w:rFonts w:hint="default" w:ascii="Times New Roman" w:hAnsi="Times New Roman" w:eastAsia="宋体" w:cs="Times New Roman"/>
                <w:bCs/>
                <w:color w:val="auto"/>
                <w:sz w:val="24"/>
              </w:rPr>
              <w:t>不会造成明显影响。</w:t>
            </w:r>
          </w:p>
          <w:p w14:paraId="5814568A">
            <w:pPr>
              <w:spacing w:line="360" w:lineRule="auto"/>
              <w:ind w:firstLine="480"/>
              <w:rPr>
                <w:rFonts w:hint="default" w:ascii="Times New Roman" w:hAnsi="Times New Roman" w:eastAsia="宋体" w:cs="Times New Roman"/>
                <w:b/>
                <w:color w:val="auto"/>
                <w:sz w:val="24"/>
                <w:szCs w:val="24"/>
              </w:rPr>
            </w:pPr>
            <w:r>
              <w:rPr>
                <w:rFonts w:hint="eastAsia" w:cs="Times New Roman"/>
                <w:b/>
                <w:color w:val="auto"/>
                <w:sz w:val="24"/>
                <w:szCs w:val="24"/>
                <w:lang w:eastAsia="zh-CN"/>
              </w:rPr>
              <w:t>（</w:t>
            </w:r>
            <w:r>
              <w:rPr>
                <w:rFonts w:hint="eastAsia" w:cs="Times New Roman"/>
                <w:b/>
                <w:color w:val="auto"/>
                <w:sz w:val="24"/>
                <w:szCs w:val="24"/>
                <w:lang w:val="en-US" w:eastAsia="zh-CN"/>
              </w:rPr>
              <w:t>四</w:t>
            </w:r>
            <w:r>
              <w:rPr>
                <w:rFonts w:hint="eastAsia" w:cs="Times New Roman"/>
                <w:b/>
                <w:color w:val="auto"/>
                <w:sz w:val="24"/>
                <w:szCs w:val="24"/>
                <w:lang w:eastAsia="zh-CN"/>
              </w:rPr>
              <w:t>）</w:t>
            </w:r>
            <w:r>
              <w:rPr>
                <w:rFonts w:hint="default" w:ascii="Times New Roman" w:hAnsi="Times New Roman" w:eastAsia="宋体" w:cs="Times New Roman"/>
                <w:b/>
                <w:color w:val="auto"/>
                <w:sz w:val="24"/>
                <w:szCs w:val="24"/>
              </w:rPr>
              <w:t>声环境影响分析</w:t>
            </w:r>
          </w:p>
          <w:p w14:paraId="54DD2EB5">
            <w:pPr>
              <w:pStyle w:val="45"/>
              <w:ind w:left="0"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根据《环境影响评价技术导则-声环境》（HJ2.4-2009）评价工作等级划分中5.2.3之规定：建设项目所处的声环境功能区为GB 3096规定的1类、2类地区，或建设项目建设前后评价范围内敏感目标噪声级增高量达3～5 dB(A) [含5 dB(A)]，或受噪声影响人口数量增加较多时，按二级评价。</w:t>
            </w:r>
            <w:r>
              <w:rPr>
                <w:rFonts w:hint="default" w:ascii="Times New Roman" w:hAnsi="Times New Roman" w:eastAsia="宋体" w:cs="Times New Roman"/>
                <w:color w:val="auto"/>
              </w:rPr>
              <w:t>本项目区域为声环境功能区</w:t>
            </w:r>
            <w:r>
              <w:rPr>
                <w:rFonts w:hint="default" w:ascii="Times New Roman" w:hAnsi="Times New Roman" w:cs="Times New Roman"/>
                <w:color w:val="auto"/>
                <w:lang w:val="en-US" w:eastAsia="zh-CN"/>
              </w:rPr>
              <w:t>2</w:t>
            </w:r>
            <w:r>
              <w:rPr>
                <w:rFonts w:hint="default" w:ascii="Times New Roman" w:hAnsi="Times New Roman" w:eastAsia="宋体" w:cs="Times New Roman"/>
                <w:color w:val="auto"/>
              </w:rPr>
              <w:t>类区域。按照《环境影响评价技术导则</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rPr>
              <w:t>声环境》（HJ2.4-2009）中声环境影响评价等级划分原则，确定本项目声环境影响评价等级为</w:t>
            </w:r>
            <w:r>
              <w:rPr>
                <w:rFonts w:hint="default" w:ascii="Times New Roman" w:hAnsi="Times New Roman" w:cs="Times New Roman"/>
                <w:color w:val="auto"/>
                <w:lang w:val="en-US" w:eastAsia="zh-CN"/>
              </w:rPr>
              <w:t>二</w:t>
            </w:r>
            <w:r>
              <w:rPr>
                <w:rFonts w:hint="default" w:ascii="Times New Roman" w:hAnsi="Times New Roman" w:eastAsia="宋体" w:cs="Times New Roman"/>
                <w:color w:val="auto"/>
              </w:rPr>
              <w:t>级。</w:t>
            </w:r>
          </w:p>
          <w:p w14:paraId="7C935790">
            <w:pPr>
              <w:pStyle w:val="45"/>
              <w:ind w:firstLine="482"/>
              <w:rPr>
                <w:rFonts w:hint="eastAsia" w:ascii="宋体" w:hAnsi="宋体" w:eastAsia="宋体" w:cs="宋体"/>
                <w:b/>
                <w:bCs w:val="0"/>
              </w:rPr>
            </w:pPr>
            <w:r>
              <w:rPr>
                <w:rFonts w:hint="eastAsia" w:ascii="宋体" w:hAnsi="宋体" w:eastAsia="宋体" w:cs="宋体"/>
                <w:b/>
                <w:bCs w:val="0"/>
              </w:rPr>
              <w:t>1、设备噪声影响分析</w:t>
            </w:r>
          </w:p>
          <w:p w14:paraId="52E32C81">
            <w:pPr>
              <w:pStyle w:val="45"/>
              <w:ind w:firstLine="482"/>
              <w:rPr>
                <w:rFonts w:hint="eastAsia" w:ascii="宋体" w:hAnsi="宋体" w:eastAsia="宋体" w:cs="宋体"/>
                <w:b/>
                <w:bCs w:val="0"/>
              </w:rPr>
            </w:pPr>
            <w:r>
              <w:rPr>
                <w:rFonts w:hint="eastAsia" w:ascii="宋体" w:hAnsi="宋体" w:eastAsia="宋体" w:cs="宋体"/>
                <w:b/>
                <w:bCs w:val="0"/>
              </w:rPr>
              <w:t>（1）噪声源</w:t>
            </w:r>
          </w:p>
          <w:p w14:paraId="3BC1206D">
            <w:pPr>
              <w:spacing w:line="360" w:lineRule="auto"/>
              <w:ind w:firstLine="496" w:firstLineChars="200"/>
              <w:rPr>
                <w:rFonts w:hint="eastAsia"/>
                <w:lang w:eastAsia="zh-CN"/>
              </w:rPr>
            </w:pPr>
            <w:r>
              <w:rPr>
                <w:rFonts w:ascii="宋体" w:hAnsi="宋体"/>
                <w:color w:val="auto"/>
                <w:spacing w:val="4"/>
                <w:sz w:val="24"/>
                <w:szCs w:val="24"/>
              </w:rPr>
              <w:t>本项目设备主要的噪声源为</w:t>
            </w:r>
            <w:r>
              <w:rPr>
                <w:rFonts w:hint="eastAsia" w:ascii="宋体" w:hAnsi="宋体"/>
                <w:color w:val="auto"/>
                <w:spacing w:val="4"/>
                <w:sz w:val="24"/>
                <w:szCs w:val="24"/>
                <w:lang w:val="en-US" w:eastAsia="zh-CN"/>
              </w:rPr>
              <w:t>钢筋调直</w:t>
            </w:r>
            <w:r>
              <w:rPr>
                <w:rFonts w:ascii="宋体" w:hAnsi="宋体"/>
                <w:color w:val="auto"/>
                <w:spacing w:val="4"/>
                <w:sz w:val="24"/>
                <w:szCs w:val="24"/>
              </w:rPr>
              <w:t>切割机、焊机、搅拌机、</w:t>
            </w:r>
            <w:r>
              <w:rPr>
                <w:rFonts w:hint="eastAsia" w:ascii="宋体" w:hAnsi="宋体"/>
                <w:color w:val="auto"/>
                <w:spacing w:val="4"/>
                <w:sz w:val="24"/>
                <w:szCs w:val="24"/>
                <w:lang w:val="en-US" w:eastAsia="zh-CN"/>
              </w:rPr>
              <w:t>水泥制品生产线</w:t>
            </w:r>
            <w:r>
              <w:rPr>
                <w:rFonts w:ascii="宋体" w:hAnsi="宋体"/>
                <w:color w:val="auto"/>
                <w:spacing w:val="4"/>
                <w:sz w:val="24"/>
                <w:szCs w:val="24"/>
              </w:rPr>
              <w:t>、</w:t>
            </w:r>
            <w:r>
              <w:rPr>
                <w:rFonts w:hint="eastAsia" w:ascii="宋体" w:hAnsi="宋体"/>
                <w:color w:val="auto"/>
                <w:spacing w:val="4"/>
                <w:sz w:val="24"/>
                <w:szCs w:val="24"/>
                <w:lang w:val="en-US" w:eastAsia="zh-CN"/>
              </w:rPr>
              <w:t>剪板机、空压机</w:t>
            </w:r>
            <w:r>
              <w:rPr>
                <w:rFonts w:ascii="宋体" w:hAnsi="宋体"/>
                <w:color w:val="auto"/>
                <w:spacing w:val="4"/>
                <w:sz w:val="24"/>
                <w:szCs w:val="24"/>
              </w:rPr>
              <w:t>等</w:t>
            </w:r>
            <w:r>
              <w:rPr>
                <w:rFonts w:hint="eastAsia"/>
                <w:bCs/>
                <w:color w:val="auto"/>
                <w:sz w:val="24"/>
              </w:rPr>
              <w:t>，</w:t>
            </w:r>
            <w:r>
              <w:rPr>
                <w:color w:val="auto"/>
                <w:sz w:val="24"/>
              </w:rPr>
              <w:t>其运行噪声值在</w:t>
            </w:r>
            <w:r>
              <w:rPr>
                <w:rFonts w:hint="eastAsia"/>
                <w:color w:val="auto"/>
                <w:sz w:val="24"/>
              </w:rPr>
              <w:t>70</w:t>
            </w:r>
            <w:r>
              <w:rPr>
                <w:color w:val="auto"/>
                <w:sz w:val="24"/>
              </w:rPr>
              <w:t>～1</w:t>
            </w:r>
            <w:r>
              <w:rPr>
                <w:rFonts w:hint="eastAsia"/>
                <w:color w:val="auto"/>
                <w:sz w:val="24"/>
              </w:rPr>
              <w:t>0</w:t>
            </w:r>
            <w:r>
              <w:rPr>
                <w:color w:val="auto"/>
                <w:sz w:val="24"/>
              </w:rPr>
              <w:t>0dB(A)之间</w:t>
            </w:r>
            <w:r>
              <w:rPr>
                <w:rFonts w:hint="default" w:ascii="Times New Roman" w:hAnsi="Times New Roman" w:eastAsia="宋体" w:cs="Times New Roman"/>
                <w:color w:val="auto"/>
                <w:sz w:val="24"/>
                <w:szCs w:val="24"/>
              </w:rPr>
              <w:t>。</w:t>
            </w:r>
          </w:p>
          <w:p w14:paraId="09FDE80A">
            <w:pPr>
              <w:pStyle w:val="45"/>
              <w:ind w:firstLine="422"/>
              <w:jc w:val="center"/>
              <w:rPr>
                <w:rFonts w:hint="eastAsia" w:ascii="宋体" w:hAnsi="宋体" w:eastAsia="宋体" w:cs="宋体"/>
                <w:color w:val="auto"/>
                <w:lang w:eastAsia="zh-CN"/>
              </w:rPr>
            </w:pPr>
            <w:r>
              <w:rPr>
                <w:rFonts w:hint="eastAsia" w:ascii="宋体" w:hAnsi="宋体" w:eastAsia="宋体" w:cs="宋体"/>
                <w:b/>
                <w:bCs w:val="0"/>
                <w:color w:val="FF0000"/>
                <w:sz w:val="21"/>
                <w:szCs w:val="21"/>
                <w:lang w:val="en-US" w:eastAsia="zh-CN"/>
              </w:rPr>
              <w:t xml:space="preserve">             </w:t>
            </w:r>
            <w:r>
              <w:rPr>
                <w:rFonts w:hint="eastAsia" w:ascii="宋体" w:hAnsi="宋体" w:eastAsia="宋体" w:cs="宋体"/>
                <w:b/>
                <w:bCs w:val="0"/>
                <w:color w:val="auto"/>
                <w:sz w:val="21"/>
                <w:szCs w:val="21"/>
                <w:lang w:val="en-US" w:eastAsia="zh-CN"/>
              </w:rPr>
              <w:t xml:space="preserve">        </w:t>
            </w:r>
            <w:r>
              <w:rPr>
                <w:rFonts w:hint="eastAsia" w:ascii="宋体" w:hAnsi="宋体" w:eastAsia="宋体" w:cs="宋体"/>
                <w:b/>
                <w:bCs w:val="0"/>
                <w:color w:val="auto"/>
                <w:sz w:val="21"/>
                <w:szCs w:val="21"/>
              </w:rPr>
              <w:t>表7-</w:t>
            </w:r>
            <w:r>
              <w:rPr>
                <w:rFonts w:hint="eastAsia" w:ascii="宋体" w:hAnsi="宋体" w:eastAsia="宋体" w:cs="宋体"/>
                <w:b/>
                <w:bCs w:val="0"/>
                <w:color w:val="auto"/>
                <w:sz w:val="21"/>
                <w:szCs w:val="21"/>
                <w:lang w:val="en-US" w:eastAsia="zh-CN"/>
              </w:rPr>
              <w:t>1</w:t>
            </w:r>
            <w:r>
              <w:rPr>
                <w:rFonts w:hint="eastAsia" w:ascii="宋体" w:hAnsi="宋体" w:cs="宋体"/>
                <w:b/>
                <w:bCs w:val="0"/>
                <w:color w:val="auto"/>
                <w:sz w:val="21"/>
                <w:szCs w:val="21"/>
                <w:lang w:val="en-US" w:eastAsia="zh-CN"/>
              </w:rPr>
              <w:t>8</w:t>
            </w:r>
            <w:r>
              <w:rPr>
                <w:rFonts w:hint="eastAsia" w:ascii="宋体" w:hAnsi="宋体" w:eastAsia="宋体" w:cs="宋体"/>
                <w:b/>
                <w:bCs w:val="0"/>
                <w:color w:val="auto"/>
                <w:sz w:val="21"/>
                <w:szCs w:val="21"/>
              </w:rPr>
              <w:t xml:space="preserve">  设备噪声</w:t>
            </w:r>
            <w:r>
              <w:rPr>
                <w:rFonts w:hint="eastAsia" w:ascii="宋体" w:hAnsi="宋体" w:eastAsia="宋体" w:cs="宋体"/>
                <w:b/>
                <w:bCs w:val="0"/>
                <w:color w:val="auto"/>
                <w:sz w:val="21"/>
                <w:szCs w:val="21"/>
                <w:lang w:val="en-US" w:eastAsia="zh-CN"/>
              </w:rPr>
              <w:t xml:space="preserve">源强及位置表                       </w:t>
            </w:r>
            <w:r>
              <w:rPr>
                <w:rFonts w:hint="eastAsia" w:ascii="宋体" w:hAnsi="宋体" w:eastAsia="宋体" w:cs="宋体"/>
                <w:b/>
                <w:bCs w:val="0"/>
                <w:color w:val="auto"/>
                <w:sz w:val="21"/>
                <w:szCs w:val="21"/>
              </w:rPr>
              <w:t>单位：dB(A)</w:t>
            </w:r>
          </w:p>
          <w:tbl>
            <w:tblPr>
              <w:tblStyle w:val="22"/>
              <w:tblW w:w="4993"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47"/>
              <w:gridCol w:w="1160"/>
              <w:gridCol w:w="1328"/>
              <w:gridCol w:w="3789"/>
              <w:gridCol w:w="1244"/>
              <w:gridCol w:w="1022"/>
            </w:tblGrid>
            <w:tr w14:paraId="70C6FA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675" w:hRule="atLeast"/>
              </w:trPr>
              <w:tc>
                <w:tcPr>
                  <w:tcW w:w="808" w:type="pct"/>
                  <w:tcBorders>
                    <w:tl2br w:val="nil"/>
                    <w:tr2bl w:val="nil"/>
                  </w:tcBorders>
                  <w:noWrap w:val="0"/>
                  <w:vAlign w:val="center"/>
                </w:tcPr>
                <w:p w14:paraId="548C7C43">
                  <w:pPr>
                    <w:spacing w:line="276" w:lineRule="auto"/>
                    <w:jc w:val="center"/>
                    <w:rPr>
                      <w:rFonts w:hint="eastAsia" w:ascii="宋体" w:hAnsi="宋体" w:eastAsia="宋体" w:cs="宋体"/>
                      <w:b/>
                      <w:bCs/>
                      <w:color w:val="auto"/>
                      <w:szCs w:val="21"/>
                    </w:rPr>
                  </w:pPr>
                  <w:bookmarkStart w:id="7" w:name="_Toc476081643"/>
                  <w:r>
                    <w:rPr>
                      <w:rFonts w:hint="eastAsia" w:ascii="宋体" w:hAnsi="宋体" w:eastAsia="宋体" w:cs="宋体"/>
                      <w:b/>
                      <w:bCs/>
                      <w:color w:val="auto"/>
                      <w:szCs w:val="21"/>
                    </w:rPr>
                    <w:t>名称</w:t>
                  </w:r>
                </w:p>
              </w:tc>
              <w:tc>
                <w:tcPr>
                  <w:tcW w:w="569" w:type="pct"/>
                  <w:tcBorders>
                    <w:tl2br w:val="nil"/>
                    <w:tr2bl w:val="nil"/>
                  </w:tcBorders>
                  <w:noWrap w:val="0"/>
                  <w:vAlign w:val="center"/>
                </w:tcPr>
                <w:p w14:paraId="337862A1">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位置</w:t>
                  </w:r>
                </w:p>
              </w:tc>
              <w:tc>
                <w:tcPr>
                  <w:tcW w:w="651" w:type="pct"/>
                  <w:tcBorders>
                    <w:tl2br w:val="nil"/>
                    <w:tr2bl w:val="nil"/>
                  </w:tcBorders>
                  <w:noWrap w:val="0"/>
                  <w:vAlign w:val="center"/>
                </w:tcPr>
                <w:p w14:paraId="215E89CF">
                  <w:pPr>
                    <w:spacing w:line="276" w:lineRule="auto"/>
                    <w:jc w:val="center"/>
                    <w:rPr>
                      <w:rFonts w:hint="eastAsia" w:ascii="宋体" w:hAnsi="宋体" w:eastAsia="宋体" w:cs="宋体"/>
                      <w:b/>
                      <w:bCs/>
                      <w:color w:val="auto"/>
                      <w:szCs w:val="21"/>
                    </w:rPr>
                  </w:pPr>
                  <w:r>
                    <w:rPr>
                      <w:rFonts w:hint="default" w:ascii="Times New Roman" w:hAnsi="Times New Roman" w:eastAsia="宋体" w:cs="Times New Roman"/>
                      <w:b/>
                      <w:color w:val="auto"/>
                      <w:sz w:val="21"/>
                      <w:szCs w:val="21"/>
                    </w:rPr>
                    <w:t>声源强度值</w:t>
                  </w:r>
                </w:p>
              </w:tc>
              <w:tc>
                <w:tcPr>
                  <w:tcW w:w="1858" w:type="pct"/>
                  <w:tcBorders>
                    <w:tl2br w:val="nil"/>
                    <w:tr2bl w:val="nil"/>
                  </w:tcBorders>
                  <w:noWrap w:val="0"/>
                  <w:vAlign w:val="center"/>
                </w:tcPr>
                <w:p w14:paraId="6BE6737E">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防治措施</w:t>
                  </w:r>
                </w:p>
              </w:tc>
              <w:tc>
                <w:tcPr>
                  <w:tcW w:w="610" w:type="pct"/>
                  <w:tcBorders>
                    <w:tl2br w:val="nil"/>
                    <w:tr2bl w:val="nil"/>
                  </w:tcBorders>
                  <w:noWrap w:val="0"/>
                  <w:vAlign w:val="center"/>
                </w:tcPr>
                <w:p w14:paraId="77B0E465">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处理后</w:t>
                  </w:r>
                </w:p>
                <w:p w14:paraId="0186E2E1">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噪声值</w:t>
                  </w:r>
                </w:p>
              </w:tc>
              <w:tc>
                <w:tcPr>
                  <w:tcW w:w="501" w:type="pct"/>
                  <w:tcBorders>
                    <w:tl2br w:val="nil"/>
                    <w:tr2bl w:val="nil"/>
                  </w:tcBorders>
                  <w:noWrap w:val="0"/>
                  <w:vAlign w:val="center"/>
                </w:tcPr>
                <w:p w14:paraId="46A77D96">
                  <w:pPr>
                    <w:spacing w:line="276"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备注</w:t>
                  </w:r>
                </w:p>
              </w:tc>
            </w:tr>
            <w:tr w14:paraId="00DDE6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4" w:hRule="atLeast"/>
              </w:trPr>
              <w:tc>
                <w:tcPr>
                  <w:tcW w:w="808" w:type="pct"/>
                  <w:tcBorders>
                    <w:tl2br w:val="nil"/>
                    <w:tr2bl w:val="nil"/>
                  </w:tcBorders>
                  <w:noWrap w:val="0"/>
                  <w:vAlign w:val="center"/>
                </w:tcPr>
                <w:p w14:paraId="554EB2F1">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搅拌机</w:t>
                  </w:r>
                </w:p>
              </w:tc>
              <w:tc>
                <w:tcPr>
                  <w:tcW w:w="569" w:type="pct"/>
                  <w:vMerge w:val="restart"/>
                  <w:tcBorders>
                    <w:tl2br w:val="nil"/>
                    <w:tr2bl w:val="nil"/>
                  </w:tcBorders>
                  <w:noWrap w:val="0"/>
                  <w:vAlign w:val="center"/>
                </w:tcPr>
                <w:p w14:paraId="3DA4D511">
                  <w:pPr>
                    <w:spacing w:line="276"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生产车间</w:t>
                  </w:r>
                </w:p>
              </w:tc>
              <w:tc>
                <w:tcPr>
                  <w:tcW w:w="651" w:type="pct"/>
                  <w:tcBorders>
                    <w:tl2br w:val="nil"/>
                    <w:tr2bl w:val="nil"/>
                  </w:tcBorders>
                  <w:noWrap w:val="0"/>
                  <w:vAlign w:val="center"/>
                </w:tcPr>
                <w:p w14:paraId="75753289">
                  <w:pPr>
                    <w:jc w:val="center"/>
                    <w:outlineLvl w:val="1"/>
                    <w:rPr>
                      <w:rFonts w:hint="eastAsia" w:ascii="宋体" w:hAnsi="宋体" w:eastAsia="宋体" w:cs="宋体"/>
                      <w:color w:val="auto"/>
                      <w:szCs w:val="21"/>
                    </w:rPr>
                  </w:pPr>
                  <w:r>
                    <w:rPr>
                      <w:rFonts w:hint="default" w:ascii="Times New Roman" w:hAnsi="Times New Roman" w:cs="Times New Roman"/>
                      <w:color w:val="auto"/>
                      <w:sz w:val="21"/>
                      <w:szCs w:val="21"/>
                      <w:lang w:val="en-US" w:eastAsia="zh-CN"/>
                    </w:rPr>
                    <w:t>70~80</w:t>
                  </w:r>
                </w:p>
              </w:tc>
              <w:tc>
                <w:tcPr>
                  <w:tcW w:w="1858" w:type="pct"/>
                  <w:vMerge w:val="restart"/>
                  <w:tcBorders>
                    <w:tl2br w:val="nil"/>
                    <w:tr2bl w:val="nil"/>
                  </w:tcBorders>
                  <w:noWrap w:val="0"/>
                  <w:vAlign w:val="center"/>
                </w:tcPr>
                <w:p w14:paraId="28A77ED3">
                  <w:pPr>
                    <w:spacing w:line="276" w:lineRule="auto"/>
                    <w:jc w:val="center"/>
                    <w:rPr>
                      <w:rFonts w:hint="eastAsia" w:ascii="宋体" w:hAnsi="宋体" w:eastAsia="宋体" w:cs="宋体"/>
                      <w:color w:val="auto"/>
                      <w:szCs w:val="21"/>
                    </w:rPr>
                  </w:pPr>
                  <w:r>
                    <w:rPr>
                      <w:rFonts w:hint="default" w:ascii="Times New Roman" w:hAnsi="Times New Roman" w:eastAsia="宋体" w:cs="Times New Roman"/>
                      <w:color w:val="auto"/>
                      <w:sz w:val="21"/>
                      <w:szCs w:val="21"/>
                      <w:lang w:val="en-US" w:eastAsia="zh-CN"/>
                    </w:rPr>
                    <w:t>厂房隔声；选择低噪声设备；底座安装减震垫；合理布局；加强维护保养</w:t>
                  </w:r>
                </w:p>
              </w:tc>
              <w:tc>
                <w:tcPr>
                  <w:tcW w:w="610" w:type="pct"/>
                  <w:tcBorders>
                    <w:tl2br w:val="nil"/>
                    <w:tr2bl w:val="nil"/>
                  </w:tcBorders>
                  <w:noWrap w:val="0"/>
                  <w:vAlign w:val="center"/>
                </w:tcPr>
                <w:p w14:paraId="7976DABD">
                  <w:pPr>
                    <w:jc w:val="center"/>
                    <w:outlineLvl w:val="1"/>
                    <w:rPr>
                      <w:rFonts w:hint="eastAsia" w:ascii="宋体" w:hAnsi="宋体" w:eastAsia="宋体" w:cs="宋体"/>
                      <w:color w:val="auto"/>
                      <w:szCs w:val="21"/>
                      <w:lang w:val="en-US" w:eastAsia="zh-CN"/>
                    </w:rPr>
                  </w:pPr>
                  <w:r>
                    <w:rPr>
                      <w:rFonts w:hint="default" w:ascii="Times New Roman" w:hAnsi="Times New Roman" w:cs="Times New Roman"/>
                      <w:color w:val="auto"/>
                      <w:sz w:val="21"/>
                      <w:szCs w:val="21"/>
                      <w:lang w:val="en-US" w:eastAsia="zh-CN"/>
                    </w:rPr>
                    <w:t>≤60</w:t>
                  </w:r>
                </w:p>
              </w:tc>
              <w:tc>
                <w:tcPr>
                  <w:tcW w:w="501" w:type="pct"/>
                  <w:tcBorders>
                    <w:tl2br w:val="nil"/>
                    <w:tr2bl w:val="nil"/>
                  </w:tcBorders>
                  <w:noWrap w:val="0"/>
                  <w:vAlign w:val="center"/>
                </w:tcPr>
                <w:p w14:paraId="7E6D78FE">
                  <w:pPr>
                    <w:spacing w:line="276" w:lineRule="auto"/>
                    <w:jc w:val="center"/>
                    <w:rPr>
                      <w:rFonts w:hint="eastAsia" w:ascii="宋体" w:hAnsi="宋体" w:eastAsia="宋体" w:cs="宋体"/>
                      <w:color w:val="auto"/>
                      <w:szCs w:val="21"/>
                    </w:rPr>
                  </w:pPr>
                </w:p>
              </w:tc>
            </w:tr>
            <w:tr w14:paraId="013857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808" w:type="pct"/>
                  <w:tcBorders>
                    <w:tl2br w:val="nil"/>
                    <w:tr2bl w:val="nil"/>
                  </w:tcBorders>
                  <w:noWrap w:val="0"/>
                  <w:vAlign w:val="center"/>
                </w:tcPr>
                <w:p w14:paraId="75809B58">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钢筋调直切割机</w:t>
                  </w:r>
                </w:p>
              </w:tc>
              <w:tc>
                <w:tcPr>
                  <w:tcW w:w="569" w:type="pct"/>
                  <w:vMerge w:val="continue"/>
                  <w:tcBorders>
                    <w:tl2br w:val="nil"/>
                    <w:tr2bl w:val="nil"/>
                  </w:tcBorders>
                  <w:noWrap w:val="0"/>
                  <w:vAlign w:val="center"/>
                </w:tcPr>
                <w:p w14:paraId="2540B039">
                  <w:pPr>
                    <w:spacing w:line="276" w:lineRule="auto"/>
                    <w:jc w:val="center"/>
                    <w:rPr>
                      <w:rFonts w:hint="eastAsia" w:ascii="宋体" w:hAnsi="宋体" w:eastAsia="宋体" w:cs="宋体"/>
                      <w:color w:val="auto"/>
                      <w:szCs w:val="21"/>
                    </w:rPr>
                  </w:pPr>
                </w:p>
              </w:tc>
              <w:tc>
                <w:tcPr>
                  <w:tcW w:w="651" w:type="pct"/>
                  <w:tcBorders>
                    <w:tl2br w:val="nil"/>
                    <w:tr2bl w:val="nil"/>
                  </w:tcBorders>
                  <w:noWrap w:val="0"/>
                  <w:vAlign w:val="center"/>
                </w:tcPr>
                <w:p w14:paraId="2F2F6266">
                  <w:pPr>
                    <w:jc w:val="center"/>
                    <w:rPr>
                      <w:rFonts w:hint="default" w:ascii="宋体" w:hAnsi="宋体" w:eastAsia="宋体" w:cs="宋体"/>
                      <w:color w:val="auto"/>
                      <w:szCs w:val="21"/>
                      <w:lang w:val="en-US" w:eastAsia="zh-CN"/>
                    </w:rPr>
                  </w:pPr>
                  <w:r>
                    <w:rPr>
                      <w:rFonts w:hint="eastAsia" w:cs="Times New Roman"/>
                      <w:color w:val="auto"/>
                      <w:sz w:val="21"/>
                      <w:szCs w:val="21"/>
                      <w:lang w:val="en-US" w:eastAsia="zh-CN"/>
                    </w:rPr>
                    <w:t>80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100</w:t>
                  </w:r>
                </w:p>
              </w:tc>
              <w:tc>
                <w:tcPr>
                  <w:tcW w:w="1858" w:type="pct"/>
                  <w:vMerge w:val="continue"/>
                  <w:tcBorders>
                    <w:tl2br w:val="nil"/>
                    <w:tr2bl w:val="nil"/>
                  </w:tcBorders>
                  <w:noWrap w:val="0"/>
                  <w:vAlign w:val="center"/>
                </w:tcPr>
                <w:p w14:paraId="07D8C11F">
                  <w:pPr>
                    <w:spacing w:line="276" w:lineRule="auto"/>
                    <w:jc w:val="center"/>
                    <w:rPr>
                      <w:rFonts w:hint="eastAsia" w:ascii="宋体" w:hAnsi="宋体" w:eastAsia="宋体" w:cs="宋体"/>
                      <w:color w:val="auto"/>
                      <w:szCs w:val="21"/>
                    </w:rPr>
                  </w:pPr>
                </w:p>
              </w:tc>
              <w:tc>
                <w:tcPr>
                  <w:tcW w:w="610" w:type="pct"/>
                  <w:tcBorders>
                    <w:tl2br w:val="nil"/>
                    <w:tr2bl w:val="nil"/>
                  </w:tcBorders>
                  <w:noWrap w:val="0"/>
                  <w:vAlign w:val="center"/>
                </w:tcPr>
                <w:p w14:paraId="5B892D0E">
                  <w:pPr>
                    <w:jc w:val="center"/>
                    <w:rPr>
                      <w:rFonts w:hint="eastAsia" w:ascii="宋体" w:hAnsi="宋体" w:eastAsia="宋体" w:cs="宋体"/>
                      <w:color w:val="auto"/>
                      <w:szCs w:val="21"/>
                      <w:lang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80</w:t>
                  </w:r>
                </w:p>
              </w:tc>
              <w:tc>
                <w:tcPr>
                  <w:tcW w:w="501" w:type="pct"/>
                  <w:tcBorders>
                    <w:tl2br w:val="nil"/>
                    <w:tr2bl w:val="nil"/>
                  </w:tcBorders>
                  <w:noWrap w:val="0"/>
                  <w:vAlign w:val="center"/>
                </w:tcPr>
                <w:p w14:paraId="6C1D952B">
                  <w:pPr>
                    <w:spacing w:line="276" w:lineRule="auto"/>
                    <w:jc w:val="center"/>
                    <w:rPr>
                      <w:rFonts w:hint="eastAsia" w:ascii="宋体" w:hAnsi="宋体" w:eastAsia="宋体" w:cs="宋体"/>
                      <w:color w:val="auto"/>
                      <w:szCs w:val="21"/>
                    </w:rPr>
                  </w:pPr>
                </w:p>
              </w:tc>
            </w:tr>
            <w:tr w14:paraId="301084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4" w:hRule="atLeast"/>
              </w:trPr>
              <w:tc>
                <w:tcPr>
                  <w:tcW w:w="808" w:type="pct"/>
                  <w:tcBorders>
                    <w:tl2br w:val="nil"/>
                    <w:tr2bl w:val="nil"/>
                  </w:tcBorders>
                  <w:noWrap w:val="0"/>
                  <w:vAlign w:val="center"/>
                </w:tcPr>
                <w:p w14:paraId="016D1AD2">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焊机</w:t>
                  </w:r>
                </w:p>
              </w:tc>
              <w:tc>
                <w:tcPr>
                  <w:tcW w:w="569" w:type="pct"/>
                  <w:vMerge w:val="continue"/>
                  <w:tcBorders>
                    <w:tl2br w:val="nil"/>
                    <w:tr2bl w:val="nil"/>
                  </w:tcBorders>
                  <w:noWrap w:val="0"/>
                  <w:vAlign w:val="center"/>
                </w:tcPr>
                <w:p w14:paraId="5259557B">
                  <w:pPr>
                    <w:spacing w:line="276" w:lineRule="auto"/>
                    <w:jc w:val="center"/>
                    <w:rPr>
                      <w:rFonts w:hint="eastAsia" w:ascii="宋体" w:hAnsi="宋体" w:eastAsia="宋体" w:cs="宋体"/>
                      <w:color w:val="auto"/>
                      <w:szCs w:val="21"/>
                    </w:rPr>
                  </w:pPr>
                </w:p>
              </w:tc>
              <w:tc>
                <w:tcPr>
                  <w:tcW w:w="651" w:type="pct"/>
                  <w:tcBorders>
                    <w:tl2br w:val="nil"/>
                    <w:tr2bl w:val="nil"/>
                  </w:tcBorders>
                  <w:noWrap w:val="0"/>
                  <w:vAlign w:val="center"/>
                </w:tcPr>
                <w:p w14:paraId="1D406D59">
                  <w:pPr>
                    <w:jc w:val="center"/>
                    <w:rPr>
                      <w:rFonts w:hint="eastAsia" w:ascii="宋体" w:hAnsi="宋体" w:eastAsia="宋体" w:cs="宋体"/>
                      <w:color w:val="auto"/>
                      <w:szCs w:val="21"/>
                    </w:rPr>
                  </w:pPr>
                  <w:r>
                    <w:rPr>
                      <w:rFonts w:hint="default" w:ascii="Times New Roman" w:hAnsi="Times New Roman" w:cs="Times New Roman"/>
                      <w:color w:val="auto"/>
                      <w:sz w:val="21"/>
                      <w:szCs w:val="21"/>
                      <w:lang w:val="en-US" w:eastAsia="zh-CN"/>
                    </w:rPr>
                    <w:t>70~75</w:t>
                  </w:r>
                </w:p>
              </w:tc>
              <w:tc>
                <w:tcPr>
                  <w:tcW w:w="1858" w:type="pct"/>
                  <w:vMerge w:val="continue"/>
                  <w:tcBorders>
                    <w:tl2br w:val="nil"/>
                    <w:tr2bl w:val="nil"/>
                  </w:tcBorders>
                  <w:noWrap w:val="0"/>
                  <w:vAlign w:val="center"/>
                </w:tcPr>
                <w:p w14:paraId="12435193">
                  <w:pPr>
                    <w:spacing w:line="276" w:lineRule="auto"/>
                    <w:jc w:val="center"/>
                    <w:rPr>
                      <w:rFonts w:hint="eastAsia" w:ascii="宋体" w:hAnsi="宋体" w:eastAsia="宋体" w:cs="宋体"/>
                      <w:color w:val="auto"/>
                      <w:szCs w:val="21"/>
                    </w:rPr>
                  </w:pPr>
                </w:p>
              </w:tc>
              <w:tc>
                <w:tcPr>
                  <w:tcW w:w="610" w:type="pct"/>
                  <w:tcBorders>
                    <w:tl2br w:val="nil"/>
                    <w:tr2bl w:val="nil"/>
                  </w:tcBorders>
                  <w:noWrap w:val="0"/>
                  <w:vAlign w:val="center"/>
                </w:tcPr>
                <w:p w14:paraId="2AEFD64B">
                  <w:pPr>
                    <w:jc w:val="center"/>
                    <w:rPr>
                      <w:rFonts w:hint="default" w:ascii="宋体" w:hAnsi="宋体" w:eastAsia="宋体" w:cs="宋体"/>
                      <w:color w:val="auto"/>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65</w:t>
                  </w:r>
                </w:p>
              </w:tc>
              <w:tc>
                <w:tcPr>
                  <w:tcW w:w="501" w:type="pct"/>
                  <w:tcBorders>
                    <w:tl2br w:val="nil"/>
                    <w:tr2bl w:val="nil"/>
                  </w:tcBorders>
                  <w:noWrap w:val="0"/>
                  <w:vAlign w:val="center"/>
                </w:tcPr>
                <w:p w14:paraId="5603201F">
                  <w:pPr>
                    <w:spacing w:line="276" w:lineRule="auto"/>
                    <w:jc w:val="center"/>
                    <w:rPr>
                      <w:rFonts w:hint="eastAsia" w:ascii="宋体" w:hAnsi="宋体" w:eastAsia="宋体" w:cs="宋体"/>
                      <w:color w:val="auto"/>
                      <w:szCs w:val="21"/>
                    </w:rPr>
                  </w:pPr>
                </w:p>
              </w:tc>
            </w:tr>
            <w:tr w14:paraId="58FD51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08" w:type="pct"/>
                  <w:tcBorders>
                    <w:tl2br w:val="nil"/>
                    <w:tr2bl w:val="nil"/>
                  </w:tcBorders>
                  <w:noWrap w:val="0"/>
                  <w:vAlign w:val="center"/>
                </w:tcPr>
                <w:p w14:paraId="4F5241F6">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水泥制品生产线</w:t>
                  </w:r>
                </w:p>
              </w:tc>
              <w:tc>
                <w:tcPr>
                  <w:tcW w:w="569" w:type="pct"/>
                  <w:vMerge w:val="continue"/>
                  <w:tcBorders>
                    <w:tl2br w:val="nil"/>
                    <w:tr2bl w:val="nil"/>
                  </w:tcBorders>
                  <w:noWrap w:val="0"/>
                  <w:vAlign w:val="center"/>
                </w:tcPr>
                <w:p w14:paraId="726A0A0D">
                  <w:pPr>
                    <w:spacing w:line="276" w:lineRule="auto"/>
                    <w:jc w:val="center"/>
                    <w:rPr>
                      <w:rFonts w:hint="eastAsia" w:ascii="宋体" w:hAnsi="宋体" w:eastAsia="宋体" w:cs="宋体"/>
                      <w:color w:val="auto"/>
                      <w:szCs w:val="21"/>
                    </w:rPr>
                  </w:pPr>
                </w:p>
              </w:tc>
              <w:tc>
                <w:tcPr>
                  <w:tcW w:w="651" w:type="pct"/>
                  <w:tcBorders>
                    <w:tl2br w:val="nil"/>
                    <w:tr2bl w:val="nil"/>
                  </w:tcBorders>
                  <w:noWrap w:val="0"/>
                  <w:vAlign w:val="center"/>
                </w:tcPr>
                <w:p w14:paraId="5CE99AED">
                  <w:pPr>
                    <w:jc w:val="center"/>
                    <w:rPr>
                      <w:rFonts w:hint="eastAsia" w:ascii="宋体" w:hAnsi="宋体" w:eastAsia="宋体" w:cs="宋体"/>
                      <w:color w:val="auto"/>
                      <w:szCs w:val="21"/>
                    </w:rPr>
                  </w:pPr>
                  <w:r>
                    <w:rPr>
                      <w:rFonts w:hint="eastAsia" w:cs="Times New Roman"/>
                      <w:color w:val="auto"/>
                      <w:sz w:val="21"/>
                      <w:szCs w:val="21"/>
                      <w:lang w:val="en-US" w:eastAsia="zh-CN"/>
                    </w:rPr>
                    <w:t>70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85</w:t>
                  </w:r>
                </w:p>
              </w:tc>
              <w:tc>
                <w:tcPr>
                  <w:tcW w:w="1858" w:type="pct"/>
                  <w:vMerge w:val="continue"/>
                  <w:tcBorders>
                    <w:tl2br w:val="nil"/>
                    <w:tr2bl w:val="nil"/>
                  </w:tcBorders>
                  <w:noWrap w:val="0"/>
                  <w:vAlign w:val="center"/>
                </w:tcPr>
                <w:p w14:paraId="38FFDCCF">
                  <w:pPr>
                    <w:spacing w:line="276" w:lineRule="auto"/>
                    <w:jc w:val="center"/>
                    <w:rPr>
                      <w:rFonts w:hint="eastAsia" w:ascii="宋体" w:hAnsi="宋体" w:eastAsia="宋体" w:cs="宋体"/>
                      <w:color w:val="auto"/>
                      <w:szCs w:val="21"/>
                    </w:rPr>
                  </w:pPr>
                </w:p>
              </w:tc>
              <w:tc>
                <w:tcPr>
                  <w:tcW w:w="610" w:type="pct"/>
                  <w:tcBorders>
                    <w:tl2br w:val="nil"/>
                    <w:tr2bl w:val="nil"/>
                  </w:tcBorders>
                  <w:noWrap w:val="0"/>
                  <w:vAlign w:val="center"/>
                </w:tcPr>
                <w:p w14:paraId="6F08FE07">
                  <w:pPr>
                    <w:jc w:val="center"/>
                    <w:rPr>
                      <w:rFonts w:hint="eastAsia" w:ascii="宋体" w:hAnsi="宋体" w:eastAsia="宋体" w:cs="宋体"/>
                      <w:color w:val="auto"/>
                      <w:szCs w:val="21"/>
                      <w:lang w:val="en-US" w:eastAsia="zh-CN"/>
                    </w:rPr>
                  </w:pPr>
                  <w:r>
                    <w:rPr>
                      <w:rFonts w:hint="default" w:ascii="Times New Roman" w:hAnsi="Times New Roman" w:cs="Times New Roman"/>
                      <w:color w:val="auto"/>
                      <w:sz w:val="21"/>
                      <w:szCs w:val="21"/>
                      <w:lang w:val="en-US" w:eastAsia="zh-CN"/>
                    </w:rPr>
                    <w:t>≤75</w:t>
                  </w:r>
                </w:p>
              </w:tc>
              <w:tc>
                <w:tcPr>
                  <w:tcW w:w="501" w:type="pct"/>
                  <w:tcBorders>
                    <w:tl2br w:val="nil"/>
                    <w:tr2bl w:val="nil"/>
                  </w:tcBorders>
                  <w:noWrap w:val="0"/>
                  <w:vAlign w:val="center"/>
                </w:tcPr>
                <w:p w14:paraId="44509542">
                  <w:pPr>
                    <w:spacing w:line="276" w:lineRule="auto"/>
                    <w:jc w:val="center"/>
                    <w:rPr>
                      <w:rFonts w:hint="eastAsia" w:ascii="宋体" w:hAnsi="宋体" w:eastAsia="宋体" w:cs="宋体"/>
                      <w:color w:val="auto"/>
                      <w:szCs w:val="21"/>
                    </w:rPr>
                  </w:pPr>
                </w:p>
              </w:tc>
            </w:tr>
            <w:tr w14:paraId="1B0D98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808" w:type="pct"/>
                  <w:tcBorders>
                    <w:tl2br w:val="nil"/>
                    <w:tr2bl w:val="nil"/>
                  </w:tcBorders>
                  <w:noWrap w:val="0"/>
                  <w:vAlign w:val="center"/>
                </w:tcPr>
                <w:p w14:paraId="71163E68">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剪板机</w:t>
                  </w:r>
                </w:p>
              </w:tc>
              <w:tc>
                <w:tcPr>
                  <w:tcW w:w="569" w:type="pct"/>
                  <w:vMerge w:val="continue"/>
                  <w:tcBorders>
                    <w:tl2br w:val="nil"/>
                    <w:tr2bl w:val="nil"/>
                  </w:tcBorders>
                  <w:noWrap w:val="0"/>
                  <w:vAlign w:val="center"/>
                </w:tcPr>
                <w:p w14:paraId="3DB89EB7">
                  <w:pPr>
                    <w:spacing w:line="276" w:lineRule="auto"/>
                    <w:jc w:val="center"/>
                    <w:rPr>
                      <w:rFonts w:hint="default" w:ascii="宋体" w:hAnsi="宋体" w:eastAsia="宋体" w:cs="宋体"/>
                      <w:color w:val="auto"/>
                      <w:szCs w:val="21"/>
                      <w:lang w:val="en-US" w:eastAsia="zh-CN"/>
                    </w:rPr>
                  </w:pPr>
                </w:p>
              </w:tc>
              <w:tc>
                <w:tcPr>
                  <w:tcW w:w="651" w:type="pct"/>
                  <w:tcBorders>
                    <w:tl2br w:val="nil"/>
                    <w:tr2bl w:val="nil"/>
                  </w:tcBorders>
                  <w:noWrap w:val="0"/>
                  <w:vAlign w:val="center"/>
                </w:tcPr>
                <w:p w14:paraId="12DF6389">
                  <w:pPr>
                    <w:jc w:val="center"/>
                    <w:rPr>
                      <w:rFonts w:hint="eastAsia" w:ascii="宋体" w:hAnsi="宋体" w:eastAsia="宋体" w:cs="宋体"/>
                      <w:color w:val="auto"/>
                      <w:szCs w:val="21"/>
                    </w:rPr>
                  </w:pPr>
                  <w:r>
                    <w:rPr>
                      <w:rFonts w:hint="default" w:ascii="Times New Roman" w:hAnsi="Times New Roman" w:cs="Times New Roman"/>
                      <w:color w:val="auto"/>
                      <w:sz w:val="21"/>
                      <w:szCs w:val="21"/>
                      <w:lang w:val="en-US" w:eastAsia="zh-CN"/>
                    </w:rPr>
                    <w:t>75~85</w:t>
                  </w:r>
                </w:p>
              </w:tc>
              <w:tc>
                <w:tcPr>
                  <w:tcW w:w="1858" w:type="pct"/>
                  <w:vMerge w:val="continue"/>
                  <w:tcBorders>
                    <w:tl2br w:val="nil"/>
                    <w:tr2bl w:val="nil"/>
                  </w:tcBorders>
                  <w:noWrap w:val="0"/>
                  <w:vAlign w:val="center"/>
                </w:tcPr>
                <w:p w14:paraId="5C6ACCB5">
                  <w:pPr>
                    <w:spacing w:line="276" w:lineRule="auto"/>
                    <w:jc w:val="center"/>
                    <w:rPr>
                      <w:rFonts w:hint="eastAsia" w:ascii="宋体" w:hAnsi="宋体" w:eastAsia="宋体" w:cs="宋体"/>
                      <w:color w:val="auto"/>
                      <w:szCs w:val="21"/>
                    </w:rPr>
                  </w:pPr>
                </w:p>
              </w:tc>
              <w:tc>
                <w:tcPr>
                  <w:tcW w:w="610" w:type="pct"/>
                  <w:tcBorders>
                    <w:tl2br w:val="nil"/>
                    <w:tr2bl w:val="nil"/>
                  </w:tcBorders>
                  <w:noWrap w:val="0"/>
                  <w:vAlign w:val="center"/>
                </w:tcPr>
                <w:p w14:paraId="379A9FD5">
                  <w:pPr>
                    <w:jc w:val="center"/>
                    <w:rPr>
                      <w:rFonts w:hint="default" w:ascii="宋体" w:hAnsi="宋体" w:eastAsia="宋体" w:cs="宋体"/>
                      <w:color w:val="auto"/>
                      <w:kern w:val="2"/>
                      <w:sz w:val="21"/>
                      <w:szCs w:val="21"/>
                      <w:lang w:val="en-US" w:eastAsia="zh-CN" w:bidi="ar-SA"/>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65</w:t>
                  </w:r>
                </w:p>
              </w:tc>
              <w:tc>
                <w:tcPr>
                  <w:tcW w:w="501" w:type="pct"/>
                  <w:tcBorders>
                    <w:tl2br w:val="nil"/>
                    <w:tr2bl w:val="nil"/>
                  </w:tcBorders>
                  <w:noWrap w:val="0"/>
                  <w:vAlign w:val="center"/>
                </w:tcPr>
                <w:p w14:paraId="2DDC52F1">
                  <w:pPr>
                    <w:spacing w:line="276" w:lineRule="auto"/>
                    <w:jc w:val="center"/>
                    <w:rPr>
                      <w:rFonts w:hint="eastAsia" w:ascii="宋体" w:hAnsi="宋体" w:eastAsia="宋体" w:cs="宋体"/>
                      <w:color w:val="auto"/>
                      <w:szCs w:val="21"/>
                    </w:rPr>
                  </w:pPr>
                </w:p>
              </w:tc>
            </w:tr>
            <w:tr w14:paraId="6C9867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808" w:type="pct"/>
                  <w:tcBorders>
                    <w:tl2br w:val="nil"/>
                    <w:tr2bl w:val="nil"/>
                  </w:tcBorders>
                  <w:noWrap w:val="0"/>
                  <w:vAlign w:val="center"/>
                </w:tcPr>
                <w:p w14:paraId="11EB3A16">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折弯机</w:t>
                  </w:r>
                </w:p>
              </w:tc>
              <w:tc>
                <w:tcPr>
                  <w:tcW w:w="569" w:type="pct"/>
                  <w:vMerge w:val="continue"/>
                  <w:tcBorders>
                    <w:tl2br w:val="nil"/>
                    <w:tr2bl w:val="nil"/>
                  </w:tcBorders>
                  <w:noWrap w:val="0"/>
                  <w:vAlign w:val="center"/>
                </w:tcPr>
                <w:p w14:paraId="554A67CA">
                  <w:pPr>
                    <w:spacing w:line="276" w:lineRule="auto"/>
                    <w:jc w:val="center"/>
                    <w:rPr>
                      <w:rFonts w:hint="eastAsia" w:ascii="宋体" w:hAnsi="宋体" w:eastAsia="宋体" w:cs="宋体"/>
                      <w:color w:val="auto"/>
                      <w:szCs w:val="21"/>
                    </w:rPr>
                  </w:pPr>
                </w:p>
              </w:tc>
              <w:tc>
                <w:tcPr>
                  <w:tcW w:w="651" w:type="pct"/>
                  <w:tcBorders>
                    <w:tl2br w:val="nil"/>
                    <w:tr2bl w:val="nil"/>
                  </w:tcBorders>
                  <w:noWrap w:val="0"/>
                  <w:vAlign w:val="center"/>
                </w:tcPr>
                <w:p w14:paraId="1DFF2C7B">
                  <w:pPr>
                    <w:jc w:val="center"/>
                    <w:rPr>
                      <w:rFonts w:hint="eastAsia" w:ascii="宋体" w:hAnsi="宋体" w:eastAsia="宋体" w:cs="宋体"/>
                      <w:color w:val="auto"/>
                      <w:szCs w:val="21"/>
                    </w:rPr>
                  </w:pPr>
                  <w:r>
                    <w:rPr>
                      <w:rFonts w:hint="default" w:ascii="Times New Roman" w:hAnsi="Times New Roman" w:cs="Times New Roman"/>
                      <w:color w:val="auto"/>
                      <w:sz w:val="21"/>
                      <w:szCs w:val="21"/>
                      <w:lang w:val="en-US" w:eastAsia="zh-CN"/>
                    </w:rPr>
                    <w:t>85~90</w:t>
                  </w:r>
                </w:p>
              </w:tc>
              <w:tc>
                <w:tcPr>
                  <w:tcW w:w="1858" w:type="pct"/>
                  <w:vMerge w:val="continue"/>
                  <w:tcBorders>
                    <w:tl2br w:val="nil"/>
                    <w:tr2bl w:val="nil"/>
                  </w:tcBorders>
                  <w:noWrap w:val="0"/>
                  <w:vAlign w:val="center"/>
                </w:tcPr>
                <w:p w14:paraId="15044D57">
                  <w:pPr>
                    <w:spacing w:line="276" w:lineRule="auto"/>
                    <w:jc w:val="center"/>
                    <w:rPr>
                      <w:rFonts w:hint="eastAsia" w:ascii="宋体" w:hAnsi="宋体" w:eastAsia="宋体" w:cs="宋体"/>
                      <w:color w:val="auto"/>
                      <w:szCs w:val="21"/>
                    </w:rPr>
                  </w:pPr>
                </w:p>
              </w:tc>
              <w:tc>
                <w:tcPr>
                  <w:tcW w:w="610" w:type="pct"/>
                  <w:tcBorders>
                    <w:tl2br w:val="nil"/>
                    <w:tr2bl w:val="nil"/>
                  </w:tcBorders>
                  <w:noWrap w:val="0"/>
                  <w:vAlign w:val="center"/>
                </w:tcPr>
                <w:p w14:paraId="3D02C07F">
                  <w:pPr>
                    <w:jc w:val="center"/>
                    <w:rPr>
                      <w:rFonts w:hint="eastAsia" w:ascii="宋体" w:hAnsi="宋体" w:eastAsia="宋体" w:cs="宋体"/>
                      <w:color w:val="auto"/>
                      <w:kern w:val="2"/>
                      <w:sz w:val="21"/>
                      <w:szCs w:val="21"/>
                      <w:lang w:val="en-US" w:eastAsia="zh-CN" w:bidi="ar-SA"/>
                    </w:rPr>
                  </w:pPr>
                  <w:r>
                    <w:rPr>
                      <w:rFonts w:hint="default" w:ascii="Times New Roman" w:hAnsi="Times New Roman" w:cs="Times New Roman"/>
                      <w:color w:val="auto"/>
                      <w:sz w:val="21"/>
                      <w:szCs w:val="21"/>
                      <w:lang w:val="en-US" w:eastAsia="zh-CN"/>
                    </w:rPr>
                    <w:t>≤70</w:t>
                  </w:r>
                </w:p>
              </w:tc>
              <w:tc>
                <w:tcPr>
                  <w:tcW w:w="501" w:type="pct"/>
                  <w:tcBorders>
                    <w:tl2br w:val="nil"/>
                    <w:tr2bl w:val="nil"/>
                  </w:tcBorders>
                  <w:noWrap w:val="0"/>
                  <w:vAlign w:val="center"/>
                </w:tcPr>
                <w:p w14:paraId="4FD5892C">
                  <w:pPr>
                    <w:spacing w:line="276" w:lineRule="auto"/>
                    <w:jc w:val="center"/>
                    <w:rPr>
                      <w:rFonts w:hint="eastAsia" w:ascii="宋体" w:hAnsi="宋体" w:eastAsia="宋体" w:cs="宋体"/>
                      <w:color w:val="auto"/>
                      <w:szCs w:val="21"/>
                    </w:rPr>
                  </w:pPr>
                </w:p>
              </w:tc>
            </w:tr>
            <w:tr w14:paraId="1F1330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808" w:type="pct"/>
                  <w:tcBorders>
                    <w:tl2br w:val="nil"/>
                    <w:tr2bl w:val="nil"/>
                  </w:tcBorders>
                  <w:noWrap w:val="0"/>
                  <w:vAlign w:val="center"/>
                </w:tcPr>
                <w:p w14:paraId="0426F934">
                  <w:pPr>
                    <w:jc w:val="center"/>
                    <w:outlineLvl w:val="1"/>
                    <w:rPr>
                      <w:rFonts w:hint="eastAsia" w:ascii="宋体" w:hAnsi="宋体" w:eastAsia="宋体" w:cs="宋体"/>
                      <w:color w:val="auto"/>
                      <w:szCs w:val="21"/>
                    </w:rPr>
                  </w:pPr>
                  <w:r>
                    <w:rPr>
                      <w:rFonts w:hint="eastAsia" w:ascii="Times New Roman" w:hAnsi="Times New Roman" w:cs="Times New Roman"/>
                      <w:color w:val="auto"/>
                      <w:szCs w:val="21"/>
                      <w:lang w:val="en-US" w:eastAsia="zh-CN"/>
                    </w:rPr>
                    <w:t>空压机</w:t>
                  </w:r>
                </w:p>
              </w:tc>
              <w:tc>
                <w:tcPr>
                  <w:tcW w:w="569" w:type="pct"/>
                  <w:vMerge w:val="continue"/>
                  <w:tcBorders>
                    <w:tl2br w:val="nil"/>
                    <w:tr2bl w:val="nil"/>
                  </w:tcBorders>
                  <w:noWrap w:val="0"/>
                  <w:vAlign w:val="center"/>
                </w:tcPr>
                <w:p w14:paraId="66AF8031">
                  <w:pPr>
                    <w:spacing w:line="276" w:lineRule="auto"/>
                    <w:jc w:val="center"/>
                    <w:rPr>
                      <w:rFonts w:hint="eastAsia" w:ascii="宋体" w:hAnsi="宋体" w:eastAsia="宋体" w:cs="宋体"/>
                      <w:color w:val="auto"/>
                      <w:szCs w:val="21"/>
                    </w:rPr>
                  </w:pPr>
                </w:p>
              </w:tc>
              <w:tc>
                <w:tcPr>
                  <w:tcW w:w="651" w:type="pct"/>
                  <w:tcBorders>
                    <w:tl2br w:val="nil"/>
                    <w:tr2bl w:val="nil"/>
                  </w:tcBorders>
                  <w:noWrap w:val="0"/>
                  <w:vAlign w:val="center"/>
                </w:tcPr>
                <w:p w14:paraId="7D23CCAE">
                  <w:pPr>
                    <w:jc w:val="center"/>
                    <w:rPr>
                      <w:rFonts w:hint="eastAsia" w:ascii="宋体" w:hAnsi="宋体" w:eastAsia="宋体" w:cs="宋体"/>
                      <w:color w:val="auto"/>
                      <w:szCs w:val="21"/>
                    </w:rPr>
                  </w:pPr>
                  <w:r>
                    <w:rPr>
                      <w:rFonts w:hint="eastAsia" w:cs="Times New Roman"/>
                      <w:color w:val="auto"/>
                      <w:sz w:val="21"/>
                      <w:szCs w:val="21"/>
                      <w:lang w:val="en-US" w:eastAsia="zh-CN"/>
                    </w:rPr>
                    <w:t>90-100</w:t>
                  </w:r>
                </w:p>
              </w:tc>
              <w:tc>
                <w:tcPr>
                  <w:tcW w:w="1858" w:type="pct"/>
                  <w:vMerge w:val="continue"/>
                  <w:tcBorders>
                    <w:tl2br w:val="nil"/>
                    <w:tr2bl w:val="nil"/>
                  </w:tcBorders>
                  <w:noWrap w:val="0"/>
                  <w:vAlign w:val="center"/>
                </w:tcPr>
                <w:p w14:paraId="1578D4A8">
                  <w:pPr>
                    <w:spacing w:line="276" w:lineRule="auto"/>
                    <w:jc w:val="center"/>
                    <w:rPr>
                      <w:rFonts w:hint="eastAsia" w:ascii="宋体" w:hAnsi="宋体" w:eastAsia="宋体" w:cs="宋体"/>
                      <w:color w:val="auto"/>
                      <w:szCs w:val="21"/>
                    </w:rPr>
                  </w:pPr>
                </w:p>
              </w:tc>
              <w:tc>
                <w:tcPr>
                  <w:tcW w:w="610" w:type="pct"/>
                  <w:tcBorders>
                    <w:tl2br w:val="nil"/>
                    <w:tr2bl w:val="nil"/>
                  </w:tcBorders>
                  <w:noWrap w:val="0"/>
                  <w:vAlign w:val="center"/>
                </w:tcPr>
                <w:p w14:paraId="562146F3">
                  <w:pPr>
                    <w:jc w:val="center"/>
                    <w:rPr>
                      <w:rFonts w:hint="eastAsia" w:ascii="宋体" w:hAnsi="宋体" w:eastAsia="宋体" w:cs="宋体"/>
                      <w:color w:val="auto"/>
                      <w:szCs w:val="21"/>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80</w:t>
                  </w:r>
                </w:p>
              </w:tc>
              <w:tc>
                <w:tcPr>
                  <w:tcW w:w="501" w:type="pct"/>
                  <w:tcBorders>
                    <w:tl2br w:val="nil"/>
                    <w:tr2bl w:val="nil"/>
                  </w:tcBorders>
                  <w:noWrap w:val="0"/>
                  <w:vAlign w:val="center"/>
                </w:tcPr>
                <w:p w14:paraId="4AFC9A4D">
                  <w:pPr>
                    <w:spacing w:line="276" w:lineRule="auto"/>
                    <w:jc w:val="center"/>
                    <w:rPr>
                      <w:rFonts w:hint="eastAsia" w:ascii="宋体" w:hAnsi="宋体" w:eastAsia="宋体" w:cs="宋体"/>
                      <w:color w:val="auto"/>
                      <w:szCs w:val="21"/>
                    </w:rPr>
                  </w:pPr>
                </w:p>
              </w:tc>
            </w:tr>
          </w:tbl>
          <w:p w14:paraId="000217ED">
            <w:pPr>
              <w:pStyle w:val="45"/>
              <w:ind w:firstLine="482"/>
              <w:rPr>
                <w:rFonts w:hint="eastAsia" w:ascii="宋体" w:hAnsi="宋体" w:eastAsia="宋体" w:cs="宋体"/>
                <w:color w:val="auto"/>
              </w:rPr>
            </w:pPr>
            <w:r>
              <w:rPr>
                <w:rFonts w:hint="eastAsia" w:ascii="宋体" w:hAnsi="宋体" w:eastAsia="宋体" w:cs="宋体"/>
                <w:b/>
                <w:color w:val="auto"/>
              </w:rPr>
              <w:t>（2）评价方法与预测模式</w:t>
            </w:r>
            <w:bookmarkEnd w:id="7"/>
          </w:p>
          <w:p w14:paraId="11AED7FB">
            <w:pPr>
              <w:pStyle w:val="45"/>
              <w:rPr>
                <w:rFonts w:hint="eastAsia" w:ascii="宋体" w:hAnsi="宋体" w:eastAsia="宋体" w:cs="宋体"/>
                <w:color w:val="auto"/>
              </w:rPr>
            </w:pPr>
            <w:r>
              <w:rPr>
                <w:rFonts w:hint="eastAsia" w:ascii="宋体" w:hAnsi="宋体" w:eastAsia="宋体" w:cs="宋体"/>
                <w:color w:val="auto"/>
              </w:rPr>
              <w:t>考虑到对保护环境有利，采用噪声衰减模式和多源叠加模式，具体模式如下：</w:t>
            </w:r>
          </w:p>
          <w:p w14:paraId="76AB3604">
            <w:pPr>
              <w:pStyle w:val="45"/>
              <w:ind w:firstLine="482"/>
              <w:rPr>
                <w:rFonts w:hint="eastAsia" w:ascii="宋体" w:hAnsi="宋体" w:eastAsia="宋体" w:cs="宋体"/>
                <w:b/>
                <w:color w:val="auto"/>
              </w:rPr>
            </w:pPr>
            <w:r>
              <w:rPr>
                <w:rFonts w:hint="eastAsia" w:ascii="宋体" w:hAnsi="宋体" w:eastAsia="宋体" w:cs="宋体"/>
                <w:b/>
                <w:color w:val="auto"/>
              </w:rPr>
              <w:t>①噪声衰减模式：</w:t>
            </w:r>
          </w:p>
          <w:p w14:paraId="7BAFBD81">
            <w:pPr>
              <w:pStyle w:val="45"/>
              <w:jc w:val="center"/>
              <w:rPr>
                <w:rFonts w:hint="eastAsia" w:ascii="宋体" w:hAnsi="宋体" w:eastAsia="宋体" w:cs="宋体"/>
                <w:color w:val="auto"/>
              </w:rPr>
            </w:pPr>
            <w:r>
              <w:rPr>
                <w:rFonts w:hint="eastAsia" w:ascii="宋体" w:hAnsi="宋体" w:eastAsia="宋体" w:cs="宋体"/>
                <w:color w:val="auto"/>
              </w:rPr>
              <w:t>L</w:t>
            </w:r>
            <w:r>
              <w:rPr>
                <w:rFonts w:hint="eastAsia" w:ascii="宋体" w:hAnsi="宋体" w:eastAsia="宋体" w:cs="宋体"/>
                <w:color w:val="auto"/>
                <w:vertAlign w:val="subscript"/>
              </w:rPr>
              <w:t>P</w:t>
            </w:r>
            <w:r>
              <w:rPr>
                <w:rFonts w:hint="eastAsia" w:ascii="宋体" w:hAnsi="宋体" w:eastAsia="宋体" w:cs="宋体"/>
                <w:color w:val="auto"/>
                <w:lang w:val="en-GB"/>
              </w:rPr>
              <w:t>＝</w:t>
            </w:r>
            <w:r>
              <w:rPr>
                <w:rFonts w:hint="eastAsia" w:ascii="宋体" w:hAnsi="宋体" w:eastAsia="宋体" w:cs="宋体"/>
                <w:color w:val="auto"/>
              </w:rPr>
              <w:t>L</w:t>
            </w:r>
            <w:r>
              <w:rPr>
                <w:rFonts w:hint="eastAsia" w:ascii="宋体" w:hAnsi="宋体" w:eastAsia="宋体" w:cs="宋体"/>
                <w:color w:val="auto"/>
                <w:vertAlign w:val="subscript"/>
              </w:rPr>
              <w:t>W</w:t>
            </w:r>
            <w:r>
              <w:rPr>
                <w:rFonts w:hint="eastAsia" w:ascii="宋体" w:hAnsi="宋体" w:eastAsia="宋体" w:cs="宋体"/>
                <w:color w:val="auto"/>
              </w:rPr>
              <w:t xml:space="preserve"> </w:t>
            </w:r>
            <w:r>
              <w:rPr>
                <w:rFonts w:hint="eastAsia" w:ascii="宋体" w:hAnsi="宋体" w:eastAsia="宋体" w:cs="宋体"/>
                <w:color w:val="auto"/>
                <w:lang w:val="en-GB"/>
              </w:rPr>
              <w:t>－</w:t>
            </w:r>
            <w:r>
              <w:rPr>
                <w:rFonts w:hint="eastAsia" w:ascii="宋体" w:hAnsi="宋体" w:eastAsia="宋体" w:cs="宋体"/>
                <w:color w:val="auto"/>
              </w:rPr>
              <w:t xml:space="preserve">20lgr </w:t>
            </w:r>
            <w:r>
              <w:rPr>
                <w:rFonts w:hint="eastAsia" w:ascii="宋体" w:hAnsi="宋体" w:eastAsia="宋体" w:cs="宋体"/>
                <w:color w:val="auto"/>
                <w:lang w:val="en-GB"/>
              </w:rPr>
              <w:t>－</w:t>
            </w:r>
            <w:r>
              <w:rPr>
                <w:rFonts w:hint="eastAsia" w:ascii="宋体" w:hAnsi="宋体" w:eastAsia="宋体" w:cs="宋体"/>
                <w:color w:val="auto"/>
              </w:rPr>
              <w:t>K</w:t>
            </w:r>
          </w:p>
          <w:p w14:paraId="2D4B8217">
            <w:pPr>
              <w:pStyle w:val="45"/>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t>式中：L</w:t>
            </w:r>
            <w:r>
              <w:rPr>
                <w:rFonts w:hint="eastAsia" w:ascii="宋体" w:hAnsi="宋体" w:eastAsia="宋体" w:cs="宋体"/>
                <w:color w:val="auto"/>
                <w:vertAlign w:val="subscript"/>
              </w:rPr>
              <w:t>P</w:t>
            </w:r>
            <w:r>
              <w:rPr>
                <w:rFonts w:hint="eastAsia" w:ascii="宋体" w:hAnsi="宋体" w:eastAsia="宋体" w:cs="宋体"/>
                <w:color w:val="auto"/>
              </w:rPr>
              <w:t>……距离声源r米处的声压级；</w:t>
            </w:r>
          </w:p>
          <w:p w14:paraId="7B1F1682">
            <w:pPr>
              <w:pStyle w:val="45"/>
              <w:ind w:firstLine="720" w:firstLineChars="300"/>
              <w:rPr>
                <w:rFonts w:hint="eastAsia" w:ascii="宋体" w:hAnsi="宋体" w:eastAsia="宋体" w:cs="宋体"/>
                <w:color w:val="auto"/>
              </w:rPr>
            </w:pPr>
            <w:r>
              <w:rPr>
                <w:rFonts w:hint="eastAsia" w:ascii="宋体" w:hAnsi="宋体" w:eastAsia="宋体" w:cs="宋体"/>
                <w:color w:val="auto"/>
              </w:rPr>
              <w:t xml:space="preserve"> L</w:t>
            </w:r>
            <w:r>
              <w:rPr>
                <w:rFonts w:hint="eastAsia" w:ascii="宋体" w:hAnsi="宋体" w:eastAsia="宋体" w:cs="宋体"/>
                <w:color w:val="auto"/>
                <w:vertAlign w:val="subscript"/>
              </w:rPr>
              <w:t>W</w:t>
            </w:r>
            <w:r>
              <w:rPr>
                <w:rFonts w:hint="eastAsia" w:ascii="宋体" w:hAnsi="宋体" w:eastAsia="宋体" w:cs="宋体"/>
                <w:color w:val="auto"/>
              </w:rPr>
              <w:t>……声源声功率级；</w:t>
            </w:r>
          </w:p>
          <w:p w14:paraId="3C8C0D23">
            <w:pPr>
              <w:pStyle w:val="45"/>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t>r……距离声源中心的距离；</w:t>
            </w:r>
          </w:p>
          <w:p w14:paraId="2C1D0298">
            <w:pPr>
              <w:pStyle w:val="45"/>
              <w:ind w:firstLine="720" w:firstLineChars="300"/>
              <w:rPr>
                <w:rFonts w:hint="eastAsia" w:ascii="宋体" w:hAnsi="宋体" w:eastAsia="宋体" w:cs="宋体"/>
                <w:color w:val="auto"/>
              </w:rPr>
            </w:pPr>
            <w:r>
              <w:rPr>
                <w:rFonts w:hint="eastAsia" w:ascii="宋体" w:hAnsi="宋体" w:eastAsia="宋体" w:cs="宋体"/>
                <w:color w:val="auto"/>
              </w:rPr>
              <w:t xml:space="preserve"> K</w:t>
            </w:r>
            <w:r>
              <w:rPr>
                <w:rFonts w:hint="eastAsia" w:ascii="宋体" w:hAnsi="宋体" w:eastAsia="宋体" w:cs="宋体"/>
                <w:color w:val="auto"/>
                <w:lang w:val="en-GB"/>
              </w:rPr>
              <w:t>……</w:t>
            </w:r>
            <w:r>
              <w:rPr>
                <w:rFonts w:hint="eastAsia" w:ascii="宋体" w:hAnsi="宋体" w:eastAsia="宋体" w:cs="宋体"/>
                <w:color w:val="auto"/>
              </w:rPr>
              <w:t>修正值。</w:t>
            </w:r>
          </w:p>
          <w:p w14:paraId="48392CF6">
            <w:pPr>
              <w:pStyle w:val="45"/>
              <w:rPr>
                <w:rFonts w:hint="eastAsia" w:ascii="宋体" w:hAnsi="宋体" w:eastAsia="宋体" w:cs="宋体"/>
                <w:color w:val="auto"/>
              </w:rPr>
            </w:pPr>
            <w:r>
              <w:rPr>
                <w:rFonts w:hint="eastAsia" w:ascii="宋体" w:hAnsi="宋体" w:eastAsia="宋体" w:cs="宋体"/>
                <w:color w:val="auto"/>
              </w:rPr>
              <w:t>对于同一声源可知r</w:t>
            </w:r>
            <w:r>
              <w:rPr>
                <w:rFonts w:hint="eastAsia" w:ascii="宋体" w:hAnsi="宋体" w:eastAsia="宋体" w:cs="宋体"/>
                <w:color w:val="auto"/>
                <w:vertAlign w:val="subscript"/>
              </w:rPr>
              <w:t>1</w:t>
            </w:r>
            <w:r>
              <w:rPr>
                <w:rFonts w:hint="eastAsia" w:ascii="宋体" w:hAnsi="宋体" w:eastAsia="宋体" w:cs="宋体"/>
                <w:color w:val="auto"/>
              </w:rPr>
              <w:t>和r</w:t>
            </w:r>
            <w:r>
              <w:rPr>
                <w:rFonts w:hint="eastAsia" w:ascii="宋体" w:hAnsi="宋体" w:eastAsia="宋体" w:cs="宋体"/>
                <w:color w:val="auto"/>
                <w:vertAlign w:val="subscript"/>
              </w:rPr>
              <w:t>2</w:t>
            </w:r>
            <w:r>
              <w:rPr>
                <w:rFonts w:hint="eastAsia" w:ascii="宋体" w:hAnsi="宋体" w:eastAsia="宋体" w:cs="宋体"/>
                <w:color w:val="auto"/>
              </w:rPr>
              <w:t>处声压级L</w:t>
            </w:r>
            <w:r>
              <w:rPr>
                <w:rFonts w:hint="eastAsia" w:ascii="宋体" w:hAnsi="宋体" w:eastAsia="宋体" w:cs="宋体"/>
                <w:color w:val="auto"/>
                <w:vertAlign w:val="subscript"/>
              </w:rPr>
              <w:t>1</w:t>
            </w:r>
            <w:r>
              <w:rPr>
                <w:rFonts w:hint="eastAsia" w:ascii="宋体" w:hAnsi="宋体" w:eastAsia="宋体" w:cs="宋体"/>
                <w:color w:val="auto"/>
              </w:rPr>
              <w:t>和L</w:t>
            </w:r>
            <w:r>
              <w:rPr>
                <w:rFonts w:hint="eastAsia" w:ascii="宋体" w:hAnsi="宋体" w:eastAsia="宋体" w:cs="宋体"/>
                <w:color w:val="auto"/>
                <w:vertAlign w:val="subscript"/>
              </w:rPr>
              <w:t>2</w:t>
            </w:r>
            <w:r>
              <w:rPr>
                <w:rFonts w:hint="eastAsia" w:ascii="宋体" w:hAnsi="宋体" w:eastAsia="宋体" w:cs="宋体"/>
                <w:color w:val="auto"/>
              </w:rPr>
              <w:t>间关系为：</w:t>
            </w:r>
          </w:p>
          <w:p w14:paraId="1E6A6375">
            <w:pPr>
              <w:pStyle w:val="45"/>
              <w:jc w:val="center"/>
              <w:rPr>
                <w:rFonts w:hint="eastAsia" w:ascii="宋体" w:hAnsi="宋体" w:eastAsia="宋体" w:cs="宋体"/>
                <w:color w:val="auto"/>
              </w:rPr>
            </w:pPr>
            <w:r>
              <w:rPr>
                <w:rFonts w:hint="eastAsia" w:ascii="宋体" w:hAnsi="宋体" w:eastAsia="宋体" w:cs="宋体"/>
                <w:color w:val="auto"/>
              </w:rPr>
              <w:t>L</w:t>
            </w:r>
            <w:r>
              <w:rPr>
                <w:rFonts w:hint="eastAsia" w:ascii="宋体" w:hAnsi="宋体" w:eastAsia="宋体" w:cs="宋体"/>
                <w:color w:val="auto"/>
                <w:vertAlign w:val="subscript"/>
              </w:rPr>
              <w:t>2</w:t>
            </w:r>
            <w:r>
              <w:rPr>
                <w:rFonts w:hint="eastAsia" w:ascii="宋体" w:hAnsi="宋体" w:eastAsia="宋体" w:cs="宋体"/>
                <w:color w:val="auto"/>
                <w:lang w:val="en-GB"/>
              </w:rPr>
              <w:t>＝</w:t>
            </w:r>
            <w:r>
              <w:rPr>
                <w:rFonts w:hint="eastAsia" w:ascii="宋体" w:hAnsi="宋体" w:eastAsia="宋体" w:cs="宋体"/>
                <w:color w:val="auto"/>
              </w:rPr>
              <w:t>L</w:t>
            </w:r>
            <w:r>
              <w:rPr>
                <w:rFonts w:hint="eastAsia" w:ascii="宋体" w:hAnsi="宋体" w:eastAsia="宋体" w:cs="宋体"/>
                <w:color w:val="auto"/>
                <w:vertAlign w:val="subscript"/>
              </w:rPr>
              <w:t>1</w:t>
            </w:r>
            <w:r>
              <w:rPr>
                <w:rFonts w:hint="eastAsia" w:ascii="宋体" w:hAnsi="宋体" w:eastAsia="宋体" w:cs="宋体"/>
                <w:color w:val="auto"/>
                <w:lang w:val="en-GB"/>
              </w:rPr>
              <w:t>－</w:t>
            </w:r>
            <w:r>
              <w:rPr>
                <w:rFonts w:hint="eastAsia" w:ascii="宋体" w:hAnsi="宋体" w:eastAsia="宋体" w:cs="宋体"/>
                <w:color w:val="auto"/>
              </w:rPr>
              <w:t>20lg(r</w:t>
            </w:r>
            <w:r>
              <w:rPr>
                <w:rFonts w:hint="eastAsia" w:ascii="宋体" w:hAnsi="宋体" w:eastAsia="宋体" w:cs="宋体"/>
                <w:color w:val="auto"/>
                <w:vertAlign w:val="subscript"/>
              </w:rPr>
              <w:t>2</w:t>
            </w:r>
            <w:r>
              <w:rPr>
                <w:rFonts w:hint="eastAsia" w:ascii="宋体" w:hAnsi="宋体" w:eastAsia="宋体" w:cs="宋体"/>
                <w:color w:val="auto"/>
              </w:rPr>
              <w:t>/r</w:t>
            </w:r>
            <w:r>
              <w:rPr>
                <w:rFonts w:hint="eastAsia" w:ascii="宋体" w:hAnsi="宋体" w:eastAsia="宋体" w:cs="宋体"/>
                <w:color w:val="auto"/>
                <w:vertAlign w:val="subscript"/>
              </w:rPr>
              <w:t>1</w:t>
            </w:r>
            <w:r>
              <w:rPr>
                <w:rFonts w:hint="eastAsia" w:ascii="宋体" w:hAnsi="宋体" w:eastAsia="宋体" w:cs="宋体"/>
                <w:color w:val="auto"/>
              </w:rPr>
              <w:t>)</w:t>
            </w:r>
          </w:p>
          <w:p w14:paraId="1988474B">
            <w:pPr>
              <w:pStyle w:val="45"/>
              <w:ind w:firstLine="482"/>
              <w:rPr>
                <w:rFonts w:hint="eastAsia" w:ascii="宋体" w:hAnsi="宋体" w:eastAsia="宋体" w:cs="宋体"/>
                <w:b/>
                <w:color w:val="auto"/>
              </w:rPr>
            </w:pPr>
            <w:r>
              <w:rPr>
                <w:rFonts w:hint="eastAsia" w:ascii="宋体" w:hAnsi="宋体" w:eastAsia="宋体" w:cs="宋体"/>
                <w:b/>
                <w:color w:val="auto"/>
              </w:rPr>
              <w:t>②多源叠加模式：</w:t>
            </w:r>
          </w:p>
          <w:p w14:paraId="7E09A71A">
            <w:pPr>
              <w:pStyle w:val="45"/>
              <w:rPr>
                <w:rFonts w:hint="eastAsia" w:ascii="宋体" w:hAnsi="宋体" w:eastAsia="宋体" w:cs="宋体"/>
                <w:color w:val="auto"/>
              </w:rPr>
            </w:pPr>
            <w:r>
              <w:rPr>
                <w:rFonts w:hint="eastAsia" w:ascii="宋体" w:hAnsi="宋体" w:eastAsia="宋体" w:cs="宋体"/>
                <w:color w:val="auto"/>
              </w:rPr>
              <w:t>在预测过程中，根据实际情况把各具体复杂的噪声源简化为点声源进行计算，再将其计算结果与本底进行能量叠加，得到该处噪声预测值。</w:t>
            </w:r>
          </w:p>
          <w:p w14:paraId="0726146F">
            <w:pPr>
              <w:pStyle w:val="45"/>
              <w:rPr>
                <w:rFonts w:hint="eastAsia" w:ascii="宋体" w:hAnsi="宋体" w:eastAsia="宋体" w:cs="宋体"/>
                <w:color w:val="auto"/>
              </w:rPr>
            </w:pPr>
            <w:r>
              <w:rPr>
                <w:rFonts w:hint="eastAsia" w:ascii="宋体" w:hAnsi="宋体" w:eastAsia="宋体" w:cs="宋体"/>
                <w:color w:val="auto"/>
              </w:rPr>
              <w:t>对于任何一个预测点，其总噪声效应是多个叠加声级(即各声源分别在该点的贡献值L</w:t>
            </w:r>
            <w:r>
              <w:rPr>
                <w:rFonts w:hint="eastAsia" w:ascii="宋体" w:hAnsi="宋体" w:eastAsia="宋体" w:cs="宋体"/>
                <w:color w:val="auto"/>
                <w:vertAlign w:val="subscript"/>
              </w:rPr>
              <w:t>2</w:t>
            </w:r>
            <w:r>
              <w:rPr>
                <w:rFonts w:hint="eastAsia" w:ascii="宋体" w:hAnsi="宋体" w:eastAsia="宋体" w:cs="宋体"/>
                <w:color w:val="auto"/>
              </w:rPr>
              <w:t>和本底噪声值)的能量总和，其计算式如下：</w:t>
            </w:r>
          </w:p>
          <w:p w14:paraId="6B78DEC7">
            <w:pPr>
              <w:pStyle w:val="45"/>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1424940" cy="255270"/>
                  <wp:effectExtent l="0" t="0" r="381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1424940" cy="255270"/>
                          </a:xfrm>
                          <a:prstGeom prst="rect">
                            <a:avLst/>
                          </a:prstGeom>
                          <a:noFill/>
                          <a:ln>
                            <a:noFill/>
                          </a:ln>
                        </pic:spPr>
                      </pic:pic>
                    </a:graphicData>
                  </a:graphic>
                </wp:inline>
              </w:drawing>
            </w:r>
          </w:p>
          <w:p w14:paraId="0AEA849E">
            <w:pPr>
              <w:pStyle w:val="45"/>
              <w:rPr>
                <w:rFonts w:hint="eastAsia" w:ascii="宋体" w:hAnsi="宋体" w:eastAsia="宋体" w:cs="宋体"/>
                <w:color w:val="auto"/>
              </w:rPr>
            </w:pPr>
            <w:r>
              <w:rPr>
                <w:rFonts w:hint="eastAsia" w:ascii="宋体" w:hAnsi="宋体" w:eastAsia="宋体" w:cs="宋体"/>
                <w:color w:val="auto"/>
              </w:rPr>
              <w:t>式中：L——某点噪声总叠加值，dB(A)；</w:t>
            </w:r>
          </w:p>
          <w:p w14:paraId="7499DDF4">
            <w:pPr>
              <w:pStyle w:val="45"/>
              <w:rPr>
                <w:rFonts w:hint="eastAsia" w:ascii="宋体" w:hAnsi="宋体" w:eastAsia="宋体" w:cs="宋体"/>
                <w:color w:val="auto"/>
              </w:rPr>
            </w:pPr>
            <w:r>
              <w:rPr>
                <w:rFonts w:hint="eastAsia" w:ascii="宋体" w:hAnsi="宋体" w:eastAsia="宋体" w:cs="宋体"/>
                <w:color w:val="auto"/>
              </w:rPr>
              <w:t>Li——第i个声源的噪声值，dB(A)；</w:t>
            </w:r>
          </w:p>
          <w:p w14:paraId="39367100">
            <w:pPr>
              <w:pStyle w:val="45"/>
              <w:rPr>
                <w:rFonts w:hint="eastAsia" w:ascii="宋体" w:hAnsi="宋体" w:eastAsia="宋体" w:cs="宋体"/>
                <w:color w:val="auto"/>
              </w:rPr>
            </w:pPr>
            <w:r>
              <w:rPr>
                <w:rFonts w:hint="eastAsia" w:ascii="宋体" w:hAnsi="宋体" w:eastAsia="宋体" w:cs="宋体"/>
                <w:color w:val="auto"/>
              </w:rPr>
              <w:t>n——声源个数。</w:t>
            </w:r>
          </w:p>
          <w:p w14:paraId="5255DEC2">
            <w:pPr>
              <w:pStyle w:val="45"/>
              <w:numPr>
                <w:ilvl w:val="0"/>
                <w:numId w:val="0"/>
              </w:numPr>
              <w:ind w:leftChars="150"/>
              <w:rPr>
                <w:rFonts w:hint="eastAsia" w:ascii="宋体" w:hAnsi="宋体" w:eastAsia="宋体" w:cs="宋体"/>
                <w:color w:val="auto"/>
                <w:lang w:val="en-US" w:eastAsia="zh-CN"/>
              </w:rPr>
            </w:pPr>
            <w:r>
              <w:rPr>
                <w:rFonts w:hint="eastAsia" w:ascii="宋体" w:hAnsi="宋体" w:eastAsia="宋体" w:cs="宋体"/>
                <w:b/>
                <w:color w:val="auto"/>
                <w:lang w:eastAsia="zh-CN"/>
              </w:rPr>
              <w:t>（</w:t>
            </w:r>
            <w:r>
              <w:rPr>
                <w:rFonts w:hint="eastAsia" w:ascii="宋体" w:hAnsi="宋体" w:eastAsia="宋体" w:cs="宋体"/>
                <w:b/>
                <w:color w:val="auto"/>
                <w:lang w:val="en-US" w:eastAsia="zh-CN"/>
              </w:rPr>
              <w:t>3</w:t>
            </w:r>
            <w:r>
              <w:rPr>
                <w:rFonts w:hint="eastAsia" w:ascii="宋体" w:hAnsi="宋体" w:eastAsia="宋体" w:cs="宋体"/>
                <w:b/>
                <w:color w:val="auto"/>
                <w:lang w:eastAsia="zh-CN"/>
              </w:rPr>
              <w:t>）</w:t>
            </w:r>
            <w:r>
              <w:rPr>
                <w:rFonts w:hint="eastAsia" w:ascii="宋体" w:hAnsi="宋体" w:eastAsia="宋体" w:cs="宋体"/>
                <w:b/>
                <w:color w:val="auto"/>
              </w:rPr>
              <w:t>预测结果</w:t>
            </w:r>
          </w:p>
          <w:p w14:paraId="59C9AA2C">
            <w:pPr>
              <w:pStyle w:val="45"/>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厂界噪声预测</w:t>
            </w:r>
          </w:p>
          <w:p w14:paraId="4558AA18">
            <w:pPr>
              <w:jc w:val="center"/>
              <w:rPr>
                <w:rFonts w:hint="eastAsia" w:ascii="宋体" w:hAnsi="宋体" w:eastAsia="宋体" w:cs="宋体"/>
                <w:b/>
                <w:bCs w:val="0"/>
                <w:color w:val="auto"/>
                <w:kern w:val="2"/>
                <w:sz w:val="21"/>
                <w:szCs w:val="21"/>
                <w:lang w:val="en-US" w:eastAsia="zh-CN" w:bidi="ar-SA"/>
              </w:rPr>
            </w:pPr>
            <w:r>
              <w:rPr>
                <w:rFonts w:hint="eastAsia" w:ascii="宋体" w:hAnsi="宋体" w:eastAsia="宋体" w:cs="宋体"/>
                <w:b/>
                <w:bCs w:val="0"/>
                <w:color w:val="auto"/>
                <w:kern w:val="2"/>
                <w:sz w:val="21"/>
                <w:szCs w:val="21"/>
                <w:lang w:val="en-US" w:eastAsia="zh-CN" w:bidi="ar-SA"/>
              </w:rPr>
              <w:t>表7-1</w:t>
            </w:r>
            <w:r>
              <w:rPr>
                <w:rFonts w:hint="eastAsia" w:ascii="宋体" w:hAnsi="宋体" w:cs="宋体"/>
                <w:b/>
                <w:bCs w:val="0"/>
                <w:color w:val="auto"/>
                <w:kern w:val="2"/>
                <w:sz w:val="21"/>
                <w:szCs w:val="21"/>
                <w:lang w:val="en-US" w:eastAsia="zh-CN" w:bidi="ar-SA"/>
              </w:rPr>
              <w:t>9</w:t>
            </w:r>
            <w:r>
              <w:rPr>
                <w:rFonts w:hint="eastAsia" w:ascii="宋体" w:hAnsi="宋体" w:eastAsia="宋体" w:cs="宋体"/>
                <w:b/>
                <w:bCs w:val="0"/>
                <w:color w:val="auto"/>
                <w:kern w:val="2"/>
                <w:sz w:val="21"/>
                <w:szCs w:val="21"/>
                <w:lang w:val="en-US" w:eastAsia="zh-CN" w:bidi="ar-SA"/>
              </w:rPr>
              <w:t xml:space="preserve"> 项目噪声源对场界贡献值</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521"/>
              <w:gridCol w:w="1994"/>
              <w:gridCol w:w="695"/>
              <w:gridCol w:w="679"/>
              <w:gridCol w:w="732"/>
              <w:gridCol w:w="789"/>
              <w:gridCol w:w="799"/>
              <w:gridCol w:w="816"/>
              <w:gridCol w:w="841"/>
              <w:gridCol w:w="792"/>
            </w:tblGrid>
            <w:tr w14:paraId="6710E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3" w:type="pct"/>
                  <w:vMerge w:val="restart"/>
                  <w:tcBorders>
                    <w:tl2br w:val="nil"/>
                    <w:tr2bl w:val="nil"/>
                  </w:tcBorders>
                  <w:noWrap w:val="0"/>
                  <w:vAlign w:val="center"/>
                </w:tcPr>
                <w:p w14:paraId="1B106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序号</w:t>
                  </w:r>
                </w:p>
              </w:tc>
              <w:tc>
                <w:tcPr>
                  <w:tcW w:w="746" w:type="pct"/>
                  <w:vMerge w:val="restart"/>
                  <w:tcBorders>
                    <w:tl2br w:val="nil"/>
                    <w:tr2bl w:val="nil"/>
                  </w:tcBorders>
                  <w:noWrap w:val="0"/>
                  <w:vAlign w:val="center"/>
                </w:tcPr>
                <w:p w14:paraId="500A8A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主要噪声源</w:t>
                  </w:r>
                </w:p>
              </w:tc>
              <w:tc>
                <w:tcPr>
                  <w:tcW w:w="978" w:type="pct"/>
                  <w:vMerge w:val="restart"/>
                  <w:tcBorders>
                    <w:tl2br w:val="nil"/>
                    <w:tr2bl w:val="nil"/>
                  </w:tcBorders>
                  <w:noWrap w:val="0"/>
                  <w:vAlign w:val="center"/>
                </w:tcPr>
                <w:p w14:paraId="67692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处理后等效室外噪声级dB（A）</w:t>
                  </w:r>
                </w:p>
              </w:tc>
              <w:tc>
                <w:tcPr>
                  <w:tcW w:w="1419" w:type="pct"/>
                  <w:gridSpan w:val="4"/>
                  <w:tcBorders>
                    <w:tl2br w:val="nil"/>
                    <w:tr2bl w:val="nil"/>
                  </w:tcBorders>
                  <w:noWrap w:val="0"/>
                  <w:vAlign w:val="center"/>
                </w:tcPr>
                <w:p w14:paraId="3C30E2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噪声源离场界距离（m）</w:t>
                  </w:r>
                </w:p>
              </w:tc>
              <w:tc>
                <w:tcPr>
                  <w:tcW w:w="1592" w:type="pct"/>
                  <w:gridSpan w:val="4"/>
                  <w:tcBorders>
                    <w:tl2br w:val="nil"/>
                    <w:tr2bl w:val="nil"/>
                  </w:tcBorders>
                  <w:noWrap w:val="0"/>
                  <w:vAlign w:val="center"/>
                </w:tcPr>
                <w:p w14:paraId="67BB22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噪声贡献值dB(A)</w:t>
                  </w:r>
                </w:p>
              </w:tc>
            </w:tr>
            <w:tr w14:paraId="080BF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vMerge w:val="continue"/>
                  <w:tcBorders>
                    <w:tl2br w:val="nil"/>
                    <w:tr2bl w:val="nil"/>
                  </w:tcBorders>
                  <w:noWrap w:val="0"/>
                  <w:vAlign w:val="center"/>
                </w:tcPr>
                <w:p w14:paraId="758A1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p>
              </w:tc>
              <w:tc>
                <w:tcPr>
                  <w:tcW w:w="746" w:type="pct"/>
                  <w:vMerge w:val="continue"/>
                  <w:tcBorders>
                    <w:tl2br w:val="nil"/>
                    <w:tr2bl w:val="nil"/>
                  </w:tcBorders>
                  <w:noWrap w:val="0"/>
                  <w:vAlign w:val="center"/>
                </w:tcPr>
                <w:p w14:paraId="065443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p>
              </w:tc>
              <w:tc>
                <w:tcPr>
                  <w:tcW w:w="978" w:type="pct"/>
                  <w:vMerge w:val="continue"/>
                  <w:tcBorders>
                    <w:tl2br w:val="nil"/>
                    <w:tr2bl w:val="nil"/>
                  </w:tcBorders>
                  <w:noWrap w:val="0"/>
                  <w:vAlign w:val="center"/>
                </w:tcPr>
                <w:p w14:paraId="5309D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p>
              </w:tc>
              <w:tc>
                <w:tcPr>
                  <w:tcW w:w="341" w:type="pct"/>
                  <w:tcBorders>
                    <w:tl2br w:val="nil"/>
                    <w:tr2bl w:val="nil"/>
                  </w:tcBorders>
                  <w:noWrap w:val="0"/>
                  <w:vAlign w:val="center"/>
                </w:tcPr>
                <w:p w14:paraId="73B8A8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E</w:t>
                  </w:r>
                </w:p>
              </w:tc>
              <w:tc>
                <w:tcPr>
                  <w:tcW w:w="333" w:type="pct"/>
                  <w:tcBorders>
                    <w:tl2br w:val="nil"/>
                    <w:tr2bl w:val="nil"/>
                  </w:tcBorders>
                  <w:noWrap w:val="0"/>
                  <w:vAlign w:val="center"/>
                </w:tcPr>
                <w:p w14:paraId="16B1C3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S</w:t>
                  </w:r>
                </w:p>
              </w:tc>
              <w:tc>
                <w:tcPr>
                  <w:tcW w:w="359" w:type="pct"/>
                  <w:tcBorders>
                    <w:tl2br w:val="nil"/>
                    <w:tr2bl w:val="nil"/>
                  </w:tcBorders>
                  <w:noWrap w:val="0"/>
                  <w:vAlign w:val="center"/>
                </w:tcPr>
                <w:p w14:paraId="131E23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W</w:t>
                  </w:r>
                </w:p>
              </w:tc>
              <w:tc>
                <w:tcPr>
                  <w:tcW w:w="386" w:type="pct"/>
                  <w:tcBorders>
                    <w:tl2br w:val="nil"/>
                    <w:tr2bl w:val="nil"/>
                  </w:tcBorders>
                  <w:noWrap w:val="0"/>
                  <w:vAlign w:val="center"/>
                </w:tcPr>
                <w:p w14:paraId="7D06A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N</w:t>
                  </w:r>
                </w:p>
              </w:tc>
              <w:tc>
                <w:tcPr>
                  <w:tcW w:w="392" w:type="pct"/>
                  <w:tcBorders>
                    <w:tl2br w:val="nil"/>
                    <w:tr2bl w:val="nil"/>
                  </w:tcBorders>
                  <w:noWrap w:val="0"/>
                  <w:vAlign w:val="center"/>
                </w:tcPr>
                <w:p w14:paraId="64C5C7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E</w:t>
                  </w:r>
                </w:p>
              </w:tc>
              <w:tc>
                <w:tcPr>
                  <w:tcW w:w="400" w:type="pct"/>
                  <w:tcBorders>
                    <w:tl2br w:val="nil"/>
                    <w:tr2bl w:val="nil"/>
                  </w:tcBorders>
                  <w:noWrap w:val="0"/>
                  <w:vAlign w:val="center"/>
                </w:tcPr>
                <w:p w14:paraId="7346E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S</w:t>
                  </w:r>
                </w:p>
              </w:tc>
              <w:tc>
                <w:tcPr>
                  <w:tcW w:w="412" w:type="pct"/>
                  <w:tcBorders>
                    <w:tl2br w:val="nil"/>
                    <w:tr2bl w:val="nil"/>
                  </w:tcBorders>
                  <w:noWrap w:val="0"/>
                  <w:vAlign w:val="center"/>
                </w:tcPr>
                <w:p w14:paraId="2C993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W</w:t>
                  </w:r>
                </w:p>
              </w:tc>
              <w:tc>
                <w:tcPr>
                  <w:tcW w:w="387" w:type="pct"/>
                  <w:tcBorders>
                    <w:tl2br w:val="nil"/>
                    <w:tr2bl w:val="nil"/>
                  </w:tcBorders>
                  <w:noWrap w:val="0"/>
                  <w:vAlign w:val="center"/>
                </w:tcPr>
                <w:p w14:paraId="2ED76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N</w:t>
                  </w:r>
                </w:p>
              </w:tc>
            </w:tr>
            <w:tr w14:paraId="46EF9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0CBB0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w:t>
                  </w:r>
                </w:p>
              </w:tc>
              <w:tc>
                <w:tcPr>
                  <w:tcW w:w="746" w:type="pct"/>
                  <w:tcBorders>
                    <w:tl2br w:val="nil"/>
                    <w:tr2bl w:val="nil"/>
                  </w:tcBorders>
                  <w:noWrap w:val="0"/>
                  <w:vAlign w:val="center"/>
                </w:tcPr>
                <w:p w14:paraId="64DE36F5">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搅拌机</w:t>
                  </w:r>
                </w:p>
              </w:tc>
              <w:tc>
                <w:tcPr>
                  <w:tcW w:w="978" w:type="pct"/>
                  <w:tcBorders>
                    <w:tl2br w:val="nil"/>
                    <w:tr2bl w:val="nil"/>
                  </w:tcBorders>
                  <w:noWrap w:val="0"/>
                  <w:vAlign w:val="center"/>
                </w:tcPr>
                <w:p w14:paraId="4E8F23A9">
                  <w:pPr>
                    <w:jc w:val="center"/>
                    <w:outlineLvl w:val="1"/>
                    <w:rPr>
                      <w:rFonts w:hint="eastAsia" w:ascii="宋体" w:hAnsi="宋体"/>
                      <w:color w:val="auto"/>
                      <w:sz w:val="21"/>
                      <w:szCs w:val="21"/>
                      <w:shd w:val="clear" w:color="auto" w:fill="auto"/>
                      <w:vertAlign w:val="baseline"/>
                      <w:lang w:val="en-US" w:eastAsia="zh-CN"/>
                    </w:rPr>
                  </w:pPr>
                  <w:r>
                    <w:rPr>
                      <w:rFonts w:hint="default" w:ascii="Times New Roman" w:hAnsi="Times New Roman" w:cs="Times New Roman"/>
                      <w:color w:val="auto"/>
                      <w:sz w:val="21"/>
                      <w:szCs w:val="21"/>
                      <w:lang w:val="en-US" w:eastAsia="zh-CN"/>
                    </w:rPr>
                    <w:t>60</w:t>
                  </w:r>
                </w:p>
              </w:tc>
              <w:tc>
                <w:tcPr>
                  <w:tcW w:w="341" w:type="pct"/>
                  <w:tcBorders>
                    <w:tl2br w:val="nil"/>
                    <w:tr2bl w:val="nil"/>
                  </w:tcBorders>
                  <w:noWrap w:val="0"/>
                  <w:vAlign w:val="center"/>
                </w:tcPr>
                <w:p w14:paraId="4DCE8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30</w:t>
                  </w:r>
                </w:p>
              </w:tc>
              <w:tc>
                <w:tcPr>
                  <w:tcW w:w="333" w:type="pct"/>
                  <w:tcBorders>
                    <w:tl2br w:val="nil"/>
                    <w:tr2bl w:val="nil"/>
                  </w:tcBorders>
                  <w:noWrap w:val="0"/>
                  <w:vAlign w:val="center"/>
                </w:tcPr>
                <w:p w14:paraId="0DDADE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40</w:t>
                  </w:r>
                </w:p>
              </w:tc>
              <w:tc>
                <w:tcPr>
                  <w:tcW w:w="359" w:type="pct"/>
                  <w:tcBorders>
                    <w:tl2br w:val="nil"/>
                    <w:tr2bl w:val="nil"/>
                  </w:tcBorders>
                  <w:noWrap w:val="0"/>
                  <w:vAlign w:val="center"/>
                </w:tcPr>
                <w:p w14:paraId="35F3BE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25</w:t>
                  </w:r>
                </w:p>
              </w:tc>
              <w:tc>
                <w:tcPr>
                  <w:tcW w:w="386" w:type="pct"/>
                  <w:tcBorders>
                    <w:tl2br w:val="nil"/>
                    <w:tr2bl w:val="nil"/>
                  </w:tcBorders>
                  <w:noWrap w:val="0"/>
                  <w:vAlign w:val="center"/>
                </w:tcPr>
                <w:p w14:paraId="40D217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8</w:t>
                  </w:r>
                </w:p>
              </w:tc>
              <w:tc>
                <w:tcPr>
                  <w:tcW w:w="392" w:type="pct"/>
                  <w:tcBorders>
                    <w:tl2br w:val="nil"/>
                    <w:tr2bl w:val="nil"/>
                  </w:tcBorders>
                  <w:noWrap w:val="0"/>
                  <w:vAlign w:val="center"/>
                </w:tcPr>
                <w:p w14:paraId="528CC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19.48</w:t>
                  </w:r>
                </w:p>
              </w:tc>
              <w:tc>
                <w:tcPr>
                  <w:tcW w:w="400" w:type="pct"/>
                  <w:tcBorders>
                    <w:tl2br w:val="nil"/>
                    <w:tr2bl w:val="nil"/>
                  </w:tcBorders>
                  <w:noWrap w:val="0"/>
                  <w:vAlign w:val="center"/>
                </w:tcPr>
                <w:p w14:paraId="1BB19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16.98</w:t>
                  </w:r>
                </w:p>
              </w:tc>
              <w:tc>
                <w:tcPr>
                  <w:tcW w:w="412" w:type="pct"/>
                  <w:tcBorders>
                    <w:tl2br w:val="nil"/>
                    <w:tr2bl w:val="nil"/>
                  </w:tcBorders>
                  <w:noWrap w:val="0"/>
                  <w:vAlign w:val="center"/>
                </w:tcPr>
                <w:p w14:paraId="4FB7E4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21.06</w:t>
                  </w:r>
                </w:p>
              </w:tc>
              <w:tc>
                <w:tcPr>
                  <w:tcW w:w="387" w:type="pct"/>
                  <w:tcBorders>
                    <w:tl2br w:val="nil"/>
                    <w:tr2bl w:val="nil"/>
                  </w:tcBorders>
                  <w:noWrap w:val="0"/>
                  <w:vAlign w:val="center"/>
                </w:tcPr>
                <w:p w14:paraId="3F226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30.96</w:t>
                  </w:r>
                </w:p>
              </w:tc>
            </w:tr>
            <w:tr w14:paraId="13599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2F9E6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w:t>
                  </w:r>
                </w:p>
              </w:tc>
              <w:tc>
                <w:tcPr>
                  <w:tcW w:w="746" w:type="pct"/>
                  <w:tcBorders>
                    <w:tl2br w:val="nil"/>
                    <w:tr2bl w:val="nil"/>
                  </w:tcBorders>
                  <w:noWrap w:val="0"/>
                  <w:vAlign w:val="center"/>
                </w:tcPr>
                <w:p w14:paraId="5024299D">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钢筋调直切割机</w:t>
                  </w:r>
                </w:p>
              </w:tc>
              <w:tc>
                <w:tcPr>
                  <w:tcW w:w="978" w:type="pct"/>
                  <w:tcBorders>
                    <w:tl2br w:val="nil"/>
                    <w:tr2bl w:val="nil"/>
                  </w:tcBorders>
                  <w:noWrap w:val="0"/>
                  <w:vAlign w:val="center"/>
                </w:tcPr>
                <w:p w14:paraId="3F64F961">
                  <w:pPr>
                    <w:jc w:val="center"/>
                    <w:rPr>
                      <w:rFonts w:hint="eastAsia" w:ascii="宋体" w:hAnsi="宋体"/>
                      <w:color w:val="auto"/>
                      <w:sz w:val="21"/>
                      <w:szCs w:val="21"/>
                      <w:shd w:val="clear" w:color="auto" w:fill="auto"/>
                      <w:vertAlign w:val="baseline"/>
                      <w:lang w:val="en-US" w:eastAsia="zh-CN"/>
                    </w:rPr>
                  </w:pPr>
                  <w:r>
                    <w:rPr>
                      <w:rFonts w:hint="eastAsia" w:cs="Times New Roman"/>
                      <w:color w:val="auto"/>
                      <w:sz w:val="21"/>
                      <w:szCs w:val="21"/>
                      <w:lang w:val="en-US" w:eastAsia="zh-CN"/>
                    </w:rPr>
                    <w:t>80</w:t>
                  </w:r>
                </w:p>
              </w:tc>
              <w:tc>
                <w:tcPr>
                  <w:tcW w:w="341" w:type="pct"/>
                  <w:tcBorders>
                    <w:tl2br w:val="nil"/>
                    <w:tr2bl w:val="nil"/>
                  </w:tcBorders>
                  <w:noWrap w:val="0"/>
                  <w:vAlign w:val="center"/>
                </w:tcPr>
                <w:p w14:paraId="4075F0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10</w:t>
                  </w:r>
                </w:p>
              </w:tc>
              <w:tc>
                <w:tcPr>
                  <w:tcW w:w="333" w:type="pct"/>
                  <w:tcBorders>
                    <w:tl2br w:val="nil"/>
                    <w:tr2bl w:val="nil"/>
                  </w:tcBorders>
                  <w:noWrap w:val="0"/>
                  <w:vAlign w:val="center"/>
                </w:tcPr>
                <w:p w14:paraId="289A5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28</w:t>
                  </w:r>
                </w:p>
              </w:tc>
              <w:tc>
                <w:tcPr>
                  <w:tcW w:w="359" w:type="pct"/>
                  <w:tcBorders>
                    <w:tl2br w:val="nil"/>
                    <w:tr2bl w:val="nil"/>
                  </w:tcBorders>
                  <w:noWrap w:val="0"/>
                  <w:vAlign w:val="center"/>
                </w:tcPr>
                <w:p w14:paraId="04887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45</w:t>
                  </w:r>
                </w:p>
              </w:tc>
              <w:tc>
                <w:tcPr>
                  <w:tcW w:w="386" w:type="pct"/>
                  <w:tcBorders>
                    <w:tl2br w:val="nil"/>
                    <w:tr2bl w:val="nil"/>
                  </w:tcBorders>
                  <w:noWrap w:val="0"/>
                  <w:vAlign w:val="center"/>
                </w:tcPr>
                <w:p w14:paraId="55908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16</w:t>
                  </w:r>
                </w:p>
              </w:tc>
              <w:tc>
                <w:tcPr>
                  <w:tcW w:w="392" w:type="pct"/>
                  <w:tcBorders>
                    <w:tl2br w:val="nil"/>
                    <w:tr2bl w:val="nil"/>
                  </w:tcBorders>
                  <w:noWrap w:val="0"/>
                  <w:vAlign w:val="center"/>
                </w:tcPr>
                <w:p w14:paraId="4329F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49.02</w:t>
                  </w:r>
                </w:p>
              </w:tc>
              <w:tc>
                <w:tcPr>
                  <w:tcW w:w="400" w:type="pct"/>
                  <w:tcBorders>
                    <w:tl2br w:val="nil"/>
                    <w:tr2bl w:val="nil"/>
                  </w:tcBorders>
                  <w:noWrap w:val="0"/>
                  <w:vAlign w:val="center"/>
                </w:tcPr>
                <w:p w14:paraId="0902F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40.08</w:t>
                  </w:r>
                </w:p>
              </w:tc>
              <w:tc>
                <w:tcPr>
                  <w:tcW w:w="412" w:type="pct"/>
                  <w:tcBorders>
                    <w:tl2br w:val="nil"/>
                    <w:tr2bl w:val="nil"/>
                  </w:tcBorders>
                  <w:noWrap w:val="0"/>
                  <w:vAlign w:val="center"/>
                </w:tcPr>
                <w:p w14:paraId="7B997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35.96</w:t>
                  </w:r>
                </w:p>
              </w:tc>
              <w:tc>
                <w:tcPr>
                  <w:tcW w:w="387" w:type="pct"/>
                  <w:tcBorders>
                    <w:tl2br w:val="nil"/>
                    <w:tr2bl w:val="nil"/>
                  </w:tcBorders>
                  <w:noWrap w:val="0"/>
                  <w:vAlign w:val="center"/>
                </w:tcPr>
                <w:p w14:paraId="518497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44.94</w:t>
                  </w:r>
                </w:p>
              </w:tc>
            </w:tr>
            <w:tr w14:paraId="70E78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2C6B8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w:t>
                  </w:r>
                </w:p>
              </w:tc>
              <w:tc>
                <w:tcPr>
                  <w:tcW w:w="746" w:type="pct"/>
                  <w:tcBorders>
                    <w:tl2br w:val="nil"/>
                    <w:tr2bl w:val="nil"/>
                  </w:tcBorders>
                  <w:noWrap w:val="0"/>
                  <w:vAlign w:val="center"/>
                </w:tcPr>
                <w:p w14:paraId="58E47E66">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焊机</w:t>
                  </w:r>
                </w:p>
              </w:tc>
              <w:tc>
                <w:tcPr>
                  <w:tcW w:w="978" w:type="pct"/>
                  <w:tcBorders>
                    <w:tl2br w:val="nil"/>
                    <w:tr2bl w:val="nil"/>
                  </w:tcBorders>
                  <w:noWrap w:val="0"/>
                  <w:vAlign w:val="center"/>
                </w:tcPr>
                <w:p w14:paraId="5D54F7E3">
                  <w:pPr>
                    <w:jc w:val="center"/>
                    <w:rPr>
                      <w:rFonts w:hint="default" w:ascii="宋体" w:hAnsi="宋体"/>
                      <w:color w:val="auto"/>
                      <w:sz w:val="21"/>
                      <w:szCs w:val="21"/>
                      <w:shd w:val="clear" w:color="auto" w:fill="auto"/>
                      <w:vertAlign w:val="baseline"/>
                      <w:lang w:val="en-US" w:eastAsia="zh-CN"/>
                    </w:rPr>
                  </w:pPr>
                  <w:r>
                    <w:rPr>
                      <w:rFonts w:hint="eastAsia" w:cs="Times New Roman"/>
                      <w:color w:val="auto"/>
                      <w:sz w:val="21"/>
                      <w:szCs w:val="21"/>
                      <w:lang w:val="en-US" w:eastAsia="zh-CN"/>
                    </w:rPr>
                    <w:t>65</w:t>
                  </w:r>
                </w:p>
              </w:tc>
              <w:tc>
                <w:tcPr>
                  <w:tcW w:w="341" w:type="pct"/>
                  <w:tcBorders>
                    <w:tl2br w:val="nil"/>
                    <w:tr2bl w:val="nil"/>
                  </w:tcBorders>
                  <w:noWrap w:val="0"/>
                  <w:vAlign w:val="center"/>
                </w:tcPr>
                <w:p w14:paraId="7E9FC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50</w:t>
                  </w:r>
                </w:p>
              </w:tc>
              <w:tc>
                <w:tcPr>
                  <w:tcW w:w="333" w:type="pct"/>
                  <w:tcBorders>
                    <w:tl2br w:val="nil"/>
                    <w:tr2bl w:val="nil"/>
                  </w:tcBorders>
                  <w:noWrap w:val="0"/>
                  <w:vAlign w:val="center"/>
                </w:tcPr>
                <w:p w14:paraId="38002A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40</w:t>
                  </w:r>
                </w:p>
              </w:tc>
              <w:tc>
                <w:tcPr>
                  <w:tcW w:w="359" w:type="pct"/>
                  <w:tcBorders>
                    <w:tl2br w:val="nil"/>
                    <w:tr2bl w:val="nil"/>
                  </w:tcBorders>
                  <w:noWrap w:val="0"/>
                  <w:vAlign w:val="center"/>
                </w:tcPr>
                <w:p w14:paraId="04EA0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16</w:t>
                  </w:r>
                </w:p>
              </w:tc>
              <w:tc>
                <w:tcPr>
                  <w:tcW w:w="386" w:type="pct"/>
                  <w:tcBorders>
                    <w:tl2br w:val="nil"/>
                    <w:tr2bl w:val="nil"/>
                  </w:tcBorders>
                  <w:noWrap w:val="0"/>
                  <w:vAlign w:val="center"/>
                </w:tcPr>
                <w:p w14:paraId="233F88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8</w:t>
                  </w:r>
                </w:p>
              </w:tc>
              <w:tc>
                <w:tcPr>
                  <w:tcW w:w="392" w:type="pct"/>
                  <w:tcBorders>
                    <w:tl2br w:val="nil"/>
                    <w:tr2bl w:val="nil"/>
                  </w:tcBorders>
                  <w:noWrap w:val="0"/>
                  <w:vAlign w:val="center"/>
                </w:tcPr>
                <w:p w14:paraId="4AFD7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20.04</w:t>
                  </w:r>
                </w:p>
              </w:tc>
              <w:tc>
                <w:tcPr>
                  <w:tcW w:w="400" w:type="pct"/>
                  <w:tcBorders>
                    <w:tl2br w:val="nil"/>
                    <w:tr2bl w:val="nil"/>
                  </w:tcBorders>
                  <w:noWrap w:val="0"/>
                  <w:vAlign w:val="center"/>
                </w:tcPr>
                <w:p w14:paraId="2E7712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21.98</w:t>
                  </w:r>
                </w:p>
              </w:tc>
              <w:tc>
                <w:tcPr>
                  <w:tcW w:w="412" w:type="pct"/>
                  <w:tcBorders>
                    <w:tl2br w:val="nil"/>
                    <w:tr2bl w:val="nil"/>
                  </w:tcBorders>
                  <w:noWrap w:val="0"/>
                  <w:vAlign w:val="center"/>
                </w:tcPr>
                <w:p w14:paraId="202568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29.94</w:t>
                  </w:r>
                </w:p>
              </w:tc>
              <w:tc>
                <w:tcPr>
                  <w:tcW w:w="387" w:type="pct"/>
                  <w:tcBorders>
                    <w:tl2br w:val="nil"/>
                    <w:tr2bl w:val="nil"/>
                  </w:tcBorders>
                  <w:noWrap w:val="0"/>
                  <w:vAlign w:val="center"/>
                </w:tcPr>
                <w:p w14:paraId="3A629D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kern w:val="2"/>
                      <w:sz w:val="21"/>
                      <w:szCs w:val="21"/>
                      <w:shd w:val="clear" w:color="auto" w:fill="auto"/>
                      <w:vertAlign w:val="baseline"/>
                      <w:lang w:val="en-US" w:eastAsia="zh-CN" w:bidi="ar-SA"/>
                    </w:rPr>
                  </w:pPr>
                  <w:r>
                    <w:rPr>
                      <w:rFonts w:hint="eastAsia" w:ascii="宋体" w:hAnsi="宋体"/>
                      <w:color w:val="auto"/>
                      <w:kern w:val="2"/>
                      <w:sz w:val="21"/>
                      <w:szCs w:val="21"/>
                      <w:shd w:val="clear" w:color="auto" w:fill="auto"/>
                      <w:vertAlign w:val="baseline"/>
                      <w:lang w:val="en-US" w:eastAsia="zh-CN" w:bidi="ar-SA"/>
                    </w:rPr>
                    <w:t>35.96</w:t>
                  </w:r>
                </w:p>
              </w:tc>
            </w:tr>
            <w:tr w14:paraId="12BBE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4AD90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w:t>
                  </w:r>
                </w:p>
              </w:tc>
              <w:tc>
                <w:tcPr>
                  <w:tcW w:w="746" w:type="pct"/>
                  <w:tcBorders>
                    <w:tl2br w:val="nil"/>
                    <w:tr2bl w:val="nil"/>
                  </w:tcBorders>
                  <w:noWrap w:val="0"/>
                  <w:vAlign w:val="center"/>
                </w:tcPr>
                <w:p w14:paraId="1F0188B3">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水泥制品生产线</w:t>
                  </w:r>
                </w:p>
              </w:tc>
              <w:tc>
                <w:tcPr>
                  <w:tcW w:w="978" w:type="pct"/>
                  <w:tcBorders>
                    <w:tl2br w:val="nil"/>
                    <w:tr2bl w:val="nil"/>
                  </w:tcBorders>
                  <w:noWrap w:val="0"/>
                  <w:vAlign w:val="center"/>
                </w:tcPr>
                <w:p w14:paraId="1CCB4EBE">
                  <w:pPr>
                    <w:jc w:val="center"/>
                    <w:rPr>
                      <w:rFonts w:hint="eastAsia" w:ascii="宋体" w:hAnsi="宋体"/>
                      <w:color w:val="auto"/>
                      <w:sz w:val="21"/>
                      <w:szCs w:val="21"/>
                      <w:shd w:val="clear" w:color="auto" w:fill="auto"/>
                      <w:vertAlign w:val="baseline"/>
                      <w:lang w:val="en-US" w:eastAsia="zh-CN"/>
                    </w:rPr>
                  </w:pPr>
                  <w:r>
                    <w:rPr>
                      <w:rFonts w:hint="default" w:ascii="Times New Roman" w:hAnsi="Times New Roman" w:cs="Times New Roman"/>
                      <w:color w:val="auto"/>
                      <w:sz w:val="21"/>
                      <w:szCs w:val="21"/>
                      <w:lang w:val="en-US" w:eastAsia="zh-CN"/>
                    </w:rPr>
                    <w:t>75</w:t>
                  </w:r>
                </w:p>
              </w:tc>
              <w:tc>
                <w:tcPr>
                  <w:tcW w:w="341" w:type="pct"/>
                  <w:tcBorders>
                    <w:tl2br w:val="nil"/>
                    <w:tr2bl w:val="nil"/>
                  </w:tcBorders>
                  <w:noWrap w:val="0"/>
                  <w:vAlign w:val="center"/>
                </w:tcPr>
                <w:p w14:paraId="58F7A1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16</w:t>
                  </w:r>
                </w:p>
              </w:tc>
              <w:tc>
                <w:tcPr>
                  <w:tcW w:w="333" w:type="pct"/>
                  <w:tcBorders>
                    <w:tl2br w:val="nil"/>
                    <w:tr2bl w:val="nil"/>
                  </w:tcBorders>
                  <w:noWrap w:val="0"/>
                  <w:vAlign w:val="center"/>
                </w:tcPr>
                <w:p w14:paraId="6D315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40</w:t>
                  </w:r>
                </w:p>
              </w:tc>
              <w:tc>
                <w:tcPr>
                  <w:tcW w:w="359" w:type="pct"/>
                  <w:tcBorders>
                    <w:tl2br w:val="nil"/>
                    <w:tr2bl w:val="nil"/>
                  </w:tcBorders>
                  <w:noWrap w:val="0"/>
                  <w:vAlign w:val="center"/>
                </w:tcPr>
                <w:p w14:paraId="1AC7C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43</w:t>
                  </w:r>
                </w:p>
              </w:tc>
              <w:tc>
                <w:tcPr>
                  <w:tcW w:w="386" w:type="pct"/>
                  <w:tcBorders>
                    <w:tl2br w:val="nil"/>
                    <w:tr2bl w:val="nil"/>
                  </w:tcBorders>
                  <w:noWrap w:val="0"/>
                  <w:vAlign w:val="center"/>
                </w:tcPr>
                <w:p w14:paraId="15F74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8</w:t>
                  </w:r>
                </w:p>
              </w:tc>
              <w:tc>
                <w:tcPr>
                  <w:tcW w:w="392" w:type="pct"/>
                  <w:tcBorders>
                    <w:tl2br w:val="nil"/>
                    <w:tr2bl w:val="nil"/>
                  </w:tcBorders>
                  <w:noWrap w:val="0"/>
                  <w:vAlign w:val="center"/>
                </w:tcPr>
                <w:p w14:paraId="4F058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39.94</w:t>
                  </w:r>
                </w:p>
              </w:tc>
              <w:tc>
                <w:tcPr>
                  <w:tcW w:w="400" w:type="pct"/>
                  <w:tcBorders>
                    <w:tl2br w:val="nil"/>
                    <w:tr2bl w:val="nil"/>
                  </w:tcBorders>
                  <w:noWrap w:val="0"/>
                  <w:vAlign w:val="center"/>
                </w:tcPr>
                <w:p w14:paraId="15FF62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31.98</w:t>
                  </w:r>
                </w:p>
              </w:tc>
              <w:tc>
                <w:tcPr>
                  <w:tcW w:w="412" w:type="pct"/>
                  <w:tcBorders>
                    <w:tl2br w:val="nil"/>
                    <w:tr2bl w:val="nil"/>
                  </w:tcBorders>
                  <w:noWrap w:val="0"/>
                  <w:vAlign w:val="center"/>
                </w:tcPr>
                <w:p w14:paraId="425AD6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31.35</w:t>
                  </w:r>
                </w:p>
              </w:tc>
              <w:tc>
                <w:tcPr>
                  <w:tcW w:w="387" w:type="pct"/>
                  <w:tcBorders>
                    <w:tl2br w:val="nil"/>
                    <w:tr2bl w:val="nil"/>
                  </w:tcBorders>
                  <w:noWrap w:val="0"/>
                  <w:vAlign w:val="center"/>
                </w:tcPr>
                <w:p w14:paraId="5FBEFB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45.96</w:t>
                  </w:r>
                </w:p>
              </w:tc>
            </w:tr>
            <w:tr w14:paraId="2085D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68173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5</w:t>
                  </w:r>
                </w:p>
              </w:tc>
              <w:tc>
                <w:tcPr>
                  <w:tcW w:w="746" w:type="pct"/>
                  <w:tcBorders>
                    <w:tl2br w:val="nil"/>
                    <w:tr2bl w:val="nil"/>
                  </w:tcBorders>
                  <w:noWrap w:val="0"/>
                  <w:vAlign w:val="center"/>
                </w:tcPr>
                <w:p w14:paraId="066E1FE1">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剪板机</w:t>
                  </w:r>
                </w:p>
              </w:tc>
              <w:tc>
                <w:tcPr>
                  <w:tcW w:w="978" w:type="pct"/>
                  <w:tcBorders>
                    <w:tl2br w:val="nil"/>
                    <w:tr2bl w:val="nil"/>
                  </w:tcBorders>
                  <w:noWrap w:val="0"/>
                  <w:vAlign w:val="center"/>
                </w:tcPr>
                <w:p w14:paraId="12108CBF">
                  <w:pPr>
                    <w:jc w:val="center"/>
                    <w:rPr>
                      <w:rFonts w:hint="eastAsia" w:ascii="宋体" w:hAnsi="宋体"/>
                      <w:color w:val="auto"/>
                      <w:sz w:val="21"/>
                      <w:szCs w:val="21"/>
                      <w:shd w:val="clear" w:color="auto" w:fill="auto"/>
                      <w:vertAlign w:val="baseline"/>
                      <w:lang w:val="en-US" w:eastAsia="zh-CN"/>
                    </w:rPr>
                  </w:pPr>
                  <w:r>
                    <w:rPr>
                      <w:rFonts w:hint="eastAsia" w:cs="Times New Roman"/>
                      <w:color w:val="auto"/>
                      <w:sz w:val="21"/>
                      <w:szCs w:val="21"/>
                      <w:lang w:val="en-US" w:eastAsia="zh-CN"/>
                    </w:rPr>
                    <w:t>65</w:t>
                  </w:r>
                </w:p>
              </w:tc>
              <w:tc>
                <w:tcPr>
                  <w:tcW w:w="341" w:type="pct"/>
                  <w:tcBorders>
                    <w:tl2br w:val="nil"/>
                    <w:tr2bl w:val="nil"/>
                  </w:tcBorders>
                  <w:noWrap w:val="0"/>
                  <w:vAlign w:val="center"/>
                </w:tcPr>
                <w:p w14:paraId="081B3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15</w:t>
                  </w:r>
                </w:p>
              </w:tc>
              <w:tc>
                <w:tcPr>
                  <w:tcW w:w="333" w:type="pct"/>
                  <w:tcBorders>
                    <w:tl2br w:val="nil"/>
                    <w:tr2bl w:val="nil"/>
                  </w:tcBorders>
                  <w:noWrap w:val="0"/>
                  <w:vAlign w:val="center"/>
                </w:tcPr>
                <w:p w14:paraId="23EC9D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28</w:t>
                  </w:r>
                </w:p>
              </w:tc>
              <w:tc>
                <w:tcPr>
                  <w:tcW w:w="359" w:type="pct"/>
                  <w:tcBorders>
                    <w:tl2br w:val="nil"/>
                    <w:tr2bl w:val="nil"/>
                  </w:tcBorders>
                  <w:noWrap w:val="0"/>
                  <w:vAlign w:val="center"/>
                </w:tcPr>
                <w:p w14:paraId="31994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40</w:t>
                  </w:r>
                </w:p>
              </w:tc>
              <w:tc>
                <w:tcPr>
                  <w:tcW w:w="386" w:type="pct"/>
                  <w:tcBorders>
                    <w:tl2br w:val="nil"/>
                    <w:tr2bl w:val="nil"/>
                  </w:tcBorders>
                  <w:noWrap w:val="0"/>
                  <w:vAlign w:val="center"/>
                </w:tcPr>
                <w:p w14:paraId="222D63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16</w:t>
                  </w:r>
                </w:p>
              </w:tc>
              <w:tc>
                <w:tcPr>
                  <w:tcW w:w="392" w:type="pct"/>
                  <w:tcBorders>
                    <w:tl2br w:val="nil"/>
                    <w:tr2bl w:val="nil"/>
                  </w:tcBorders>
                  <w:noWrap w:val="0"/>
                  <w:vAlign w:val="center"/>
                </w:tcPr>
                <w:p w14:paraId="36C48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30.50</w:t>
                  </w:r>
                </w:p>
              </w:tc>
              <w:tc>
                <w:tcPr>
                  <w:tcW w:w="400" w:type="pct"/>
                  <w:tcBorders>
                    <w:tl2br w:val="nil"/>
                    <w:tr2bl w:val="nil"/>
                  </w:tcBorders>
                  <w:noWrap w:val="0"/>
                  <w:vAlign w:val="center"/>
                </w:tcPr>
                <w:p w14:paraId="00E351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25.08</w:t>
                  </w:r>
                </w:p>
              </w:tc>
              <w:tc>
                <w:tcPr>
                  <w:tcW w:w="412" w:type="pct"/>
                  <w:tcBorders>
                    <w:tl2br w:val="nil"/>
                    <w:tr2bl w:val="nil"/>
                  </w:tcBorders>
                  <w:noWrap w:val="0"/>
                  <w:vAlign w:val="center"/>
                </w:tcPr>
                <w:p w14:paraId="0F009A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21.98</w:t>
                  </w:r>
                </w:p>
              </w:tc>
              <w:tc>
                <w:tcPr>
                  <w:tcW w:w="387" w:type="pct"/>
                  <w:tcBorders>
                    <w:tl2br w:val="nil"/>
                    <w:tr2bl w:val="nil"/>
                  </w:tcBorders>
                  <w:noWrap w:val="0"/>
                  <w:vAlign w:val="center"/>
                </w:tcPr>
                <w:p w14:paraId="405F6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29.94</w:t>
                  </w:r>
                </w:p>
              </w:tc>
            </w:tr>
            <w:tr w14:paraId="36A6A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58981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6</w:t>
                  </w:r>
                </w:p>
              </w:tc>
              <w:tc>
                <w:tcPr>
                  <w:tcW w:w="746" w:type="pct"/>
                  <w:tcBorders>
                    <w:tl2br w:val="nil"/>
                    <w:tr2bl w:val="nil"/>
                  </w:tcBorders>
                  <w:noWrap w:val="0"/>
                  <w:vAlign w:val="center"/>
                </w:tcPr>
                <w:p w14:paraId="712FEB0A">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折弯机</w:t>
                  </w:r>
                </w:p>
              </w:tc>
              <w:tc>
                <w:tcPr>
                  <w:tcW w:w="978" w:type="pct"/>
                  <w:tcBorders>
                    <w:tl2br w:val="nil"/>
                    <w:tr2bl w:val="nil"/>
                  </w:tcBorders>
                  <w:noWrap w:val="0"/>
                  <w:vAlign w:val="center"/>
                </w:tcPr>
                <w:p w14:paraId="3CBEB505">
                  <w:pPr>
                    <w:jc w:val="center"/>
                    <w:rPr>
                      <w:rFonts w:hint="eastAsia" w:ascii="宋体" w:hAnsi="宋体"/>
                      <w:color w:val="auto"/>
                      <w:sz w:val="21"/>
                      <w:szCs w:val="21"/>
                      <w:shd w:val="clear" w:color="auto" w:fill="auto"/>
                      <w:vertAlign w:val="baseline"/>
                      <w:lang w:val="en-US" w:eastAsia="zh-CN"/>
                    </w:rPr>
                  </w:pPr>
                  <w:r>
                    <w:rPr>
                      <w:rFonts w:hint="default" w:ascii="Times New Roman" w:hAnsi="Times New Roman" w:cs="Times New Roman"/>
                      <w:color w:val="auto"/>
                      <w:sz w:val="21"/>
                      <w:szCs w:val="21"/>
                      <w:lang w:val="en-US" w:eastAsia="zh-CN"/>
                    </w:rPr>
                    <w:t>70</w:t>
                  </w:r>
                </w:p>
              </w:tc>
              <w:tc>
                <w:tcPr>
                  <w:tcW w:w="680" w:type="dxa"/>
                  <w:tcBorders>
                    <w:tl2br w:val="nil"/>
                    <w:tr2bl w:val="nil"/>
                  </w:tcBorders>
                  <w:noWrap w:val="0"/>
                  <w:vAlign w:val="center"/>
                </w:tcPr>
                <w:p w14:paraId="742C9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15</w:t>
                  </w:r>
                </w:p>
              </w:tc>
              <w:tc>
                <w:tcPr>
                  <w:tcW w:w="664" w:type="dxa"/>
                  <w:tcBorders>
                    <w:tl2br w:val="nil"/>
                    <w:tr2bl w:val="nil"/>
                  </w:tcBorders>
                  <w:noWrap w:val="0"/>
                  <w:vAlign w:val="center"/>
                </w:tcPr>
                <w:p w14:paraId="7E7D5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28</w:t>
                  </w:r>
                </w:p>
              </w:tc>
              <w:tc>
                <w:tcPr>
                  <w:tcW w:w="716" w:type="dxa"/>
                  <w:tcBorders>
                    <w:tl2br w:val="nil"/>
                    <w:tr2bl w:val="nil"/>
                  </w:tcBorders>
                  <w:noWrap w:val="0"/>
                  <w:vAlign w:val="center"/>
                </w:tcPr>
                <w:p w14:paraId="2BAB3C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40</w:t>
                  </w:r>
                </w:p>
              </w:tc>
              <w:tc>
                <w:tcPr>
                  <w:tcW w:w="770" w:type="dxa"/>
                  <w:tcBorders>
                    <w:tl2br w:val="nil"/>
                    <w:tr2bl w:val="nil"/>
                  </w:tcBorders>
                  <w:noWrap w:val="0"/>
                  <w:vAlign w:val="center"/>
                </w:tcPr>
                <w:p w14:paraId="531BA9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16</w:t>
                  </w:r>
                </w:p>
              </w:tc>
              <w:tc>
                <w:tcPr>
                  <w:tcW w:w="392" w:type="pct"/>
                  <w:tcBorders>
                    <w:tl2br w:val="nil"/>
                    <w:tr2bl w:val="nil"/>
                  </w:tcBorders>
                  <w:noWrap w:val="0"/>
                  <w:vAlign w:val="center"/>
                </w:tcPr>
                <w:p w14:paraId="00E01A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35.50</w:t>
                  </w:r>
                </w:p>
              </w:tc>
              <w:tc>
                <w:tcPr>
                  <w:tcW w:w="400" w:type="pct"/>
                  <w:tcBorders>
                    <w:tl2br w:val="nil"/>
                    <w:tr2bl w:val="nil"/>
                  </w:tcBorders>
                  <w:noWrap w:val="0"/>
                  <w:vAlign w:val="center"/>
                </w:tcPr>
                <w:p w14:paraId="70CA6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30.08</w:t>
                  </w:r>
                </w:p>
              </w:tc>
              <w:tc>
                <w:tcPr>
                  <w:tcW w:w="412" w:type="pct"/>
                  <w:tcBorders>
                    <w:tl2br w:val="nil"/>
                    <w:tr2bl w:val="nil"/>
                  </w:tcBorders>
                  <w:noWrap w:val="0"/>
                  <w:vAlign w:val="center"/>
                </w:tcPr>
                <w:p w14:paraId="6A2FA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26.98</w:t>
                  </w:r>
                </w:p>
              </w:tc>
              <w:tc>
                <w:tcPr>
                  <w:tcW w:w="387" w:type="pct"/>
                  <w:tcBorders>
                    <w:tl2br w:val="nil"/>
                    <w:tr2bl w:val="nil"/>
                  </w:tcBorders>
                  <w:noWrap w:val="0"/>
                  <w:vAlign w:val="center"/>
                </w:tcPr>
                <w:p w14:paraId="601CC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34.94</w:t>
                  </w:r>
                </w:p>
              </w:tc>
            </w:tr>
            <w:tr w14:paraId="70816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3" w:type="pct"/>
                  <w:tcBorders>
                    <w:tl2br w:val="nil"/>
                    <w:tr2bl w:val="nil"/>
                  </w:tcBorders>
                  <w:noWrap w:val="0"/>
                  <w:vAlign w:val="center"/>
                </w:tcPr>
                <w:p w14:paraId="1CAE2E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7</w:t>
                  </w:r>
                </w:p>
              </w:tc>
              <w:tc>
                <w:tcPr>
                  <w:tcW w:w="746" w:type="pct"/>
                  <w:tcBorders>
                    <w:tl2br w:val="nil"/>
                    <w:tr2bl w:val="nil"/>
                  </w:tcBorders>
                  <w:noWrap w:val="0"/>
                  <w:vAlign w:val="center"/>
                </w:tcPr>
                <w:p w14:paraId="01D1DE68">
                  <w:pPr>
                    <w:jc w:val="center"/>
                    <w:outlineLvl w:val="1"/>
                    <w:rPr>
                      <w:rFonts w:hint="eastAsia" w:ascii="宋体" w:hAnsi="宋体"/>
                      <w:color w:val="auto"/>
                      <w:sz w:val="21"/>
                      <w:szCs w:val="21"/>
                      <w:shd w:val="clear" w:color="auto" w:fill="auto"/>
                      <w:vertAlign w:val="baseline"/>
                      <w:lang w:val="en-US" w:eastAsia="zh-CN"/>
                    </w:rPr>
                  </w:pPr>
                  <w:r>
                    <w:rPr>
                      <w:rFonts w:hint="eastAsia" w:ascii="Times New Roman" w:hAnsi="Times New Roman" w:cs="Times New Roman"/>
                      <w:color w:val="auto"/>
                      <w:szCs w:val="21"/>
                      <w:lang w:val="en-US" w:eastAsia="zh-CN"/>
                    </w:rPr>
                    <w:t>空压机</w:t>
                  </w:r>
                </w:p>
              </w:tc>
              <w:tc>
                <w:tcPr>
                  <w:tcW w:w="978" w:type="pct"/>
                  <w:tcBorders>
                    <w:tl2br w:val="nil"/>
                    <w:tr2bl w:val="nil"/>
                  </w:tcBorders>
                  <w:noWrap w:val="0"/>
                  <w:vAlign w:val="center"/>
                </w:tcPr>
                <w:p w14:paraId="150A92D9">
                  <w:pPr>
                    <w:jc w:val="center"/>
                    <w:rPr>
                      <w:rFonts w:hint="eastAsia" w:ascii="宋体" w:hAnsi="宋体"/>
                      <w:color w:val="auto"/>
                      <w:sz w:val="21"/>
                      <w:szCs w:val="21"/>
                      <w:shd w:val="clear" w:color="auto" w:fill="auto"/>
                      <w:vertAlign w:val="baseline"/>
                      <w:lang w:val="en-US" w:eastAsia="zh-CN"/>
                    </w:rPr>
                  </w:pPr>
                  <w:r>
                    <w:rPr>
                      <w:rFonts w:hint="eastAsia" w:cs="Times New Roman"/>
                      <w:color w:val="auto"/>
                      <w:sz w:val="21"/>
                      <w:szCs w:val="21"/>
                      <w:lang w:val="en-US" w:eastAsia="zh-CN"/>
                    </w:rPr>
                    <w:t>80</w:t>
                  </w:r>
                </w:p>
              </w:tc>
              <w:tc>
                <w:tcPr>
                  <w:tcW w:w="341" w:type="pct"/>
                  <w:tcBorders>
                    <w:tl2br w:val="nil"/>
                    <w:tr2bl w:val="nil"/>
                  </w:tcBorders>
                  <w:noWrap w:val="0"/>
                  <w:vAlign w:val="center"/>
                </w:tcPr>
                <w:p w14:paraId="7C62C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20</w:t>
                  </w:r>
                </w:p>
              </w:tc>
              <w:tc>
                <w:tcPr>
                  <w:tcW w:w="333" w:type="pct"/>
                  <w:tcBorders>
                    <w:tl2br w:val="nil"/>
                    <w:tr2bl w:val="nil"/>
                  </w:tcBorders>
                  <w:noWrap w:val="0"/>
                  <w:vAlign w:val="center"/>
                </w:tcPr>
                <w:p w14:paraId="080F66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24</w:t>
                  </w:r>
                </w:p>
              </w:tc>
              <w:tc>
                <w:tcPr>
                  <w:tcW w:w="359" w:type="pct"/>
                  <w:tcBorders>
                    <w:tl2br w:val="nil"/>
                    <w:tr2bl w:val="nil"/>
                  </w:tcBorders>
                  <w:noWrap w:val="0"/>
                  <w:vAlign w:val="center"/>
                </w:tcPr>
                <w:p w14:paraId="58D596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35</w:t>
                  </w:r>
                </w:p>
              </w:tc>
              <w:tc>
                <w:tcPr>
                  <w:tcW w:w="386" w:type="pct"/>
                  <w:tcBorders>
                    <w:tl2br w:val="nil"/>
                    <w:tr2bl w:val="nil"/>
                  </w:tcBorders>
                  <w:noWrap w:val="0"/>
                  <w:vAlign w:val="center"/>
                </w:tcPr>
                <w:p w14:paraId="13BCE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20</w:t>
                  </w:r>
                </w:p>
              </w:tc>
              <w:tc>
                <w:tcPr>
                  <w:tcW w:w="392" w:type="pct"/>
                  <w:tcBorders>
                    <w:tl2br w:val="nil"/>
                    <w:tr2bl w:val="nil"/>
                  </w:tcBorders>
                  <w:noWrap w:val="0"/>
                  <w:vAlign w:val="center"/>
                </w:tcPr>
                <w:p w14:paraId="02BCE2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43.00</w:t>
                  </w:r>
                </w:p>
              </w:tc>
              <w:tc>
                <w:tcPr>
                  <w:tcW w:w="400" w:type="pct"/>
                  <w:tcBorders>
                    <w:tl2br w:val="nil"/>
                    <w:tr2bl w:val="nil"/>
                  </w:tcBorders>
                  <w:noWrap w:val="0"/>
                  <w:vAlign w:val="center"/>
                </w:tcPr>
                <w:p w14:paraId="0BEB7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41.42</w:t>
                  </w:r>
                </w:p>
              </w:tc>
              <w:tc>
                <w:tcPr>
                  <w:tcW w:w="412" w:type="pct"/>
                  <w:tcBorders>
                    <w:tl2br w:val="nil"/>
                    <w:tr2bl w:val="nil"/>
                  </w:tcBorders>
                  <w:noWrap w:val="0"/>
                  <w:vAlign w:val="center"/>
                </w:tcPr>
                <w:p w14:paraId="262A7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38.14</w:t>
                  </w:r>
                </w:p>
              </w:tc>
              <w:tc>
                <w:tcPr>
                  <w:tcW w:w="387" w:type="pct"/>
                  <w:tcBorders>
                    <w:tl2br w:val="nil"/>
                    <w:tr2bl w:val="nil"/>
                  </w:tcBorders>
                  <w:noWrap w:val="0"/>
                  <w:vAlign w:val="center"/>
                </w:tcPr>
                <w:p w14:paraId="2881B8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43.00</w:t>
                  </w:r>
                </w:p>
              </w:tc>
            </w:tr>
            <w:tr w14:paraId="1344C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407" w:type="pct"/>
                  <w:gridSpan w:val="7"/>
                  <w:tcBorders>
                    <w:tl2br w:val="nil"/>
                    <w:tr2bl w:val="nil"/>
                  </w:tcBorders>
                  <w:noWrap w:val="0"/>
                  <w:vAlign w:val="center"/>
                </w:tcPr>
                <w:p w14:paraId="6D007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总贡献值</w:t>
                  </w:r>
                </w:p>
              </w:tc>
              <w:tc>
                <w:tcPr>
                  <w:tcW w:w="392" w:type="pct"/>
                  <w:tcBorders>
                    <w:tl2br w:val="nil"/>
                    <w:tr2bl w:val="nil"/>
                  </w:tcBorders>
                  <w:noWrap w:val="0"/>
                  <w:vAlign w:val="center"/>
                </w:tcPr>
                <w:p w14:paraId="13360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50.59</w:t>
                  </w:r>
                </w:p>
              </w:tc>
              <w:tc>
                <w:tcPr>
                  <w:tcW w:w="400" w:type="pct"/>
                  <w:tcBorders>
                    <w:tl2br w:val="nil"/>
                    <w:tr2bl w:val="nil"/>
                  </w:tcBorders>
                  <w:noWrap w:val="0"/>
                  <w:vAlign w:val="center"/>
                </w:tcPr>
                <w:p w14:paraId="5FE291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1"/>
                      <w:szCs w:val="21"/>
                      <w:shd w:val="clear" w:color="auto" w:fill="auto"/>
                      <w:vertAlign w:val="baseline"/>
                      <w:lang w:val="en-US" w:eastAsia="zh-CN"/>
                    </w:rPr>
                  </w:pPr>
                  <w:r>
                    <w:rPr>
                      <w:rFonts w:hint="eastAsia" w:ascii="宋体" w:hAnsi="宋体"/>
                      <w:color w:val="auto"/>
                      <w:sz w:val="21"/>
                      <w:szCs w:val="21"/>
                      <w:shd w:val="clear" w:color="auto" w:fill="auto"/>
                      <w:vertAlign w:val="baseline"/>
                      <w:lang w:val="en-US" w:eastAsia="zh-CN"/>
                    </w:rPr>
                    <w:t>44.34</w:t>
                  </w:r>
                </w:p>
              </w:tc>
              <w:tc>
                <w:tcPr>
                  <w:tcW w:w="412" w:type="pct"/>
                  <w:tcBorders>
                    <w:tl2br w:val="nil"/>
                    <w:tr2bl w:val="nil"/>
                  </w:tcBorders>
                  <w:noWrap w:val="0"/>
                  <w:vAlign w:val="center"/>
                </w:tcPr>
                <w:p w14:paraId="464BF5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default" w:ascii="宋体" w:hAnsi="宋体"/>
                      <w:color w:val="auto"/>
                      <w:sz w:val="21"/>
                      <w:szCs w:val="21"/>
                      <w:shd w:val="clear" w:color="auto" w:fill="auto"/>
                      <w:vertAlign w:val="baseline"/>
                      <w:lang w:val="en-US" w:eastAsia="zh-CN"/>
                    </w:rPr>
                    <w:t>41.33</w:t>
                  </w:r>
                </w:p>
              </w:tc>
              <w:tc>
                <w:tcPr>
                  <w:tcW w:w="387" w:type="pct"/>
                  <w:tcBorders>
                    <w:tl2br w:val="nil"/>
                    <w:tr2bl w:val="nil"/>
                  </w:tcBorders>
                  <w:noWrap w:val="0"/>
                  <w:vAlign w:val="center"/>
                </w:tcPr>
                <w:p w14:paraId="08808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1"/>
                      <w:szCs w:val="21"/>
                      <w:shd w:val="clear" w:color="auto" w:fill="auto"/>
                      <w:vertAlign w:val="baseline"/>
                      <w:lang w:val="en-US" w:eastAsia="zh-CN"/>
                    </w:rPr>
                  </w:pPr>
                  <w:r>
                    <w:rPr>
                      <w:rFonts w:hint="default" w:ascii="宋体" w:hAnsi="宋体"/>
                      <w:color w:val="auto"/>
                      <w:sz w:val="21"/>
                      <w:szCs w:val="21"/>
                      <w:shd w:val="clear" w:color="auto" w:fill="auto"/>
                      <w:vertAlign w:val="baseline"/>
                      <w:lang w:val="en-US" w:eastAsia="zh-CN"/>
                    </w:rPr>
                    <w:t>49.99</w:t>
                  </w:r>
                </w:p>
              </w:tc>
            </w:tr>
          </w:tbl>
          <w:p w14:paraId="4300472D">
            <w:pPr>
              <w:pStyle w:val="45"/>
              <w:rPr>
                <w:rFonts w:hint="eastAsia" w:ascii="宋体" w:hAnsi="宋体" w:eastAsia="宋体" w:cs="宋体"/>
                <w:color w:val="FF0000"/>
                <w:lang w:val="en-US" w:eastAsia="zh-CN"/>
              </w:rPr>
            </w:pPr>
            <w:r>
              <w:rPr>
                <w:rFonts w:hint="eastAsia" w:ascii="宋体" w:hAnsi="宋体" w:eastAsia="宋体" w:cs="宋体"/>
                <w:color w:val="auto"/>
                <w:lang w:val="en-US" w:eastAsia="zh-CN"/>
              </w:rPr>
              <w:t>由上表可知，项目运行后，主要噪声设备对场界噪声贡献值范围在16.98-49.02dB(A)。场界满足《工业企业厂界环境噪声排放标准》（GB12348-2008）中的2类标准限值要求。项目产噪设备经有效治理后对外环境影响范围较小。</w:t>
            </w:r>
          </w:p>
          <w:p w14:paraId="5F8CDAD8">
            <w:pPr>
              <w:pStyle w:val="45"/>
              <w:rPr>
                <w:rFonts w:hint="default" w:ascii="宋体" w:hAnsi="宋体" w:eastAsia="宋体" w:cs="宋体"/>
                <w:color w:val="auto"/>
                <w:lang w:val="en-US" w:eastAsia="zh-CN"/>
              </w:rPr>
            </w:pPr>
            <w:r>
              <w:rPr>
                <w:rFonts w:hint="eastAsia" w:ascii="宋体" w:hAnsi="宋体" w:eastAsia="宋体" w:cs="宋体"/>
                <w:color w:val="auto"/>
                <w:lang w:val="en-US" w:eastAsia="zh-CN"/>
              </w:rPr>
              <w:t>②敏感点噪声预测</w:t>
            </w:r>
          </w:p>
          <w:p w14:paraId="27E7DBD0">
            <w:pPr>
              <w:jc w:val="center"/>
              <w:rPr>
                <w:rFonts w:hint="eastAsia" w:ascii="宋体" w:hAnsi="宋体" w:eastAsia="宋体" w:cs="宋体"/>
                <w:b/>
                <w:bCs w:val="0"/>
                <w:color w:val="auto"/>
                <w:kern w:val="2"/>
                <w:sz w:val="21"/>
                <w:szCs w:val="21"/>
                <w:lang w:val="en-US" w:eastAsia="zh-CN" w:bidi="ar-SA"/>
              </w:rPr>
            </w:pPr>
            <w:r>
              <w:rPr>
                <w:rFonts w:hint="eastAsia" w:ascii="宋体" w:hAnsi="宋体" w:eastAsia="宋体" w:cs="宋体"/>
                <w:b/>
                <w:bCs w:val="0"/>
                <w:color w:val="auto"/>
                <w:kern w:val="2"/>
                <w:sz w:val="21"/>
                <w:szCs w:val="21"/>
                <w:lang w:val="en-US" w:eastAsia="zh-CN" w:bidi="ar-SA"/>
              </w:rPr>
              <w:t>表7-</w:t>
            </w:r>
            <w:r>
              <w:rPr>
                <w:rFonts w:hint="eastAsia" w:ascii="宋体" w:hAnsi="宋体" w:cs="宋体"/>
                <w:b/>
                <w:bCs w:val="0"/>
                <w:color w:val="auto"/>
                <w:kern w:val="2"/>
                <w:sz w:val="21"/>
                <w:szCs w:val="21"/>
                <w:lang w:val="en-US" w:eastAsia="zh-CN" w:bidi="ar-SA"/>
              </w:rPr>
              <w:t>20</w:t>
            </w:r>
            <w:r>
              <w:rPr>
                <w:rFonts w:hint="eastAsia" w:ascii="宋体" w:hAnsi="宋体" w:eastAsia="宋体" w:cs="宋体"/>
                <w:b/>
                <w:bCs w:val="0"/>
                <w:color w:val="auto"/>
                <w:kern w:val="2"/>
                <w:sz w:val="21"/>
                <w:szCs w:val="21"/>
                <w:lang w:val="en-US" w:eastAsia="zh-CN" w:bidi="ar-SA"/>
              </w:rPr>
              <w:t xml:space="preserve">  营运期生产设备敏感点噪声预测结果 单位：dB（A）</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052"/>
              <w:gridCol w:w="1359"/>
              <w:gridCol w:w="1292"/>
              <w:gridCol w:w="1154"/>
              <w:gridCol w:w="1082"/>
              <w:gridCol w:w="1082"/>
              <w:gridCol w:w="1082"/>
              <w:gridCol w:w="1084"/>
            </w:tblGrid>
            <w:tr w14:paraId="2EEE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90" w:type="pct"/>
                  <w:noWrap w:val="0"/>
                  <w:vAlign w:val="center"/>
                </w:tcPr>
                <w:p w14:paraId="1657B7B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噪声源</w:t>
                  </w:r>
                </w:p>
              </w:tc>
              <w:tc>
                <w:tcPr>
                  <w:tcW w:w="516" w:type="pct"/>
                  <w:noWrap w:val="0"/>
                  <w:vAlign w:val="center"/>
                </w:tcPr>
                <w:p w14:paraId="5F6D58B2">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声源叠加</w:t>
                  </w:r>
                  <w:r>
                    <w:rPr>
                      <w:rFonts w:hint="eastAsia" w:ascii="宋体" w:hAnsi="宋体" w:eastAsia="宋体" w:cs="宋体"/>
                      <w:b w:val="0"/>
                      <w:bCs/>
                      <w:color w:val="auto"/>
                      <w:sz w:val="18"/>
                      <w:szCs w:val="18"/>
                      <w:vertAlign w:val="baseline"/>
                      <w:lang w:val="en-US" w:eastAsia="zh-CN"/>
                    </w:rPr>
                    <w:t>处理</w:t>
                  </w:r>
                  <w:r>
                    <w:rPr>
                      <w:rFonts w:hint="eastAsia" w:ascii="宋体" w:hAnsi="宋体" w:eastAsia="宋体" w:cs="宋体"/>
                      <w:b w:val="0"/>
                      <w:bCs/>
                      <w:color w:val="auto"/>
                      <w:sz w:val="18"/>
                      <w:szCs w:val="18"/>
                      <w:vertAlign w:val="baseline"/>
                    </w:rPr>
                    <w:t>后声级</w:t>
                  </w:r>
                </w:p>
              </w:tc>
              <w:tc>
                <w:tcPr>
                  <w:tcW w:w="667" w:type="pct"/>
                  <w:noWrap w:val="0"/>
                  <w:vAlign w:val="center"/>
                </w:tcPr>
                <w:p w14:paraId="78ED8D01">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统计量</w:t>
                  </w:r>
                </w:p>
              </w:tc>
              <w:tc>
                <w:tcPr>
                  <w:tcW w:w="634" w:type="pct"/>
                  <w:noWrap w:val="0"/>
                  <w:vAlign w:val="center"/>
                </w:tcPr>
                <w:p w14:paraId="5DDB7C3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厂界南侧16m农户处</w:t>
                  </w:r>
                </w:p>
              </w:tc>
              <w:tc>
                <w:tcPr>
                  <w:tcW w:w="566" w:type="pct"/>
                  <w:noWrap w:val="0"/>
                  <w:vAlign w:val="center"/>
                </w:tcPr>
                <w:p w14:paraId="1B2E6F6F">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厂界西北侧150m农户处</w:t>
                  </w:r>
                </w:p>
              </w:tc>
              <w:tc>
                <w:tcPr>
                  <w:tcW w:w="531" w:type="pct"/>
                  <w:noWrap w:val="0"/>
                  <w:vAlign w:val="center"/>
                </w:tcPr>
                <w:p w14:paraId="7307ECF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厂界北侧100m农户处</w:t>
                  </w:r>
                </w:p>
              </w:tc>
              <w:tc>
                <w:tcPr>
                  <w:tcW w:w="531" w:type="pct"/>
                  <w:noWrap w:val="0"/>
                  <w:vAlign w:val="center"/>
                </w:tcPr>
                <w:p w14:paraId="57DC39B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厂界西南侧20m农户处</w:t>
                  </w:r>
                </w:p>
              </w:tc>
              <w:tc>
                <w:tcPr>
                  <w:tcW w:w="531" w:type="pct"/>
                  <w:noWrap w:val="0"/>
                  <w:vAlign w:val="center"/>
                </w:tcPr>
                <w:p w14:paraId="5111907F">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厂界东南侧160m农户处</w:t>
                  </w:r>
                </w:p>
              </w:tc>
              <w:tc>
                <w:tcPr>
                  <w:tcW w:w="532" w:type="pct"/>
                  <w:noWrap w:val="0"/>
                  <w:vAlign w:val="center"/>
                </w:tcPr>
                <w:p w14:paraId="51CC5CF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厂界东南侧145m农户处</w:t>
                  </w:r>
                </w:p>
              </w:tc>
            </w:tr>
            <w:tr w14:paraId="7CD4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2916D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搅拌机</w:t>
                  </w:r>
                </w:p>
              </w:tc>
              <w:tc>
                <w:tcPr>
                  <w:tcW w:w="1052" w:type="dxa"/>
                  <w:vMerge w:val="restart"/>
                  <w:noWrap w:val="0"/>
                  <w:vAlign w:val="center"/>
                </w:tcPr>
                <w:p w14:paraId="77A2F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default" w:ascii="宋体" w:hAnsi="宋体" w:eastAsia="宋体" w:cs="宋体"/>
                      <w:color w:val="auto"/>
                      <w:sz w:val="18"/>
                      <w:szCs w:val="18"/>
                      <w:shd w:val="clear" w:color="auto" w:fill="auto"/>
                      <w:vertAlign w:val="baseline"/>
                      <w:lang w:val="en-US" w:eastAsia="zh-CN"/>
                    </w:rPr>
                    <w:t>60</w:t>
                  </w:r>
                </w:p>
              </w:tc>
              <w:tc>
                <w:tcPr>
                  <w:tcW w:w="667" w:type="pct"/>
                  <w:noWrap w:val="0"/>
                  <w:vAlign w:val="center"/>
                </w:tcPr>
                <w:p w14:paraId="40EF5B8B">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距离(m)</w:t>
                  </w:r>
                </w:p>
              </w:tc>
              <w:tc>
                <w:tcPr>
                  <w:tcW w:w="1292" w:type="dxa"/>
                  <w:noWrap w:val="0"/>
                  <w:vAlign w:val="center"/>
                </w:tcPr>
                <w:p w14:paraId="2CC8386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56</w:t>
                  </w:r>
                </w:p>
              </w:tc>
              <w:tc>
                <w:tcPr>
                  <w:tcW w:w="1154" w:type="dxa"/>
                  <w:noWrap w:val="0"/>
                  <w:vAlign w:val="center"/>
                </w:tcPr>
                <w:p w14:paraId="0F4606E9">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175</w:t>
                  </w:r>
                </w:p>
              </w:tc>
              <w:tc>
                <w:tcPr>
                  <w:tcW w:w="1082" w:type="dxa"/>
                  <w:noWrap w:val="0"/>
                  <w:vAlign w:val="center"/>
                </w:tcPr>
                <w:p w14:paraId="6F0984B0">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108</w:t>
                  </w:r>
                </w:p>
              </w:tc>
              <w:tc>
                <w:tcPr>
                  <w:tcW w:w="1082" w:type="dxa"/>
                  <w:noWrap w:val="0"/>
                  <w:vAlign w:val="center"/>
                </w:tcPr>
                <w:p w14:paraId="5B99389E">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67</w:t>
                  </w:r>
                </w:p>
              </w:tc>
              <w:tc>
                <w:tcPr>
                  <w:tcW w:w="1082" w:type="dxa"/>
                  <w:noWrap w:val="0"/>
                  <w:vAlign w:val="center"/>
                </w:tcPr>
                <w:p w14:paraId="4F21FDE0">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195</w:t>
                  </w:r>
                </w:p>
              </w:tc>
              <w:tc>
                <w:tcPr>
                  <w:tcW w:w="1084" w:type="dxa"/>
                  <w:noWrap w:val="0"/>
                  <w:vAlign w:val="center"/>
                </w:tcPr>
                <w:p w14:paraId="5D92D864">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190</w:t>
                  </w:r>
                </w:p>
              </w:tc>
            </w:tr>
            <w:tr w14:paraId="788F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4BCB6C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516" w:type="pct"/>
                  <w:vMerge w:val="continue"/>
                  <w:noWrap w:val="0"/>
                  <w:vAlign w:val="center"/>
                </w:tcPr>
                <w:p w14:paraId="6D830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667" w:type="pct"/>
                  <w:noWrap w:val="0"/>
                  <w:vAlign w:val="center"/>
                </w:tcPr>
                <w:p w14:paraId="4387E1E1">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12A936AD">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14.06</w:t>
                  </w:r>
                </w:p>
              </w:tc>
              <w:tc>
                <w:tcPr>
                  <w:tcW w:w="566" w:type="pct"/>
                  <w:noWrap w:val="0"/>
                  <w:vAlign w:val="center"/>
                </w:tcPr>
                <w:p w14:paraId="572FDA5B">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4.16</w:t>
                  </w:r>
                </w:p>
              </w:tc>
              <w:tc>
                <w:tcPr>
                  <w:tcW w:w="531" w:type="pct"/>
                  <w:noWrap w:val="0"/>
                  <w:vAlign w:val="center"/>
                </w:tcPr>
                <w:p w14:paraId="184BCE39">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8.35</w:t>
                  </w:r>
                </w:p>
              </w:tc>
              <w:tc>
                <w:tcPr>
                  <w:tcW w:w="531" w:type="pct"/>
                  <w:noWrap w:val="0"/>
                  <w:vAlign w:val="center"/>
                </w:tcPr>
                <w:p w14:paraId="0783FC63">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12.50</w:t>
                  </w:r>
                </w:p>
              </w:tc>
              <w:tc>
                <w:tcPr>
                  <w:tcW w:w="531" w:type="pct"/>
                  <w:noWrap w:val="0"/>
                  <w:vAlign w:val="center"/>
                </w:tcPr>
                <w:p w14:paraId="1F7F97B8">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3.22</w:t>
                  </w:r>
                </w:p>
              </w:tc>
              <w:tc>
                <w:tcPr>
                  <w:tcW w:w="532" w:type="pct"/>
                  <w:noWrap w:val="0"/>
                  <w:vAlign w:val="center"/>
                </w:tcPr>
                <w:p w14:paraId="1FA06043">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3.45</w:t>
                  </w:r>
                </w:p>
              </w:tc>
            </w:tr>
            <w:tr w14:paraId="0F77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6F4E7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钢筋调直切割机</w:t>
                  </w:r>
                </w:p>
              </w:tc>
              <w:tc>
                <w:tcPr>
                  <w:tcW w:w="1052" w:type="dxa"/>
                  <w:vMerge w:val="restart"/>
                  <w:noWrap w:val="0"/>
                  <w:vAlign w:val="center"/>
                </w:tcPr>
                <w:p w14:paraId="4B908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80</w:t>
                  </w:r>
                </w:p>
              </w:tc>
              <w:tc>
                <w:tcPr>
                  <w:tcW w:w="667" w:type="pct"/>
                  <w:noWrap w:val="0"/>
                  <w:vAlign w:val="center"/>
                </w:tcPr>
                <w:p w14:paraId="2E8DBCBA">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距离(m)</w:t>
                  </w:r>
                </w:p>
              </w:tc>
              <w:tc>
                <w:tcPr>
                  <w:tcW w:w="634" w:type="pct"/>
                  <w:noWrap w:val="0"/>
                  <w:vAlign w:val="center"/>
                </w:tcPr>
                <w:p w14:paraId="43CEB9A2">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44</w:t>
                  </w:r>
                </w:p>
              </w:tc>
              <w:tc>
                <w:tcPr>
                  <w:tcW w:w="566" w:type="pct"/>
                  <w:noWrap w:val="0"/>
                  <w:vAlign w:val="center"/>
                </w:tcPr>
                <w:p w14:paraId="1E64021B">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195</w:t>
                  </w:r>
                </w:p>
              </w:tc>
              <w:tc>
                <w:tcPr>
                  <w:tcW w:w="531" w:type="pct"/>
                  <w:noWrap w:val="0"/>
                  <w:vAlign w:val="center"/>
                </w:tcPr>
                <w:p w14:paraId="13725758">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115</w:t>
                  </w:r>
                </w:p>
              </w:tc>
              <w:tc>
                <w:tcPr>
                  <w:tcW w:w="531" w:type="pct"/>
                  <w:noWrap w:val="0"/>
                  <w:vAlign w:val="center"/>
                </w:tcPr>
                <w:p w14:paraId="3346592A">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70</w:t>
                  </w:r>
                </w:p>
              </w:tc>
              <w:tc>
                <w:tcPr>
                  <w:tcW w:w="531" w:type="pct"/>
                  <w:noWrap w:val="0"/>
                  <w:vAlign w:val="center"/>
                </w:tcPr>
                <w:p w14:paraId="27EF08B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c>
                <w:tcPr>
                  <w:tcW w:w="532" w:type="pct"/>
                  <w:noWrap w:val="0"/>
                  <w:vAlign w:val="center"/>
                </w:tcPr>
                <w:p w14:paraId="317C457F">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r>
            <w:tr w14:paraId="5ACA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19854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516" w:type="pct"/>
                  <w:vMerge w:val="continue"/>
                  <w:noWrap w:val="0"/>
                  <w:vAlign w:val="center"/>
                </w:tcPr>
                <w:p w14:paraId="092A2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667" w:type="pct"/>
                  <w:noWrap w:val="0"/>
                  <w:vAlign w:val="center"/>
                </w:tcPr>
                <w:p w14:paraId="30F9A79C">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0B73D5E0">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36.15</w:t>
                  </w:r>
                </w:p>
              </w:tc>
              <w:tc>
                <w:tcPr>
                  <w:tcW w:w="566" w:type="pct"/>
                  <w:noWrap w:val="0"/>
                  <w:vAlign w:val="center"/>
                </w:tcPr>
                <w:p w14:paraId="6DB13EEA">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23.22</w:t>
                  </w:r>
                </w:p>
              </w:tc>
              <w:tc>
                <w:tcPr>
                  <w:tcW w:w="531" w:type="pct"/>
                  <w:noWrap w:val="0"/>
                  <w:vAlign w:val="center"/>
                </w:tcPr>
                <w:p w14:paraId="1A5B54B7">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27.81</w:t>
                  </w:r>
                </w:p>
              </w:tc>
              <w:tc>
                <w:tcPr>
                  <w:tcW w:w="531" w:type="pct"/>
                  <w:noWrap w:val="0"/>
                  <w:vAlign w:val="center"/>
                </w:tcPr>
                <w:p w14:paraId="264B7A40">
                  <w:pPr>
                    <w:spacing w:line="240" w:lineRule="auto"/>
                    <w:jc w:val="center"/>
                    <w:rPr>
                      <w:rFonts w:hint="eastAsia" w:ascii="宋体" w:hAnsi="宋体" w:eastAsia="宋体" w:cs="宋体"/>
                      <w:b/>
                      <w:bCs w:val="0"/>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32.12</w:t>
                  </w:r>
                </w:p>
              </w:tc>
              <w:tc>
                <w:tcPr>
                  <w:tcW w:w="531" w:type="pct"/>
                  <w:noWrap w:val="0"/>
                  <w:vAlign w:val="center"/>
                </w:tcPr>
                <w:p w14:paraId="78575E05">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24.41</w:t>
                  </w:r>
                </w:p>
              </w:tc>
              <w:tc>
                <w:tcPr>
                  <w:tcW w:w="532" w:type="pct"/>
                  <w:noWrap w:val="0"/>
                  <w:vAlign w:val="center"/>
                </w:tcPr>
                <w:p w14:paraId="67E696C9">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24.41</w:t>
                  </w:r>
                </w:p>
              </w:tc>
            </w:tr>
            <w:tr w14:paraId="6A93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0C577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焊机</w:t>
                  </w:r>
                </w:p>
              </w:tc>
              <w:tc>
                <w:tcPr>
                  <w:tcW w:w="1052" w:type="dxa"/>
                  <w:vMerge w:val="restart"/>
                  <w:noWrap w:val="0"/>
                  <w:vAlign w:val="center"/>
                </w:tcPr>
                <w:p w14:paraId="7F2DC5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65</w:t>
                  </w:r>
                </w:p>
              </w:tc>
              <w:tc>
                <w:tcPr>
                  <w:tcW w:w="667" w:type="pct"/>
                  <w:noWrap w:val="0"/>
                  <w:vAlign w:val="center"/>
                </w:tcPr>
                <w:p w14:paraId="20056CFD">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距离(m)</w:t>
                  </w:r>
                </w:p>
              </w:tc>
              <w:tc>
                <w:tcPr>
                  <w:tcW w:w="634" w:type="pct"/>
                  <w:noWrap w:val="0"/>
                  <w:vAlign w:val="center"/>
                </w:tcPr>
                <w:p w14:paraId="1609C88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44</w:t>
                  </w:r>
                </w:p>
              </w:tc>
              <w:tc>
                <w:tcPr>
                  <w:tcW w:w="566" w:type="pct"/>
                  <w:noWrap w:val="0"/>
                  <w:vAlign w:val="center"/>
                </w:tcPr>
                <w:p w14:paraId="10AA9535">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200</w:t>
                  </w:r>
                </w:p>
              </w:tc>
              <w:tc>
                <w:tcPr>
                  <w:tcW w:w="531" w:type="pct"/>
                  <w:noWrap w:val="0"/>
                  <w:vAlign w:val="center"/>
                </w:tcPr>
                <w:p w14:paraId="04B920C3">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117</w:t>
                  </w:r>
                </w:p>
              </w:tc>
              <w:tc>
                <w:tcPr>
                  <w:tcW w:w="531" w:type="pct"/>
                  <w:noWrap w:val="0"/>
                  <w:vAlign w:val="center"/>
                </w:tcPr>
                <w:p w14:paraId="7622FD55">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72</w:t>
                  </w:r>
                </w:p>
              </w:tc>
              <w:tc>
                <w:tcPr>
                  <w:tcW w:w="531" w:type="pct"/>
                  <w:noWrap w:val="0"/>
                  <w:vAlign w:val="center"/>
                </w:tcPr>
                <w:p w14:paraId="4BCA3AFD">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160</w:t>
                  </w:r>
                </w:p>
              </w:tc>
              <w:tc>
                <w:tcPr>
                  <w:tcW w:w="532" w:type="pct"/>
                  <w:noWrap w:val="0"/>
                  <w:vAlign w:val="center"/>
                </w:tcPr>
                <w:p w14:paraId="6986549E">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165</w:t>
                  </w:r>
                </w:p>
              </w:tc>
            </w:tr>
            <w:tr w14:paraId="00B7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2B645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516" w:type="pct"/>
                  <w:vMerge w:val="continue"/>
                  <w:noWrap w:val="0"/>
                  <w:vAlign w:val="center"/>
                </w:tcPr>
                <w:p w14:paraId="1FE2E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667" w:type="pct"/>
                  <w:noWrap w:val="0"/>
                  <w:vAlign w:val="center"/>
                </w:tcPr>
                <w:p w14:paraId="4CE7D287">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77A76476">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21.15</w:t>
                  </w:r>
                </w:p>
              </w:tc>
              <w:tc>
                <w:tcPr>
                  <w:tcW w:w="566" w:type="pct"/>
                  <w:noWrap w:val="0"/>
                  <w:vAlign w:val="center"/>
                </w:tcPr>
                <w:p w14:paraId="415D42E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8.00</w:t>
                  </w:r>
                </w:p>
              </w:tc>
              <w:tc>
                <w:tcPr>
                  <w:tcW w:w="531" w:type="pct"/>
                  <w:noWrap w:val="0"/>
                  <w:vAlign w:val="center"/>
                </w:tcPr>
                <w:p w14:paraId="40E0865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12.66</w:t>
                  </w:r>
                </w:p>
              </w:tc>
              <w:tc>
                <w:tcPr>
                  <w:tcW w:w="531" w:type="pct"/>
                  <w:noWrap w:val="0"/>
                  <w:vAlign w:val="center"/>
                </w:tcPr>
                <w:p w14:paraId="1A111C71">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16.87</w:t>
                  </w:r>
                </w:p>
              </w:tc>
              <w:tc>
                <w:tcPr>
                  <w:tcW w:w="531" w:type="pct"/>
                  <w:noWrap w:val="0"/>
                  <w:vAlign w:val="center"/>
                </w:tcPr>
                <w:p w14:paraId="40758B5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9.94</w:t>
                  </w:r>
                </w:p>
              </w:tc>
              <w:tc>
                <w:tcPr>
                  <w:tcW w:w="532" w:type="pct"/>
                  <w:noWrap w:val="0"/>
                  <w:vAlign w:val="center"/>
                </w:tcPr>
                <w:p w14:paraId="1A36EB5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9.67</w:t>
                  </w:r>
                </w:p>
              </w:tc>
            </w:tr>
            <w:tr w14:paraId="55D4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24F4E2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水泥制品生产线</w:t>
                  </w:r>
                </w:p>
              </w:tc>
              <w:tc>
                <w:tcPr>
                  <w:tcW w:w="1052" w:type="dxa"/>
                  <w:vMerge w:val="restart"/>
                  <w:noWrap w:val="0"/>
                  <w:vAlign w:val="center"/>
                </w:tcPr>
                <w:p w14:paraId="6B7CF3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default" w:ascii="宋体" w:hAnsi="宋体" w:eastAsia="宋体" w:cs="宋体"/>
                      <w:color w:val="auto"/>
                      <w:sz w:val="18"/>
                      <w:szCs w:val="18"/>
                      <w:shd w:val="clear" w:color="auto" w:fill="auto"/>
                      <w:vertAlign w:val="baseline"/>
                      <w:lang w:val="en-US" w:eastAsia="zh-CN"/>
                    </w:rPr>
                    <w:t>75</w:t>
                  </w:r>
                </w:p>
              </w:tc>
              <w:tc>
                <w:tcPr>
                  <w:tcW w:w="667" w:type="pct"/>
                  <w:noWrap w:val="0"/>
                  <w:vAlign w:val="center"/>
                </w:tcPr>
                <w:p w14:paraId="2CBA5979">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距离(m)</w:t>
                  </w:r>
                </w:p>
              </w:tc>
              <w:tc>
                <w:tcPr>
                  <w:tcW w:w="634" w:type="pct"/>
                  <w:noWrap w:val="0"/>
                  <w:vAlign w:val="center"/>
                </w:tcPr>
                <w:p w14:paraId="2F60E0DE">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53</w:t>
                  </w:r>
                </w:p>
              </w:tc>
              <w:tc>
                <w:tcPr>
                  <w:tcW w:w="566" w:type="pct"/>
                  <w:noWrap w:val="0"/>
                  <w:vAlign w:val="center"/>
                </w:tcPr>
                <w:p w14:paraId="606FCC2F">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190</w:t>
                  </w:r>
                </w:p>
              </w:tc>
              <w:tc>
                <w:tcPr>
                  <w:tcW w:w="531" w:type="pct"/>
                  <w:noWrap w:val="0"/>
                  <w:vAlign w:val="center"/>
                </w:tcPr>
                <w:p w14:paraId="717D758D">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105</w:t>
                  </w:r>
                </w:p>
              </w:tc>
              <w:tc>
                <w:tcPr>
                  <w:tcW w:w="531" w:type="pct"/>
                  <w:noWrap w:val="0"/>
                  <w:vAlign w:val="center"/>
                </w:tcPr>
                <w:p w14:paraId="7704BB6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73</w:t>
                  </w:r>
                </w:p>
              </w:tc>
              <w:tc>
                <w:tcPr>
                  <w:tcW w:w="531" w:type="pct"/>
                  <w:noWrap w:val="0"/>
                  <w:vAlign w:val="center"/>
                </w:tcPr>
                <w:p w14:paraId="36649984">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175</w:t>
                  </w:r>
                </w:p>
              </w:tc>
              <w:tc>
                <w:tcPr>
                  <w:tcW w:w="532" w:type="pct"/>
                  <w:noWrap w:val="0"/>
                  <w:vAlign w:val="center"/>
                </w:tcPr>
                <w:p w14:paraId="1BCF3A6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180</w:t>
                  </w:r>
                </w:p>
              </w:tc>
            </w:tr>
            <w:tr w14:paraId="73D7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71AAC1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516" w:type="pct"/>
                  <w:vMerge w:val="continue"/>
                  <w:noWrap w:val="0"/>
                  <w:vAlign w:val="center"/>
                </w:tcPr>
                <w:p w14:paraId="437D4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667" w:type="pct"/>
                  <w:noWrap w:val="0"/>
                  <w:vAlign w:val="center"/>
                </w:tcPr>
                <w:p w14:paraId="08466520">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22C05B5B">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29.54</w:t>
                  </w:r>
                </w:p>
              </w:tc>
              <w:tc>
                <w:tcPr>
                  <w:tcW w:w="566" w:type="pct"/>
                  <w:noWrap w:val="0"/>
                  <w:vAlign w:val="center"/>
                </w:tcPr>
                <w:p w14:paraId="7F04E5C0">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18.45</w:t>
                  </w:r>
                </w:p>
              </w:tc>
              <w:tc>
                <w:tcPr>
                  <w:tcW w:w="531" w:type="pct"/>
                  <w:noWrap w:val="0"/>
                  <w:vAlign w:val="center"/>
                </w:tcPr>
                <w:p w14:paraId="5F8384CA">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23.60</w:t>
                  </w:r>
                </w:p>
              </w:tc>
              <w:tc>
                <w:tcPr>
                  <w:tcW w:w="531" w:type="pct"/>
                  <w:noWrap w:val="0"/>
                  <w:vAlign w:val="center"/>
                </w:tcPr>
                <w:p w14:paraId="0CC0B96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26.75</w:t>
                  </w:r>
                </w:p>
              </w:tc>
              <w:tc>
                <w:tcPr>
                  <w:tcW w:w="531" w:type="pct"/>
                  <w:noWrap w:val="0"/>
                  <w:vAlign w:val="center"/>
                </w:tcPr>
                <w:p w14:paraId="7D234D36">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19.16</w:t>
                  </w:r>
                </w:p>
              </w:tc>
              <w:tc>
                <w:tcPr>
                  <w:tcW w:w="532" w:type="pct"/>
                  <w:noWrap w:val="0"/>
                  <w:vAlign w:val="center"/>
                </w:tcPr>
                <w:p w14:paraId="6531FA81">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18.92</w:t>
                  </w:r>
                </w:p>
              </w:tc>
            </w:tr>
            <w:tr w14:paraId="46B5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701CE8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剪板机</w:t>
                  </w:r>
                </w:p>
              </w:tc>
              <w:tc>
                <w:tcPr>
                  <w:tcW w:w="1052" w:type="dxa"/>
                  <w:vMerge w:val="restart"/>
                  <w:noWrap w:val="0"/>
                  <w:vAlign w:val="center"/>
                </w:tcPr>
                <w:p w14:paraId="335075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65</w:t>
                  </w:r>
                </w:p>
              </w:tc>
              <w:tc>
                <w:tcPr>
                  <w:tcW w:w="667" w:type="pct"/>
                  <w:noWrap w:val="0"/>
                  <w:vAlign w:val="center"/>
                </w:tcPr>
                <w:p w14:paraId="2CFFC171">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距离(m)</w:t>
                  </w:r>
                </w:p>
              </w:tc>
              <w:tc>
                <w:tcPr>
                  <w:tcW w:w="1292" w:type="dxa"/>
                  <w:noWrap w:val="0"/>
                  <w:vAlign w:val="center"/>
                </w:tcPr>
                <w:p w14:paraId="7EADD17C">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44</w:t>
                  </w:r>
                </w:p>
              </w:tc>
              <w:tc>
                <w:tcPr>
                  <w:tcW w:w="1154" w:type="dxa"/>
                  <w:noWrap w:val="0"/>
                  <w:vAlign w:val="center"/>
                </w:tcPr>
                <w:p w14:paraId="1D4400F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195</w:t>
                  </w:r>
                </w:p>
              </w:tc>
              <w:tc>
                <w:tcPr>
                  <w:tcW w:w="1082" w:type="dxa"/>
                  <w:noWrap w:val="0"/>
                  <w:vAlign w:val="center"/>
                </w:tcPr>
                <w:p w14:paraId="371480D4">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115</w:t>
                  </w:r>
                </w:p>
              </w:tc>
              <w:tc>
                <w:tcPr>
                  <w:tcW w:w="1082" w:type="dxa"/>
                  <w:noWrap w:val="0"/>
                  <w:vAlign w:val="center"/>
                </w:tcPr>
                <w:p w14:paraId="622C299F">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70</w:t>
                  </w:r>
                </w:p>
              </w:tc>
              <w:tc>
                <w:tcPr>
                  <w:tcW w:w="1082" w:type="dxa"/>
                  <w:noWrap w:val="0"/>
                  <w:vAlign w:val="center"/>
                </w:tcPr>
                <w:p w14:paraId="52A85FDA">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c>
                <w:tcPr>
                  <w:tcW w:w="1084" w:type="dxa"/>
                  <w:noWrap w:val="0"/>
                  <w:vAlign w:val="center"/>
                </w:tcPr>
                <w:p w14:paraId="46487C53">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r>
            <w:tr w14:paraId="17DE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7AB585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516" w:type="pct"/>
                  <w:vMerge w:val="continue"/>
                  <w:noWrap w:val="0"/>
                  <w:vAlign w:val="center"/>
                </w:tcPr>
                <w:p w14:paraId="1A0E92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667" w:type="pct"/>
                  <w:noWrap w:val="0"/>
                  <w:vAlign w:val="center"/>
                </w:tcPr>
                <w:p w14:paraId="161E0B08">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74F6B085">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21.15</w:t>
                  </w:r>
                </w:p>
              </w:tc>
              <w:tc>
                <w:tcPr>
                  <w:tcW w:w="566" w:type="pct"/>
                  <w:noWrap w:val="0"/>
                  <w:vAlign w:val="center"/>
                </w:tcPr>
                <w:p w14:paraId="389796C3">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8.22</w:t>
                  </w:r>
                </w:p>
              </w:tc>
              <w:tc>
                <w:tcPr>
                  <w:tcW w:w="531" w:type="pct"/>
                  <w:noWrap w:val="0"/>
                  <w:vAlign w:val="center"/>
                </w:tcPr>
                <w:p w14:paraId="7905987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12.81</w:t>
                  </w:r>
                </w:p>
              </w:tc>
              <w:tc>
                <w:tcPr>
                  <w:tcW w:w="531" w:type="pct"/>
                  <w:noWrap w:val="0"/>
                  <w:vAlign w:val="center"/>
                </w:tcPr>
                <w:p w14:paraId="78757ED0">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17.12</w:t>
                  </w:r>
                </w:p>
              </w:tc>
              <w:tc>
                <w:tcPr>
                  <w:tcW w:w="531" w:type="pct"/>
                  <w:noWrap w:val="0"/>
                  <w:vAlign w:val="center"/>
                </w:tcPr>
                <w:p w14:paraId="6976A89F">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9.41</w:t>
                  </w:r>
                </w:p>
              </w:tc>
              <w:tc>
                <w:tcPr>
                  <w:tcW w:w="532" w:type="pct"/>
                  <w:noWrap w:val="0"/>
                  <w:vAlign w:val="center"/>
                </w:tcPr>
                <w:p w14:paraId="0D69CCE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9.41</w:t>
                  </w:r>
                </w:p>
              </w:tc>
            </w:tr>
            <w:tr w14:paraId="6E0F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5C845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折弯机</w:t>
                  </w:r>
                </w:p>
              </w:tc>
              <w:tc>
                <w:tcPr>
                  <w:tcW w:w="1052" w:type="dxa"/>
                  <w:vMerge w:val="restart"/>
                  <w:noWrap w:val="0"/>
                  <w:vAlign w:val="center"/>
                </w:tcPr>
                <w:p w14:paraId="2381C6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default" w:ascii="宋体" w:hAnsi="宋体" w:eastAsia="宋体" w:cs="宋体"/>
                      <w:color w:val="auto"/>
                      <w:sz w:val="18"/>
                      <w:szCs w:val="18"/>
                      <w:shd w:val="clear" w:color="auto" w:fill="auto"/>
                      <w:vertAlign w:val="baseline"/>
                      <w:lang w:val="en-US" w:eastAsia="zh-CN"/>
                    </w:rPr>
                    <w:t>70</w:t>
                  </w:r>
                </w:p>
              </w:tc>
              <w:tc>
                <w:tcPr>
                  <w:tcW w:w="667" w:type="pct"/>
                  <w:noWrap w:val="0"/>
                  <w:vAlign w:val="center"/>
                </w:tcPr>
                <w:p w14:paraId="3E5F8737">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距离(m)</w:t>
                  </w:r>
                </w:p>
              </w:tc>
              <w:tc>
                <w:tcPr>
                  <w:tcW w:w="1292" w:type="dxa"/>
                  <w:noWrap w:val="0"/>
                  <w:vAlign w:val="center"/>
                </w:tcPr>
                <w:p w14:paraId="073AC9C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44</w:t>
                  </w:r>
                </w:p>
              </w:tc>
              <w:tc>
                <w:tcPr>
                  <w:tcW w:w="1154" w:type="dxa"/>
                  <w:noWrap w:val="0"/>
                  <w:vAlign w:val="center"/>
                </w:tcPr>
                <w:p w14:paraId="40673763">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195</w:t>
                  </w:r>
                </w:p>
              </w:tc>
              <w:tc>
                <w:tcPr>
                  <w:tcW w:w="1082" w:type="dxa"/>
                  <w:noWrap w:val="0"/>
                  <w:vAlign w:val="center"/>
                </w:tcPr>
                <w:p w14:paraId="20AEE169">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115</w:t>
                  </w:r>
                </w:p>
              </w:tc>
              <w:tc>
                <w:tcPr>
                  <w:tcW w:w="1082" w:type="dxa"/>
                  <w:noWrap w:val="0"/>
                  <w:vAlign w:val="center"/>
                </w:tcPr>
                <w:p w14:paraId="6AEA59F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70</w:t>
                  </w:r>
                </w:p>
              </w:tc>
              <w:tc>
                <w:tcPr>
                  <w:tcW w:w="1082" w:type="dxa"/>
                  <w:noWrap w:val="0"/>
                  <w:vAlign w:val="center"/>
                </w:tcPr>
                <w:p w14:paraId="7E4346B7">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c>
                <w:tcPr>
                  <w:tcW w:w="1084" w:type="dxa"/>
                  <w:noWrap w:val="0"/>
                  <w:vAlign w:val="center"/>
                </w:tcPr>
                <w:p w14:paraId="0D15F31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r>
            <w:tr w14:paraId="5C37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208A2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516" w:type="pct"/>
                  <w:vMerge w:val="continue"/>
                  <w:noWrap w:val="0"/>
                  <w:vAlign w:val="center"/>
                </w:tcPr>
                <w:p w14:paraId="43937E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p>
              </w:tc>
              <w:tc>
                <w:tcPr>
                  <w:tcW w:w="667" w:type="pct"/>
                  <w:noWrap w:val="0"/>
                  <w:vAlign w:val="center"/>
                </w:tcPr>
                <w:p w14:paraId="7B39B083">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6AC55D0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26.15</w:t>
                  </w:r>
                </w:p>
              </w:tc>
              <w:tc>
                <w:tcPr>
                  <w:tcW w:w="566" w:type="pct"/>
                  <w:noWrap w:val="0"/>
                  <w:vAlign w:val="center"/>
                </w:tcPr>
                <w:p w14:paraId="7438991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13.22</w:t>
                  </w:r>
                </w:p>
              </w:tc>
              <w:tc>
                <w:tcPr>
                  <w:tcW w:w="531" w:type="pct"/>
                  <w:noWrap w:val="0"/>
                  <w:vAlign w:val="center"/>
                </w:tcPr>
                <w:p w14:paraId="3B03B1C0">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17.81</w:t>
                  </w:r>
                </w:p>
              </w:tc>
              <w:tc>
                <w:tcPr>
                  <w:tcW w:w="531" w:type="pct"/>
                  <w:noWrap w:val="0"/>
                  <w:vAlign w:val="center"/>
                </w:tcPr>
                <w:p w14:paraId="3537D89A">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22.12</w:t>
                  </w:r>
                </w:p>
              </w:tc>
              <w:tc>
                <w:tcPr>
                  <w:tcW w:w="531" w:type="pct"/>
                  <w:noWrap w:val="0"/>
                  <w:vAlign w:val="center"/>
                </w:tcPr>
                <w:p w14:paraId="5C376048">
                  <w:pPr>
                    <w:spacing w:line="240" w:lineRule="auto"/>
                    <w:jc w:val="center"/>
                    <w:rPr>
                      <w:rFonts w:hint="default" w:ascii="宋体" w:hAnsi="宋体" w:eastAsia="宋体" w:cs="宋体"/>
                      <w:b w:val="0"/>
                      <w:bCs/>
                      <w:color w:val="auto"/>
                      <w:sz w:val="18"/>
                      <w:szCs w:val="18"/>
                      <w:vertAlign w:val="baseline"/>
                      <w:lang w:val="en-US" w:eastAsia="zh-CN"/>
                    </w:rPr>
                  </w:pPr>
                  <w:r>
                    <w:rPr>
                      <w:rFonts w:hint="default" w:ascii="宋体" w:hAnsi="宋体" w:eastAsia="宋体" w:cs="宋体"/>
                      <w:b w:val="0"/>
                      <w:bCs/>
                      <w:color w:val="auto"/>
                      <w:sz w:val="18"/>
                      <w:szCs w:val="18"/>
                      <w:vertAlign w:val="baseline"/>
                      <w:lang w:val="en-US" w:eastAsia="zh-CN"/>
                    </w:rPr>
                    <w:t>14.41</w:t>
                  </w:r>
                </w:p>
              </w:tc>
              <w:tc>
                <w:tcPr>
                  <w:tcW w:w="532" w:type="pct"/>
                  <w:noWrap w:val="0"/>
                  <w:vAlign w:val="center"/>
                </w:tcPr>
                <w:p w14:paraId="0D39534E">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14.41</w:t>
                  </w:r>
                </w:p>
              </w:tc>
            </w:tr>
            <w:tr w14:paraId="3394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noWrap w:val="0"/>
                  <w:vAlign w:val="center"/>
                </w:tcPr>
                <w:p w14:paraId="7DF24D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空压机</w:t>
                  </w:r>
                </w:p>
              </w:tc>
              <w:tc>
                <w:tcPr>
                  <w:tcW w:w="1052" w:type="dxa"/>
                  <w:vMerge w:val="restart"/>
                  <w:noWrap w:val="0"/>
                  <w:vAlign w:val="center"/>
                </w:tcPr>
                <w:p w14:paraId="1A7F0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18"/>
                      <w:szCs w:val="18"/>
                      <w:shd w:val="clear" w:color="auto" w:fill="auto"/>
                      <w:vertAlign w:val="baseline"/>
                      <w:lang w:val="en-US" w:eastAsia="zh-CN"/>
                    </w:rPr>
                  </w:pPr>
                  <w:r>
                    <w:rPr>
                      <w:rFonts w:hint="eastAsia" w:ascii="宋体" w:hAnsi="宋体" w:eastAsia="宋体" w:cs="宋体"/>
                      <w:color w:val="auto"/>
                      <w:sz w:val="18"/>
                      <w:szCs w:val="18"/>
                      <w:shd w:val="clear" w:color="auto" w:fill="auto"/>
                      <w:vertAlign w:val="baseline"/>
                      <w:lang w:val="en-US" w:eastAsia="zh-CN"/>
                    </w:rPr>
                    <w:t>80</w:t>
                  </w:r>
                </w:p>
              </w:tc>
              <w:tc>
                <w:tcPr>
                  <w:tcW w:w="667" w:type="pct"/>
                  <w:noWrap w:val="0"/>
                  <w:vAlign w:val="center"/>
                </w:tcPr>
                <w:p w14:paraId="124FBD06">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rPr>
                    <w:t>距离(m)</w:t>
                  </w:r>
                </w:p>
              </w:tc>
              <w:tc>
                <w:tcPr>
                  <w:tcW w:w="634" w:type="pct"/>
                  <w:noWrap w:val="0"/>
                  <w:vAlign w:val="center"/>
                </w:tcPr>
                <w:p w14:paraId="0643D3FC">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46</w:t>
                  </w:r>
                </w:p>
              </w:tc>
              <w:tc>
                <w:tcPr>
                  <w:tcW w:w="566" w:type="pct"/>
                  <w:noWrap w:val="0"/>
                  <w:vAlign w:val="center"/>
                </w:tcPr>
                <w:p w14:paraId="30D480F7">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196</w:t>
                  </w:r>
                </w:p>
              </w:tc>
              <w:tc>
                <w:tcPr>
                  <w:tcW w:w="531" w:type="pct"/>
                  <w:noWrap w:val="0"/>
                  <w:vAlign w:val="center"/>
                </w:tcPr>
                <w:p w14:paraId="39CCC3B1">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113</w:t>
                  </w:r>
                </w:p>
              </w:tc>
              <w:tc>
                <w:tcPr>
                  <w:tcW w:w="531" w:type="pct"/>
                  <w:noWrap w:val="0"/>
                  <w:vAlign w:val="center"/>
                </w:tcPr>
                <w:p w14:paraId="2F94FDAF">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74</w:t>
                  </w:r>
                </w:p>
              </w:tc>
              <w:tc>
                <w:tcPr>
                  <w:tcW w:w="531" w:type="pct"/>
                  <w:noWrap w:val="0"/>
                  <w:vAlign w:val="center"/>
                </w:tcPr>
                <w:p w14:paraId="4B6ECEAC">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166</w:t>
                  </w:r>
                </w:p>
              </w:tc>
              <w:tc>
                <w:tcPr>
                  <w:tcW w:w="532" w:type="pct"/>
                  <w:noWrap w:val="0"/>
                  <w:vAlign w:val="center"/>
                </w:tcPr>
                <w:p w14:paraId="0127C72F">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170</w:t>
                  </w:r>
                </w:p>
              </w:tc>
            </w:tr>
            <w:tr w14:paraId="4D59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noWrap w:val="0"/>
                  <w:vAlign w:val="center"/>
                </w:tcPr>
                <w:p w14:paraId="52CAC5FA">
                  <w:pPr>
                    <w:spacing w:line="240" w:lineRule="auto"/>
                    <w:jc w:val="center"/>
                    <w:rPr>
                      <w:rFonts w:hint="eastAsia" w:ascii="宋体" w:hAnsi="宋体" w:eastAsia="宋体" w:cs="宋体"/>
                      <w:b w:val="0"/>
                      <w:bCs/>
                      <w:color w:val="auto"/>
                      <w:sz w:val="18"/>
                      <w:szCs w:val="18"/>
                      <w:vertAlign w:val="baseline"/>
                    </w:rPr>
                  </w:pPr>
                </w:p>
              </w:tc>
              <w:tc>
                <w:tcPr>
                  <w:tcW w:w="516" w:type="pct"/>
                  <w:vMerge w:val="continue"/>
                  <w:noWrap w:val="0"/>
                  <w:vAlign w:val="center"/>
                </w:tcPr>
                <w:p w14:paraId="349957FF">
                  <w:pPr>
                    <w:spacing w:line="240" w:lineRule="auto"/>
                    <w:jc w:val="center"/>
                    <w:rPr>
                      <w:rFonts w:hint="eastAsia" w:ascii="宋体" w:hAnsi="宋体" w:eastAsia="宋体" w:cs="宋体"/>
                      <w:b w:val="0"/>
                      <w:bCs/>
                      <w:color w:val="auto"/>
                      <w:sz w:val="18"/>
                      <w:szCs w:val="18"/>
                      <w:vertAlign w:val="baseline"/>
                    </w:rPr>
                  </w:pPr>
                </w:p>
              </w:tc>
              <w:tc>
                <w:tcPr>
                  <w:tcW w:w="667" w:type="pct"/>
                  <w:noWrap w:val="0"/>
                  <w:vAlign w:val="center"/>
                </w:tcPr>
                <w:p w14:paraId="4DB9C2A7">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贡献值</w:t>
                  </w:r>
                </w:p>
              </w:tc>
              <w:tc>
                <w:tcPr>
                  <w:tcW w:w="634" w:type="pct"/>
                  <w:noWrap w:val="0"/>
                  <w:vAlign w:val="center"/>
                </w:tcPr>
                <w:p w14:paraId="0FD6D2A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35.77</w:t>
                  </w:r>
                </w:p>
              </w:tc>
              <w:tc>
                <w:tcPr>
                  <w:tcW w:w="566" w:type="pct"/>
                  <w:noWrap w:val="0"/>
                  <w:vAlign w:val="center"/>
                </w:tcPr>
                <w:p w14:paraId="745FE94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23.18</w:t>
                  </w:r>
                </w:p>
              </w:tc>
              <w:tc>
                <w:tcPr>
                  <w:tcW w:w="531" w:type="pct"/>
                  <w:noWrap w:val="0"/>
                  <w:vAlign w:val="center"/>
                </w:tcPr>
                <w:p w14:paraId="13C48044">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27.96</w:t>
                  </w:r>
                </w:p>
              </w:tc>
              <w:tc>
                <w:tcPr>
                  <w:tcW w:w="531" w:type="pct"/>
                  <w:noWrap w:val="0"/>
                  <w:vAlign w:val="center"/>
                </w:tcPr>
                <w:p w14:paraId="40F78C7E">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31.64</w:t>
                  </w:r>
                </w:p>
              </w:tc>
              <w:tc>
                <w:tcPr>
                  <w:tcW w:w="531" w:type="pct"/>
                  <w:noWrap w:val="0"/>
                  <w:vAlign w:val="center"/>
                </w:tcPr>
                <w:p w14:paraId="579778D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24.62</w:t>
                  </w:r>
                </w:p>
              </w:tc>
              <w:tc>
                <w:tcPr>
                  <w:tcW w:w="532" w:type="pct"/>
                  <w:noWrap w:val="0"/>
                  <w:vAlign w:val="center"/>
                </w:tcPr>
                <w:p w14:paraId="52D564D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24.41</w:t>
                  </w:r>
                </w:p>
              </w:tc>
            </w:tr>
            <w:tr w14:paraId="222B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3" w:type="pct"/>
                  <w:gridSpan w:val="3"/>
                  <w:noWrap w:val="0"/>
                  <w:vAlign w:val="center"/>
                </w:tcPr>
                <w:p w14:paraId="75178797">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敏感点处背景值（昼间）</w:t>
                  </w:r>
                </w:p>
              </w:tc>
              <w:tc>
                <w:tcPr>
                  <w:tcW w:w="634" w:type="pct"/>
                  <w:noWrap w:val="0"/>
                  <w:vAlign w:val="center"/>
                </w:tcPr>
                <w:p w14:paraId="74AC6C0A">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47.2</w:t>
                  </w:r>
                </w:p>
              </w:tc>
              <w:tc>
                <w:tcPr>
                  <w:tcW w:w="566" w:type="pct"/>
                  <w:noWrap w:val="0"/>
                  <w:vAlign w:val="center"/>
                </w:tcPr>
                <w:p w14:paraId="1566DF9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48.8</w:t>
                  </w:r>
                </w:p>
              </w:tc>
              <w:tc>
                <w:tcPr>
                  <w:tcW w:w="531" w:type="pct"/>
                  <w:noWrap w:val="0"/>
                  <w:vAlign w:val="center"/>
                </w:tcPr>
                <w:p w14:paraId="2A91B1E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46.4</w:t>
                  </w:r>
                </w:p>
              </w:tc>
              <w:tc>
                <w:tcPr>
                  <w:tcW w:w="531" w:type="pct"/>
                  <w:noWrap w:val="0"/>
                  <w:vAlign w:val="center"/>
                </w:tcPr>
                <w:p w14:paraId="483D8E7F">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54.6</w:t>
                  </w:r>
                </w:p>
              </w:tc>
              <w:tc>
                <w:tcPr>
                  <w:tcW w:w="531" w:type="pct"/>
                  <w:noWrap w:val="0"/>
                  <w:vAlign w:val="center"/>
                </w:tcPr>
                <w:p w14:paraId="3D174930">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57.7</w:t>
                  </w:r>
                </w:p>
              </w:tc>
              <w:tc>
                <w:tcPr>
                  <w:tcW w:w="532" w:type="pct"/>
                  <w:noWrap w:val="0"/>
                  <w:vAlign w:val="center"/>
                </w:tcPr>
                <w:p w14:paraId="3D44127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49.3</w:t>
                  </w:r>
                </w:p>
              </w:tc>
            </w:tr>
            <w:tr w14:paraId="51BC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3" w:type="pct"/>
                  <w:gridSpan w:val="3"/>
                  <w:noWrap w:val="0"/>
                  <w:vAlign w:val="center"/>
                </w:tcPr>
                <w:p w14:paraId="041042C5">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敏感点处背景值（夜间）</w:t>
                  </w:r>
                </w:p>
              </w:tc>
              <w:tc>
                <w:tcPr>
                  <w:tcW w:w="634" w:type="pct"/>
                  <w:noWrap w:val="0"/>
                  <w:vAlign w:val="center"/>
                </w:tcPr>
                <w:p w14:paraId="75B0387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37.8</w:t>
                  </w:r>
                </w:p>
              </w:tc>
              <w:tc>
                <w:tcPr>
                  <w:tcW w:w="566" w:type="pct"/>
                  <w:noWrap w:val="0"/>
                  <w:vAlign w:val="center"/>
                </w:tcPr>
                <w:p w14:paraId="1AAE4B5E">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39.2</w:t>
                  </w:r>
                </w:p>
              </w:tc>
              <w:tc>
                <w:tcPr>
                  <w:tcW w:w="531" w:type="pct"/>
                  <w:noWrap w:val="0"/>
                  <w:vAlign w:val="center"/>
                </w:tcPr>
                <w:p w14:paraId="26016FA1">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37.8</w:t>
                  </w:r>
                </w:p>
              </w:tc>
              <w:tc>
                <w:tcPr>
                  <w:tcW w:w="531" w:type="pct"/>
                  <w:noWrap w:val="0"/>
                  <w:vAlign w:val="center"/>
                </w:tcPr>
                <w:p w14:paraId="26D824A6">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42.4</w:t>
                  </w:r>
                </w:p>
              </w:tc>
              <w:tc>
                <w:tcPr>
                  <w:tcW w:w="531" w:type="pct"/>
                  <w:noWrap w:val="0"/>
                  <w:vAlign w:val="center"/>
                </w:tcPr>
                <w:p w14:paraId="692CD4CA">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45.5</w:t>
                  </w:r>
                </w:p>
              </w:tc>
              <w:tc>
                <w:tcPr>
                  <w:tcW w:w="532" w:type="pct"/>
                  <w:noWrap w:val="0"/>
                  <w:vAlign w:val="center"/>
                </w:tcPr>
                <w:p w14:paraId="7A323796">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39.4</w:t>
                  </w:r>
                </w:p>
              </w:tc>
            </w:tr>
            <w:tr w14:paraId="57BA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3" w:type="pct"/>
                  <w:gridSpan w:val="3"/>
                  <w:noWrap w:val="0"/>
                  <w:vAlign w:val="center"/>
                </w:tcPr>
                <w:p w14:paraId="1A794BA0">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rPr>
                    <w:t>各设备噪声源至敏感点</w:t>
                  </w:r>
                  <w:r>
                    <w:rPr>
                      <w:rFonts w:hint="eastAsia" w:ascii="宋体" w:hAnsi="宋体" w:eastAsia="宋体" w:cs="宋体"/>
                      <w:b w:val="0"/>
                      <w:bCs/>
                      <w:color w:val="auto"/>
                      <w:sz w:val="18"/>
                      <w:szCs w:val="18"/>
                      <w:vertAlign w:val="baseline"/>
                      <w:lang w:val="en-US" w:eastAsia="zh-CN"/>
                    </w:rPr>
                    <w:t>叠加背景</w:t>
                  </w:r>
                  <w:r>
                    <w:rPr>
                      <w:rFonts w:hint="eastAsia" w:ascii="宋体" w:hAnsi="宋体" w:eastAsia="宋体" w:cs="宋体"/>
                      <w:b w:val="0"/>
                      <w:bCs/>
                      <w:color w:val="auto"/>
                      <w:sz w:val="18"/>
                      <w:szCs w:val="18"/>
                      <w:vertAlign w:val="baseline"/>
                    </w:rPr>
                    <w:t>值</w:t>
                  </w:r>
                  <w:r>
                    <w:rPr>
                      <w:rFonts w:hint="eastAsia" w:ascii="宋体" w:hAnsi="宋体" w:eastAsia="宋体" w:cs="宋体"/>
                      <w:b w:val="0"/>
                      <w:bCs/>
                      <w:color w:val="auto"/>
                      <w:sz w:val="18"/>
                      <w:szCs w:val="18"/>
                      <w:vertAlign w:val="baseline"/>
                      <w:lang w:val="en-US" w:eastAsia="zh-CN"/>
                    </w:rPr>
                    <w:t>后预测值（昼间）</w:t>
                  </w:r>
                </w:p>
              </w:tc>
              <w:tc>
                <w:tcPr>
                  <w:tcW w:w="634" w:type="pct"/>
                  <w:noWrap w:val="0"/>
                  <w:vAlign w:val="center"/>
                </w:tcPr>
                <w:p w14:paraId="4D3350CB">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47.92</w:t>
                  </w:r>
                </w:p>
              </w:tc>
              <w:tc>
                <w:tcPr>
                  <w:tcW w:w="566" w:type="pct"/>
                  <w:noWrap w:val="0"/>
                  <w:vAlign w:val="center"/>
                </w:tcPr>
                <w:p w14:paraId="39FF7531">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48.83</w:t>
                  </w:r>
                </w:p>
              </w:tc>
              <w:tc>
                <w:tcPr>
                  <w:tcW w:w="531" w:type="pct"/>
                  <w:noWrap w:val="0"/>
                  <w:vAlign w:val="center"/>
                </w:tcPr>
                <w:p w14:paraId="367047D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46.55</w:t>
                  </w:r>
                </w:p>
              </w:tc>
              <w:tc>
                <w:tcPr>
                  <w:tcW w:w="531" w:type="pct"/>
                  <w:noWrap w:val="0"/>
                  <w:vAlign w:val="center"/>
                </w:tcPr>
                <w:p w14:paraId="3B9E0BB6">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54.66</w:t>
                  </w:r>
                </w:p>
              </w:tc>
              <w:tc>
                <w:tcPr>
                  <w:tcW w:w="531" w:type="pct"/>
                  <w:noWrap w:val="0"/>
                  <w:vAlign w:val="center"/>
                </w:tcPr>
                <w:p w14:paraId="0EFD1E5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57.71</w:t>
                  </w:r>
                </w:p>
              </w:tc>
              <w:tc>
                <w:tcPr>
                  <w:tcW w:w="532" w:type="pct"/>
                  <w:noWrap w:val="0"/>
                  <w:vAlign w:val="center"/>
                </w:tcPr>
                <w:p w14:paraId="0722206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49.33</w:t>
                  </w:r>
                </w:p>
              </w:tc>
            </w:tr>
            <w:tr w14:paraId="5CB0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3" w:type="pct"/>
                  <w:gridSpan w:val="3"/>
                  <w:noWrap w:val="0"/>
                  <w:vAlign w:val="center"/>
                </w:tcPr>
                <w:p w14:paraId="20EED1CC">
                  <w:pPr>
                    <w:spacing w:line="240" w:lineRule="auto"/>
                    <w:jc w:val="center"/>
                    <w:rPr>
                      <w:rFonts w:hint="eastAsia" w:ascii="宋体" w:hAnsi="宋体" w:eastAsia="宋体" w:cs="宋体"/>
                      <w:b w:val="0"/>
                      <w:bCs/>
                      <w:color w:val="auto"/>
                      <w:sz w:val="18"/>
                      <w:szCs w:val="18"/>
                      <w:vertAlign w:val="baseline"/>
                    </w:rPr>
                  </w:pPr>
                  <w:r>
                    <w:rPr>
                      <w:rFonts w:hint="eastAsia" w:ascii="宋体" w:hAnsi="宋体" w:eastAsia="宋体" w:cs="宋体"/>
                      <w:b w:val="0"/>
                      <w:bCs/>
                      <w:color w:val="auto"/>
                      <w:sz w:val="18"/>
                      <w:szCs w:val="18"/>
                      <w:vertAlign w:val="baseline"/>
                    </w:rPr>
                    <w:t>各设备噪声源至敏感点</w:t>
                  </w:r>
                  <w:r>
                    <w:rPr>
                      <w:rFonts w:hint="eastAsia" w:ascii="宋体" w:hAnsi="宋体" w:eastAsia="宋体" w:cs="宋体"/>
                      <w:b w:val="0"/>
                      <w:bCs/>
                      <w:color w:val="auto"/>
                      <w:sz w:val="18"/>
                      <w:szCs w:val="18"/>
                      <w:vertAlign w:val="baseline"/>
                      <w:lang w:val="en-US" w:eastAsia="zh-CN"/>
                    </w:rPr>
                    <w:t>叠加背景</w:t>
                  </w:r>
                  <w:r>
                    <w:rPr>
                      <w:rFonts w:hint="eastAsia" w:ascii="宋体" w:hAnsi="宋体" w:eastAsia="宋体" w:cs="宋体"/>
                      <w:b w:val="0"/>
                      <w:bCs/>
                      <w:color w:val="auto"/>
                      <w:sz w:val="18"/>
                      <w:szCs w:val="18"/>
                      <w:vertAlign w:val="baseline"/>
                    </w:rPr>
                    <w:t>值</w:t>
                  </w:r>
                  <w:r>
                    <w:rPr>
                      <w:rFonts w:hint="eastAsia" w:ascii="宋体" w:hAnsi="宋体" w:eastAsia="宋体" w:cs="宋体"/>
                      <w:b w:val="0"/>
                      <w:bCs/>
                      <w:color w:val="auto"/>
                      <w:sz w:val="18"/>
                      <w:szCs w:val="18"/>
                      <w:vertAlign w:val="baseline"/>
                      <w:lang w:val="en-US" w:eastAsia="zh-CN"/>
                    </w:rPr>
                    <w:t>后预测值（夜间）（夜间不生产，背景值为预测值）</w:t>
                  </w:r>
                </w:p>
              </w:tc>
              <w:tc>
                <w:tcPr>
                  <w:tcW w:w="1292" w:type="dxa"/>
                  <w:noWrap w:val="0"/>
                  <w:vAlign w:val="center"/>
                </w:tcPr>
                <w:p w14:paraId="3DDDB95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37.8</w:t>
                  </w:r>
                </w:p>
              </w:tc>
              <w:tc>
                <w:tcPr>
                  <w:tcW w:w="1154" w:type="dxa"/>
                  <w:noWrap w:val="0"/>
                  <w:vAlign w:val="center"/>
                </w:tcPr>
                <w:p w14:paraId="5BF33B66">
                  <w:pPr>
                    <w:spacing w:line="240" w:lineRule="auto"/>
                    <w:jc w:val="center"/>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39.2</w:t>
                  </w:r>
                </w:p>
              </w:tc>
              <w:tc>
                <w:tcPr>
                  <w:tcW w:w="1082" w:type="dxa"/>
                  <w:noWrap w:val="0"/>
                  <w:vAlign w:val="center"/>
                </w:tcPr>
                <w:p w14:paraId="34EBB4A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37.8</w:t>
                  </w:r>
                </w:p>
              </w:tc>
              <w:tc>
                <w:tcPr>
                  <w:tcW w:w="1082" w:type="dxa"/>
                  <w:noWrap w:val="0"/>
                  <w:vAlign w:val="center"/>
                </w:tcPr>
                <w:p w14:paraId="352D3BFD">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42.4</w:t>
                  </w:r>
                </w:p>
              </w:tc>
              <w:tc>
                <w:tcPr>
                  <w:tcW w:w="1082" w:type="dxa"/>
                  <w:noWrap w:val="0"/>
                  <w:vAlign w:val="center"/>
                </w:tcPr>
                <w:p w14:paraId="1C9F8F4C">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45.5</w:t>
                  </w:r>
                </w:p>
              </w:tc>
              <w:tc>
                <w:tcPr>
                  <w:tcW w:w="1084" w:type="dxa"/>
                  <w:noWrap w:val="0"/>
                  <w:vAlign w:val="center"/>
                </w:tcPr>
                <w:p w14:paraId="20CE8F38">
                  <w:pPr>
                    <w:spacing w:line="240" w:lineRule="auto"/>
                    <w:jc w:val="center"/>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39.4</w:t>
                  </w:r>
                </w:p>
              </w:tc>
            </w:tr>
          </w:tbl>
          <w:p w14:paraId="21790DC1">
            <w:pPr>
              <w:pStyle w:val="13"/>
              <w:rPr>
                <w:rFonts w:hint="eastAsia" w:ascii="宋体" w:hAnsi="宋体" w:eastAsia="宋体" w:cs="宋体"/>
                <w:b w:val="0"/>
                <w:bCs w:val="0"/>
                <w:i w:val="0"/>
                <w:iCs/>
                <w:color w:val="FF0000"/>
                <w:lang w:val="en-US" w:eastAsia="zh-CN"/>
              </w:rPr>
            </w:pPr>
            <w:r>
              <w:rPr>
                <w:rFonts w:hint="eastAsia" w:ascii="宋体" w:hAnsi="宋体" w:eastAsia="宋体" w:cs="宋体"/>
                <w:b w:val="0"/>
                <w:bCs w:val="0"/>
                <w:i w:val="0"/>
                <w:iCs/>
                <w:color w:val="auto"/>
                <w:lang w:val="en-US" w:eastAsia="zh-CN"/>
              </w:rPr>
              <w:t>备注：环境质量本底取声环境质量监测最大值。</w:t>
            </w:r>
          </w:p>
          <w:p w14:paraId="089F3D6C">
            <w:pPr>
              <w:pStyle w:val="45"/>
              <w:rPr>
                <w:rFonts w:hint="eastAsia" w:ascii="宋体" w:hAnsi="宋体" w:eastAsia="宋体" w:cs="宋体"/>
                <w:color w:val="FF0000"/>
                <w:lang w:val="en-US" w:eastAsia="zh-CN"/>
              </w:rPr>
            </w:pPr>
          </w:p>
          <w:p w14:paraId="019B0C89">
            <w:pPr>
              <w:rPr>
                <w:rFonts w:hint="eastAsia" w:ascii="宋体" w:hAnsi="宋体" w:eastAsia="宋体" w:cs="宋体"/>
                <w:color w:val="FF0000"/>
                <w:lang w:eastAsia="zh-CN"/>
              </w:rPr>
            </w:pPr>
            <w:r>
              <w:rPr>
                <w:rFonts w:hint="eastAsia" w:ascii="宋体" w:hAnsi="宋体" w:eastAsia="宋体" w:cs="宋体"/>
                <w:color w:val="FF0000"/>
                <w:lang w:eastAsia="zh-CN"/>
              </w:rPr>
              <w:drawing>
                <wp:inline distT="0" distB="0" distL="114300" distR="114300">
                  <wp:extent cx="6474460" cy="3538855"/>
                  <wp:effectExtent l="0" t="0" r="2540" b="4445"/>
                  <wp:docPr id="40" name="图片 40" descr="声级预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声级预测图1"/>
                          <pic:cNvPicPr>
                            <a:picLocks noChangeAspect="1"/>
                          </pic:cNvPicPr>
                        </pic:nvPicPr>
                        <pic:blipFill>
                          <a:blip r:embed="rId22"/>
                          <a:stretch>
                            <a:fillRect/>
                          </a:stretch>
                        </pic:blipFill>
                        <pic:spPr>
                          <a:xfrm>
                            <a:off x="0" y="0"/>
                            <a:ext cx="6474460" cy="3538855"/>
                          </a:xfrm>
                          <a:prstGeom prst="rect">
                            <a:avLst/>
                          </a:prstGeom>
                        </pic:spPr>
                      </pic:pic>
                    </a:graphicData>
                  </a:graphic>
                </wp:inline>
              </w:drawing>
            </w:r>
          </w:p>
          <w:p w14:paraId="4977E9D9">
            <w:pPr>
              <w:pStyle w:val="45"/>
              <w:jc w:val="center"/>
              <w:rPr>
                <w:rFonts w:hint="eastAsia" w:ascii="宋体" w:hAnsi="宋体" w:eastAsia="宋体" w:cs="宋体"/>
                <w:b/>
                <w:bCs w:val="0"/>
                <w:color w:val="auto"/>
                <w:lang w:val="en-US" w:eastAsia="zh-CN"/>
              </w:rPr>
            </w:pPr>
            <w:r>
              <w:rPr>
                <w:rFonts w:hint="eastAsia" w:ascii="宋体" w:hAnsi="宋体" w:eastAsia="宋体" w:cs="宋体"/>
                <w:b/>
                <w:bCs w:val="0"/>
                <w:color w:val="auto"/>
                <w:lang w:val="en-US" w:eastAsia="zh-CN"/>
              </w:rPr>
              <w:t>图7-</w:t>
            </w:r>
            <w:r>
              <w:rPr>
                <w:rFonts w:hint="eastAsia" w:ascii="宋体" w:hAnsi="宋体" w:cs="宋体"/>
                <w:b/>
                <w:bCs w:val="0"/>
                <w:color w:val="auto"/>
                <w:lang w:val="en-US" w:eastAsia="zh-CN"/>
              </w:rPr>
              <w:t>6</w:t>
            </w:r>
            <w:r>
              <w:rPr>
                <w:rFonts w:hint="eastAsia" w:ascii="宋体" w:hAnsi="宋体" w:eastAsia="宋体" w:cs="宋体"/>
                <w:b/>
                <w:bCs w:val="0"/>
                <w:color w:val="auto"/>
                <w:lang w:val="en-US" w:eastAsia="zh-CN"/>
              </w:rPr>
              <w:t xml:space="preserve">  项目声级线图</w:t>
            </w:r>
          </w:p>
          <w:p w14:paraId="40770B50">
            <w:pPr>
              <w:pStyle w:val="45"/>
              <w:rPr>
                <w:rFonts w:hint="eastAsia" w:ascii="宋体" w:hAnsi="宋体" w:eastAsia="宋体" w:cs="宋体"/>
                <w:color w:val="auto"/>
              </w:rPr>
            </w:pPr>
            <w:r>
              <w:rPr>
                <w:rFonts w:hint="eastAsia" w:ascii="宋体" w:hAnsi="宋体" w:eastAsia="宋体" w:cs="宋体"/>
                <w:color w:val="auto"/>
                <w:lang w:val="en-US" w:eastAsia="zh-CN"/>
              </w:rPr>
              <w:t>由上表和声级图可知，项目运行后，主要噪声设备对周边敏感点声影响较小，周边敏感点声环境均满足《声环境质量标准》（GB 3096-2008）中2类标准（昼间≤60 dB（A））要求。</w:t>
            </w:r>
          </w:p>
          <w:p w14:paraId="459844EF">
            <w:pPr>
              <w:spacing w:line="360" w:lineRule="auto"/>
              <w:ind w:firstLine="482" w:firstLineChars="200"/>
              <w:jc w:val="both"/>
              <w:rPr>
                <w:rFonts w:hint="default" w:ascii="Times New Roman" w:hAnsi="Times New Roman" w:cs="Times New Roman" w:eastAsiaTheme="minorEastAsia"/>
                <w:b/>
                <w:bCs w:val="0"/>
                <w:color w:val="auto"/>
                <w:sz w:val="24"/>
                <w:szCs w:val="24"/>
              </w:rPr>
            </w:pPr>
            <w:r>
              <w:rPr>
                <w:rFonts w:hint="eastAsia" w:cs="Times New Roman" w:eastAsiaTheme="minorEastAsia"/>
                <w:b/>
                <w:bCs w:val="0"/>
                <w:color w:val="auto"/>
                <w:sz w:val="24"/>
                <w:szCs w:val="24"/>
                <w:lang w:val="en-US" w:eastAsia="zh-CN"/>
              </w:rPr>
              <w:t>2、</w:t>
            </w:r>
            <w:r>
              <w:rPr>
                <w:rFonts w:hint="default" w:ascii="Times New Roman" w:hAnsi="Times New Roman" w:cs="Times New Roman" w:eastAsiaTheme="minorEastAsia"/>
                <w:b/>
                <w:bCs w:val="0"/>
                <w:color w:val="auto"/>
                <w:sz w:val="24"/>
                <w:szCs w:val="24"/>
              </w:rPr>
              <w:t>车辆运输噪声影响分析</w:t>
            </w:r>
          </w:p>
          <w:p w14:paraId="1C379158">
            <w:pPr>
              <w:spacing w:line="360" w:lineRule="auto"/>
              <w:ind w:firstLine="480" w:firstLineChars="200"/>
              <w:jc w:val="both"/>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本项目车辆运输噪声主要来源于运输车辆产生的噪声</w:t>
            </w:r>
            <w:r>
              <w:rPr>
                <w:rFonts w:hint="default" w:ascii="Times New Roman" w:hAnsi="Times New Roman" w:cs="Times New Roman" w:eastAsiaTheme="minorEastAsia"/>
                <w:b w:val="0"/>
                <w:bCs/>
                <w:color w:val="auto"/>
                <w:sz w:val="24"/>
                <w:szCs w:val="24"/>
                <w:lang w:eastAsia="zh-CN"/>
              </w:rPr>
              <w:t>，</w:t>
            </w:r>
            <w:r>
              <w:rPr>
                <w:rFonts w:hint="default" w:ascii="Times New Roman" w:hAnsi="Times New Roman" w:cs="Times New Roman" w:eastAsiaTheme="minorEastAsia"/>
                <w:b w:val="0"/>
                <w:bCs/>
                <w:color w:val="auto"/>
                <w:sz w:val="24"/>
                <w:szCs w:val="24"/>
              </w:rPr>
              <w:t>本项目车辆运输车辆噪声强度在85~95dB之间。根据前面工程分析，为降低车辆运输噪声对周围环境的影响，建设单位拟采取：①对进出车辆加强管理，限制车速，禁鸣喇叭；</w:t>
            </w:r>
            <w:r>
              <w:rPr>
                <w:rFonts w:hint="default" w:ascii="Times New Roman" w:hAnsi="Times New Roman" w:cs="Times New Roman" w:eastAsiaTheme="minorEastAsia"/>
                <w:b w:val="0"/>
                <w:bCs/>
                <w:color w:val="auto"/>
                <w:sz w:val="24"/>
                <w:szCs w:val="24"/>
              </w:rPr>
              <w:fldChar w:fldCharType="begin"/>
            </w:r>
            <w:r>
              <w:rPr>
                <w:rFonts w:hint="default" w:ascii="Times New Roman" w:hAnsi="Times New Roman" w:cs="Times New Roman" w:eastAsiaTheme="minorEastAsia"/>
                <w:b w:val="0"/>
                <w:bCs/>
                <w:color w:val="auto"/>
                <w:sz w:val="24"/>
                <w:szCs w:val="24"/>
              </w:rPr>
              <w:instrText xml:space="preserve"> = 2 \* GB3 \* MERGEFORMAT </w:instrText>
            </w:r>
            <w:r>
              <w:rPr>
                <w:rFonts w:hint="default" w:ascii="Times New Roman" w:hAnsi="Times New Roman" w:cs="Times New Roman" w:eastAsiaTheme="minorEastAsia"/>
                <w:b w:val="0"/>
                <w:bCs/>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eastAsiaTheme="minorEastAsia"/>
                <w:b w:val="0"/>
                <w:bCs/>
                <w:color w:val="auto"/>
                <w:sz w:val="24"/>
                <w:szCs w:val="24"/>
              </w:rPr>
              <w:fldChar w:fldCharType="end"/>
            </w:r>
            <w:r>
              <w:rPr>
                <w:rFonts w:hint="default" w:ascii="Times New Roman" w:hAnsi="Times New Roman" w:cs="Times New Roman" w:eastAsiaTheme="minorEastAsia"/>
                <w:b w:val="0"/>
                <w:bCs/>
                <w:color w:val="auto"/>
                <w:sz w:val="24"/>
                <w:szCs w:val="24"/>
              </w:rPr>
              <w:t>本项目仅白天进行生产，夜间不生产</w:t>
            </w:r>
            <w:r>
              <w:rPr>
                <w:rFonts w:hint="default" w:ascii="Times New Roman" w:hAnsi="Times New Roman" w:cs="Times New Roman" w:eastAsiaTheme="minorEastAsia"/>
                <w:b w:val="0"/>
                <w:bCs/>
                <w:color w:val="auto"/>
                <w:sz w:val="24"/>
                <w:szCs w:val="24"/>
                <w:lang w:eastAsia="zh-CN"/>
              </w:rPr>
              <w:t>；</w:t>
            </w:r>
            <w:r>
              <w:rPr>
                <w:rFonts w:hint="default" w:ascii="Times New Roman" w:hAnsi="Times New Roman" w:cs="Times New Roman" w:eastAsiaTheme="minorEastAsia"/>
                <w:b w:val="0"/>
                <w:bCs/>
                <w:color w:val="auto"/>
                <w:sz w:val="24"/>
                <w:szCs w:val="24"/>
              </w:rPr>
              <w:t>卸料和装车的时间应避开午休时间，车辆减速行驶、禁止鸣笛等措施。</w:t>
            </w:r>
          </w:p>
          <w:p w14:paraId="4E26E34F">
            <w:pPr>
              <w:spacing w:line="360" w:lineRule="auto"/>
              <w:ind w:firstLine="482" w:firstLineChars="200"/>
              <w:jc w:val="both"/>
              <w:rPr>
                <w:rFonts w:hint="default" w:ascii="Times New Roman" w:hAnsi="Times New Roman" w:cs="Times New Roman" w:eastAsiaTheme="minorEastAsia"/>
                <w:b/>
                <w:bCs w:val="0"/>
                <w:color w:val="auto"/>
                <w:sz w:val="24"/>
                <w:szCs w:val="24"/>
              </w:rPr>
            </w:pPr>
            <w:r>
              <w:rPr>
                <w:rFonts w:hint="default" w:ascii="Times New Roman" w:hAnsi="Times New Roman" w:cs="Times New Roman" w:eastAsiaTheme="minorEastAsia"/>
                <w:b/>
                <w:bCs w:val="0"/>
                <w:color w:val="auto"/>
                <w:sz w:val="24"/>
                <w:szCs w:val="24"/>
              </w:rPr>
              <w:t>1）公路运输噪声源强</w:t>
            </w:r>
          </w:p>
          <w:p w14:paraId="5D9137F2">
            <w:pPr>
              <w:spacing w:line="360" w:lineRule="auto"/>
              <w:ind w:firstLine="480" w:firstLineChars="200"/>
              <w:jc w:val="both"/>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本项目原材料及成品采用公路运输方式，公路设计时速按30km/h考虑，每年运输300d，每天车辆运输8h，则运输车流量平均9辆/h。</w:t>
            </w:r>
          </w:p>
          <w:p w14:paraId="02067E7F">
            <w:pPr>
              <w:spacing w:line="360" w:lineRule="auto"/>
              <w:ind w:firstLine="482" w:firstLineChars="200"/>
              <w:jc w:val="both"/>
              <w:rPr>
                <w:rFonts w:hint="default" w:ascii="Times New Roman" w:hAnsi="Times New Roman" w:cs="Times New Roman" w:eastAsiaTheme="minorEastAsia"/>
                <w:b/>
                <w:bCs w:val="0"/>
                <w:color w:val="auto"/>
                <w:sz w:val="24"/>
                <w:szCs w:val="24"/>
              </w:rPr>
            </w:pPr>
            <w:r>
              <w:rPr>
                <w:rFonts w:hint="default" w:ascii="Times New Roman" w:hAnsi="Times New Roman" w:cs="Times New Roman" w:eastAsiaTheme="minorEastAsia"/>
                <w:b/>
                <w:bCs w:val="0"/>
                <w:color w:val="auto"/>
                <w:sz w:val="24"/>
                <w:szCs w:val="24"/>
                <w:lang w:eastAsia="zh-CN"/>
              </w:rPr>
              <w:drawing>
                <wp:anchor distT="0" distB="0" distL="114300" distR="114300" simplePos="0" relativeHeight="251668480" behindDoc="0" locked="0" layoutInCell="1" allowOverlap="1">
                  <wp:simplePos x="0" y="0"/>
                  <wp:positionH relativeFrom="column">
                    <wp:posOffset>1595120</wp:posOffset>
                  </wp:positionH>
                  <wp:positionV relativeFrom="paragraph">
                    <wp:posOffset>611505</wp:posOffset>
                  </wp:positionV>
                  <wp:extent cx="3467735" cy="346710"/>
                  <wp:effectExtent l="0" t="0" r="18415" b="15240"/>
                  <wp:wrapTopAndBottom/>
                  <wp:docPr id="68" name="图片 68" descr="QQ图片2020031116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QQ图片20200311160329"/>
                          <pic:cNvPicPr>
                            <a:picLocks noChangeAspect="1"/>
                          </pic:cNvPicPr>
                        </pic:nvPicPr>
                        <pic:blipFill>
                          <a:blip r:embed="rId23"/>
                          <a:stretch>
                            <a:fillRect/>
                          </a:stretch>
                        </pic:blipFill>
                        <pic:spPr>
                          <a:xfrm>
                            <a:off x="0" y="0"/>
                            <a:ext cx="3467735" cy="346710"/>
                          </a:xfrm>
                          <a:prstGeom prst="rect">
                            <a:avLst/>
                          </a:prstGeom>
                        </pic:spPr>
                      </pic:pic>
                    </a:graphicData>
                  </a:graphic>
                </wp:anchor>
              </w:drawing>
            </w:r>
            <w:r>
              <w:rPr>
                <w:rFonts w:hint="default" w:ascii="Times New Roman" w:hAnsi="Times New Roman" w:cs="Times New Roman" w:eastAsiaTheme="minorEastAsia"/>
                <w:b/>
                <w:bCs w:val="0"/>
                <w:color w:val="auto"/>
                <w:sz w:val="24"/>
                <w:szCs w:val="24"/>
              </w:rPr>
              <w:t>2）预测模式</w:t>
            </w:r>
          </w:p>
          <w:p w14:paraId="3C174F3D">
            <w:pPr>
              <w:spacing w:line="360" w:lineRule="auto"/>
              <w:ind w:firstLine="480" w:firstLineChars="200"/>
              <w:jc w:val="both"/>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rPr>
              <w:t>采用《环境影响评价技术导则 声环境》（HJ2.4-2009）中公路（道路）交通运输噪声预测模式推荐公式进行预测。预测模式如下：</w:t>
            </w:r>
          </w:p>
          <w:p w14:paraId="473DE0CD">
            <w:pPr>
              <w:spacing w:line="360" w:lineRule="auto"/>
              <w:ind w:firstLine="480" w:firstLineChars="200"/>
              <w:jc w:val="both"/>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式中各符号意义见《环境影响评价技术导则</w:t>
            </w:r>
            <w:r>
              <w:rPr>
                <w:rFonts w:hint="default" w:ascii="Times New Roman" w:hAnsi="Times New Roman" w:cs="Times New Roman" w:eastAsiaTheme="minorEastAsia"/>
                <w:b w:val="0"/>
                <w:bCs/>
                <w:color w:val="auto"/>
                <w:sz w:val="24"/>
                <w:szCs w:val="24"/>
                <w:lang w:val="en-US" w:eastAsia="zh-CN"/>
              </w:rPr>
              <w:t>-</w:t>
            </w:r>
            <w:r>
              <w:rPr>
                <w:rFonts w:hint="default" w:ascii="Times New Roman" w:hAnsi="Times New Roman" w:cs="Times New Roman" w:eastAsiaTheme="minorEastAsia"/>
                <w:b w:val="0"/>
                <w:bCs/>
                <w:color w:val="auto"/>
                <w:sz w:val="24"/>
                <w:szCs w:val="24"/>
              </w:rPr>
              <w:t xml:space="preserve">声环境》（HJ 2.4－2009）。 </w:t>
            </w:r>
          </w:p>
          <w:p w14:paraId="4A1B0C5D">
            <w:pPr>
              <w:spacing w:line="360" w:lineRule="auto"/>
              <w:jc w:val="center"/>
              <w:rPr>
                <w:rFonts w:hint="default" w:ascii="Times New Roman" w:hAnsi="Times New Roman" w:cs="Times New Roman" w:eastAsiaTheme="minorEastAsia"/>
                <w:b w:val="0"/>
                <w:bCs/>
                <w:color w:val="auto"/>
                <w:sz w:val="24"/>
                <w:szCs w:val="24"/>
                <w:vertAlign w:val="baseline"/>
              </w:rPr>
            </w:pPr>
            <w:r>
              <w:rPr>
                <w:rFonts w:hint="default" w:ascii="Times New Roman" w:hAnsi="Times New Roman" w:cs="Times New Roman" w:eastAsiaTheme="minorEastAsia"/>
                <w:b/>
                <w:bCs w:val="0"/>
                <w:color w:val="auto"/>
                <w:sz w:val="21"/>
                <w:szCs w:val="21"/>
              </w:rPr>
              <w:t>表7-</w:t>
            </w:r>
            <w:r>
              <w:rPr>
                <w:rFonts w:hint="eastAsia" w:cs="Times New Roman" w:eastAsiaTheme="minorEastAsia"/>
                <w:b/>
                <w:bCs w:val="0"/>
                <w:color w:val="auto"/>
                <w:sz w:val="21"/>
                <w:szCs w:val="21"/>
                <w:lang w:val="en-US" w:eastAsia="zh-CN"/>
              </w:rPr>
              <w:t>22</w:t>
            </w:r>
            <w:r>
              <w:rPr>
                <w:rFonts w:hint="default" w:ascii="Times New Roman" w:hAnsi="Times New Roman" w:cs="Times New Roman" w:eastAsiaTheme="minorEastAsia"/>
                <w:b/>
                <w:bCs w:val="0"/>
                <w:color w:val="auto"/>
                <w:sz w:val="21"/>
                <w:szCs w:val="21"/>
                <w:lang w:val="en-US" w:eastAsia="zh-CN"/>
              </w:rPr>
              <w:t xml:space="preserve">  </w:t>
            </w:r>
            <w:r>
              <w:rPr>
                <w:rFonts w:hint="default" w:ascii="Times New Roman" w:hAnsi="Times New Roman" w:cs="Times New Roman" w:eastAsiaTheme="minorEastAsia"/>
                <w:b/>
                <w:bCs w:val="0"/>
                <w:color w:val="auto"/>
                <w:sz w:val="21"/>
                <w:szCs w:val="21"/>
              </w:rPr>
              <w:t xml:space="preserve">营运期车辆运输噪声修正后预测结果 </w:t>
            </w:r>
            <w:r>
              <w:rPr>
                <w:rFonts w:hint="default" w:ascii="Times New Roman" w:hAnsi="Times New Roman" w:cs="Times New Roman" w:eastAsiaTheme="minorEastAsia"/>
                <w:b/>
                <w:bCs w:val="0"/>
                <w:color w:val="auto"/>
                <w:sz w:val="21"/>
                <w:szCs w:val="21"/>
                <w:lang w:val="en-US" w:eastAsia="zh-CN"/>
              </w:rPr>
              <w:t xml:space="preserve">  </w:t>
            </w:r>
            <w:r>
              <w:rPr>
                <w:rFonts w:hint="default" w:ascii="Times New Roman" w:hAnsi="Times New Roman" w:cs="Times New Roman" w:eastAsiaTheme="minorEastAsia"/>
                <w:b/>
                <w:bCs w:val="0"/>
                <w:color w:val="auto"/>
                <w:sz w:val="21"/>
                <w:szCs w:val="21"/>
              </w:rPr>
              <w:t>单位：dB（A）</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007"/>
              <w:gridCol w:w="1007"/>
              <w:gridCol w:w="1008"/>
              <w:gridCol w:w="1008"/>
              <w:gridCol w:w="1008"/>
              <w:gridCol w:w="1008"/>
              <w:gridCol w:w="1009"/>
              <w:gridCol w:w="1009"/>
            </w:tblGrid>
            <w:tr w14:paraId="493F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Align w:val="center"/>
                </w:tcPr>
                <w:p w14:paraId="30912711">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时段</w:t>
                  </w:r>
                </w:p>
              </w:tc>
              <w:tc>
                <w:tcPr>
                  <w:tcW w:w="8064" w:type="dxa"/>
                  <w:gridSpan w:val="8"/>
                  <w:vAlign w:val="center"/>
                </w:tcPr>
                <w:p w14:paraId="71F1C1F3">
                  <w:pPr>
                    <w:spacing w:line="240" w:lineRule="auto"/>
                    <w:jc w:val="center"/>
                    <w:rPr>
                      <w:rFonts w:hint="default" w:ascii="Times New Roman" w:hAnsi="Times New Roman" w:cs="Times New Roman" w:eastAsiaTheme="minorEastAsia"/>
                      <w:b w:val="0"/>
                      <w:bCs/>
                      <w:color w:val="auto"/>
                      <w:sz w:val="21"/>
                      <w:szCs w:val="21"/>
                      <w:vertAlign w:val="baseline"/>
                    </w:rPr>
                  </w:pPr>
                  <w:r>
                    <w:rPr>
                      <w:rFonts w:hint="default" w:ascii="Times New Roman" w:hAnsi="Times New Roman" w:cs="Times New Roman" w:eastAsiaTheme="minorEastAsia"/>
                      <w:b w:val="0"/>
                      <w:bCs/>
                      <w:color w:val="auto"/>
                      <w:sz w:val="21"/>
                      <w:szCs w:val="21"/>
                      <w:vertAlign w:val="baseline"/>
                    </w:rPr>
                    <w:t>路肩外不同水平距离下的交通噪声预测值</w:t>
                  </w:r>
                </w:p>
              </w:tc>
            </w:tr>
            <w:tr w14:paraId="0F35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Merge w:val="restart"/>
                  <w:vAlign w:val="center"/>
                </w:tcPr>
                <w:p w14:paraId="122AA00E">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1007" w:type="dxa"/>
                  <w:vAlign w:val="center"/>
                </w:tcPr>
                <w:p w14:paraId="0455D169">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10m</w:t>
                  </w:r>
                </w:p>
              </w:tc>
              <w:tc>
                <w:tcPr>
                  <w:tcW w:w="1007" w:type="dxa"/>
                  <w:vAlign w:val="center"/>
                </w:tcPr>
                <w:p w14:paraId="4C985972">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20m</w:t>
                  </w:r>
                </w:p>
              </w:tc>
              <w:tc>
                <w:tcPr>
                  <w:tcW w:w="1008" w:type="dxa"/>
                  <w:vAlign w:val="center"/>
                </w:tcPr>
                <w:p w14:paraId="64BB5796">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30m</w:t>
                  </w:r>
                </w:p>
              </w:tc>
              <w:tc>
                <w:tcPr>
                  <w:tcW w:w="1008" w:type="dxa"/>
                  <w:vAlign w:val="center"/>
                </w:tcPr>
                <w:p w14:paraId="639008FB">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40m</w:t>
                  </w:r>
                </w:p>
              </w:tc>
              <w:tc>
                <w:tcPr>
                  <w:tcW w:w="1008" w:type="dxa"/>
                  <w:vAlign w:val="center"/>
                </w:tcPr>
                <w:p w14:paraId="4320BEB7">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50m</w:t>
                  </w:r>
                </w:p>
              </w:tc>
              <w:tc>
                <w:tcPr>
                  <w:tcW w:w="1008" w:type="dxa"/>
                  <w:vAlign w:val="center"/>
                </w:tcPr>
                <w:p w14:paraId="2A9AEEA9">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80m</w:t>
                  </w:r>
                </w:p>
              </w:tc>
              <w:tc>
                <w:tcPr>
                  <w:tcW w:w="1009" w:type="dxa"/>
                  <w:vAlign w:val="center"/>
                </w:tcPr>
                <w:p w14:paraId="0C78D27C">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100m</w:t>
                  </w:r>
                </w:p>
              </w:tc>
              <w:tc>
                <w:tcPr>
                  <w:tcW w:w="1009" w:type="dxa"/>
                  <w:vAlign w:val="center"/>
                </w:tcPr>
                <w:p w14:paraId="35AE271F">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120m</w:t>
                  </w:r>
                </w:p>
              </w:tc>
            </w:tr>
            <w:tr w14:paraId="4C99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vMerge w:val="continue"/>
                  <w:vAlign w:val="center"/>
                </w:tcPr>
                <w:p w14:paraId="09906591">
                  <w:pPr>
                    <w:spacing w:line="240" w:lineRule="auto"/>
                    <w:jc w:val="center"/>
                    <w:rPr>
                      <w:rFonts w:hint="default" w:ascii="Times New Roman" w:hAnsi="Times New Roman" w:cs="Times New Roman" w:eastAsiaTheme="minorEastAsia"/>
                      <w:b w:val="0"/>
                      <w:bCs/>
                      <w:color w:val="auto"/>
                      <w:sz w:val="21"/>
                      <w:szCs w:val="21"/>
                      <w:vertAlign w:val="baseline"/>
                    </w:rPr>
                  </w:pPr>
                </w:p>
              </w:tc>
              <w:tc>
                <w:tcPr>
                  <w:tcW w:w="1007" w:type="dxa"/>
                  <w:vAlign w:val="center"/>
                </w:tcPr>
                <w:p w14:paraId="7492784A">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57.3</w:t>
                  </w:r>
                </w:p>
              </w:tc>
              <w:tc>
                <w:tcPr>
                  <w:tcW w:w="1007" w:type="dxa"/>
                  <w:vAlign w:val="center"/>
                </w:tcPr>
                <w:p w14:paraId="0BFCDAF0">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55.9</w:t>
                  </w:r>
                </w:p>
              </w:tc>
              <w:tc>
                <w:tcPr>
                  <w:tcW w:w="1008" w:type="dxa"/>
                  <w:vAlign w:val="center"/>
                </w:tcPr>
                <w:p w14:paraId="11242E38">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56.6</w:t>
                  </w:r>
                </w:p>
              </w:tc>
              <w:tc>
                <w:tcPr>
                  <w:tcW w:w="1008" w:type="dxa"/>
                  <w:vAlign w:val="center"/>
                </w:tcPr>
                <w:p w14:paraId="1B4B2D1E">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55.0</w:t>
                  </w:r>
                </w:p>
              </w:tc>
              <w:tc>
                <w:tcPr>
                  <w:tcW w:w="1008" w:type="dxa"/>
                  <w:vAlign w:val="center"/>
                </w:tcPr>
                <w:p w14:paraId="51C7869D">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54.3</w:t>
                  </w:r>
                </w:p>
              </w:tc>
              <w:tc>
                <w:tcPr>
                  <w:tcW w:w="1008" w:type="dxa"/>
                  <w:vAlign w:val="center"/>
                </w:tcPr>
                <w:p w14:paraId="3B96F2C6">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52.2</w:t>
                  </w:r>
                </w:p>
              </w:tc>
              <w:tc>
                <w:tcPr>
                  <w:tcW w:w="1009" w:type="dxa"/>
                  <w:vAlign w:val="center"/>
                </w:tcPr>
                <w:p w14:paraId="0B319FC6">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50.4</w:t>
                  </w:r>
                </w:p>
              </w:tc>
              <w:tc>
                <w:tcPr>
                  <w:tcW w:w="1009" w:type="dxa"/>
                  <w:vAlign w:val="center"/>
                </w:tcPr>
                <w:p w14:paraId="6D9E697A">
                  <w:pPr>
                    <w:spacing w:line="240" w:lineRule="auto"/>
                    <w:jc w:val="center"/>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49.0</w:t>
                  </w:r>
                </w:p>
              </w:tc>
            </w:tr>
          </w:tbl>
          <w:p w14:paraId="29C671E0">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由上表可知，敏感点声环境满足《声环境质量标准》（GB 3096-2008）中2类标准（昼间≤60 dB（A））要求。</w:t>
            </w:r>
          </w:p>
          <w:p w14:paraId="55401170">
            <w:pPr>
              <w:pStyle w:val="45"/>
              <w:ind w:firstLine="482"/>
              <w:rPr>
                <w:rFonts w:hint="eastAsia" w:ascii="宋体" w:hAnsi="宋体" w:eastAsia="宋体" w:cs="宋体"/>
                <w:b/>
                <w:bCs w:val="0"/>
                <w:color w:val="auto"/>
              </w:rPr>
            </w:pPr>
            <w:r>
              <w:rPr>
                <w:rFonts w:hint="eastAsia" w:ascii="宋体" w:hAnsi="宋体" w:cs="宋体"/>
                <w:b/>
                <w:bCs w:val="0"/>
                <w:color w:val="auto"/>
                <w:lang w:val="en-US" w:eastAsia="zh-CN"/>
              </w:rPr>
              <w:t>综上</w:t>
            </w:r>
            <w:r>
              <w:rPr>
                <w:rFonts w:hint="eastAsia" w:ascii="宋体" w:hAnsi="宋体" w:eastAsia="宋体" w:cs="宋体"/>
                <w:b/>
                <w:bCs w:val="0"/>
                <w:color w:val="auto"/>
              </w:rPr>
              <w:t>，本项目的实施不会对项目所在地的声学环境产生明显影响。</w:t>
            </w:r>
          </w:p>
          <w:p w14:paraId="45401354">
            <w:pPr>
              <w:spacing w:line="360" w:lineRule="auto"/>
              <w:ind w:firstLine="482" w:firstLineChars="200"/>
              <w:rPr>
                <w:rFonts w:hint="default" w:ascii="Times New Roman" w:hAnsi="Times New Roman" w:eastAsia="宋体" w:cs="Times New Roman"/>
                <w:b/>
                <w:color w:val="auto"/>
                <w:sz w:val="24"/>
                <w:szCs w:val="24"/>
              </w:rPr>
            </w:pPr>
            <w:r>
              <w:rPr>
                <w:rFonts w:hint="eastAsia" w:cs="Times New Roman"/>
                <w:b/>
                <w:color w:val="auto"/>
                <w:sz w:val="24"/>
                <w:szCs w:val="24"/>
                <w:lang w:eastAsia="zh-CN"/>
              </w:rPr>
              <w:t>（</w:t>
            </w:r>
            <w:r>
              <w:rPr>
                <w:rFonts w:hint="eastAsia" w:cs="Times New Roman"/>
                <w:b/>
                <w:color w:val="auto"/>
                <w:sz w:val="24"/>
                <w:szCs w:val="24"/>
                <w:lang w:val="en-US" w:eastAsia="zh-CN"/>
              </w:rPr>
              <w:t>五</w:t>
            </w:r>
            <w:r>
              <w:rPr>
                <w:rFonts w:hint="eastAsia" w:cs="Times New Roman"/>
                <w:b/>
                <w:color w:val="auto"/>
                <w:sz w:val="24"/>
                <w:szCs w:val="24"/>
                <w:lang w:eastAsia="zh-CN"/>
              </w:rPr>
              <w:t>）</w:t>
            </w:r>
            <w:r>
              <w:rPr>
                <w:rFonts w:hint="default" w:ascii="Times New Roman" w:hAnsi="Times New Roman" w:eastAsia="宋体" w:cs="Times New Roman"/>
                <w:b/>
                <w:color w:val="auto"/>
                <w:sz w:val="24"/>
                <w:szCs w:val="24"/>
              </w:rPr>
              <w:t>固体废物环境影响分析</w:t>
            </w:r>
          </w:p>
          <w:p w14:paraId="41906C4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本项目营运期固废主要为生活垃圾、</w:t>
            </w:r>
            <w:r>
              <w:rPr>
                <w:rFonts w:hint="eastAsia" w:ascii="Times New Roman" w:hAnsi="Times New Roman" w:eastAsia="宋体" w:cs="Times New Roman"/>
                <w:color w:val="auto"/>
                <w:sz w:val="24"/>
                <w:szCs w:val="24"/>
                <w:lang w:val="en-US" w:eastAsia="zh-CN"/>
              </w:rPr>
              <w:t>沉淀池</w:t>
            </w:r>
            <w:r>
              <w:rPr>
                <w:rFonts w:hint="default" w:ascii="Times New Roman" w:hAnsi="Times New Roman" w:eastAsia="宋体" w:cs="Times New Roman"/>
                <w:color w:val="auto"/>
                <w:sz w:val="24"/>
                <w:szCs w:val="24"/>
                <w:lang w:val="en-US" w:eastAsia="zh-CN"/>
              </w:rPr>
              <w:t>产生的沉渣和沉砂、废气处理系统收集的粉尘、</w:t>
            </w:r>
            <w:r>
              <w:rPr>
                <w:rFonts w:hint="eastAsia" w:ascii="Times New Roman" w:hAnsi="Times New Roman" w:eastAsia="宋体" w:cs="Times New Roman"/>
                <w:color w:val="auto"/>
                <w:sz w:val="24"/>
                <w:szCs w:val="24"/>
                <w:lang w:val="en-US" w:eastAsia="zh-CN"/>
              </w:rPr>
              <w:t>焊接工序产生的废焊丝熔渣等</w:t>
            </w:r>
            <w:r>
              <w:rPr>
                <w:rFonts w:hint="default" w:ascii="Times New Roman" w:hAnsi="Times New Roman" w:eastAsia="宋体" w:cs="Times New Roman"/>
                <w:color w:val="auto"/>
                <w:sz w:val="24"/>
                <w:szCs w:val="24"/>
                <w:lang w:val="en-US" w:eastAsia="zh-CN"/>
              </w:rPr>
              <w:t>、预处理池产生的污泥、</w:t>
            </w:r>
            <w:r>
              <w:rPr>
                <w:rFonts w:hint="eastAsia" w:ascii="Times New Roman" w:hAnsi="Times New Roman" w:eastAsia="宋体" w:cs="Times New Roman"/>
                <w:color w:val="auto"/>
                <w:sz w:val="24"/>
                <w:szCs w:val="24"/>
                <w:lang w:val="en-US" w:eastAsia="zh-CN"/>
              </w:rPr>
              <w:t>机加工工序产生的钢筋头和不锈钢边角料</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废机油、废</w:t>
            </w:r>
            <w:r>
              <w:rPr>
                <w:rFonts w:hint="eastAsia" w:ascii="Times New Roman" w:hAnsi="Times New Roman" w:eastAsia="宋体" w:cs="Times New Roman"/>
                <w:color w:val="auto"/>
                <w:sz w:val="24"/>
                <w:szCs w:val="24"/>
                <w:lang w:val="en-US" w:eastAsia="zh-CN"/>
              </w:rPr>
              <w:t>含有抹布手套</w:t>
            </w:r>
            <w:r>
              <w:rPr>
                <w:rFonts w:hint="default" w:ascii="Times New Roman" w:hAnsi="Times New Roman" w:eastAsia="宋体" w:cs="Times New Roman"/>
                <w:color w:val="auto"/>
                <w:sz w:val="24"/>
                <w:szCs w:val="24"/>
              </w:rPr>
              <w:t>。生活垃圾由厂区内的垃圾桶收集后由当地环卫部门统一清运处理；沉淀池泥沙定期清掏晾</w:t>
            </w:r>
            <w:r>
              <w:rPr>
                <w:rFonts w:hint="eastAsia" w:cs="Times New Roman"/>
                <w:color w:val="auto"/>
                <w:sz w:val="24"/>
                <w:szCs w:val="24"/>
                <w:lang w:val="en-US" w:eastAsia="zh-CN"/>
              </w:rPr>
              <w:t>回用生产</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废气处理系统收集的粉尘</w:t>
            </w:r>
            <w:r>
              <w:rPr>
                <w:rFonts w:hint="eastAsia" w:ascii="Times New Roman" w:hAnsi="Times New Roman" w:cs="Times New Roman"/>
                <w:color w:val="auto"/>
                <w:sz w:val="24"/>
                <w:szCs w:val="24"/>
                <w:lang w:val="en-US" w:eastAsia="zh-CN"/>
              </w:rPr>
              <w:t>回用于生产；预处理池污泥</w:t>
            </w:r>
            <w:r>
              <w:rPr>
                <w:rFonts w:hint="eastAsia" w:cs="Times New Roman"/>
                <w:color w:val="auto"/>
                <w:sz w:val="24"/>
                <w:szCs w:val="24"/>
                <w:lang w:val="en-US" w:eastAsia="zh-CN"/>
              </w:rPr>
              <w:t>用于周边农田农肥</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废焊丝熔渣</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钢筋头和不锈钢边角料</w:t>
            </w:r>
            <w:r>
              <w:rPr>
                <w:rFonts w:hint="eastAsia" w:ascii="Times New Roman" w:hAnsi="Times New Roman" w:cs="Times New Roman"/>
                <w:color w:val="auto"/>
                <w:sz w:val="24"/>
                <w:szCs w:val="24"/>
                <w:lang w:val="en-US" w:eastAsia="zh-CN"/>
              </w:rPr>
              <w:t>定期外售给废品收购站；废机油和废含油抹布手套属危险废物，统一收集暂存于危废暂存间内，定期交由有资质的单位处置。</w:t>
            </w:r>
          </w:p>
          <w:p w14:paraId="0C82F1B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综上所述，本项目产生的固体废弃物去向明确且得到有效处置，可有效地防止固体废弃物对环境的污染，对周围环境影响甚小。</w:t>
            </w:r>
          </w:p>
          <w:p w14:paraId="31500402">
            <w:pPr>
              <w:spacing w:line="360" w:lineRule="auto"/>
              <w:ind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（六）</w:t>
            </w:r>
            <w:r>
              <w:rPr>
                <w:rFonts w:hint="default" w:ascii="Times New Roman" w:hAnsi="Times New Roman" w:eastAsia="宋体" w:cs="Times New Roman"/>
                <w:b/>
                <w:bCs/>
                <w:color w:val="auto"/>
                <w:sz w:val="24"/>
                <w:szCs w:val="24"/>
              </w:rPr>
              <w:t>土壤环境</w:t>
            </w:r>
            <w:r>
              <w:rPr>
                <w:rFonts w:hint="default" w:ascii="Times New Roman" w:hAnsi="Times New Roman" w:eastAsia="宋体" w:cs="Times New Roman"/>
                <w:b/>
                <w:color w:val="auto"/>
                <w:sz w:val="24"/>
                <w:szCs w:val="24"/>
              </w:rPr>
              <w:t>影响分析</w:t>
            </w:r>
          </w:p>
          <w:p w14:paraId="37054CF6">
            <w:pPr>
              <w:pStyle w:val="2"/>
              <w:numPr>
                <w:ilvl w:val="0"/>
                <w:numId w:val="0"/>
              </w:numPr>
              <w:spacing w:line="360" w:lineRule="auto"/>
              <w:ind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1、评价工作等级</w:t>
            </w:r>
          </w:p>
          <w:p w14:paraId="6DC9ACB3">
            <w:pPr>
              <w:pStyle w:val="2"/>
              <w:numPr>
                <w:ilvl w:val="0"/>
                <w:numId w:val="0"/>
              </w:numPr>
              <w:spacing w:line="360" w:lineRule="auto"/>
              <w:ind w:firstLine="480" w:firstLineChars="200"/>
              <w:rPr>
                <w:rFonts w:hint="default" w:ascii="Times New Roman" w:hAnsi="Times New Roman" w:cs="Times New Roman"/>
                <w:b/>
                <w:bCs/>
                <w:color w:val="auto"/>
                <w:lang w:val="en-US" w:eastAsia="zh-CN"/>
              </w:rPr>
            </w:pPr>
            <w:r>
              <w:rPr>
                <w:rFonts w:hint="default" w:ascii="Times New Roman" w:hAnsi="Times New Roman" w:cs="Times New Roman"/>
                <w:b w:val="0"/>
                <w:bCs w:val="0"/>
                <w:color w:val="auto"/>
                <w:lang w:val="en-US" w:eastAsia="zh-CN"/>
              </w:rPr>
              <w:t>土壤环境影响等级的划分应依据《环境影响评价技术导则 土壤环境（试行）》（HJ 964-2018）进行判定，详见表</w:t>
            </w:r>
            <w:r>
              <w:rPr>
                <w:rFonts w:hint="eastAsia" w:ascii="Times New Roman" w:cs="Times New Roman"/>
                <w:b w:val="0"/>
                <w:bCs w:val="0"/>
                <w:color w:val="auto"/>
                <w:lang w:val="en-US" w:eastAsia="zh-CN"/>
              </w:rPr>
              <w:t>7-23</w:t>
            </w:r>
            <w:r>
              <w:rPr>
                <w:rFonts w:hint="default" w:ascii="Times New Roman" w:hAnsi="Times New Roman" w:cs="Times New Roman"/>
                <w:b w:val="0"/>
                <w:bCs w:val="0"/>
                <w:color w:val="auto"/>
                <w:lang w:val="en-US" w:eastAsia="zh-CN"/>
              </w:rPr>
              <w:t>~表</w:t>
            </w:r>
            <w:r>
              <w:rPr>
                <w:rFonts w:hint="eastAsia" w:ascii="Times New Roman" w:cs="Times New Roman"/>
                <w:b w:val="0"/>
                <w:bCs w:val="0"/>
                <w:color w:val="auto"/>
                <w:lang w:val="en-US" w:eastAsia="zh-CN"/>
              </w:rPr>
              <w:t>7-26</w:t>
            </w:r>
            <w:r>
              <w:rPr>
                <w:rFonts w:hint="default" w:ascii="Times New Roman" w:hAnsi="Times New Roman" w:cs="Times New Roman"/>
                <w:b w:val="0"/>
                <w:bCs w:val="0"/>
                <w:color w:val="auto"/>
                <w:lang w:val="en-US" w:eastAsia="zh-CN"/>
              </w:rPr>
              <w:t>。</w:t>
            </w:r>
          </w:p>
          <w:p w14:paraId="2891595A">
            <w:pPr>
              <w:pStyle w:val="2"/>
              <w:numPr>
                <w:ilvl w:val="0"/>
                <w:numId w:val="0"/>
              </w:numPr>
              <w:spacing w:line="360" w:lineRule="auto"/>
              <w:ind w:firstLine="480" w:firstLineChars="20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（1）行业类别判定</w:t>
            </w:r>
          </w:p>
          <w:p w14:paraId="602BE508">
            <w:pPr>
              <w:pStyle w:val="2"/>
              <w:numPr>
                <w:ilvl w:val="0"/>
                <w:numId w:val="0"/>
              </w:numPr>
              <w:spacing w:line="360" w:lineRule="auto"/>
              <w:ind w:firstLine="422" w:firstLineChars="20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cs="Times New Roman"/>
                <w:b/>
                <w:bCs/>
                <w:color w:val="auto"/>
                <w:sz w:val="21"/>
                <w:szCs w:val="21"/>
                <w:lang w:val="en-US" w:eastAsia="zh-CN"/>
              </w:rPr>
              <w:t>7-23</w:t>
            </w:r>
            <w:r>
              <w:rPr>
                <w:rFonts w:hint="default" w:ascii="Times New Roman" w:hAnsi="Times New Roman" w:cs="Times New Roman"/>
                <w:b/>
                <w:bCs/>
                <w:color w:val="auto"/>
                <w:sz w:val="21"/>
                <w:szCs w:val="21"/>
                <w:lang w:val="en-US" w:eastAsia="zh-CN"/>
              </w:rPr>
              <w:t xml:space="preserve"> 本项目所属行业类别</w:t>
            </w:r>
          </w:p>
          <w:tbl>
            <w:tblPr>
              <w:tblStyle w:val="23"/>
              <w:tblW w:w="97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99"/>
              <w:gridCol w:w="1813"/>
              <w:gridCol w:w="2399"/>
              <w:gridCol w:w="713"/>
              <w:gridCol w:w="712"/>
              <w:gridCol w:w="1931"/>
            </w:tblGrid>
            <w:tr w14:paraId="67065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178" w:type="dxa"/>
                  <w:gridSpan w:val="2"/>
                  <w:vMerge w:val="restart"/>
                  <w:tcBorders>
                    <w:tl2br w:val="nil"/>
                    <w:tr2bl w:val="nil"/>
                  </w:tcBorders>
                  <w:vAlign w:val="center"/>
                </w:tcPr>
                <w:p w14:paraId="0F50144D">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行业类别</w:t>
                  </w:r>
                </w:p>
              </w:tc>
              <w:tc>
                <w:tcPr>
                  <w:tcW w:w="5637" w:type="dxa"/>
                  <w:gridSpan w:val="4"/>
                  <w:tcBorders>
                    <w:tl2br w:val="nil"/>
                    <w:tr2bl w:val="nil"/>
                  </w:tcBorders>
                  <w:vAlign w:val="center"/>
                </w:tcPr>
                <w:p w14:paraId="74C12B0B">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项目类别</w:t>
                  </w:r>
                </w:p>
              </w:tc>
              <w:tc>
                <w:tcPr>
                  <w:tcW w:w="1931" w:type="dxa"/>
                  <w:vMerge w:val="restart"/>
                  <w:tcBorders>
                    <w:tl2br w:val="nil"/>
                    <w:tr2bl w:val="nil"/>
                  </w:tcBorders>
                  <w:vAlign w:val="center"/>
                </w:tcPr>
                <w:p w14:paraId="202658EC">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本项目类别</w:t>
                  </w:r>
                </w:p>
              </w:tc>
            </w:tr>
            <w:tr w14:paraId="26D49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gridSpan w:val="2"/>
                  <w:vMerge w:val="continue"/>
                  <w:tcBorders>
                    <w:tl2br w:val="nil"/>
                    <w:tr2bl w:val="nil"/>
                  </w:tcBorders>
                  <w:vAlign w:val="center"/>
                </w:tcPr>
                <w:p w14:paraId="38568E49">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p>
              </w:tc>
              <w:tc>
                <w:tcPr>
                  <w:tcW w:w="1813" w:type="dxa"/>
                  <w:tcBorders>
                    <w:tl2br w:val="nil"/>
                    <w:tr2bl w:val="nil"/>
                  </w:tcBorders>
                  <w:vAlign w:val="center"/>
                </w:tcPr>
                <w:p w14:paraId="69969946">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Ⅰ</w:t>
                  </w:r>
                  <w:r>
                    <w:rPr>
                      <w:rFonts w:hint="default" w:ascii="Times New Roman" w:hAnsi="Times New Roman" w:cs="Times New Roman"/>
                      <w:b w:val="0"/>
                      <w:bCs w:val="0"/>
                      <w:color w:val="auto"/>
                      <w:sz w:val="21"/>
                      <w:szCs w:val="21"/>
                      <w:vertAlign w:val="baseline"/>
                      <w:lang w:val="en-US" w:eastAsia="zh-CN"/>
                    </w:rPr>
                    <w:t>类</w:t>
                  </w:r>
                </w:p>
              </w:tc>
              <w:tc>
                <w:tcPr>
                  <w:tcW w:w="2399" w:type="dxa"/>
                  <w:tcBorders>
                    <w:tl2br w:val="nil"/>
                    <w:tr2bl w:val="nil"/>
                  </w:tcBorders>
                  <w:vAlign w:val="center"/>
                </w:tcPr>
                <w:p w14:paraId="1CF13EC5">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Ⅱ</w:t>
                  </w:r>
                  <w:r>
                    <w:rPr>
                      <w:rFonts w:hint="default" w:ascii="Times New Roman" w:hAnsi="Times New Roman" w:cs="Times New Roman"/>
                      <w:b w:val="0"/>
                      <w:bCs w:val="0"/>
                      <w:color w:val="auto"/>
                      <w:sz w:val="21"/>
                      <w:szCs w:val="21"/>
                      <w:vertAlign w:val="baseline"/>
                      <w:lang w:val="en-US" w:eastAsia="zh-CN"/>
                    </w:rPr>
                    <w:t>类</w:t>
                  </w:r>
                </w:p>
              </w:tc>
              <w:tc>
                <w:tcPr>
                  <w:tcW w:w="713" w:type="dxa"/>
                  <w:tcBorders>
                    <w:tl2br w:val="nil"/>
                    <w:tr2bl w:val="nil"/>
                  </w:tcBorders>
                  <w:vAlign w:val="center"/>
                </w:tcPr>
                <w:p w14:paraId="3B6E8F30">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Ⅲ</w:t>
                  </w:r>
                  <w:r>
                    <w:rPr>
                      <w:rFonts w:hint="default" w:ascii="Times New Roman" w:hAnsi="Times New Roman" w:cs="Times New Roman"/>
                      <w:b/>
                      <w:bCs/>
                      <w:color w:val="auto"/>
                      <w:sz w:val="21"/>
                      <w:szCs w:val="21"/>
                      <w:vertAlign w:val="baseline"/>
                      <w:lang w:val="en-US" w:eastAsia="zh-CN"/>
                    </w:rPr>
                    <w:t>类</w:t>
                  </w:r>
                </w:p>
              </w:tc>
              <w:tc>
                <w:tcPr>
                  <w:tcW w:w="712" w:type="dxa"/>
                  <w:tcBorders>
                    <w:tl2br w:val="nil"/>
                    <w:tr2bl w:val="nil"/>
                  </w:tcBorders>
                  <w:vAlign w:val="center"/>
                </w:tcPr>
                <w:p w14:paraId="32CBEF43">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Ⅳ</w:t>
                  </w:r>
                  <w:r>
                    <w:rPr>
                      <w:rFonts w:hint="default" w:ascii="Times New Roman" w:hAnsi="Times New Roman" w:cs="Times New Roman"/>
                      <w:b w:val="0"/>
                      <w:bCs w:val="0"/>
                      <w:color w:val="auto"/>
                      <w:sz w:val="21"/>
                      <w:szCs w:val="21"/>
                      <w:vertAlign w:val="baseline"/>
                      <w:lang w:val="en-US" w:eastAsia="zh-CN"/>
                    </w:rPr>
                    <w:t>类</w:t>
                  </w:r>
                </w:p>
              </w:tc>
              <w:tc>
                <w:tcPr>
                  <w:tcW w:w="1931" w:type="dxa"/>
                  <w:vMerge w:val="continue"/>
                  <w:tcBorders>
                    <w:tl2br w:val="nil"/>
                    <w:tr2bl w:val="nil"/>
                  </w:tcBorders>
                  <w:vAlign w:val="center"/>
                </w:tcPr>
                <w:p w14:paraId="7651DFCE">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p>
              </w:tc>
            </w:tr>
            <w:tr w14:paraId="20DA1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679" w:type="dxa"/>
                  <w:vMerge w:val="restart"/>
                  <w:tcBorders>
                    <w:tl2br w:val="nil"/>
                    <w:tr2bl w:val="nil"/>
                  </w:tcBorders>
                  <w:vAlign w:val="center"/>
                </w:tcPr>
                <w:p w14:paraId="4C2C48EE">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制造业</w:t>
                  </w:r>
                </w:p>
              </w:tc>
              <w:tc>
                <w:tcPr>
                  <w:tcW w:w="1499" w:type="dxa"/>
                  <w:tcBorders>
                    <w:tl2br w:val="nil"/>
                    <w:tr2bl w:val="nil"/>
                  </w:tcBorders>
                  <w:vAlign w:val="center"/>
                </w:tcPr>
                <w:p w14:paraId="6F558EDF">
                  <w:pPr>
                    <w:pStyle w:val="2"/>
                    <w:numPr>
                      <w:ilvl w:val="0"/>
                      <w:numId w:val="0"/>
                    </w:numPr>
                    <w:spacing w:line="240" w:lineRule="auto"/>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金属冶炼和压延加工及非金属矿物制品</w:t>
                  </w:r>
                </w:p>
              </w:tc>
              <w:tc>
                <w:tcPr>
                  <w:tcW w:w="1813" w:type="dxa"/>
                  <w:tcBorders>
                    <w:tl2br w:val="nil"/>
                    <w:tr2bl w:val="nil"/>
                  </w:tcBorders>
                  <w:vAlign w:val="center"/>
                </w:tcPr>
                <w:p w14:paraId="712BC01B">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有色金属冶炼（含再生有色金属冶炼）</w:t>
                  </w:r>
                </w:p>
              </w:tc>
              <w:tc>
                <w:tcPr>
                  <w:tcW w:w="2399" w:type="dxa"/>
                  <w:tcBorders>
                    <w:tl2br w:val="nil"/>
                    <w:tr2bl w:val="nil"/>
                  </w:tcBorders>
                  <w:vAlign w:val="center"/>
                </w:tcPr>
                <w:p w14:paraId="63810F55">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有色金属铸造及合金制造；炼铁；球团；烧结炼钢；冷轧压延加工；铬铁合金制造；水泥制造；平板玻璃制造；石棉制品；含焙烧的石墨</w:t>
                  </w:r>
                </w:p>
              </w:tc>
              <w:tc>
                <w:tcPr>
                  <w:tcW w:w="713" w:type="dxa"/>
                  <w:tcBorders>
                    <w:tl2br w:val="nil"/>
                    <w:tr2bl w:val="nil"/>
                  </w:tcBorders>
                  <w:vAlign w:val="center"/>
                </w:tcPr>
                <w:p w14:paraId="10264A07">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其他</w:t>
                  </w:r>
                </w:p>
              </w:tc>
              <w:tc>
                <w:tcPr>
                  <w:tcW w:w="712" w:type="dxa"/>
                  <w:tcBorders>
                    <w:tl2br w:val="nil"/>
                    <w:tr2bl w:val="nil"/>
                  </w:tcBorders>
                  <w:vAlign w:val="center"/>
                </w:tcPr>
                <w:p w14:paraId="672C715A">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w:t>
                  </w:r>
                </w:p>
              </w:tc>
              <w:tc>
                <w:tcPr>
                  <w:tcW w:w="1931" w:type="dxa"/>
                  <w:tcBorders>
                    <w:tl2br w:val="nil"/>
                    <w:tr2bl w:val="nil"/>
                  </w:tcBorders>
                  <w:vAlign w:val="center"/>
                </w:tcPr>
                <w:p w14:paraId="3C2D0367">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本项目为非金属矿物制造中的“其他”类，</w:t>
                  </w:r>
                  <w:r>
                    <w:rPr>
                      <w:rFonts w:hint="default" w:ascii="Times New Roman" w:hAnsi="Times New Roman" w:cs="Times New Roman"/>
                      <w:b w:val="0"/>
                      <w:bCs w:val="0"/>
                      <w:color w:val="auto"/>
                      <w:sz w:val="21"/>
                      <w:szCs w:val="21"/>
                      <w:vertAlign w:val="baseline"/>
                      <w:lang w:val="en-US" w:eastAsia="zh-CN"/>
                    </w:rPr>
                    <w:t>行业类别为</w:t>
                  </w:r>
                  <w:r>
                    <w:rPr>
                      <w:rFonts w:hint="default" w:ascii="Times New Roman" w:hAnsi="Times New Roman" w:eastAsia="宋体" w:cs="Times New Roman"/>
                      <w:b w:val="0"/>
                      <w:bCs w:val="0"/>
                      <w:color w:val="auto"/>
                      <w:sz w:val="21"/>
                      <w:szCs w:val="21"/>
                      <w:vertAlign w:val="baseline"/>
                      <w:lang w:val="en-US" w:eastAsia="zh-CN"/>
                    </w:rPr>
                    <w:t>Ⅲ</w:t>
                  </w:r>
                  <w:r>
                    <w:rPr>
                      <w:rFonts w:hint="default" w:ascii="Times New Roman" w:hAnsi="Times New Roman" w:cs="Times New Roman"/>
                      <w:b w:val="0"/>
                      <w:bCs w:val="0"/>
                      <w:color w:val="auto"/>
                      <w:sz w:val="21"/>
                      <w:szCs w:val="21"/>
                      <w:vertAlign w:val="baseline"/>
                      <w:lang w:val="en-US" w:eastAsia="zh-CN"/>
                    </w:rPr>
                    <w:t>类</w:t>
                  </w:r>
                </w:p>
              </w:tc>
            </w:tr>
            <w:tr w14:paraId="67750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tcBorders>
                    <w:tl2br w:val="nil"/>
                    <w:tr2bl w:val="nil"/>
                  </w:tcBorders>
                  <w:vAlign w:val="center"/>
                </w:tcPr>
                <w:p w14:paraId="6EA7B688">
                  <w:pPr>
                    <w:pStyle w:val="2"/>
                    <w:numPr>
                      <w:ilvl w:val="0"/>
                      <w:numId w:val="0"/>
                    </w:numPr>
                    <w:spacing w:line="240" w:lineRule="auto"/>
                    <w:jc w:val="center"/>
                    <w:rPr>
                      <w:rFonts w:hint="eastAsia" w:ascii="Times New Roman" w:cs="Times New Roman"/>
                      <w:b w:val="0"/>
                      <w:bCs w:val="0"/>
                      <w:color w:val="auto"/>
                      <w:sz w:val="21"/>
                      <w:szCs w:val="21"/>
                      <w:vertAlign w:val="baseline"/>
                      <w:lang w:val="en-US" w:eastAsia="zh-CN"/>
                    </w:rPr>
                  </w:pPr>
                </w:p>
              </w:tc>
              <w:tc>
                <w:tcPr>
                  <w:tcW w:w="1499" w:type="dxa"/>
                  <w:tcBorders>
                    <w:tl2br w:val="nil"/>
                    <w:tr2bl w:val="nil"/>
                  </w:tcBorders>
                  <w:vAlign w:val="center"/>
                </w:tcPr>
                <w:p w14:paraId="71879239">
                  <w:pPr>
                    <w:pStyle w:val="2"/>
                    <w:numPr>
                      <w:ilvl w:val="0"/>
                      <w:numId w:val="0"/>
                    </w:numPr>
                    <w:spacing w:line="240" w:lineRule="auto"/>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设备制造、金属制品、汽车 制造及其他用品制造</w:t>
                  </w:r>
                </w:p>
              </w:tc>
              <w:tc>
                <w:tcPr>
                  <w:tcW w:w="1813" w:type="dxa"/>
                  <w:tcBorders>
                    <w:tl2br w:val="nil"/>
                    <w:tr2bl w:val="nil"/>
                  </w:tcBorders>
                  <w:vAlign w:val="center"/>
                </w:tcPr>
                <w:p w14:paraId="6C1CAA3E">
                  <w:pPr>
                    <w:pStyle w:val="2"/>
                    <w:numPr>
                      <w:ilvl w:val="0"/>
                      <w:numId w:val="0"/>
                    </w:numPr>
                    <w:spacing w:line="240" w:lineRule="auto"/>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有电镀工艺的、金属制品表面处理及热处理加工的；使用有机涂层的（喷粉、喷塑和电泳除外）；有钝化工艺的热镀锌</w:t>
                  </w:r>
                </w:p>
              </w:tc>
              <w:tc>
                <w:tcPr>
                  <w:tcW w:w="2399" w:type="dxa"/>
                  <w:tcBorders>
                    <w:tl2br w:val="nil"/>
                    <w:tr2bl w:val="nil"/>
                  </w:tcBorders>
                  <w:vAlign w:val="center"/>
                </w:tcPr>
                <w:p w14:paraId="1B8C5DB9">
                  <w:pPr>
                    <w:pStyle w:val="2"/>
                    <w:numPr>
                      <w:ilvl w:val="0"/>
                      <w:numId w:val="0"/>
                    </w:numPr>
                    <w:spacing w:line="240" w:lineRule="auto"/>
                    <w:jc w:val="center"/>
                    <w:rPr>
                      <w:rFonts w:hint="default"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有化学处理工艺的</w:t>
                  </w:r>
                </w:p>
              </w:tc>
              <w:tc>
                <w:tcPr>
                  <w:tcW w:w="713" w:type="dxa"/>
                  <w:tcBorders>
                    <w:tl2br w:val="nil"/>
                    <w:tr2bl w:val="nil"/>
                  </w:tcBorders>
                  <w:vAlign w:val="center"/>
                </w:tcPr>
                <w:p w14:paraId="19A8AE37">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cs="Times New Roman"/>
                      <w:b/>
                      <w:bCs/>
                      <w:color w:val="auto"/>
                      <w:sz w:val="21"/>
                      <w:szCs w:val="21"/>
                      <w:vertAlign w:val="baseline"/>
                      <w:lang w:val="en-US" w:eastAsia="zh-CN"/>
                    </w:rPr>
                    <w:t>其他</w:t>
                  </w:r>
                </w:p>
              </w:tc>
              <w:tc>
                <w:tcPr>
                  <w:tcW w:w="712" w:type="dxa"/>
                  <w:tcBorders>
                    <w:tl2br w:val="nil"/>
                    <w:tr2bl w:val="nil"/>
                  </w:tcBorders>
                  <w:vAlign w:val="center"/>
                </w:tcPr>
                <w:p w14:paraId="26039499">
                  <w:pPr>
                    <w:pStyle w:val="2"/>
                    <w:numPr>
                      <w:ilvl w:val="0"/>
                      <w:numId w:val="0"/>
                    </w:numPr>
                    <w:spacing w:line="240" w:lineRule="auto"/>
                    <w:jc w:val="center"/>
                    <w:rPr>
                      <w:rFonts w:hint="eastAsia"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w:t>
                  </w:r>
                </w:p>
              </w:tc>
              <w:tc>
                <w:tcPr>
                  <w:tcW w:w="1931" w:type="dxa"/>
                  <w:tcBorders>
                    <w:tl2br w:val="nil"/>
                    <w:tr2bl w:val="nil"/>
                  </w:tcBorders>
                  <w:vAlign w:val="center"/>
                </w:tcPr>
                <w:p w14:paraId="0D7B87F5">
                  <w:pPr>
                    <w:pStyle w:val="2"/>
                    <w:numPr>
                      <w:ilvl w:val="0"/>
                      <w:numId w:val="0"/>
                    </w:numPr>
                    <w:spacing w:line="240" w:lineRule="auto"/>
                    <w:jc w:val="center"/>
                    <w:rPr>
                      <w:rFonts w:hint="eastAsia" w:ascii="Times New Roman"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本项目为金属制品中的“其他”类，</w:t>
                  </w:r>
                  <w:r>
                    <w:rPr>
                      <w:rFonts w:hint="default" w:ascii="Times New Roman" w:hAnsi="Times New Roman" w:cs="Times New Roman"/>
                      <w:b w:val="0"/>
                      <w:bCs w:val="0"/>
                      <w:color w:val="auto"/>
                      <w:sz w:val="21"/>
                      <w:szCs w:val="21"/>
                      <w:vertAlign w:val="baseline"/>
                      <w:lang w:val="en-US" w:eastAsia="zh-CN"/>
                    </w:rPr>
                    <w:t>行业类别为</w:t>
                  </w:r>
                  <w:r>
                    <w:rPr>
                      <w:rFonts w:hint="default" w:ascii="Times New Roman" w:hAnsi="Times New Roman" w:eastAsia="宋体" w:cs="Times New Roman"/>
                      <w:b w:val="0"/>
                      <w:bCs w:val="0"/>
                      <w:color w:val="auto"/>
                      <w:sz w:val="21"/>
                      <w:szCs w:val="21"/>
                      <w:vertAlign w:val="baseline"/>
                      <w:lang w:val="en-US" w:eastAsia="zh-CN"/>
                    </w:rPr>
                    <w:t>Ⅲ</w:t>
                  </w:r>
                  <w:r>
                    <w:rPr>
                      <w:rFonts w:hint="default" w:ascii="Times New Roman" w:hAnsi="Times New Roman" w:cs="Times New Roman"/>
                      <w:b w:val="0"/>
                      <w:bCs w:val="0"/>
                      <w:color w:val="auto"/>
                      <w:sz w:val="21"/>
                      <w:szCs w:val="21"/>
                      <w:vertAlign w:val="baseline"/>
                      <w:lang w:val="en-US" w:eastAsia="zh-CN"/>
                    </w:rPr>
                    <w:t>类</w:t>
                  </w:r>
                </w:p>
              </w:tc>
            </w:tr>
          </w:tbl>
          <w:p w14:paraId="716808BE">
            <w:pPr>
              <w:pStyle w:val="2"/>
              <w:numPr>
                <w:ilvl w:val="0"/>
                <w:numId w:val="3"/>
              </w:numPr>
              <w:spacing w:line="360" w:lineRule="auto"/>
              <w:ind w:left="0" w:leftChars="0" w:firstLine="360" w:firstLineChars="15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占地规模判定</w:t>
            </w:r>
          </w:p>
          <w:p w14:paraId="28CFFA52">
            <w:pPr>
              <w:pStyle w:val="2"/>
              <w:numPr>
                <w:ilvl w:val="0"/>
                <w:numId w:val="0"/>
              </w:numPr>
              <w:spacing w:line="360" w:lineRule="auto"/>
              <w:ind w:leftChars="15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cs="Times New Roman"/>
                <w:b/>
                <w:bCs/>
                <w:color w:val="auto"/>
                <w:sz w:val="21"/>
                <w:szCs w:val="21"/>
                <w:lang w:val="en-US" w:eastAsia="zh-CN"/>
              </w:rPr>
              <w:t>7-24</w:t>
            </w:r>
            <w:r>
              <w:rPr>
                <w:rFonts w:hint="default" w:ascii="Times New Roman" w:hAnsi="Times New Roman" w:cs="Times New Roman"/>
                <w:b/>
                <w:bCs/>
                <w:color w:val="auto"/>
                <w:sz w:val="21"/>
                <w:szCs w:val="21"/>
                <w:lang w:val="en-US" w:eastAsia="zh-CN"/>
              </w:rPr>
              <w:t xml:space="preserve"> 本项目占地规模</w:t>
            </w:r>
          </w:p>
          <w:tbl>
            <w:tblPr>
              <w:tblStyle w:val="23"/>
              <w:tblW w:w="97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49"/>
              <w:gridCol w:w="3248"/>
              <w:gridCol w:w="3249"/>
            </w:tblGrid>
            <w:tr w14:paraId="4AD74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3BA63CAE">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占地规模</w:t>
                  </w:r>
                </w:p>
              </w:tc>
              <w:tc>
                <w:tcPr>
                  <w:tcW w:w="3248" w:type="dxa"/>
                  <w:tcBorders>
                    <w:tl2br w:val="nil"/>
                    <w:tr2bl w:val="nil"/>
                  </w:tcBorders>
                  <w:vAlign w:val="center"/>
                </w:tcPr>
                <w:p w14:paraId="1647F6D9">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具体规模</w:t>
                  </w:r>
                </w:p>
              </w:tc>
              <w:tc>
                <w:tcPr>
                  <w:tcW w:w="3249" w:type="dxa"/>
                  <w:tcBorders>
                    <w:tl2br w:val="nil"/>
                    <w:tr2bl w:val="nil"/>
                  </w:tcBorders>
                  <w:vAlign w:val="center"/>
                </w:tcPr>
                <w:p w14:paraId="48C1DD14">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w:t>
                  </w:r>
                </w:p>
              </w:tc>
            </w:tr>
            <w:tr w14:paraId="3EFAD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0DE46D97">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大型</w:t>
                  </w:r>
                </w:p>
              </w:tc>
              <w:tc>
                <w:tcPr>
                  <w:tcW w:w="3248" w:type="dxa"/>
                  <w:tcBorders>
                    <w:tl2br w:val="nil"/>
                    <w:tr2bl w:val="nil"/>
                  </w:tcBorders>
                  <w:vAlign w:val="center"/>
                </w:tcPr>
                <w:p w14:paraId="1A58EBCC">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≥50hm²</w:t>
                  </w:r>
                </w:p>
              </w:tc>
              <w:tc>
                <w:tcPr>
                  <w:tcW w:w="3249" w:type="dxa"/>
                  <w:vMerge w:val="restart"/>
                  <w:tcBorders>
                    <w:tl2br w:val="nil"/>
                    <w:tr2bl w:val="nil"/>
                  </w:tcBorders>
                  <w:vAlign w:val="center"/>
                </w:tcPr>
                <w:p w14:paraId="013A6B04">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本项目占地</w:t>
                  </w:r>
                  <w:r>
                    <w:rPr>
                      <w:rFonts w:hint="eastAsia" w:ascii="Times New Roman" w:cs="Times New Roman"/>
                      <w:b w:val="0"/>
                      <w:bCs w:val="0"/>
                      <w:color w:val="auto"/>
                      <w:sz w:val="21"/>
                      <w:szCs w:val="21"/>
                      <w:vertAlign w:val="baseline"/>
                      <w:lang w:val="en-US" w:eastAsia="zh-CN"/>
                    </w:rPr>
                    <w:t>2454.84</w:t>
                  </w:r>
                  <w:r>
                    <w:rPr>
                      <w:rFonts w:hint="default" w:ascii="Times New Roman" w:hAnsi="Times New Roman" w:cs="Times New Roman"/>
                      <w:b w:val="0"/>
                      <w:bCs w:val="0"/>
                      <w:color w:val="auto"/>
                      <w:sz w:val="21"/>
                      <w:szCs w:val="21"/>
                      <w:vertAlign w:val="baseline"/>
                      <w:lang w:val="en-US" w:eastAsia="zh-CN"/>
                    </w:rPr>
                    <w:t>m²，约</w:t>
                  </w:r>
                  <w:r>
                    <w:rPr>
                      <w:rFonts w:hint="eastAsia" w:ascii="Times New Roman" w:cs="Times New Roman"/>
                      <w:b w:val="0"/>
                      <w:bCs w:val="0"/>
                      <w:color w:val="auto"/>
                      <w:sz w:val="21"/>
                      <w:szCs w:val="21"/>
                      <w:vertAlign w:val="baseline"/>
                      <w:lang w:val="en-US" w:eastAsia="zh-CN"/>
                    </w:rPr>
                    <w:t>0.245</w:t>
                  </w:r>
                  <w:r>
                    <w:rPr>
                      <w:rFonts w:hint="default" w:ascii="Times New Roman" w:hAnsi="Times New Roman" w:cs="Times New Roman"/>
                      <w:b w:val="0"/>
                      <w:bCs w:val="0"/>
                      <w:color w:val="auto"/>
                      <w:sz w:val="21"/>
                      <w:szCs w:val="21"/>
                      <w:vertAlign w:val="baseline"/>
                      <w:lang w:val="en-US" w:eastAsia="zh-CN"/>
                    </w:rPr>
                    <w:t>hm²，属于小型项目</w:t>
                  </w:r>
                </w:p>
              </w:tc>
            </w:tr>
            <w:tr w14:paraId="0D0E1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74568BEE">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中型</w:t>
                  </w:r>
                </w:p>
              </w:tc>
              <w:tc>
                <w:tcPr>
                  <w:tcW w:w="3248" w:type="dxa"/>
                  <w:tcBorders>
                    <w:tl2br w:val="nil"/>
                    <w:tr2bl w:val="nil"/>
                  </w:tcBorders>
                  <w:vAlign w:val="center"/>
                </w:tcPr>
                <w:p w14:paraId="212881A1">
                  <w:pPr>
                    <w:pStyle w:val="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5~50hm²</w:t>
                  </w:r>
                </w:p>
              </w:tc>
              <w:tc>
                <w:tcPr>
                  <w:tcW w:w="3249" w:type="dxa"/>
                  <w:vMerge w:val="continue"/>
                  <w:tcBorders>
                    <w:tl2br w:val="nil"/>
                    <w:tr2bl w:val="nil"/>
                  </w:tcBorders>
                  <w:vAlign w:val="center"/>
                </w:tcPr>
                <w:p w14:paraId="109ED2EC">
                  <w:pPr>
                    <w:pStyle w:val="2"/>
                    <w:numPr>
                      <w:ilvl w:val="0"/>
                      <w:numId w:val="0"/>
                    </w:numPr>
                    <w:spacing w:line="360" w:lineRule="auto"/>
                    <w:jc w:val="center"/>
                    <w:rPr>
                      <w:rFonts w:hint="default" w:ascii="Times New Roman" w:hAnsi="Times New Roman" w:cs="Times New Roman"/>
                      <w:b w:val="0"/>
                      <w:bCs w:val="0"/>
                      <w:color w:val="auto"/>
                      <w:sz w:val="21"/>
                      <w:szCs w:val="21"/>
                      <w:vertAlign w:val="baseline"/>
                      <w:lang w:val="en-US" w:eastAsia="zh-CN"/>
                    </w:rPr>
                  </w:pPr>
                </w:p>
              </w:tc>
            </w:tr>
            <w:tr w14:paraId="1AF3B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9" w:type="dxa"/>
                  <w:tcBorders>
                    <w:tl2br w:val="nil"/>
                    <w:tr2bl w:val="nil"/>
                  </w:tcBorders>
                  <w:vAlign w:val="center"/>
                </w:tcPr>
                <w:p w14:paraId="70F4744F">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小型</w:t>
                  </w:r>
                </w:p>
              </w:tc>
              <w:tc>
                <w:tcPr>
                  <w:tcW w:w="3248" w:type="dxa"/>
                  <w:tcBorders>
                    <w:tl2br w:val="nil"/>
                    <w:tr2bl w:val="nil"/>
                  </w:tcBorders>
                  <w:vAlign w:val="center"/>
                </w:tcPr>
                <w:p w14:paraId="1805FBF0">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≤5hm²</w:t>
                  </w:r>
                </w:p>
              </w:tc>
              <w:tc>
                <w:tcPr>
                  <w:tcW w:w="3249" w:type="dxa"/>
                  <w:vMerge w:val="continue"/>
                  <w:tcBorders>
                    <w:tl2br w:val="nil"/>
                    <w:tr2bl w:val="nil"/>
                  </w:tcBorders>
                  <w:vAlign w:val="center"/>
                </w:tcPr>
                <w:p w14:paraId="0D0D7CB6">
                  <w:pPr>
                    <w:pStyle w:val="2"/>
                    <w:numPr>
                      <w:ilvl w:val="0"/>
                      <w:numId w:val="0"/>
                    </w:numPr>
                    <w:spacing w:line="360" w:lineRule="auto"/>
                    <w:jc w:val="center"/>
                    <w:rPr>
                      <w:rFonts w:hint="default" w:ascii="Times New Roman" w:hAnsi="Times New Roman" w:cs="Times New Roman"/>
                      <w:b w:val="0"/>
                      <w:bCs w:val="0"/>
                      <w:color w:val="auto"/>
                      <w:sz w:val="21"/>
                      <w:szCs w:val="21"/>
                      <w:vertAlign w:val="baseline"/>
                      <w:lang w:val="en-US" w:eastAsia="zh-CN"/>
                    </w:rPr>
                  </w:pPr>
                </w:p>
              </w:tc>
            </w:tr>
          </w:tbl>
          <w:p w14:paraId="0C3BCD13">
            <w:pPr>
              <w:numPr>
                <w:ilvl w:val="0"/>
                <w:numId w:val="3"/>
              </w:numPr>
              <w:spacing w:line="360" w:lineRule="auto"/>
              <w:ind w:left="0" w:leftChars="0" w:firstLine="360" w:firstLineChars="150"/>
              <w:rPr>
                <w:rFonts w:hint="default" w:ascii="Times New Roman" w:hAnsi="Times New Roman" w:cs="Times New Roman"/>
                <w:b w:val="0"/>
                <w:bCs/>
                <w:color w:val="auto"/>
                <w:sz w:val="24"/>
                <w:szCs w:val="24"/>
                <w:lang w:eastAsia="zh-CN"/>
              </w:rPr>
            </w:pPr>
            <w:r>
              <w:rPr>
                <w:rFonts w:hint="default" w:ascii="Times New Roman" w:hAnsi="Times New Roman" w:cs="Times New Roman"/>
                <w:b w:val="0"/>
                <w:bCs/>
                <w:color w:val="auto"/>
                <w:sz w:val="24"/>
                <w:szCs w:val="24"/>
                <w:lang w:eastAsia="zh-CN"/>
              </w:rPr>
              <w:t>污染影响型敏感程度分级表</w:t>
            </w:r>
          </w:p>
          <w:p w14:paraId="1E967E49">
            <w:pPr>
              <w:pStyle w:val="2"/>
              <w:numPr>
                <w:ilvl w:val="0"/>
                <w:numId w:val="0"/>
              </w:numPr>
              <w:spacing w:line="360" w:lineRule="auto"/>
              <w:ind w:leftChars="15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eastAsia" w:ascii="Times New Roman" w:cs="Times New Roman"/>
                <w:b/>
                <w:bCs/>
                <w:color w:val="auto"/>
                <w:sz w:val="21"/>
                <w:szCs w:val="21"/>
                <w:lang w:val="en-US" w:eastAsia="zh-CN"/>
              </w:rPr>
              <w:t>7-25</w:t>
            </w:r>
            <w:r>
              <w:rPr>
                <w:rFonts w:hint="default" w:ascii="Times New Roman" w:hAnsi="Times New Roman" w:cs="Times New Roman"/>
                <w:b/>
                <w:bCs/>
                <w:color w:val="auto"/>
                <w:sz w:val="21"/>
                <w:szCs w:val="21"/>
                <w:lang w:val="en-US" w:eastAsia="zh-CN"/>
              </w:rPr>
              <w:t xml:space="preserve"> 敏感程度分级</w:t>
            </w:r>
          </w:p>
          <w:tbl>
            <w:tblPr>
              <w:tblStyle w:val="23"/>
              <w:tblW w:w="97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5265"/>
              <w:gridCol w:w="3232"/>
            </w:tblGrid>
            <w:tr w14:paraId="69967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01C88773">
                  <w:pPr>
                    <w:pStyle w:val="2"/>
                    <w:numPr>
                      <w:ilvl w:val="0"/>
                      <w:numId w:val="0"/>
                    </w:numPr>
                    <w:spacing w:line="36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敏感程度</w:t>
                  </w:r>
                </w:p>
              </w:tc>
              <w:tc>
                <w:tcPr>
                  <w:tcW w:w="5265" w:type="dxa"/>
                  <w:tcBorders>
                    <w:tl2br w:val="nil"/>
                    <w:tr2bl w:val="nil"/>
                  </w:tcBorders>
                  <w:vAlign w:val="center"/>
                </w:tcPr>
                <w:p w14:paraId="615FF172">
                  <w:pPr>
                    <w:pStyle w:val="2"/>
                    <w:numPr>
                      <w:ilvl w:val="0"/>
                      <w:numId w:val="0"/>
                    </w:numPr>
                    <w:spacing w:line="36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判别依据</w:t>
                  </w:r>
                </w:p>
              </w:tc>
              <w:tc>
                <w:tcPr>
                  <w:tcW w:w="3232" w:type="dxa"/>
                  <w:tcBorders>
                    <w:tl2br w:val="nil"/>
                    <w:tr2bl w:val="nil"/>
                  </w:tcBorders>
                  <w:vAlign w:val="center"/>
                </w:tcPr>
                <w:p w14:paraId="373FD6F0">
                  <w:pPr>
                    <w:pStyle w:val="2"/>
                    <w:numPr>
                      <w:ilvl w:val="0"/>
                      <w:numId w:val="0"/>
                    </w:numPr>
                    <w:spacing w:line="36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w:t>
                  </w:r>
                </w:p>
              </w:tc>
            </w:tr>
            <w:tr w14:paraId="7D560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2CE9D0B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r>
                    <w:rPr>
                      <w:rFonts w:hint="default" w:ascii="Times New Roman" w:hAnsi="Times New Roman" w:cs="Times New Roman"/>
                      <w:b/>
                      <w:bCs/>
                      <w:color w:val="auto"/>
                      <w:sz w:val="21"/>
                      <w:szCs w:val="21"/>
                      <w:vertAlign w:val="baseline"/>
                      <w:lang w:val="en-US" w:eastAsia="zh-CN"/>
                    </w:rPr>
                    <w:t>（√）</w:t>
                  </w:r>
                </w:p>
              </w:tc>
              <w:tc>
                <w:tcPr>
                  <w:tcW w:w="5265" w:type="dxa"/>
                  <w:tcBorders>
                    <w:tl2br w:val="nil"/>
                    <w:tr2bl w:val="nil"/>
                  </w:tcBorders>
                  <w:vAlign w:val="center"/>
                </w:tcPr>
                <w:p w14:paraId="4E471664">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建设项目周边存在耕地、园地、牧草地、饮用水水源地或居民区、学校、医院、疗养院、养老院等土壤环境敏感目标的</w:t>
                  </w:r>
                </w:p>
              </w:tc>
              <w:tc>
                <w:tcPr>
                  <w:tcW w:w="3232" w:type="dxa"/>
                  <w:vMerge w:val="restart"/>
                  <w:tcBorders>
                    <w:tl2br w:val="nil"/>
                    <w:tr2bl w:val="nil"/>
                  </w:tcBorders>
                  <w:vAlign w:val="center"/>
                </w:tcPr>
                <w:p w14:paraId="4D8505C1">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本项目周围存在耕地、</w:t>
                  </w:r>
                  <w:r>
                    <w:rPr>
                      <w:rFonts w:hint="eastAsia" w:ascii="Times New Roman" w:cs="Times New Roman"/>
                      <w:color w:val="auto"/>
                      <w:sz w:val="21"/>
                      <w:szCs w:val="21"/>
                      <w:vertAlign w:val="baseline"/>
                      <w:lang w:val="en-US" w:eastAsia="zh-CN"/>
                    </w:rPr>
                    <w:t>居民</w:t>
                  </w:r>
                  <w:r>
                    <w:rPr>
                      <w:rFonts w:hint="default" w:ascii="Times New Roman" w:hAnsi="Times New Roman" w:cs="Times New Roman"/>
                      <w:color w:val="auto"/>
                      <w:sz w:val="21"/>
                      <w:szCs w:val="21"/>
                      <w:vertAlign w:val="baseline"/>
                      <w:lang w:val="en-US" w:eastAsia="zh-CN"/>
                    </w:rPr>
                    <w:t>，土壤环境敏感程度为敏感</w:t>
                  </w:r>
                </w:p>
              </w:tc>
            </w:tr>
            <w:tr w14:paraId="24710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51C5F0AC">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5265" w:type="dxa"/>
                  <w:tcBorders>
                    <w:tl2br w:val="nil"/>
                    <w:tr2bl w:val="nil"/>
                  </w:tcBorders>
                  <w:vAlign w:val="center"/>
                </w:tcPr>
                <w:p w14:paraId="7D7EE585">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建设项目周边存在其他土壤环境敏感目标的</w:t>
                  </w:r>
                </w:p>
              </w:tc>
              <w:tc>
                <w:tcPr>
                  <w:tcW w:w="3232" w:type="dxa"/>
                  <w:vMerge w:val="continue"/>
                  <w:tcBorders>
                    <w:tl2br w:val="nil"/>
                    <w:tr2bl w:val="nil"/>
                  </w:tcBorders>
                  <w:vAlign w:val="center"/>
                </w:tcPr>
                <w:p w14:paraId="563BBCD0">
                  <w:pPr>
                    <w:pStyle w:val="2"/>
                    <w:numPr>
                      <w:ilvl w:val="0"/>
                      <w:numId w:val="0"/>
                    </w:numPr>
                    <w:spacing w:line="360" w:lineRule="auto"/>
                    <w:rPr>
                      <w:rFonts w:hint="default" w:ascii="Times New Roman" w:hAnsi="Times New Roman" w:cs="Times New Roman"/>
                      <w:color w:val="auto"/>
                      <w:sz w:val="21"/>
                      <w:szCs w:val="21"/>
                      <w:vertAlign w:val="baseline"/>
                      <w:lang w:val="en-US" w:eastAsia="zh-CN"/>
                    </w:rPr>
                  </w:pPr>
                </w:p>
              </w:tc>
            </w:tr>
            <w:tr w14:paraId="49A3B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dxa"/>
                  <w:tcBorders>
                    <w:tl2br w:val="nil"/>
                    <w:tr2bl w:val="nil"/>
                  </w:tcBorders>
                  <w:vAlign w:val="center"/>
                </w:tcPr>
                <w:p w14:paraId="381A71D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5265" w:type="dxa"/>
                  <w:tcBorders>
                    <w:tl2br w:val="nil"/>
                    <w:tr2bl w:val="nil"/>
                  </w:tcBorders>
                  <w:vAlign w:val="center"/>
                </w:tcPr>
                <w:p w14:paraId="66E54EF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其他情况</w:t>
                  </w:r>
                </w:p>
              </w:tc>
              <w:tc>
                <w:tcPr>
                  <w:tcW w:w="3232" w:type="dxa"/>
                  <w:vMerge w:val="continue"/>
                  <w:tcBorders>
                    <w:tl2br w:val="nil"/>
                    <w:tr2bl w:val="nil"/>
                  </w:tcBorders>
                  <w:vAlign w:val="center"/>
                </w:tcPr>
                <w:p w14:paraId="6FC3CC31">
                  <w:pPr>
                    <w:pStyle w:val="2"/>
                    <w:numPr>
                      <w:ilvl w:val="0"/>
                      <w:numId w:val="0"/>
                    </w:numPr>
                    <w:spacing w:line="360" w:lineRule="auto"/>
                    <w:rPr>
                      <w:rFonts w:hint="default" w:ascii="Times New Roman" w:hAnsi="Times New Roman" w:cs="Times New Roman"/>
                      <w:color w:val="auto"/>
                      <w:sz w:val="21"/>
                      <w:szCs w:val="21"/>
                      <w:vertAlign w:val="baseline"/>
                      <w:lang w:val="en-US" w:eastAsia="zh-CN"/>
                    </w:rPr>
                  </w:pPr>
                </w:p>
              </w:tc>
            </w:tr>
          </w:tbl>
          <w:p w14:paraId="12726B26">
            <w:pPr>
              <w:pStyle w:val="2"/>
              <w:numPr>
                <w:ilvl w:val="0"/>
                <w:numId w:val="3"/>
              </w:numPr>
              <w:spacing w:line="360" w:lineRule="auto"/>
              <w:ind w:left="0" w:leftChars="0" w:firstLine="360" w:firstLineChars="15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评价工作等级判定</w:t>
            </w:r>
          </w:p>
          <w:p w14:paraId="12DB9F43">
            <w:pPr>
              <w:pStyle w:val="2"/>
              <w:numPr>
                <w:ilvl w:val="0"/>
                <w:numId w:val="0"/>
              </w:numPr>
              <w:spacing w:line="240" w:lineRule="auto"/>
              <w:ind w:leftChars="15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4"/>
              </w:rPr>
              <mc:AlternateContent>
                <mc:Choice Requires="wps">
                  <w:drawing>
                    <wp:anchor distT="0" distB="0" distL="114300" distR="114300" simplePos="0" relativeHeight="251664384" behindDoc="0" locked="0" layoutInCell="1" allowOverlap="1">
                      <wp:simplePos x="0" y="0"/>
                      <wp:positionH relativeFrom="column">
                        <wp:posOffset>-19685</wp:posOffset>
                      </wp:positionH>
                      <wp:positionV relativeFrom="paragraph">
                        <wp:posOffset>140335</wp:posOffset>
                      </wp:positionV>
                      <wp:extent cx="723900" cy="4756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23900" cy="475615"/>
                              </a:xfrm>
                              <a:prstGeom prst="rect">
                                <a:avLst/>
                              </a:prstGeom>
                              <a:noFill/>
                              <a:ln w="15875">
                                <a:noFill/>
                              </a:ln>
                            </wps:spPr>
                            <wps:txbx>
                              <w:txbxContent>
                                <w:p w14:paraId="0218B2BE">
                                  <w:pPr>
                                    <w:rPr>
                                      <w:rFonts w:hint="eastAsia"/>
                                      <w:lang w:eastAsia="zh-CN"/>
                                    </w:rPr>
                                  </w:pPr>
                                  <w:r>
                                    <w:rPr>
                                      <w:rFonts w:hint="eastAsia"/>
                                      <w:lang w:eastAsia="zh-CN"/>
                                    </w:rPr>
                                    <w:t>评价工</w:t>
                                  </w:r>
                                </w:p>
                                <w:p w14:paraId="10E9EFF8">
                                  <w:pPr>
                                    <w:rPr>
                                      <w:rFonts w:hint="eastAsia" w:eastAsia="宋体"/>
                                      <w:lang w:eastAsia="zh-CN"/>
                                    </w:rPr>
                                  </w:pPr>
                                  <w:r>
                                    <w:rPr>
                                      <w:rFonts w:hint="eastAsia"/>
                                      <w:lang w:eastAsia="zh-CN"/>
                                    </w:rPr>
                                    <w:t>作等级</w:t>
                                  </w:r>
                                </w:p>
                              </w:txbxContent>
                            </wps:txbx>
                            <wps:bodyPr upright="1"/>
                          </wps:wsp>
                        </a:graphicData>
                      </a:graphic>
                    </wp:anchor>
                  </w:drawing>
                </mc:Choice>
                <mc:Fallback>
                  <w:pict>
                    <v:shape id="_x0000_s1026" o:spid="_x0000_s1026" o:spt="202" type="#_x0000_t202" style="position:absolute;left:0pt;margin-left:-1.55pt;margin-top:11.05pt;height:37.45pt;width:57pt;z-index:251664384;mso-width-relative:page;mso-height-relative:page;" filled="f" stroked="f" coordsize="21600,21600" o:gfxdata="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GQI7doAAAAIAQAADwAAAAAAAAABACAAAAAiAAAAZHJzL2Rvd25yZXYueG1sUEsBAhQA&#10;FAAAAAgAh07iQF3xHcK3AQAAWQMAAA4AAAAAAAAAAQAgAAAAKQEAAGRycy9lMm9Eb2MueG1sUEsF&#10;BgAAAAAGAAYAWQEAAFIFAAAAAA==&#10;">
                      <v:fill on="f" focussize="0,0"/>
                      <v:stroke on="f" weight="1.25pt"/>
                      <v:imagedata o:title=""/>
                      <o:lock v:ext="edit" aspectratio="f"/>
                      <v:textbox>
                        <w:txbxContent>
                          <w:p w14:paraId="0218B2BE">
                            <w:pPr>
                              <w:rPr>
                                <w:rFonts w:hint="eastAsia"/>
                                <w:lang w:eastAsia="zh-CN"/>
                              </w:rPr>
                            </w:pPr>
                            <w:r>
                              <w:rPr>
                                <w:rFonts w:hint="eastAsia"/>
                                <w:lang w:eastAsia="zh-CN"/>
                              </w:rPr>
                              <w:t>评价工</w:t>
                            </w:r>
                          </w:p>
                          <w:p w14:paraId="10E9EFF8">
                            <w:pPr>
                              <w:rPr>
                                <w:rFonts w:hint="eastAsia" w:eastAsia="宋体"/>
                                <w:lang w:eastAsia="zh-CN"/>
                              </w:rPr>
                            </w:pPr>
                            <w:r>
                              <w:rPr>
                                <w:rFonts w:hint="eastAsia"/>
                                <w:lang w:eastAsia="zh-CN"/>
                              </w:rPr>
                              <w:t>作等级</w:t>
                            </w:r>
                          </w:p>
                        </w:txbxContent>
                      </v:textbox>
                    </v:shape>
                  </w:pict>
                </mc:Fallback>
              </mc:AlternateContent>
            </w:r>
            <w:r>
              <w:rPr>
                <w:rFonts w:hint="default" w:ascii="Times New Roman" w:hAnsi="Times New Roman" w:cs="Times New Roman"/>
                <w:b/>
                <w:bCs/>
                <w:color w:val="auto"/>
                <w:sz w:val="24"/>
              </w:rPr>
              <mc:AlternateContent>
                <mc:Choice Requires="wps">
                  <w:drawing>
                    <wp:anchor distT="0" distB="0" distL="114300" distR="114300" simplePos="0" relativeHeight="251663360" behindDoc="0" locked="0" layoutInCell="1" allowOverlap="1">
                      <wp:simplePos x="0" y="0"/>
                      <wp:positionH relativeFrom="column">
                        <wp:posOffset>675640</wp:posOffset>
                      </wp:positionH>
                      <wp:positionV relativeFrom="paragraph">
                        <wp:posOffset>144145</wp:posOffset>
                      </wp:positionV>
                      <wp:extent cx="600075" cy="4667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00075" cy="466725"/>
                              </a:xfrm>
                              <a:prstGeom prst="rect">
                                <a:avLst/>
                              </a:prstGeom>
                              <a:noFill/>
                              <a:ln w="15875">
                                <a:noFill/>
                              </a:ln>
                            </wps:spPr>
                            <wps:txbx>
                              <w:txbxContent>
                                <w:p w14:paraId="1DC959A6">
                                  <w:pPr>
                                    <w:rPr>
                                      <w:rFonts w:hint="eastAsia"/>
                                      <w:lang w:eastAsia="zh-CN"/>
                                    </w:rPr>
                                  </w:pPr>
                                  <w:r>
                                    <w:rPr>
                                      <w:rFonts w:hint="eastAsia"/>
                                      <w:lang w:eastAsia="zh-CN"/>
                                    </w:rPr>
                                    <w:t>占地</w:t>
                                  </w:r>
                                </w:p>
                                <w:p w14:paraId="791679DA">
                                  <w:pPr>
                                    <w:rPr>
                                      <w:rFonts w:hint="eastAsia" w:eastAsia="宋体"/>
                                      <w:lang w:eastAsia="zh-CN"/>
                                    </w:rPr>
                                  </w:pPr>
                                  <w:r>
                                    <w:rPr>
                                      <w:rFonts w:hint="eastAsia"/>
                                      <w:lang w:eastAsia="zh-CN"/>
                                    </w:rPr>
                                    <w:t>规模</w:t>
                                  </w:r>
                                </w:p>
                              </w:txbxContent>
                            </wps:txbx>
                            <wps:bodyPr upright="1"/>
                          </wps:wsp>
                        </a:graphicData>
                      </a:graphic>
                    </wp:anchor>
                  </w:drawing>
                </mc:Choice>
                <mc:Fallback>
                  <w:pict>
                    <v:shape id="_x0000_s1026" o:spid="_x0000_s1026" o:spt="202" type="#_x0000_t202" style="position:absolute;left:0pt;margin-left:53.2pt;margin-top:11.35pt;height:36.75pt;width:47.25pt;z-index:251663360;mso-width-relative:page;mso-height-relative:page;" filled="f" stroked="f" coordsize="21600,21600" o:gfxdata="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H0DdoAAAAJAQAADwAAAAAAAAABACAAAAAiAAAAZHJzL2Rvd25yZXYueG1sUEsBAhQAFAAA&#10;AAgAh07iQChJRsy0AQAAWQMAAA4AAAAAAAAAAQAgAAAAKQEAAGRycy9lMm9Eb2MueG1sUEsFBgAA&#10;AAAGAAYAWQEAAE8FAAAAAA==&#10;">
                      <v:fill on="f" focussize="0,0"/>
                      <v:stroke on="f" weight="1.25pt"/>
                      <v:imagedata o:title=""/>
                      <o:lock v:ext="edit" aspectratio="f"/>
                      <v:textbox>
                        <w:txbxContent>
                          <w:p w14:paraId="1DC959A6">
                            <w:pPr>
                              <w:rPr>
                                <w:rFonts w:hint="eastAsia"/>
                                <w:lang w:eastAsia="zh-CN"/>
                              </w:rPr>
                            </w:pPr>
                            <w:r>
                              <w:rPr>
                                <w:rFonts w:hint="eastAsia"/>
                                <w:lang w:eastAsia="zh-CN"/>
                              </w:rPr>
                              <w:t>占地</w:t>
                            </w:r>
                          </w:p>
                          <w:p w14:paraId="791679DA">
                            <w:pPr>
                              <w:rPr>
                                <w:rFonts w:hint="eastAsia" w:eastAsia="宋体"/>
                                <w:lang w:eastAsia="zh-CN"/>
                              </w:rPr>
                            </w:pPr>
                            <w:r>
                              <w:rPr>
                                <w:rFonts w:hint="eastAsia"/>
                                <w:lang w:eastAsia="zh-CN"/>
                              </w:rPr>
                              <w:t>规模</w:t>
                            </w:r>
                          </w:p>
                        </w:txbxContent>
                      </v:textbox>
                    </v:shape>
                  </w:pict>
                </mc:Fallback>
              </mc:AlternateContent>
            </w:r>
            <w:r>
              <w:rPr>
                <w:rFonts w:hint="default" w:ascii="Times New Roman" w:hAnsi="Times New Roman" w:cs="Times New Roman"/>
                <w:b/>
                <w:bCs/>
                <w:color w:val="auto"/>
                <w:sz w:val="21"/>
                <w:szCs w:val="21"/>
                <w:lang w:val="en-US" w:eastAsia="zh-CN"/>
              </w:rPr>
              <w:t>表</w:t>
            </w:r>
            <w:r>
              <w:rPr>
                <w:rFonts w:hint="eastAsia" w:ascii="Times New Roman" w:cs="Times New Roman"/>
                <w:b/>
                <w:bCs/>
                <w:color w:val="auto"/>
                <w:sz w:val="21"/>
                <w:szCs w:val="21"/>
                <w:lang w:val="en-US" w:eastAsia="zh-CN"/>
              </w:rPr>
              <w:t>7-26</w:t>
            </w:r>
            <w:r>
              <w:rPr>
                <w:rFonts w:hint="default" w:ascii="Times New Roman" w:hAnsi="Times New Roman" w:cs="Times New Roman"/>
                <w:b/>
                <w:bCs/>
                <w:color w:val="auto"/>
                <w:sz w:val="21"/>
                <w:szCs w:val="21"/>
                <w:lang w:val="en-US" w:eastAsia="zh-CN"/>
              </w:rPr>
              <w:t xml:space="preserve"> 本项目土壤环境评价工作等级表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673"/>
              <w:gridCol w:w="720"/>
              <w:gridCol w:w="753"/>
              <w:gridCol w:w="737"/>
              <w:gridCol w:w="673"/>
              <w:gridCol w:w="722"/>
              <w:gridCol w:w="671"/>
              <w:gridCol w:w="690"/>
              <w:gridCol w:w="722"/>
              <w:gridCol w:w="2108"/>
              <w:gridCol w:w="15"/>
            </w:tblGrid>
            <w:tr w14:paraId="1B8F8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569" w:hRule="atLeast"/>
                <w:jc w:val="center"/>
              </w:trPr>
              <w:tc>
                <w:tcPr>
                  <w:tcW w:w="842" w:type="pct"/>
                  <w:vMerge w:val="restart"/>
                  <w:tcBorders>
                    <w:tl2br w:val="nil"/>
                    <w:tr2bl w:val="nil"/>
                  </w:tcBorders>
                  <w:vAlign w:val="center"/>
                  <mc:AlternateContent>
                    <mc:Choice Requires="wpsCustomData">
                      <wpsCustomData:diagonals>
                        <wpsCustomData:diagonal from="14200" to="30000">
                          <wpsCustomData:border w:val="single" w:color="auto" w:sz="12" w:space="0"/>
                        </wpsCustomData:diagonal>
                        <wpsCustomData:diagonal from="4300" to="30000">
                          <wpsCustomData:border w:val="single" w:color="auto" w:sz="12" w:space="0"/>
                        </wpsCustomData:diagonal>
                      </wpsCustomData:diagonals>
                    </mc:Choice>
                  </mc:AlternateContent>
                </w:tcPr>
                <w:p w14:paraId="7D39C2B6">
                  <w:pPr>
                    <w:pStyle w:val="2"/>
                    <w:numPr>
                      <w:ilvl w:val="0"/>
                      <w:numId w:val="0"/>
                    </w:numPr>
                    <w:snapToGrid w:val="0"/>
                    <w:spacing w:line="240" w:lineRule="auto"/>
                    <w:jc w:val="center"/>
                    <mc:AlternateContent>
                      <mc:Choice Requires="wpsCustomData">
                        <wpsCustomData:diagonalParaType/>
                      </mc:Choice>
                    </mc:AlternateContent>
                    <w:rPr>
                      <w:rFonts w:hint="default" w:ascii="Times New Roman" w:hAnsi="Times New Roman" w:cs="Times New Roman"/>
                      <w:b/>
                      <w:bCs/>
                      <w:color w:val="auto"/>
                      <w:sz w:val="21"/>
                      <w:szCs w:val="21"/>
                      <w:vertAlign w:val="baseline"/>
                      <w:lang w:val="en-US" w:eastAsia="zh-CN"/>
                    </w:rPr>
                  </w:pPr>
                </w:p>
                <w:p w14:paraId="21EA1251">
                  <w:pPr>
                    <w:pStyle w:val="2"/>
                    <w:numPr>
                      <w:ilvl w:val="0"/>
                      <w:numId w:val="0"/>
                    </w:numPr>
                    <w:snapToGrid w:val="0"/>
                    <w:spacing w:line="240" w:lineRule="auto"/>
                    <w:jc w:val="center"/>
                    <mc:AlternateContent>
                      <mc:Choice Requires="wpsCustomData">
                        <wpsCustomData:diagonalParaType/>
                      </mc:Choice>
                    </mc:AlternateContent>
                    <w:rPr>
                      <w:rFonts w:hint="default" w:ascii="Times New Roman" w:hAnsi="Times New Roman" w:cs="Times New Roman"/>
                      <w:b/>
                      <w:bCs/>
                      <w:color w:val="auto"/>
                      <w:sz w:val="21"/>
                      <w:szCs w:val="21"/>
                      <w:vertAlign w:val="baseline"/>
                      <w:lang w:val="en-US" w:eastAsia="zh-CN"/>
                    </w:rPr>
                  </w:pPr>
                </w:p>
                <w:p w14:paraId="265AE75C">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p>
              </w:tc>
              <w:tc>
                <w:tcPr>
                  <w:tcW w:w="1052" w:type="pct"/>
                  <w:gridSpan w:val="3"/>
                  <w:tcBorders>
                    <w:tl2br w:val="nil"/>
                    <w:tr2bl w:val="nil"/>
                  </w:tcBorders>
                  <w:vAlign w:val="center"/>
                </w:tcPr>
                <w:p w14:paraId="18A48942">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Ⅰ</w:t>
                  </w:r>
                  <w:r>
                    <w:rPr>
                      <w:rFonts w:hint="default" w:ascii="Times New Roman" w:hAnsi="Times New Roman" w:cs="Times New Roman"/>
                      <w:b/>
                      <w:bCs/>
                      <w:color w:val="auto"/>
                      <w:sz w:val="21"/>
                      <w:szCs w:val="21"/>
                      <w:vertAlign w:val="baseline"/>
                      <w:lang w:val="en-US" w:eastAsia="zh-CN"/>
                    </w:rPr>
                    <w:t>类</w:t>
                  </w:r>
                </w:p>
              </w:tc>
              <w:tc>
                <w:tcPr>
                  <w:tcW w:w="1045" w:type="pct"/>
                  <w:gridSpan w:val="3"/>
                  <w:tcBorders>
                    <w:tl2br w:val="nil"/>
                    <w:tr2bl w:val="nil"/>
                  </w:tcBorders>
                  <w:vAlign w:val="center"/>
                </w:tcPr>
                <w:p w14:paraId="57AC6F13">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Ⅱ</w:t>
                  </w:r>
                  <w:r>
                    <w:rPr>
                      <w:rFonts w:hint="default" w:ascii="Times New Roman" w:hAnsi="Times New Roman" w:cs="Times New Roman"/>
                      <w:b/>
                      <w:bCs/>
                      <w:color w:val="auto"/>
                      <w:sz w:val="21"/>
                      <w:szCs w:val="21"/>
                      <w:vertAlign w:val="baseline"/>
                      <w:lang w:val="en-US" w:eastAsia="zh-CN"/>
                    </w:rPr>
                    <w:t>类</w:t>
                  </w:r>
                </w:p>
              </w:tc>
              <w:tc>
                <w:tcPr>
                  <w:tcW w:w="1021" w:type="pct"/>
                  <w:gridSpan w:val="3"/>
                  <w:tcBorders>
                    <w:tl2br w:val="nil"/>
                    <w:tr2bl w:val="nil"/>
                  </w:tcBorders>
                  <w:vAlign w:val="center"/>
                </w:tcPr>
                <w:p w14:paraId="6AE63E05">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Ⅲ</w:t>
                  </w:r>
                  <w:r>
                    <w:rPr>
                      <w:rFonts w:hint="default" w:ascii="Times New Roman" w:hAnsi="Times New Roman" w:cs="Times New Roman"/>
                      <w:b/>
                      <w:bCs/>
                      <w:color w:val="auto"/>
                      <w:sz w:val="21"/>
                      <w:szCs w:val="21"/>
                      <w:vertAlign w:val="baseline"/>
                      <w:lang w:val="en-US" w:eastAsia="zh-CN"/>
                    </w:rPr>
                    <w:t>类</w:t>
                  </w:r>
                </w:p>
              </w:tc>
              <w:tc>
                <w:tcPr>
                  <w:tcW w:w="1030" w:type="pct"/>
                  <w:tcBorders>
                    <w:tl2br w:val="nil"/>
                    <w:tr2bl w:val="nil"/>
                  </w:tcBorders>
                  <w:vAlign w:val="center"/>
                </w:tcPr>
                <w:p w14:paraId="25C277C1">
                  <w:pPr>
                    <w:pStyle w:val="2"/>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w:t>
                  </w:r>
                </w:p>
              </w:tc>
            </w:tr>
            <w:tr w14:paraId="39743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tcBorders>
                    <w:tl2br w:val="nil"/>
                    <w:tr2bl w:val="nil"/>
                  </w:tcBorders>
                  <w:vAlign w:val="center"/>
                </w:tcPr>
                <w:p w14:paraId="03C898B1">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c>
                <w:tcPr>
                  <w:tcW w:w="330" w:type="pct"/>
                  <w:tcBorders>
                    <w:tl2br w:val="nil"/>
                    <w:tr2bl w:val="nil"/>
                  </w:tcBorders>
                  <w:vAlign w:val="center"/>
                </w:tcPr>
                <w:p w14:paraId="71590CCF">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353" w:type="pct"/>
                  <w:tcBorders>
                    <w:tl2br w:val="nil"/>
                    <w:tr2bl w:val="nil"/>
                  </w:tcBorders>
                  <w:vAlign w:val="center"/>
                </w:tcPr>
                <w:p w14:paraId="72FCBF70">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369" w:type="pct"/>
                  <w:tcBorders>
                    <w:tl2br w:val="nil"/>
                    <w:tr2bl w:val="nil"/>
                  </w:tcBorders>
                  <w:vAlign w:val="center"/>
                </w:tcPr>
                <w:p w14:paraId="669D955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361" w:type="pct"/>
                  <w:tcBorders>
                    <w:tl2br w:val="nil"/>
                    <w:tr2bl w:val="nil"/>
                  </w:tcBorders>
                  <w:vAlign w:val="center"/>
                </w:tcPr>
                <w:p w14:paraId="20DB9257">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330" w:type="pct"/>
                  <w:tcBorders>
                    <w:tl2br w:val="nil"/>
                    <w:tr2bl w:val="nil"/>
                  </w:tcBorders>
                  <w:vAlign w:val="center"/>
                </w:tcPr>
                <w:p w14:paraId="388F8422">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354" w:type="pct"/>
                  <w:tcBorders>
                    <w:tl2br w:val="nil"/>
                    <w:tr2bl w:val="nil"/>
                  </w:tcBorders>
                  <w:vAlign w:val="center"/>
                </w:tcPr>
                <w:p w14:paraId="719E1C8D">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329" w:type="pct"/>
                  <w:tcBorders>
                    <w:tl2br w:val="nil"/>
                    <w:tr2bl w:val="nil"/>
                  </w:tcBorders>
                  <w:vAlign w:val="center"/>
                </w:tcPr>
                <w:p w14:paraId="7B3B22CB">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338" w:type="pct"/>
                  <w:tcBorders>
                    <w:tl2br w:val="nil"/>
                    <w:tr2bl w:val="nil"/>
                  </w:tcBorders>
                  <w:vAlign w:val="center"/>
                </w:tcPr>
                <w:p w14:paraId="5EF656D2">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353" w:type="pct"/>
                  <w:tcBorders>
                    <w:tl2br w:val="nil"/>
                    <w:tr2bl w:val="nil"/>
                  </w:tcBorders>
                  <w:vAlign w:val="center"/>
                </w:tcPr>
                <w:p w14:paraId="58FB6B5B">
                  <w:pPr>
                    <w:pStyle w:val="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1038" w:type="pct"/>
                  <w:gridSpan w:val="2"/>
                  <w:vMerge w:val="restart"/>
                  <w:tcBorders>
                    <w:tl2br w:val="nil"/>
                    <w:tr2bl w:val="nil"/>
                  </w:tcBorders>
                  <w:vAlign w:val="center"/>
                </w:tcPr>
                <w:p w14:paraId="0E6C63DB">
                  <w:pPr>
                    <w:pStyle w:val="2"/>
                    <w:numPr>
                      <w:ilvl w:val="0"/>
                      <w:numId w:val="0"/>
                    </w:numPr>
                    <w:spacing w:line="240" w:lineRule="auto"/>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本项目为</w:t>
                  </w:r>
                  <w:r>
                    <w:rPr>
                      <w:rFonts w:hint="default" w:ascii="Times New Roman" w:hAnsi="Times New Roman" w:eastAsia="宋体" w:cs="Times New Roman"/>
                      <w:color w:val="auto"/>
                      <w:sz w:val="21"/>
                      <w:szCs w:val="21"/>
                      <w:vertAlign w:val="baseline"/>
                      <w:lang w:val="en-US" w:eastAsia="zh-CN"/>
                    </w:rPr>
                    <w:t>Ⅲ</w:t>
                  </w:r>
                  <w:r>
                    <w:rPr>
                      <w:rFonts w:hint="default" w:ascii="Times New Roman" w:hAnsi="Times New Roman" w:cs="Times New Roman"/>
                      <w:color w:val="auto"/>
                      <w:sz w:val="21"/>
                      <w:szCs w:val="21"/>
                      <w:vertAlign w:val="baseline"/>
                      <w:lang w:val="en-US" w:eastAsia="zh-CN"/>
                    </w:rPr>
                    <w:t>类，小型，敏感项目，土壤环境影响评价工作</w:t>
                  </w:r>
                  <w:r>
                    <w:rPr>
                      <w:rFonts w:hint="eastAsia" w:ascii="Times New Roman" w:hAnsi="Times New Roman" w:cs="Times New Roman"/>
                      <w:color w:val="auto"/>
                      <w:sz w:val="21"/>
                      <w:szCs w:val="21"/>
                      <w:vertAlign w:val="baseline"/>
                      <w:lang w:val="en-US" w:eastAsia="zh-CN"/>
                    </w:rPr>
                    <w:t>等级为三级。</w:t>
                  </w:r>
                </w:p>
              </w:tc>
            </w:tr>
            <w:tr w14:paraId="0AF69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l2br w:val="nil"/>
                    <w:tr2bl w:val="nil"/>
                  </w:tcBorders>
                  <w:vAlign w:val="center"/>
                </w:tcPr>
                <w:p w14:paraId="36DE20CF">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330" w:type="pct"/>
                  <w:tcBorders>
                    <w:tl2br w:val="nil"/>
                    <w:tr2bl w:val="nil"/>
                  </w:tcBorders>
                  <w:vAlign w:val="center"/>
                </w:tcPr>
                <w:p w14:paraId="45BF01B0">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53" w:type="pct"/>
                  <w:tcBorders>
                    <w:tl2br w:val="nil"/>
                    <w:tr2bl w:val="nil"/>
                  </w:tcBorders>
                  <w:vAlign w:val="center"/>
                </w:tcPr>
                <w:p w14:paraId="62019CE5">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69" w:type="pct"/>
                  <w:tcBorders>
                    <w:tl2br w:val="nil"/>
                    <w:tr2bl w:val="nil"/>
                  </w:tcBorders>
                  <w:vAlign w:val="center"/>
                </w:tcPr>
                <w:p w14:paraId="54463160">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61" w:type="pct"/>
                  <w:tcBorders>
                    <w:tl2br w:val="nil"/>
                    <w:tr2bl w:val="nil"/>
                  </w:tcBorders>
                  <w:vAlign w:val="center"/>
                </w:tcPr>
                <w:p w14:paraId="7A4BCD38">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30" w:type="pct"/>
                  <w:tcBorders>
                    <w:tl2br w:val="nil"/>
                    <w:tr2bl w:val="nil"/>
                  </w:tcBorders>
                  <w:vAlign w:val="center"/>
                </w:tcPr>
                <w:p w14:paraId="43B005EA">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54" w:type="pct"/>
                  <w:tcBorders>
                    <w:tl2br w:val="nil"/>
                    <w:tr2bl w:val="nil"/>
                  </w:tcBorders>
                  <w:vAlign w:val="center"/>
                </w:tcPr>
                <w:p w14:paraId="0DD1B7AD">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29" w:type="pct"/>
                  <w:tcBorders>
                    <w:tl2br w:val="nil"/>
                    <w:tr2bl w:val="nil"/>
                  </w:tcBorders>
                  <w:vAlign w:val="center"/>
                </w:tcPr>
                <w:p w14:paraId="267EDC70">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38" w:type="pct"/>
                  <w:tcBorders>
                    <w:tl2br w:val="nil"/>
                    <w:tr2bl w:val="nil"/>
                  </w:tcBorders>
                  <w:vAlign w:val="center"/>
                </w:tcPr>
                <w:p w14:paraId="0003C73E">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53" w:type="pct"/>
                  <w:tcBorders>
                    <w:tl2br w:val="nil"/>
                    <w:tr2bl w:val="nil"/>
                  </w:tcBorders>
                  <w:vAlign w:val="center"/>
                </w:tcPr>
                <w:p w14:paraId="2CA0E86A">
                  <w:pPr>
                    <w:pStyle w:val="2"/>
                    <w:numPr>
                      <w:ilvl w:val="0"/>
                      <w:numId w:val="0"/>
                    </w:numPr>
                    <w:spacing w:line="240" w:lineRule="auto"/>
                    <w:jc w:val="center"/>
                    <w:rPr>
                      <w:rFonts w:hint="default" w:ascii="Times New Roman" w:hAnsi="Times New Roman" w:cs="Times New Roman"/>
                      <w:b/>
                      <w:bCs/>
                      <w:color w:val="auto"/>
                      <w:sz w:val="21"/>
                      <w:szCs w:val="21"/>
                      <w:shd w:val="clear" w:color="FFFFFF" w:fill="D9D9D9"/>
                      <w:vertAlign w:val="baseline"/>
                      <w:lang w:val="en-US" w:eastAsia="zh-CN"/>
                    </w:rPr>
                  </w:pPr>
                  <w:r>
                    <w:rPr>
                      <w:rFonts w:hint="default" w:ascii="Times New Roman" w:hAnsi="Times New Roman" w:cs="Times New Roman"/>
                      <w:b/>
                      <w:bCs/>
                      <w:color w:val="auto"/>
                      <w:sz w:val="21"/>
                      <w:szCs w:val="21"/>
                      <w:shd w:val="clear" w:color="FFFFFF" w:fill="D9D9D9"/>
                      <w:vertAlign w:val="baseline"/>
                      <w:lang w:val="en-US" w:eastAsia="zh-CN"/>
                    </w:rPr>
                    <w:t>三级</w:t>
                  </w:r>
                </w:p>
              </w:tc>
              <w:tc>
                <w:tcPr>
                  <w:tcW w:w="1038" w:type="pct"/>
                  <w:gridSpan w:val="2"/>
                  <w:vMerge w:val="continue"/>
                  <w:tcBorders>
                    <w:tl2br w:val="nil"/>
                    <w:tr2bl w:val="nil"/>
                  </w:tcBorders>
                  <w:vAlign w:val="center"/>
                </w:tcPr>
                <w:p w14:paraId="72C2BBB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r>
            <w:tr w14:paraId="03B64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l2br w:val="nil"/>
                    <w:tr2bl w:val="nil"/>
                  </w:tcBorders>
                  <w:vAlign w:val="center"/>
                </w:tcPr>
                <w:p w14:paraId="42B7A32B">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330" w:type="pct"/>
                  <w:tcBorders>
                    <w:tl2br w:val="nil"/>
                    <w:tr2bl w:val="nil"/>
                  </w:tcBorders>
                  <w:vAlign w:val="center"/>
                </w:tcPr>
                <w:p w14:paraId="0247ED4D">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53" w:type="pct"/>
                  <w:tcBorders>
                    <w:tl2br w:val="nil"/>
                    <w:tr2bl w:val="nil"/>
                  </w:tcBorders>
                  <w:vAlign w:val="center"/>
                </w:tcPr>
                <w:p w14:paraId="2FD0025C">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69" w:type="pct"/>
                  <w:tcBorders>
                    <w:tl2br w:val="nil"/>
                    <w:tr2bl w:val="nil"/>
                  </w:tcBorders>
                  <w:vAlign w:val="center"/>
                </w:tcPr>
                <w:p w14:paraId="6BCD7C8B">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61" w:type="pct"/>
                  <w:tcBorders>
                    <w:tl2br w:val="nil"/>
                    <w:tr2bl w:val="nil"/>
                  </w:tcBorders>
                  <w:vAlign w:val="center"/>
                </w:tcPr>
                <w:p w14:paraId="708BFA8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30" w:type="pct"/>
                  <w:tcBorders>
                    <w:tl2br w:val="nil"/>
                    <w:tr2bl w:val="nil"/>
                  </w:tcBorders>
                  <w:vAlign w:val="center"/>
                </w:tcPr>
                <w:p w14:paraId="1B495F54">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54" w:type="pct"/>
                  <w:tcBorders>
                    <w:tl2br w:val="nil"/>
                    <w:tr2bl w:val="nil"/>
                  </w:tcBorders>
                  <w:vAlign w:val="center"/>
                </w:tcPr>
                <w:p w14:paraId="3464C38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29" w:type="pct"/>
                  <w:tcBorders>
                    <w:tl2br w:val="nil"/>
                    <w:tr2bl w:val="nil"/>
                  </w:tcBorders>
                  <w:vAlign w:val="center"/>
                </w:tcPr>
                <w:p w14:paraId="4E0017A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38" w:type="pct"/>
                  <w:tcBorders>
                    <w:tl2br w:val="nil"/>
                    <w:tr2bl w:val="nil"/>
                  </w:tcBorders>
                  <w:vAlign w:val="center"/>
                </w:tcPr>
                <w:p w14:paraId="51D1B68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53" w:type="pct"/>
                  <w:tcBorders>
                    <w:tl2br w:val="nil"/>
                    <w:tr2bl w:val="nil"/>
                  </w:tcBorders>
                  <w:vAlign w:val="center"/>
                </w:tcPr>
                <w:p w14:paraId="3CD249C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038" w:type="pct"/>
                  <w:gridSpan w:val="2"/>
                  <w:vMerge w:val="continue"/>
                  <w:tcBorders>
                    <w:tl2br w:val="nil"/>
                    <w:tr2bl w:val="nil"/>
                  </w:tcBorders>
                  <w:vAlign w:val="center"/>
                </w:tcPr>
                <w:p w14:paraId="6B289C59">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r>
            <w:tr w14:paraId="5AEEA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l2br w:val="nil"/>
                    <w:tr2bl w:val="nil"/>
                  </w:tcBorders>
                  <w:vAlign w:val="center"/>
                </w:tcPr>
                <w:p w14:paraId="2EDFC88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330" w:type="pct"/>
                  <w:tcBorders>
                    <w:tl2br w:val="nil"/>
                    <w:tr2bl w:val="nil"/>
                  </w:tcBorders>
                  <w:vAlign w:val="center"/>
                </w:tcPr>
                <w:p w14:paraId="4A62C54D">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353" w:type="pct"/>
                  <w:tcBorders>
                    <w:tl2br w:val="nil"/>
                    <w:tr2bl w:val="nil"/>
                  </w:tcBorders>
                  <w:vAlign w:val="center"/>
                </w:tcPr>
                <w:p w14:paraId="79C36C93">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69" w:type="pct"/>
                  <w:tcBorders>
                    <w:tl2br w:val="nil"/>
                    <w:tr2bl w:val="nil"/>
                  </w:tcBorders>
                  <w:vAlign w:val="center"/>
                </w:tcPr>
                <w:p w14:paraId="70EA98AC">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61" w:type="pct"/>
                  <w:tcBorders>
                    <w:tl2br w:val="nil"/>
                    <w:tr2bl w:val="nil"/>
                  </w:tcBorders>
                  <w:vAlign w:val="center"/>
                </w:tcPr>
                <w:p w14:paraId="7A0FB287">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330" w:type="pct"/>
                  <w:tcBorders>
                    <w:tl2br w:val="nil"/>
                    <w:tr2bl w:val="nil"/>
                  </w:tcBorders>
                  <w:vAlign w:val="center"/>
                </w:tcPr>
                <w:p w14:paraId="4E8DCF0F">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54" w:type="pct"/>
                  <w:tcBorders>
                    <w:tl2br w:val="nil"/>
                    <w:tr2bl w:val="nil"/>
                  </w:tcBorders>
                  <w:vAlign w:val="center"/>
                </w:tcPr>
                <w:p w14:paraId="66219C5C">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29" w:type="pct"/>
                  <w:tcBorders>
                    <w:tl2br w:val="nil"/>
                    <w:tr2bl w:val="nil"/>
                  </w:tcBorders>
                  <w:vAlign w:val="center"/>
                </w:tcPr>
                <w:p w14:paraId="160D9524">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338" w:type="pct"/>
                  <w:tcBorders>
                    <w:tl2br w:val="nil"/>
                    <w:tr2bl w:val="nil"/>
                  </w:tcBorders>
                  <w:vAlign w:val="center"/>
                </w:tcPr>
                <w:p w14:paraId="49EF7476">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53" w:type="pct"/>
                  <w:tcBorders>
                    <w:tl2br w:val="nil"/>
                    <w:tr2bl w:val="nil"/>
                  </w:tcBorders>
                  <w:vAlign w:val="center"/>
                </w:tcPr>
                <w:p w14:paraId="4E5B66B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038" w:type="pct"/>
                  <w:gridSpan w:val="2"/>
                  <w:vMerge w:val="continue"/>
                  <w:tcBorders>
                    <w:tl2br w:val="nil"/>
                    <w:tr2bl w:val="nil"/>
                  </w:tcBorders>
                  <w:vAlign w:val="center"/>
                </w:tcPr>
                <w:p w14:paraId="303BE9F1">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p>
              </w:tc>
            </w:tr>
            <w:tr w14:paraId="0E8CF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992" w:type="pct"/>
                  <w:gridSpan w:val="11"/>
                  <w:tcBorders>
                    <w:tl2br w:val="nil"/>
                    <w:tr2bl w:val="nil"/>
                  </w:tcBorders>
                  <w:vAlign w:val="center"/>
                </w:tcPr>
                <w:p w14:paraId="275D5EF2">
                  <w:pPr>
                    <w:pStyle w:val="2"/>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注：“-”表示可不开展土壤环境影响评价工作。</w:t>
                  </w:r>
                </w:p>
              </w:tc>
            </w:tr>
          </w:tbl>
          <w:p w14:paraId="10895D4C">
            <w:pPr>
              <w:spacing w:line="360" w:lineRule="auto"/>
              <w:ind w:firstLine="480"/>
              <w:rPr>
                <w:rFonts w:hint="default" w:ascii="Times New Roman" w:hAnsi="Times New Roman" w:cs="Times New Roman"/>
                <w:b/>
                <w:bCs w:val="0"/>
                <w:color w:val="auto"/>
                <w:sz w:val="24"/>
                <w:szCs w:val="24"/>
                <w:lang w:val="en-US" w:eastAsia="zh-CN"/>
              </w:rPr>
            </w:pPr>
            <w:r>
              <w:rPr>
                <w:rFonts w:hint="default" w:ascii="Times New Roman" w:hAnsi="Times New Roman" w:cs="Times New Roman"/>
                <w:b w:val="0"/>
                <w:bCs/>
                <w:color w:val="auto"/>
                <w:sz w:val="24"/>
                <w:szCs w:val="24"/>
                <w:lang w:eastAsia="zh-CN"/>
              </w:rPr>
              <w:t>根据表</w:t>
            </w:r>
            <w:r>
              <w:rPr>
                <w:rFonts w:hint="eastAsia" w:cs="Times New Roman"/>
                <w:b w:val="0"/>
                <w:bCs/>
                <w:color w:val="auto"/>
                <w:sz w:val="24"/>
                <w:szCs w:val="24"/>
                <w:lang w:val="en-US" w:eastAsia="zh-CN"/>
              </w:rPr>
              <w:t>7-18</w:t>
            </w:r>
            <w:r>
              <w:rPr>
                <w:rFonts w:hint="default" w:ascii="Times New Roman" w:hAnsi="Times New Roman" w:cs="Times New Roman"/>
                <w:b w:val="0"/>
                <w:bCs/>
                <w:color w:val="auto"/>
                <w:sz w:val="24"/>
                <w:szCs w:val="24"/>
                <w:lang w:val="en-US" w:eastAsia="zh-CN"/>
              </w:rPr>
              <w:t>的评价结果，</w:t>
            </w:r>
            <w:r>
              <w:rPr>
                <w:rFonts w:hint="default" w:ascii="Times New Roman" w:hAnsi="Times New Roman" w:cs="Times New Roman"/>
                <w:b/>
                <w:bCs w:val="0"/>
                <w:color w:val="auto"/>
                <w:sz w:val="24"/>
                <w:szCs w:val="24"/>
                <w:lang w:val="en-US" w:eastAsia="zh-CN"/>
              </w:rPr>
              <w:t>本项目土壤环境影响评价工作</w:t>
            </w:r>
            <w:r>
              <w:rPr>
                <w:rFonts w:hint="eastAsia" w:cs="Times New Roman"/>
                <w:b/>
                <w:bCs w:val="0"/>
                <w:color w:val="auto"/>
                <w:sz w:val="24"/>
                <w:szCs w:val="24"/>
                <w:lang w:val="en-US" w:eastAsia="zh-CN"/>
              </w:rPr>
              <w:t>等级为三级</w:t>
            </w:r>
            <w:r>
              <w:rPr>
                <w:rFonts w:hint="default" w:ascii="Times New Roman" w:hAnsi="Times New Roman" w:cs="Times New Roman"/>
                <w:b/>
                <w:bCs w:val="0"/>
                <w:color w:val="auto"/>
                <w:sz w:val="24"/>
                <w:szCs w:val="24"/>
                <w:lang w:val="en-US" w:eastAsia="zh-CN"/>
              </w:rPr>
              <w:t>。</w:t>
            </w:r>
          </w:p>
          <w:p w14:paraId="67B5CC95">
            <w:pPr>
              <w:widowControl/>
              <w:adjustRightInd w:val="0"/>
              <w:spacing w:line="360" w:lineRule="auto"/>
              <w:ind w:firstLine="482" w:firstLineChars="200"/>
              <w:jc w:val="left"/>
              <w:rPr>
                <w:rFonts w:hint="default" w:ascii="Times New Roman" w:hAnsi="Times New Roman" w:eastAsia="宋体" w:cs="Times New Roman"/>
                <w:color w:val="auto"/>
                <w:sz w:val="24"/>
                <w:szCs w:val="24"/>
              </w:rPr>
            </w:pPr>
            <w:r>
              <w:rPr>
                <w:rFonts w:hint="eastAsia" w:cs="Times New Roman"/>
                <w:b/>
                <w:bCs w:val="0"/>
                <w:color w:val="auto"/>
                <w:sz w:val="24"/>
                <w:szCs w:val="24"/>
                <w:lang w:val="en-US" w:eastAsia="zh-CN"/>
              </w:rPr>
              <w:t>2、</w:t>
            </w:r>
            <w:r>
              <w:rPr>
                <w:rFonts w:hint="default" w:ascii="Times New Roman" w:hAnsi="Times New Roman" w:eastAsia="宋体" w:cs="Times New Roman"/>
                <w:b/>
                <w:bCs/>
                <w:color w:val="auto"/>
                <w:sz w:val="24"/>
                <w:szCs w:val="24"/>
              </w:rPr>
              <w:t>评价范围及环境敏感目标</w:t>
            </w:r>
          </w:p>
          <w:p w14:paraId="21AAE55B">
            <w:pPr>
              <w:spacing w:line="360" w:lineRule="auto"/>
              <w:ind w:firstLine="480"/>
              <w:rPr>
                <w:rFonts w:hint="default" w:ascii="Times New Roman" w:hAnsi="Times New Roman" w:cs="Times New Roman"/>
                <w:b/>
                <w:bCs w:val="0"/>
                <w:color w:val="auto"/>
                <w:sz w:val="24"/>
                <w:szCs w:val="24"/>
                <w:lang w:val="en-US" w:eastAsia="zh-CN"/>
              </w:rPr>
            </w:pPr>
            <w:r>
              <w:rPr>
                <w:rFonts w:hint="default" w:ascii="Times New Roman" w:hAnsi="Times New Roman" w:cs="Times New Roman"/>
                <w:color w:val="auto"/>
                <w:sz w:val="24"/>
                <w:szCs w:val="24"/>
                <w:lang w:eastAsia="zh-CN"/>
              </w:rPr>
              <w:t>本项目土壤环境影响评价等级为三级，根据导则要求，项目现状调查评价范围为：厂区占地范围内以及占地范围外0.05km范围内。</w:t>
            </w:r>
          </w:p>
          <w:p w14:paraId="5822A82C">
            <w:pPr>
              <w:spacing w:line="360" w:lineRule="auto"/>
              <w:ind w:firstLine="480"/>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根据《环境影响评价技术导则 土壤环境（试行）》（HJ964-2018），污染影响型调查范围为0.05km范围内。</w:t>
            </w:r>
          </w:p>
          <w:p w14:paraId="4E630419">
            <w:pPr>
              <w:spacing w:line="360" w:lineRule="auto"/>
              <w:ind w:firstLine="480"/>
              <w:rPr>
                <w:rFonts w:hint="default" w:ascii="Times New Roman" w:hAnsi="Times New Roman" w:cs="Times New Roman"/>
                <w:b/>
                <w:bCs/>
                <w:color w:val="auto"/>
                <w:sz w:val="24"/>
                <w:szCs w:val="24"/>
                <w:lang w:eastAsia="zh-CN"/>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eastAsia="zh-CN"/>
              </w:rPr>
              <w:t>、土壤环境影响识别及评价因子筛选</w:t>
            </w:r>
          </w:p>
          <w:p w14:paraId="1D911FF2">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①土壤环境影响识别</w:t>
            </w:r>
          </w:p>
          <w:p w14:paraId="3794E2B8">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项目可分为建设期、运营期两个阶段对土壤的环境影响识别见下表所示。</w:t>
            </w:r>
          </w:p>
          <w:p w14:paraId="03DACA1F">
            <w:pPr>
              <w:spacing w:line="360" w:lineRule="auto"/>
              <w:ind w:firstLine="480"/>
              <w:jc w:val="center"/>
              <w:rPr>
                <w:rFonts w:hint="default" w:ascii="Times New Roman" w:hAnsi="Times New Roman" w:cs="Times New Roman"/>
                <w:color w:val="auto"/>
                <w:sz w:val="24"/>
                <w:szCs w:val="24"/>
                <w:lang w:eastAsia="zh-CN"/>
              </w:rPr>
            </w:pPr>
            <w:r>
              <w:rPr>
                <w:rFonts w:hint="default" w:ascii="Times New Roman" w:hAnsi="Times New Roman" w:cs="Times New Roman"/>
                <w:b/>
                <w:bCs/>
                <w:i w:val="0"/>
                <w:iCs w:val="0"/>
                <w:color w:val="auto"/>
                <w:sz w:val="21"/>
                <w:szCs w:val="21"/>
                <w:lang w:eastAsia="zh-CN"/>
              </w:rPr>
              <w:t>表7-</w:t>
            </w:r>
            <w:r>
              <w:rPr>
                <w:rFonts w:hint="eastAsia" w:cs="Times New Roman"/>
                <w:b/>
                <w:bCs/>
                <w:i w:val="0"/>
                <w:iCs w:val="0"/>
                <w:color w:val="auto"/>
                <w:sz w:val="21"/>
                <w:szCs w:val="21"/>
                <w:lang w:val="en-US" w:eastAsia="zh-CN"/>
              </w:rPr>
              <w:t xml:space="preserve">27  </w:t>
            </w:r>
            <w:r>
              <w:rPr>
                <w:rFonts w:hint="default" w:ascii="Times New Roman" w:hAnsi="Times New Roman" w:cs="Times New Roman"/>
                <w:b/>
                <w:bCs/>
                <w:i w:val="0"/>
                <w:iCs w:val="0"/>
                <w:color w:val="auto"/>
                <w:sz w:val="21"/>
                <w:szCs w:val="21"/>
                <w:lang w:eastAsia="zh-CN"/>
              </w:rPr>
              <w:t>本项目土壤环境影响类型与影响途径表</w:t>
            </w:r>
          </w:p>
          <w:tbl>
            <w:tblPr>
              <w:tblStyle w:val="22"/>
              <w:tblW w:w="96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7"/>
              <w:gridCol w:w="1927"/>
              <w:gridCol w:w="1928"/>
              <w:gridCol w:w="1928"/>
              <w:gridCol w:w="1928"/>
            </w:tblGrid>
            <w:tr w14:paraId="01F09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2" w:type="dxa"/>
                  <w:vMerge w:val="restart"/>
                  <w:vAlign w:val="center"/>
                </w:tcPr>
                <w:p w14:paraId="1853249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不同时段</w:t>
                  </w:r>
                </w:p>
              </w:tc>
              <w:tc>
                <w:tcPr>
                  <w:tcW w:w="7291" w:type="dxa"/>
                  <w:gridSpan w:val="4"/>
                  <w:vAlign w:val="center"/>
                </w:tcPr>
                <w:p w14:paraId="5234083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影响途径</w:t>
                  </w:r>
                </w:p>
              </w:tc>
            </w:tr>
            <w:tr w14:paraId="6AECB5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2" w:type="dxa"/>
                  <w:vMerge w:val="continue"/>
                  <w:vAlign w:val="center"/>
                </w:tcPr>
                <w:p w14:paraId="5FB5FDEC">
                  <w:pPr>
                    <w:jc w:val="center"/>
                    <w:rPr>
                      <w:rFonts w:hint="default" w:ascii="Times New Roman" w:hAnsi="Times New Roman" w:cs="Times New Roman" w:eastAsiaTheme="minorEastAsia"/>
                      <w:color w:val="auto"/>
                      <w:sz w:val="21"/>
                      <w:szCs w:val="21"/>
                    </w:rPr>
                  </w:pPr>
                </w:p>
              </w:tc>
              <w:tc>
                <w:tcPr>
                  <w:tcW w:w="1822" w:type="dxa"/>
                  <w:vAlign w:val="center"/>
                </w:tcPr>
                <w:p w14:paraId="711C8FE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大气沉降</w:t>
                  </w:r>
                </w:p>
              </w:tc>
              <w:tc>
                <w:tcPr>
                  <w:tcW w:w="1823" w:type="dxa"/>
                  <w:vAlign w:val="center"/>
                </w:tcPr>
                <w:p w14:paraId="2B1D3FC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地面漫流</w:t>
                  </w:r>
                </w:p>
              </w:tc>
              <w:tc>
                <w:tcPr>
                  <w:tcW w:w="1823" w:type="dxa"/>
                  <w:vAlign w:val="center"/>
                </w:tcPr>
                <w:p w14:paraId="59A6B93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垂直入渗</w:t>
                  </w:r>
                </w:p>
              </w:tc>
              <w:tc>
                <w:tcPr>
                  <w:tcW w:w="1823" w:type="dxa"/>
                  <w:vAlign w:val="center"/>
                </w:tcPr>
                <w:p w14:paraId="5C4EA27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r>
            <w:tr w14:paraId="234460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2" w:type="dxa"/>
                  <w:vAlign w:val="center"/>
                </w:tcPr>
                <w:p w14:paraId="0EBB3F8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建设期</w:t>
                  </w:r>
                </w:p>
              </w:tc>
              <w:tc>
                <w:tcPr>
                  <w:tcW w:w="1822" w:type="dxa"/>
                  <w:vAlign w:val="center"/>
                </w:tcPr>
                <w:p w14:paraId="20E3A7A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823" w:type="dxa"/>
                  <w:vAlign w:val="center"/>
                </w:tcPr>
                <w:p w14:paraId="7E52E63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823" w:type="dxa"/>
                  <w:vAlign w:val="center"/>
                </w:tcPr>
                <w:p w14:paraId="6B72185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823" w:type="dxa"/>
                  <w:vAlign w:val="center"/>
                </w:tcPr>
                <w:p w14:paraId="22A9D5C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4E5E50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2" w:type="dxa"/>
                  <w:vAlign w:val="center"/>
                </w:tcPr>
                <w:p w14:paraId="536171A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运营期</w:t>
                  </w:r>
                </w:p>
              </w:tc>
              <w:tc>
                <w:tcPr>
                  <w:tcW w:w="1822" w:type="dxa"/>
                  <w:vAlign w:val="center"/>
                </w:tcPr>
                <w:p w14:paraId="0E37C10D">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w:t>
                  </w:r>
                </w:p>
              </w:tc>
              <w:tc>
                <w:tcPr>
                  <w:tcW w:w="1823" w:type="dxa"/>
                  <w:vAlign w:val="center"/>
                </w:tcPr>
                <w:p w14:paraId="7A96BED5">
                  <w:pPr>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w:t>
                  </w:r>
                </w:p>
              </w:tc>
              <w:tc>
                <w:tcPr>
                  <w:tcW w:w="1823" w:type="dxa"/>
                  <w:vAlign w:val="center"/>
                </w:tcPr>
                <w:p w14:paraId="4926A86F">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w:t>
                  </w:r>
                </w:p>
              </w:tc>
              <w:tc>
                <w:tcPr>
                  <w:tcW w:w="1823" w:type="dxa"/>
                  <w:vAlign w:val="center"/>
                </w:tcPr>
                <w:p w14:paraId="05CA170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bl>
          <w:p w14:paraId="3C9AFD11">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根据上表可知，本项目建设期不会对土壤造成影响，运营期间造成影响的主要包括地面漫流及垂直入渗对其造成的影响。</w:t>
            </w:r>
          </w:p>
          <w:p w14:paraId="0AA84472">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②土壤环境影响识别</w:t>
            </w:r>
          </w:p>
          <w:p w14:paraId="68A979F5">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本项目运营后土壤影响因子筛选见下表所示。</w:t>
            </w:r>
          </w:p>
          <w:p w14:paraId="0E7F3297">
            <w:pPr>
              <w:spacing w:line="360" w:lineRule="auto"/>
              <w:ind w:firstLine="480"/>
              <w:jc w:val="center"/>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1"/>
                <w:szCs w:val="21"/>
                <w:lang w:eastAsia="zh-CN"/>
              </w:rPr>
              <w:t>表7-</w:t>
            </w:r>
            <w:r>
              <w:rPr>
                <w:rFonts w:hint="eastAsia" w:cs="Times New Roman"/>
                <w:b/>
                <w:bCs/>
                <w:color w:val="auto"/>
                <w:sz w:val="21"/>
                <w:szCs w:val="21"/>
                <w:lang w:val="en-US" w:eastAsia="zh-CN"/>
              </w:rPr>
              <w:t xml:space="preserve">28  </w:t>
            </w:r>
            <w:r>
              <w:rPr>
                <w:rFonts w:hint="default" w:ascii="Times New Roman" w:hAnsi="Times New Roman" w:cs="Times New Roman"/>
                <w:b/>
                <w:bCs/>
                <w:color w:val="auto"/>
                <w:sz w:val="21"/>
                <w:szCs w:val="21"/>
                <w:lang w:eastAsia="zh-CN"/>
              </w:rPr>
              <w:t>本项目土壤环境影响源及影响因子识别表</w:t>
            </w:r>
          </w:p>
          <w:tbl>
            <w:tblPr>
              <w:tblStyle w:val="22"/>
              <w:tblW w:w="471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1929"/>
              <w:gridCol w:w="1922"/>
              <w:gridCol w:w="1918"/>
              <w:gridCol w:w="1760"/>
              <w:gridCol w:w="1167"/>
              <w:gridCol w:w="898"/>
            </w:tblGrid>
            <w:tr w14:paraId="1E9F492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13" w:hRule="atLeast"/>
                <w:jc w:val="center"/>
              </w:trPr>
              <w:tc>
                <w:tcPr>
                  <w:tcW w:w="1005" w:type="pct"/>
                  <w:tcBorders>
                    <w:left w:val="nil"/>
                  </w:tcBorders>
                  <w:vAlign w:val="center"/>
                </w:tcPr>
                <w:p w14:paraId="7EF63595">
                  <w:pPr>
                    <w:jc w:val="center"/>
                    <w:rPr>
                      <w:rFonts w:ascii="宋体" w:hAnsi="宋体" w:cs="宋体"/>
                      <w:b/>
                      <w:bCs/>
                      <w:color w:val="auto"/>
                      <w:szCs w:val="21"/>
                    </w:rPr>
                  </w:pPr>
                  <w:r>
                    <w:rPr>
                      <w:rFonts w:hint="eastAsia" w:ascii="宋体" w:hAnsi="宋体" w:cs="宋体"/>
                      <w:b/>
                      <w:bCs/>
                      <w:color w:val="auto"/>
                      <w:szCs w:val="21"/>
                    </w:rPr>
                    <w:t>污染源</w:t>
                  </w:r>
                </w:p>
              </w:tc>
              <w:tc>
                <w:tcPr>
                  <w:tcW w:w="1001" w:type="pct"/>
                  <w:vAlign w:val="center"/>
                </w:tcPr>
                <w:p w14:paraId="67368F2C">
                  <w:pPr>
                    <w:jc w:val="center"/>
                    <w:rPr>
                      <w:rFonts w:ascii="宋体" w:hAnsi="宋体" w:cs="宋体"/>
                      <w:b/>
                      <w:bCs/>
                      <w:color w:val="auto"/>
                      <w:szCs w:val="21"/>
                    </w:rPr>
                  </w:pPr>
                  <w:r>
                    <w:rPr>
                      <w:rFonts w:hint="eastAsia" w:ascii="宋体" w:hAnsi="宋体" w:cs="宋体"/>
                      <w:b/>
                      <w:bCs/>
                      <w:color w:val="auto"/>
                      <w:szCs w:val="21"/>
                    </w:rPr>
                    <w:t>工艺流程/节点</w:t>
                  </w:r>
                </w:p>
              </w:tc>
              <w:tc>
                <w:tcPr>
                  <w:tcW w:w="999" w:type="pct"/>
                  <w:vAlign w:val="center"/>
                </w:tcPr>
                <w:p w14:paraId="6AB2E273">
                  <w:pPr>
                    <w:jc w:val="center"/>
                    <w:rPr>
                      <w:rFonts w:ascii="宋体" w:hAnsi="宋体" w:cs="宋体"/>
                      <w:b/>
                      <w:bCs/>
                      <w:color w:val="auto"/>
                      <w:szCs w:val="21"/>
                    </w:rPr>
                  </w:pPr>
                  <w:r>
                    <w:rPr>
                      <w:rFonts w:hint="eastAsia" w:ascii="宋体" w:hAnsi="宋体" w:cs="宋体"/>
                      <w:b/>
                      <w:bCs/>
                      <w:color w:val="auto"/>
                      <w:szCs w:val="21"/>
                    </w:rPr>
                    <w:t>污染途径</w:t>
                  </w:r>
                </w:p>
              </w:tc>
              <w:tc>
                <w:tcPr>
                  <w:tcW w:w="917" w:type="pct"/>
                  <w:vAlign w:val="center"/>
                </w:tcPr>
                <w:p w14:paraId="38E461B3">
                  <w:pPr>
                    <w:jc w:val="center"/>
                    <w:rPr>
                      <w:rFonts w:ascii="宋体" w:hAnsi="宋体" w:cs="宋体"/>
                      <w:b/>
                      <w:bCs/>
                      <w:color w:val="auto"/>
                      <w:szCs w:val="21"/>
                    </w:rPr>
                  </w:pPr>
                  <w:r>
                    <w:rPr>
                      <w:rFonts w:hint="eastAsia" w:ascii="宋体" w:hAnsi="宋体" w:cs="宋体"/>
                      <w:b/>
                      <w:bCs/>
                      <w:color w:val="auto"/>
                      <w:szCs w:val="21"/>
                    </w:rPr>
                    <w:t>全部污染物指标</w:t>
                  </w:r>
                </w:p>
              </w:tc>
              <w:tc>
                <w:tcPr>
                  <w:tcW w:w="608" w:type="pct"/>
                  <w:vAlign w:val="center"/>
                </w:tcPr>
                <w:p w14:paraId="0B3E8B41">
                  <w:pPr>
                    <w:jc w:val="center"/>
                    <w:rPr>
                      <w:rFonts w:ascii="宋体" w:hAnsi="宋体" w:cs="宋体"/>
                      <w:b/>
                      <w:bCs/>
                      <w:color w:val="auto"/>
                      <w:szCs w:val="21"/>
                    </w:rPr>
                  </w:pPr>
                  <w:r>
                    <w:rPr>
                      <w:rFonts w:hint="eastAsia" w:ascii="宋体" w:hAnsi="宋体" w:cs="宋体"/>
                      <w:b/>
                      <w:bCs/>
                      <w:color w:val="auto"/>
                      <w:szCs w:val="21"/>
                    </w:rPr>
                    <w:t>特征因子</w:t>
                  </w:r>
                </w:p>
              </w:tc>
              <w:tc>
                <w:tcPr>
                  <w:tcW w:w="468" w:type="pct"/>
                  <w:tcBorders>
                    <w:right w:val="nil"/>
                  </w:tcBorders>
                  <w:vAlign w:val="center"/>
                </w:tcPr>
                <w:p w14:paraId="43CF5DC5">
                  <w:pPr>
                    <w:jc w:val="center"/>
                    <w:rPr>
                      <w:rFonts w:ascii="宋体" w:hAnsi="宋体" w:cs="宋体"/>
                      <w:b/>
                      <w:bCs/>
                      <w:color w:val="auto"/>
                      <w:szCs w:val="21"/>
                    </w:rPr>
                  </w:pPr>
                  <w:r>
                    <w:rPr>
                      <w:rFonts w:hint="eastAsia" w:ascii="宋体" w:hAnsi="宋体" w:cs="宋体"/>
                      <w:b/>
                      <w:bCs/>
                      <w:color w:val="auto"/>
                      <w:szCs w:val="21"/>
                    </w:rPr>
                    <w:t>备注</w:t>
                  </w:r>
                </w:p>
              </w:tc>
            </w:tr>
            <w:tr w14:paraId="49057F0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005" w:type="pct"/>
                  <w:vMerge w:val="restart"/>
                  <w:tcBorders>
                    <w:left w:val="nil"/>
                  </w:tcBorders>
                  <w:vAlign w:val="center"/>
                </w:tcPr>
                <w:p w14:paraId="0BF6060E">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生产运输设备</w:t>
                  </w:r>
                </w:p>
              </w:tc>
              <w:tc>
                <w:tcPr>
                  <w:tcW w:w="1001" w:type="pct"/>
                  <w:vMerge w:val="restart"/>
                  <w:vAlign w:val="center"/>
                </w:tcPr>
                <w:p w14:paraId="2E756A47">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工艺过程、运输阶段</w:t>
                  </w:r>
                </w:p>
              </w:tc>
              <w:tc>
                <w:tcPr>
                  <w:tcW w:w="999" w:type="pct"/>
                  <w:vAlign w:val="center"/>
                </w:tcPr>
                <w:p w14:paraId="44D74029">
                  <w:pPr>
                    <w:jc w:val="center"/>
                    <w:rPr>
                      <w:rFonts w:ascii="宋体" w:hAnsi="宋体" w:cs="宋体"/>
                      <w:color w:val="auto"/>
                      <w:szCs w:val="21"/>
                    </w:rPr>
                  </w:pPr>
                  <w:r>
                    <w:rPr>
                      <w:rFonts w:hint="eastAsia" w:ascii="宋体" w:hAnsi="宋体" w:cs="宋体"/>
                      <w:color w:val="auto"/>
                      <w:szCs w:val="21"/>
                    </w:rPr>
                    <w:t>垂直入渗</w:t>
                  </w:r>
                </w:p>
              </w:tc>
              <w:tc>
                <w:tcPr>
                  <w:tcW w:w="917" w:type="pct"/>
                  <w:vMerge w:val="restart"/>
                  <w:vAlign w:val="center"/>
                </w:tcPr>
                <w:p w14:paraId="3BC68BC9">
                  <w:pPr>
                    <w:jc w:val="center"/>
                    <w:rPr>
                      <w:rFonts w:ascii="宋体" w:hAnsi="宋体" w:cs="宋体"/>
                      <w:color w:val="auto"/>
                      <w:szCs w:val="21"/>
                    </w:rPr>
                  </w:pPr>
                  <w:r>
                    <w:rPr>
                      <w:rFonts w:hint="eastAsia" w:ascii="宋体" w:hAnsi="宋体" w:cs="宋体"/>
                      <w:color w:val="auto"/>
                      <w:szCs w:val="21"/>
                    </w:rPr>
                    <w:t>石油类</w:t>
                  </w:r>
                </w:p>
              </w:tc>
              <w:tc>
                <w:tcPr>
                  <w:tcW w:w="608" w:type="pct"/>
                  <w:vMerge w:val="restart"/>
                  <w:vAlign w:val="center"/>
                </w:tcPr>
                <w:p w14:paraId="7298C656">
                  <w:pPr>
                    <w:jc w:val="center"/>
                    <w:rPr>
                      <w:rFonts w:hint="default" w:ascii="宋体" w:hAnsi="宋体" w:cs="宋体"/>
                      <w:color w:val="auto"/>
                      <w:szCs w:val="21"/>
                      <w:lang w:val="en-US"/>
                    </w:rPr>
                  </w:pPr>
                  <w:r>
                    <w:rPr>
                      <w:rFonts w:hint="default" w:ascii="宋体" w:hAnsi="宋体" w:cs="宋体"/>
                      <w:color w:val="auto"/>
                      <w:szCs w:val="21"/>
                      <w:lang w:val="en-US"/>
                    </w:rPr>
                    <w:t>石油类</w:t>
                  </w:r>
                </w:p>
              </w:tc>
              <w:tc>
                <w:tcPr>
                  <w:tcW w:w="468" w:type="pct"/>
                  <w:vMerge w:val="restart"/>
                  <w:tcBorders>
                    <w:right w:val="nil"/>
                  </w:tcBorders>
                  <w:vAlign w:val="center"/>
                </w:tcPr>
                <w:p w14:paraId="1B9534E5">
                  <w:pPr>
                    <w:jc w:val="center"/>
                    <w:rPr>
                      <w:rFonts w:ascii="宋体" w:hAnsi="宋体" w:cs="宋体"/>
                      <w:color w:val="auto"/>
                      <w:szCs w:val="21"/>
                    </w:rPr>
                  </w:pPr>
                  <w:r>
                    <w:rPr>
                      <w:rFonts w:hint="eastAsia" w:ascii="宋体" w:hAnsi="宋体" w:cs="宋体"/>
                      <w:color w:val="auto"/>
                      <w:szCs w:val="21"/>
                    </w:rPr>
                    <w:t>事故</w:t>
                  </w:r>
                </w:p>
              </w:tc>
            </w:tr>
            <w:tr w14:paraId="5BA6C04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005" w:type="pct"/>
                  <w:vMerge w:val="continue"/>
                  <w:tcBorders>
                    <w:left w:val="nil"/>
                  </w:tcBorders>
                  <w:vAlign w:val="center"/>
                </w:tcPr>
                <w:p w14:paraId="71BDCA5A">
                  <w:pPr>
                    <w:jc w:val="center"/>
                    <w:rPr>
                      <w:color w:val="auto"/>
                    </w:rPr>
                  </w:pPr>
                </w:p>
              </w:tc>
              <w:tc>
                <w:tcPr>
                  <w:tcW w:w="1001" w:type="pct"/>
                  <w:vMerge w:val="continue"/>
                  <w:vAlign w:val="center"/>
                </w:tcPr>
                <w:p w14:paraId="605A6D77">
                  <w:pPr>
                    <w:jc w:val="center"/>
                    <w:rPr>
                      <w:color w:val="auto"/>
                    </w:rPr>
                  </w:pPr>
                </w:p>
              </w:tc>
              <w:tc>
                <w:tcPr>
                  <w:tcW w:w="999" w:type="pct"/>
                  <w:vAlign w:val="center"/>
                </w:tcPr>
                <w:p w14:paraId="6B0527CB">
                  <w:pPr>
                    <w:jc w:val="center"/>
                    <w:rPr>
                      <w:rFonts w:hint="eastAsia" w:ascii="宋体" w:hAnsi="宋体" w:cs="宋体"/>
                      <w:color w:val="auto"/>
                      <w:szCs w:val="21"/>
                    </w:rPr>
                  </w:pPr>
                  <w:r>
                    <w:rPr>
                      <w:rFonts w:hint="eastAsia" w:ascii="宋体" w:hAnsi="宋体" w:cs="宋体"/>
                      <w:color w:val="auto"/>
                      <w:szCs w:val="21"/>
                    </w:rPr>
                    <w:t>地面漫流</w:t>
                  </w:r>
                </w:p>
              </w:tc>
              <w:tc>
                <w:tcPr>
                  <w:tcW w:w="917" w:type="pct"/>
                  <w:vMerge w:val="continue"/>
                  <w:vAlign w:val="center"/>
                </w:tcPr>
                <w:p w14:paraId="7EF2CC44">
                  <w:pPr>
                    <w:jc w:val="center"/>
                    <w:rPr>
                      <w:rFonts w:hint="eastAsia" w:ascii="宋体" w:hAnsi="宋体" w:cs="宋体"/>
                      <w:color w:val="auto"/>
                      <w:szCs w:val="21"/>
                    </w:rPr>
                  </w:pPr>
                </w:p>
              </w:tc>
              <w:tc>
                <w:tcPr>
                  <w:tcW w:w="608" w:type="pct"/>
                  <w:vMerge w:val="continue"/>
                  <w:vAlign w:val="center"/>
                </w:tcPr>
                <w:p w14:paraId="1A36951D">
                  <w:pPr>
                    <w:jc w:val="center"/>
                    <w:rPr>
                      <w:rFonts w:hint="eastAsia" w:ascii="宋体" w:hAnsi="宋体" w:cs="宋体"/>
                      <w:color w:val="auto"/>
                      <w:szCs w:val="21"/>
                    </w:rPr>
                  </w:pPr>
                </w:p>
              </w:tc>
              <w:tc>
                <w:tcPr>
                  <w:tcW w:w="468" w:type="pct"/>
                  <w:vMerge w:val="continue"/>
                  <w:tcBorders>
                    <w:right w:val="nil"/>
                  </w:tcBorders>
                  <w:vAlign w:val="center"/>
                </w:tcPr>
                <w:p w14:paraId="2A8EF4F8">
                  <w:pPr>
                    <w:jc w:val="center"/>
                    <w:rPr>
                      <w:rFonts w:hint="eastAsia" w:ascii="宋体" w:hAnsi="宋体" w:cs="宋体"/>
                      <w:color w:val="auto"/>
                      <w:szCs w:val="21"/>
                    </w:rPr>
                  </w:pPr>
                </w:p>
              </w:tc>
            </w:tr>
            <w:tr w14:paraId="2A47348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5" w:type="pct"/>
                  <w:tcBorders>
                    <w:left w:val="nil"/>
                  </w:tcBorders>
                  <w:vAlign w:val="center"/>
                </w:tcPr>
                <w:p w14:paraId="4A93DA31">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化粪池、沉淀池</w:t>
                  </w:r>
                </w:p>
              </w:tc>
              <w:tc>
                <w:tcPr>
                  <w:tcW w:w="1001" w:type="pct"/>
                  <w:vAlign w:val="center"/>
                </w:tcPr>
                <w:p w14:paraId="074E6C96">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生活污水、冲洗废水处理</w:t>
                  </w:r>
                </w:p>
              </w:tc>
              <w:tc>
                <w:tcPr>
                  <w:tcW w:w="999" w:type="pct"/>
                  <w:vAlign w:val="center"/>
                </w:tcPr>
                <w:p w14:paraId="26533EEE">
                  <w:pPr>
                    <w:jc w:val="center"/>
                    <w:rPr>
                      <w:rFonts w:hint="eastAsia" w:ascii="宋体" w:hAnsi="宋体" w:cs="宋体"/>
                      <w:color w:val="auto"/>
                      <w:szCs w:val="21"/>
                    </w:rPr>
                  </w:pPr>
                  <w:r>
                    <w:rPr>
                      <w:rFonts w:hint="eastAsia" w:ascii="宋体" w:hAnsi="宋体" w:cs="宋体"/>
                      <w:color w:val="auto"/>
                      <w:szCs w:val="21"/>
                    </w:rPr>
                    <w:t>垂直入渗</w:t>
                  </w:r>
                </w:p>
              </w:tc>
              <w:tc>
                <w:tcPr>
                  <w:tcW w:w="917" w:type="pct"/>
                  <w:vAlign w:val="center"/>
                </w:tcPr>
                <w:p w14:paraId="4353A800">
                  <w:pPr>
                    <w:jc w:val="center"/>
                    <w:rPr>
                      <w:rFonts w:hint="default" w:ascii="宋体" w:hAnsi="宋体" w:eastAsia="宋体" w:cs="宋体"/>
                      <w:color w:val="auto"/>
                      <w:szCs w:val="21"/>
                      <w:lang w:val="en-US" w:eastAsia="zh-CN"/>
                    </w:rPr>
                  </w:pPr>
                  <w:r>
                    <w:rPr>
                      <w:rFonts w:ascii="Times New Roman" w:eastAsia="Times New Roman"/>
                      <w:color w:val="auto"/>
                    </w:rPr>
                    <w:t>COD</w:t>
                  </w:r>
                  <w:r>
                    <w:rPr>
                      <w:color w:val="auto"/>
                    </w:rPr>
                    <w:t>、</w:t>
                  </w:r>
                  <w:r>
                    <w:rPr>
                      <w:color w:val="auto"/>
                      <w:spacing w:val="-2"/>
                    </w:rPr>
                    <w:t>氨氮、</w:t>
                  </w:r>
                  <w:r>
                    <w:rPr>
                      <w:rFonts w:hint="eastAsia"/>
                      <w:color w:val="auto"/>
                      <w:spacing w:val="-2"/>
                      <w:lang w:val="en-US" w:eastAsia="zh-CN"/>
                    </w:rPr>
                    <w:t>SS</w:t>
                  </w:r>
                </w:p>
              </w:tc>
              <w:tc>
                <w:tcPr>
                  <w:tcW w:w="608" w:type="pct"/>
                  <w:vAlign w:val="center"/>
                </w:tcPr>
                <w:p w14:paraId="4671C3C9">
                  <w:pPr>
                    <w:jc w:val="center"/>
                    <w:rPr>
                      <w:rFonts w:hint="eastAsia" w:ascii="宋体" w:hAnsi="宋体" w:eastAsia="宋体" w:cs="宋体"/>
                      <w:color w:val="auto"/>
                      <w:szCs w:val="21"/>
                      <w:lang w:val="en-US" w:eastAsia="zh-CN"/>
                    </w:rPr>
                  </w:pPr>
                  <w:r>
                    <w:rPr>
                      <w:rFonts w:ascii="Times New Roman" w:eastAsia="Times New Roman"/>
                      <w:color w:val="auto"/>
                    </w:rPr>
                    <w:t>COD</w:t>
                  </w:r>
                  <w:r>
                    <w:rPr>
                      <w:color w:val="auto"/>
                    </w:rPr>
                    <w:t>、</w:t>
                  </w:r>
                  <w:r>
                    <w:rPr>
                      <w:color w:val="auto"/>
                      <w:spacing w:val="-2"/>
                    </w:rPr>
                    <w:t>氨氮</w:t>
                  </w:r>
                </w:p>
              </w:tc>
              <w:tc>
                <w:tcPr>
                  <w:tcW w:w="468" w:type="pct"/>
                  <w:tcBorders>
                    <w:right w:val="nil"/>
                  </w:tcBorders>
                  <w:vAlign w:val="center"/>
                </w:tcPr>
                <w:p w14:paraId="255E2510">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事故</w:t>
                  </w:r>
                </w:p>
              </w:tc>
            </w:tr>
          </w:tbl>
          <w:p w14:paraId="04884E60">
            <w:pPr>
              <w:spacing w:line="360" w:lineRule="auto"/>
              <w:ind w:firstLine="48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4、土壤环境影响分析</w:t>
            </w:r>
          </w:p>
          <w:p w14:paraId="6E4BC059">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（1）地面漫流途径土壤影响分析</w:t>
            </w:r>
          </w:p>
          <w:p w14:paraId="51EB104C">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对于在</w:t>
            </w:r>
            <w:r>
              <w:rPr>
                <w:rFonts w:hint="eastAsia" w:cs="Times New Roman"/>
                <w:color w:val="auto"/>
                <w:sz w:val="24"/>
                <w:szCs w:val="24"/>
                <w:lang w:val="en-US" w:eastAsia="zh-CN"/>
              </w:rPr>
              <w:t>工艺过程含油机械设备或运输车辆</w:t>
            </w:r>
            <w:r>
              <w:rPr>
                <w:rFonts w:hint="default" w:ascii="Times New Roman" w:hAnsi="Times New Roman" w:cs="Times New Roman"/>
                <w:color w:val="auto"/>
                <w:sz w:val="24"/>
                <w:szCs w:val="24"/>
                <w:lang w:eastAsia="zh-CN"/>
              </w:rPr>
              <w:t>在事故状态下</w:t>
            </w:r>
            <w:r>
              <w:rPr>
                <w:rFonts w:hint="eastAsia" w:cs="Times New Roman"/>
                <w:color w:val="auto"/>
                <w:sz w:val="24"/>
                <w:szCs w:val="24"/>
                <w:lang w:val="en-US" w:eastAsia="zh-CN"/>
              </w:rPr>
              <w:t>发生油品泄漏</w:t>
            </w:r>
            <w:r>
              <w:rPr>
                <w:rFonts w:hint="default" w:ascii="Times New Roman" w:hAnsi="Times New Roman" w:cs="Times New Roman"/>
                <w:color w:val="auto"/>
                <w:sz w:val="24"/>
                <w:szCs w:val="24"/>
                <w:lang w:eastAsia="zh-CN"/>
              </w:rPr>
              <w:t>如果遇到降雨会产生发水发生地面漫流，进一步污染土壤。</w:t>
            </w:r>
            <w:r>
              <w:rPr>
                <w:rFonts w:hint="eastAsia" w:cs="Times New Roman"/>
                <w:color w:val="auto"/>
                <w:sz w:val="24"/>
                <w:szCs w:val="24"/>
                <w:lang w:val="en-US" w:eastAsia="zh-CN"/>
              </w:rPr>
              <w:t>建设单位将加强对机械设备的维护，定时对运输车辆进行维护保养</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同时对生产厂房和厂区地坪进行硬化防渗后</w:t>
            </w:r>
            <w:r>
              <w:rPr>
                <w:rFonts w:hint="default" w:ascii="Times New Roman" w:hAnsi="Times New Roman" w:cs="Times New Roman"/>
                <w:color w:val="auto"/>
                <w:sz w:val="24"/>
                <w:szCs w:val="24"/>
                <w:lang w:eastAsia="zh-CN"/>
              </w:rPr>
              <w:t>可有效降低本项目地面径流对土壤的影响。综上所述，本项目地面漫流对土壤的影响很小。</w:t>
            </w:r>
          </w:p>
          <w:p w14:paraId="1F48904E">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（2）垂直入渗途径土壤环境影响分析</w:t>
            </w:r>
          </w:p>
          <w:p w14:paraId="7FDA1B9C">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根据识别结果，本项目垂直入渗的情况主要为</w:t>
            </w:r>
            <w:r>
              <w:rPr>
                <w:rFonts w:hint="eastAsia" w:cs="Times New Roman"/>
                <w:color w:val="auto"/>
                <w:sz w:val="24"/>
                <w:szCs w:val="24"/>
                <w:lang w:eastAsia="zh-CN"/>
              </w:rPr>
              <w:t>化粪池</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沉淀池</w:t>
            </w:r>
            <w:r>
              <w:rPr>
                <w:rFonts w:hint="default" w:ascii="Times New Roman" w:hAnsi="Times New Roman" w:cs="Times New Roman"/>
                <w:color w:val="auto"/>
                <w:sz w:val="24"/>
                <w:szCs w:val="24"/>
                <w:lang w:eastAsia="zh-CN"/>
              </w:rPr>
              <w:t xml:space="preserve">事故的情况下，造成泄漏通过垂直入渗进一步污染土壤。本项目已提出的“地下水防渗措施”要求，根据场地特性和项目特征，已要求对以上可能泄漏的场所进行了重点防渗，即使在事故工况泄漏的情况下也不会下渗到土壤对其造成影响。 </w:t>
            </w:r>
          </w:p>
          <w:p w14:paraId="734FD347">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综上，在全面落实分区防渗措施的情况下，物料或污染物的垂直入渗对土壤影响较小。</w:t>
            </w:r>
          </w:p>
          <w:p w14:paraId="61CDC463">
            <w:pPr>
              <w:spacing w:line="360" w:lineRule="auto"/>
              <w:ind w:firstLine="48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5、土壤环境保护措施与对策</w:t>
            </w:r>
          </w:p>
          <w:p w14:paraId="3C24879A">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1</w:t>
            </w:r>
            <w:r>
              <w:rPr>
                <w:rFonts w:hint="default" w:ascii="Times New Roman" w:hAnsi="Times New Roman" w:cs="Times New Roman"/>
                <w:color w:val="auto"/>
                <w:sz w:val="24"/>
                <w:szCs w:val="24"/>
                <w:lang w:eastAsia="zh-CN"/>
              </w:rPr>
              <w:t>）过程防控措施</w:t>
            </w:r>
          </w:p>
          <w:p w14:paraId="3DD1A2EA">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A、按照本次环评的要求对</w:t>
            </w:r>
            <w:r>
              <w:rPr>
                <w:rFonts w:hint="eastAsia" w:cs="Times New Roman"/>
                <w:color w:val="auto"/>
                <w:sz w:val="24"/>
                <w:szCs w:val="24"/>
                <w:lang w:val="en-US" w:eastAsia="zh-CN"/>
              </w:rPr>
              <w:t>相应区域</w:t>
            </w:r>
            <w:r>
              <w:rPr>
                <w:rFonts w:hint="default" w:ascii="Times New Roman" w:hAnsi="Times New Roman" w:cs="Times New Roman"/>
                <w:color w:val="auto"/>
                <w:sz w:val="24"/>
                <w:szCs w:val="24"/>
                <w:lang w:eastAsia="zh-CN"/>
              </w:rPr>
              <w:t>进行重点防渗处理</w:t>
            </w:r>
            <w:r>
              <w:rPr>
                <w:rFonts w:hint="eastAsia" w:cs="Times New Roman"/>
                <w:color w:val="auto"/>
                <w:sz w:val="24"/>
                <w:szCs w:val="24"/>
                <w:lang w:val="en-US" w:eastAsia="zh-CN"/>
              </w:rPr>
              <w:t>等</w:t>
            </w:r>
            <w:r>
              <w:rPr>
                <w:rFonts w:hint="default" w:ascii="Times New Roman" w:hAnsi="Times New Roman" w:cs="Times New Roman"/>
                <w:color w:val="auto"/>
                <w:sz w:val="24"/>
                <w:szCs w:val="24"/>
                <w:lang w:eastAsia="zh-CN"/>
              </w:rPr>
              <w:t>。</w:t>
            </w:r>
          </w:p>
          <w:p w14:paraId="5181A7AD">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B、</w:t>
            </w:r>
            <w:r>
              <w:rPr>
                <w:rFonts w:hint="eastAsia" w:cs="Times New Roman"/>
                <w:color w:val="auto"/>
                <w:sz w:val="24"/>
                <w:szCs w:val="24"/>
                <w:lang w:val="en-US" w:eastAsia="zh-CN"/>
              </w:rPr>
              <w:t>厂区</w:t>
            </w:r>
            <w:r>
              <w:rPr>
                <w:rFonts w:hint="default" w:ascii="Times New Roman" w:hAnsi="Times New Roman" w:cs="Times New Roman"/>
                <w:color w:val="auto"/>
                <w:sz w:val="24"/>
                <w:szCs w:val="24"/>
                <w:lang w:eastAsia="zh-CN"/>
              </w:rPr>
              <w:t>地面进行硬化、防渗处理，按照防渗标准要求进行合理设计，建立防渗设施的检漏系统，指派专人对</w:t>
            </w:r>
            <w:r>
              <w:rPr>
                <w:rFonts w:hint="eastAsia" w:cs="Times New Roman"/>
                <w:color w:val="auto"/>
                <w:sz w:val="24"/>
                <w:szCs w:val="24"/>
                <w:lang w:val="en-US" w:eastAsia="zh-CN"/>
              </w:rPr>
              <w:t>重点防渗区域</w:t>
            </w:r>
            <w:r>
              <w:rPr>
                <w:rFonts w:hint="default" w:ascii="Times New Roman" w:hAnsi="Times New Roman" w:cs="Times New Roman"/>
                <w:color w:val="auto"/>
                <w:sz w:val="24"/>
                <w:szCs w:val="24"/>
                <w:lang w:eastAsia="zh-CN"/>
              </w:rPr>
              <w:t>定时检测，查看泄漏情况；</w:t>
            </w:r>
          </w:p>
          <w:p w14:paraId="25191DCE">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C、加强</w:t>
            </w:r>
            <w:r>
              <w:rPr>
                <w:rFonts w:hint="eastAsia" w:cs="Times New Roman"/>
                <w:color w:val="auto"/>
                <w:sz w:val="24"/>
                <w:szCs w:val="24"/>
                <w:lang w:val="en-US" w:eastAsia="zh-CN"/>
              </w:rPr>
              <w:t>厂</w:t>
            </w:r>
            <w:r>
              <w:rPr>
                <w:rFonts w:hint="default" w:ascii="Times New Roman" w:hAnsi="Times New Roman" w:cs="Times New Roman"/>
                <w:color w:val="auto"/>
                <w:sz w:val="24"/>
                <w:szCs w:val="24"/>
                <w:lang w:eastAsia="zh-CN"/>
              </w:rPr>
              <w:t>区内的绿化措施，尽可能多种植对</w:t>
            </w:r>
            <w:r>
              <w:rPr>
                <w:rFonts w:hint="eastAsia" w:cs="Times New Roman"/>
                <w:color w:val="auto"/>
                <w:sz w:val="24"/>
                <w:szCs w:val="24"/>
                <w:lang w:val="en-US" w:eastAsia="zh-CN"/>
              </w:rPr>
              <w:t>颗粒物</w:t>
            </w:r>
            <w:r>
              <w:rPr>
                <w:rFonts w:hint="default" w:ascii="Times New Roman" w:hAnsi="Times New Roman" w:cs="Times New Roman"/>
                <w:color w:val="auto"/>
                <w:sz w:val="24"/>
                <w:szCs w:val="24"/>
                <w:lang w:eastAsia="zh-CN"/>
              </w:rPr>
              <w:t>等污染因子有吸附作用的植物。</w:t>
            </w:r>
          </w:p>
          <w:p w14:paraId="08B368A9">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D、固体废物分类暂存，不得随意堆放，对</w:t>
            </w:r>
            <w:r>
              <w:rPr>
                <w:rFonts w:hint="eastAsia" w:cs="Times New Roman"/>
                <w:color w:val="auto"/>
                <w:sz w:val="24"/>
                <w:szCs w:val="24"/>
                <w:lang w:val="en-US" w:eastAsia="zh-CN"/>
              </w:rPr>
              <w:t>站区</w:t>
            </w:r>
            <w:r>
              <w:rPr>
                <w:rFonts w:hint="default" w:ascii="Times New Roman" w:hAnsi="Times New Roman" w:cs="Times New Roman"/>
                <w:color w:val="auto"/>
                <w:sz w:val="24"/>
                <w:szCs w:val="24"/>
                <w:lang w:eastAsia="zh-CN"/>
              </w:rPr>
              <w:t>的路面及</w:t>
            </w:r>
            <w:r>
              <w:rPr>
                <w:rFonts w:hint="eastAsia" w:cs="Times New Roman"/>
                <w:color w:val="auto"/>
                <w:sz w:val="24"/>
                <w:szCs w:val="24"/>
                <w:lang w:val="en-US" w:eastAsia="zh-CN"/>
              </w:rPr>
              <w:t>各防渗单元</w:t>
            </w:r>
            <w:r>
              <w:rPr>
                <w:rFonts w:hint="default" w:ascii="Times New Roman" w:hAnsi="Times New Roman" w:cs="Times New Roman"/>
                <w:color w:val="auto"/>
                <w:sz w:val="24"/>
                <w:szCs w:val="24"/>
                <w:lang w:eastAsia="zh-CN"/>
              </w:rPr>
              <w:t>的防渗措施进行定期维护</w:t>
            </w:r>
            <w:r>
              <w:rPr>
                <w:rFonts w:hint="eastAsia" w:cs="Times New Roman"/>
                <w:color w:val="auto"/>
                <w:sz w:val="24"/>
                <w:szCs w:val="24"/>
                <w:lang w:eastAsia="zh-CN"/>
              </w:rPr>
              <w:t>。</w:t>
            </w:r>
          </w:p>
          <w:p w14:paraId="521B696C">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w:t>
            </w:r>
            <w:r>
              <w:rPr>
                <w:rFonts w:hint="default" w:ascii="Times New Roman" w:hAnsi="Times New Roman" w:cs="Times New Roman"/>
                <w:color w:val="auto"/>
                <w:sz w:val="24"/>
                <w:szCs w:val="24"/>
                <w:lang w:eastAsia="zh-CN"/>
              </w:rPr>
              <w:t>）跟踪监测</w:t>
            </w:r>
          </w:p>
          <w:p w14:paraId="356538D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建立地下土壤污染监控制度和环境管理体系，以便及时发现问题，及时采取措施，要求企业每5年内开展一次监测工作。发现土壤污染时，及时查找泄漏源，防治污染物的进一步下渗， 必要时对污染的土壤进行替换或修复。按项目有关规定及时建立档案，并定期向厂安全环保部门汇报，对于常规监测数据应该进行公开，特别是对项目所在区域的公众进行公开，满足法律中关于知情权的要求。如发现异常或发生事故，加密监测频次，改为每天监测一次，并分析污染原因，确定泄漏污染源，及时采取对应</w:t>
            </w:r>
            <w:r>
              <w:rPr>
                <w:rFonts w:hint="eastAsia" w:cs="Times New Roman"/>
                <w:color w:val="auto"/>
                <w:sz w:val="24"/>
                <w:szCs w:val="24"/>
                <w:lang w:val="en-US" w:eastAsia="zh-CN"/>
              </w:rPr>
              <w:t>的</w:t>
            </w:r>
            <w:r>
              <w:rPr>
                <w:rFonts w:hint="default" w:ascii="Times New Roman" w:hAnsi="Times New Roman" w:cs="Times New Roman"/>
                <w:color w:val="auto"/>
                <w:sz w:val="24"/>
                <w:szCs w:val="24"/>
                <w:lang w:eastAsia="zh-CN"/>
              </w:rPr>
              <w:t>应急措施。</w:t>
            </w:r>
          </w:p>
          <w:p w14:paraId="0EAC7FD9">
            <w:pPr>
              <w:spacing w:line="360" w:lineRule="auto"/>
              <w:outlineLvl w:val="0"/>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rPr>
              <w:t>三、环境风险分析</w:t>
            </w:r>
          </w:p>
          <w:p w14:paraId="48F0407D">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1、环境风险评价的目的</w:t>
            </w:r>
          </w:p>
          <w:p w14:paraId="15A9528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将风险可能性和危害程度降至最低。</w:t>
            </w:r>
          </w:p>
          <w:p w14:paraId="02F4AB93">
            <w:pPr>
              <w:spacing w:line="360" w:lineRule="auto"/>
              <w:ind w:firstLine="482" w:firstLineChars="20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2、</w:t>
            </w:r>
            <w:r>
              <w:rPr>
                <w:rFonts w:hint="default" w:ascii="Times New Roman" w:hAnsi="Times New Roman" w:cs="Times New Roman"/>
                <w:b/>
                <w:color w:val="auto"/>
                <w:sz w:val="24"/>
                <w:szCs w:val="24"/>
                <w:lang w:eastAsia="zh-CN"/>
              </w:rPr>
              <w:t>评价等级划分、环境风险识别及环境风险分析</w:t>
            </w:r>
          </w:p>
          <w:p w14:paraId="274F93EC">
            <w:pPr>
              <w:pStyle w:val="13"/>
              <w:adjustRightInd w:val="0"/>
              <w:spacing w:line="360" w:lineRule="auto"/>
              <w:ind w:left="0" w:leftChars="0" w:right="57"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根据建设项目涉及的物质和工艺系统的危险性及其所在地的环境敏感程度，结合事故情形下环境影响途径，对建设项目潜在环境危害程度进行概化分析，建设项目环境风险潜势划分表见下表。</w:t>
            </w:r>
          </w:p>
          <w:p w14:paraId="75B30B2C">
            <w:pPr>
              <w:pStyle w:val="13"/>
              <w:adjustRightInd w:val="0"/>
              <w:spacing w:line="360" w:lineRule="auto"/>
              <w:ind w:left="0" w:leftChars="0" w:right="57" w:firstLine="422" w:firstLineChars="20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w:t>
            </w:r>
            <w:r>
              <w:rPr>
                <w:rFonts w:hint="eastAsia" w:ascii="Times New Roman" w:cs="Times New Roman"/>
                <w:b/>
                <w:bCs/>
                <w:color w:val="auto"/>
                <w:sz w:val="21"/>
                <w:szCs w:val="21"/>
                <w:lang w:val="en-US" w:eastAsia="zh-CN"/>
              </w:rPr>
              <w:t>29</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建设项目环境风险潜势划分表</w:t>
            </w:r>
          </w:p>
          <w:tbl>
            <w:tblPr>
              <w:tblStyle w:val="22"/>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36"/>
              <w:gridCol w:w="1652"/>
              <w:gridCol w:w="1791"/>
              <w:gridCol w:w="1652"/>
              <w:gridCol w:w="1640"/>
            </w:tblGrid>
            <w:tr w14:paraId="307C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2336" w:type="dxa"/>
                  <w:vMerge w:val="restart"/>
                  <w:tcBorders>
                    <w:bottom w:val="single" w:color="000000" w:sz="6" w:space="0"/>
                  </w:tcBorders>
                  <w:vAlign w:val="center"/>
                </w:tcPr>
                <w:p w14:paraId="4080A87C">
                  <w:pPr>
                    <w:pStyle w:val="69"/>
                    <w:spacing w:before="85"/>
                    <w:ind w:left="341"/>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环境敏感程度（E）</w:t>
                  </w:r>
                </w:p>
              </w:tc>
              <w:tc>
                <w:tcPr>
                  <w:tcW w:w="6735" w:type="dxa"/>
                  <w:gridSpan w:val="4"/>
                  <w:vAlign w:val="center"/>
                </w:tcPr>
                <w:p w14:paraId="36018D34">
                  <w:pPr>
                    <w:pStyle w:val="69"/>
                    <w:spacing w:line="286" w:lineRule="exact"/>
                    <w:ind w:right="2052"/>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危险物质及工艺系统危险性（P）</w:t>
                  </w:r>
                </w:p>
              </w:tc>
            </w:tr>
            <w:tr w14:paraId="7814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336" w:type="dxa"/>
                  <w:vMerge w:val="continue"/>
                  <w:tcBorders>
                    <w:top w:val="nil"/>
                    <w:bottom w:val="single" w:color="000000" w:sz="6" w:space="0"/>
                  </w:tcBorders>
                  <w:vAlign w:val="center"/>
                </w:tcPr>
                <w:p w14:paraId="0510D406">
                  <w:pPr>
                    <w:rPr>
                      <w:rFonts w:hint="default" w:ascii="Times New Roman" w:hAnsi="Times New Roman" w:cs="Times New Roman" w:eastAsiaTheme="minorEastAsia"/>
                      <w:color w:val="auto"/>
                      <w:sz w:val="21"/>
                      <w:szCs w:val="21"/>
                    </w:rPr>
                  </w:pPr>
                </w:p>
              </w:tc>
              <w:tc>
                <w:tcPr>
                  <w:tcW w:w="1652" w:type="dxa"/>
                  <w:tcBorders>
                    <w:bottom w:val="single" w:color="000000" w:sz="6" w:space="0"/>
                  </w:tcBorders>
                  <w:vAlign w:val="center"/>
                </w:tcPr>
                <w:p w14:paraId="3FC5818D">
                  <w:pPr>
                    <w:pStyle w:val="69"/>
                    <w:spacing w:line="284" w:lineRule="exact"/>
                    <w:ind w:left="118" w:right="11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极高危害（P1）</w:t>
                  </w:r>
                </w:p>
              </w:tc>
              <w:tc>
                <w:tcPr>
                  <w:tcW w:w="1791" w:type="dxa"/>
                  <w:tcBorders>
                    <w:bottom w:val="single" w:color="000000" w:sz="6" w:space="0"/>
                  </w:tcBorders>
                  <w:vAlign w:val="center"/>
                </w:tcPr>
                <w:p w14:paraId="2FB8DE83">
                  <w:pPr>
                    <w:pStyle w:val="69"/>
                    <w:spacing w:line="284" w:lineRule="exact"/>
                    <w:ind w:left="193" w:right="185"/>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高度危害（P2）</w:t>
                  </w:r>
                </w:p>
              </w:tc>
              <w:tc>
                <w:tcPr>
                  <w:tcW w:w="1652" w:type="dxa"/>
                  <w:tcBorders>
                    <w:bottom w:val="single" w:color="000000" w:sz="6" w:space="0"/>
                  </w:tcBorders>
                  <w:vAlign w:val="center"/>
                </w:tcPr>
                <w:p w14:paraId="2AB3E63D">
                  <w:pPr>
                    <w:pStyle w:val="69"/>
                    <w:spacing w:line="284" w:lineRule="exact"/>
                    <w:ind w:left="118" w:right="111"/>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中度危害（P3）</w:t>
                  </w:r>
                </w:p>
              </w:tc>
              <w:tc>
                <w:tcPr>
                  <w:tcW w:w="1640" w:type="dxa"/>
                  <w:tcBorders>
                    <w:bottom w:val="single" w:color="000000" w:sz="6" w:space="0"/>
                  </w:tcBorders>
                  <w:vAlign w:val="center"/>
                </w:tcPr>
                <w:p w14:paraId="3AD0380B">
                  <w:pPr>
                    <w:pStyle w:val="69"/>
                    <w:spacing w:line="284" w:lineRule="exact"/>
                    <w:ind w:left="111" w:right="104"/>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轻度危害（P4）</w:t>
                  </w:r>
                </w:p>
              </w:tc>
            </w:tr>
            <w:tr w14:paraId="122B3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336" w:type="dxa"/>
                  <w:tcBorders>
                    <w:top w:val="single" w:color="000000" w:sz="6" w:space="0"/>
                  </w:tcBorders>
                  <w:vAlign w:val="center"/>
                </w:tcPr>
                <w:p w14:paraId="4F13D7F0">
                  <w:pPr>
                    <w:pStyle w:val="69"/>
                    <w:spacing w:line="261" w:lineRule="exact"/>
                    <w:ind w:left="173" w:right="161"/>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环境高度敏感区（E1）</w:t>
                  </w:r>
                </w:p>
              </w:tc>
              <w:tc>
                <w:tcPr>
                  <w:tcW w:w="1652" w:type="dxa"/>
                  <w:tcBorders>
                    <w:top w:val="single" w:color="000000" w:sz="6" w:space="0"/>
                  </w:tcBorders>
                  <w:vAlign w:val="center"/>
                </w:tcPr>
                <w:p w14:paraId="339BED0B">
                  <w:pPr>
                    <w:pStyle w:val="69"/>
                    <w:spacing w:before="3"/>
                    <w:ind w:left="118" w:right="111"/>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IV+</w:t>
                  </w:r>
                </w:p>
              </w:tc>
              <w:tc>
                <w:tcPr>
                  <w:tcW w:w="1791" w:type="dxa"/>
                  <w:tcBorders>
                    <w:top w:val="single" w:color="000000" w:sz="6" w:space="0"/>
                  </w:tcBorders>
                  <w:vAlign w:val="center"/>
                </w:tcPr>
                <w:p w14:paraId="2AA41DCC">
                  <w:pPr>
                    <w:pStyle w:val="69"/>
                    <w:spacing w:before="3"/>
                    <w:ind w:left="188" w:right="18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IV</w:t>
                  </w:r>
                </w:p>
              </w:tc>
              <w:tc>
                <w:tcPr>
                  <w:tcW w:w="1652" w:type="dxa"/>
                  <w:tcBorders>
                    <w:top w:val="single" w:color="000000" w:sz="6" w:space="0"/>
                  </w:tcBorders>
                  <w:vAlign w:val="center"/>
                </w:tcPr>
                <w:p w14:paraId="7DDA93B1">
                  <w:pPr>
                    <w:pStyle w:val="69"/>
                    <w:spacing w:before="3"/>
                    <w:ind w:left="118" w:right="10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III</w:t>
                  </w:r>
                </w:p>
              </w:tc>
              <w:tc>
                <w:tcPr>
                  <w:tcW w:w="1640" w:type="dxa"/>
                  <w:tcBorders>
                    <w:top w:val="single" w:color="000000" w:sz="6" w:space="0"/>
                  </w:tcBorders>
                  <w:vAlign w:val="center"/>
                </w:tcPr>
                <w:p w14:paraId="3031074F">
                  <w:pPr>
                    <w:pStyle w:val="69"/>
                    <w:spacing w:before="3"/>
                    <w:ind w:left="111" w:right="102"/>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III</w:t>
                  </w:r>
                </w:p>
              </w:tc>
            </w:tr>
            <w:tr w14:paraId="547AF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336" w:type="dxa"/>
                  <w:vAlign w:val="center"/>
                </w:tcPr>
                <w:p w14:paraId="4EF6542C">
                  <w:pPr>
                    <w:pStyle w:val="69"/>
                    <w:spacing w:line="261" w:lineRule="exact"/>
                    <w:ind w:left="173" w:right="161"/>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环境中度敏感区（E2）</w:t>
                  </w:r>
                </w:p>
              </w:tc>
              <w:tc>
                <w:tcPr>
                  <w:tcW w:w="1652" w:type="dxa"/>
                  <w:vAlign w:val="center"/>
                </w:tcPr>
                <w:p w14:paraId="171A6673">
                  <w:pPr>
                    <w:pStyle w:val="69"/>
                    <w:spacing w:before="3"/>
                    <w:ind w:left="115" w:right="111"/>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IV</w:t>
                  </w:r>
                </w:p>
              </w:tc>
              <w:tc>
                <w:tcPr>
                  <w:tcW w:w="1791" w:type="dxa"/>
                  <w:vAlign w:val="center"/>
                </w:tcPr>
                <w:p w14:paraId="46BC78BE">
                  <w:pPr>
                    <w:pStyle w:val="69"/>
                    <w:spacing w:before="3"/>
                    <w:ind w:left="193" w:right="18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III</w:t>
                  </w:r>
                </w:p>
              </w:tc>
              <w:tc>
                <w:tcPr>
                  <w:tcW w:w="1652" w:type="dxa"/>
                  <w:vAlign w:val="center"/>
                </w:tcPr>
                <w:p w14:paraId="387D1C2F">
                  <w:pPr>
                    <w:pStyle w:val="69"/>
                    <w:spacing w:before="3"/>
                    <w:ind w:left="118" w:right="10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III</w:t>
                  </w:r>
                </w:p>
              </w:tc>
              <w:tc>
                <w:tcPr>
                  <w:tcW w:w="1640" w:type="dxa"/>
                  <w:vAlign w:val="center"/>
                </w:tcPr>
                <w:p w14:paraId="7AA580FB">
                  <w:pPr>
                    <w:pStyle w:val="69"/>
                    <w:spacing w:before="3"/>
                    <w:ind w:left="111" w:right="104"/>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w:t>
                  </w:r>
                </w:p>
              </w:tc>
            </w:tr>
            <w:tr w14:paraId="6B3E4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336" w:type="dxa"/>
                  <w:vAlign w:val="center"/>
                </w:tcPr>
                <w:p w14:paraId="4C5EF76D">
                  <w:pPr>
                    <w:pStyle w:val="69"/>
                    <w:spacing w:line="261" w:lineRule="exact"/>
                    <w:ind w:left="173" w:right="161"/>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环境低度敏感区（E3）</w:t>
                  </w:r>
                </w:p>
              </w:tc>
              <w:tc>
                <w:tcPr>
                  <w:tcW w:w="1652" w:type="dxa"/>
                  <w:vAlign w:val="center"/>
                </w:tcPr>
                <w:p w14:paraId="1183AF95">
                  <w:pPr>
                    <w:pStyle w:val="69"/>
                    <w:spacing w:before="3"/>
                    <w:ind w:left="118" w:right="107"/>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III</w:t>
                  </w:r>
                </w:p>
              </w:tc>
              <w:tc>
                <w:tcPr>
                  <w:tcW w:w="1791" w:type="dxa"/>
                  <w:vAlign w:val="center"/>
                </w:tcPr>
                <w:p w14:paraId="2DE90F8B">
                  <w:pPr>
                    <w:pStyle w:val="69"/>
                    <w:spacing w:before="3"/>
                    <w:ind w:left="193" w:right="18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III</w:t>
                  </w:r>
                </w:p>
              </w:tc>
              <w:tc>
                <w:tcPr>
                  <w:tcW w:w="1652" w:type="dxa"/>
                  <w:vAlign w:val="center"/>
                </w:tcPr>
                <w:p w14:paraId="47B864DD">
                  <w:pPr>
                    <w:pStyle w:val="69"/>
                    <w:spacing w:before="3"/>
                    <w:ind w:left="118" w:right="111"/>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II</w:t>
                  </w:r>
                </w:p>
              </w:tc>
              <w:tc>
                <w:tcPr>
                  <w:tcW w:w="1640" w:type="dxa"/>
                  <w:vAlign w:val="center"/>
                </w:tcPr>
                <w:p w14:paraId="2CBA8CEC">
                  <w:pPr>
                    <w:pStyle w:val="69"/>
                    <w:spacing w:before="3"/>
                    <w:ind w:left="1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w w:val="100"/>
                      <w:sz w:val="21"/>
                      <w:szCs w:val="21"/>
                    </w:rPr>
                    <w:t>I</w:t>
                  </w:r>
                </w:p>
              </w:tc>
            </w:tr>
            <w:tr w14:paraId="7F08C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9071" w:type="dxa"/>
                  <w:gridSpan w:val="5"/>
                  <w:vAlign w:val="center"/>
                </w:tcPr>
                <w:p w14:paraId="435667C0">
                  <w:pPr>
                    <w:pStyle w:val="69"/>
                    <w:spacing w:line="261" w:lineRule="exact"/>
                    <w:ind w:right="372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注：IV+为极高环境风险</w:t>
                  </w:r>
                </w:p>
              </w:tc>
            </w:tr>
          </w:tbl>
          <w:p w14:paraId="5A711DEA">
            <w:pPr>
              <w:pStyle w:val="13"/>
              <w:adjustRightInd w:val="0"/>
              <w:spacing w:line="480" w:lineRule="exact"/>
              <w:ind w:left="0" w:leftChars="0" w:right="57"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P的分级确定</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根据《建设项目环境风险评价技术导则》（HJ169-2018）附录C，计算所涉及的每种危险物质在厂界内的最大存在总量与其在附录B中对应的临界量的比值Q。在不同厂区的同一种物质，按其在厂界内的最大存在总量计算。</w:t>
            </w:r>
          </w:p>
          <w:p w14:paraId="054C3CCA">
            <w:pPr>
              <w:pStyle w:val="13"/>
              <w:adjustRightInd w:val="0"/>
              <w:spacing w:line="480" w:lineRule="exact"/>
              <w:ind w:right="57" w:firstLine="48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当只涉及一种危险物质时，计算该物质的总量与其临界量比值，即为Q；</w:t>
            </w:r>
          </w:p>
          <w:p w14:paraId="5689EE0B">
            <w:pPr>
              <w:pStyle w:val="13"/>
              <w:adjustRightInd w:val="0"/>
              <w:spacing w:line="480" w:lineRule="exact"/>
              <w:ind w:right="57" w:firstLine="48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当存在多种危险物质时，则按下式计算物质总量与其临界量比值（Q）；</w:t>
            </w:r>
          </w:p>
          <w:p w14:paraId="1B4C19CA">
            <w:pPr>
              <w:pStyle w:val="64"/>
              <w:ind w:firstLine="48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Q=∑(qi/Qi)</w:t>
            </w:r>
          </w:p>
          <w:p w14:paraId="29D82A3E">
            <w:pPr>
              <w:pStyle w:val="63"/>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式中：qi——每种危险化学品实际存在量，单位为吨(t)；</w:t>
            </w:r>
          </w:p>
          <w:p w14:paraId="2740C04D">
            <w:pPr>
              <w:pStyle w:val="63"/>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Qi——与各危险化学品相对应的临界量，单位为吨(t)。</w:t>
            </w:r>
          </w:p>
          <w:p w14:paraId="12867870">
            <w:pPr>
              <w:pStyle w:val="63"/>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当Q＜1时，该项目环境风险潜势为Ⅰ。</w:t>
            </w:r>
          </w:p>
          <w:p w14:paraId="47121072">
            <w:pPr>
              <w:pStyle w:val="63"/>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当Q≥1时，分为（1）1≤Q＜10；（2）10≤Q＜100；（3）Q≥100。</w:t>
            </w:r>
          </w:p>
          <w:p w14:paraId="6EDC023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eastAsia" w:cs="Times New Roman"/>
                <w:color w:val="auto"/>
                <w:sz w:val="24"/>
                <w:szCs w:val="24"/>
                <w:lang w:val="en-US" w:eastAsia="zh-CN"/>
              </w:rPr>
              <w:t>栓结构构件制造和金属制品制作</w:t>
            </w:r>
            <w:r>
              <w:rPr>
                <w:rFonts w:hint="default" w:ascii="Times New Roman" w:hAnsi="Times New Roman" w:eastAsia="宋体" w:cs="Times New Roman"/>
                <w:color w:val="auto"/>
                <w:sz w:val="24"/>
                <w:szCs w:val="24"/>
              </w:rPr>
              <w:t>项目，从其物理化学性质来看，这些原材料均无毒、无害，不会产生由于有毒有害物质泄漏导致的火灾、爆炸和中毒事故，不会给公众带来严重危害，造成环境污染。根据《建设项目环境风险评价技术导则》（HJ 169-2018）的要求，本项目不存在重大危险源，不涉及环境敏感区，Q＜1，因此，本项目环境风险潜势为Ⅰ。</w:t>
            </w:r>
          </w:p>
          <w:p w14:paraId="4A8D5B0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按《建设项目环境风险评级技术导则》（HJ169-2018）所提供的方法，根据项目的物质危险性和功能单元重大危险源判定结果，根据环境敏感程度等因素确定项目风险评价工作级别。风险评级工作级别按下表划分。</w:t>
            </w:r>
          </w:p>
          <w:p w14:paraId="4031A74F">
            <w:pPr>
              <w:spacing w:line="360" w:lineRule="auto"/>
              <w:ind w:firstLine="422" w:firstLineChars="200"/>
              <w:jc w:val="center"/>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bCs/>
                <w:color w:val="auto"/>
                <w:sz w:val="21"/>
                <w:szCs w:val="21"/>
              </w:rPr>
              <w:t>表7-</w:t>
            </w:r>
            <w:r>
              <w:rPr>
                <w:rFonts w:hint="eastAsia" w:cs="Times New Roman"/>
                <w:b/>
                <w:bCs/>
                <w:color w:val="auto"/>
                <w:sz w:val="21"/>
                <w:szCs w:val="21"/>
                <w:lang w:val="en-US" w:eastAsia="zh-CN"/>
              </w:rPr>
              <w:t>30</w:t>
            </w:r>
            <w:r>
              <w:rPr>
                <w:rFonts w:hint="default" w:ascii="Times New Roman" w:hAnsi="Times New Roman" w:eastAsia="宋体" w:cs="Times New Roman"/>
                <w:b/>
                <w:bCs/>
                <w:color w:val="auto"/>
                <w:sz w:val="21"/>
                <w:szCs w:val="21"/>
              </w:rPr>
              <w:t xml:space="preserve">  风险评级工作级别（HJ169-2018）</w:t>
            </w:r>
          </w:p>
          <w:tbl>
            <w:tblPr>
              <w:tblStyle w:val="2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701"/>
              <w:gridCol w:w="1842"/>
              <w:gridCol w:w="2268"/>
              <w:gridCol w:w="1689"/>
            </w:tblGrid>
            <w:tr w14:paraId="276A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noWrap w:val="0"/>
                  <w:tcMar>
                    <w:left w:w="28" w:type="dxa"/>
                    <w:right w:w="28" w:type="dxa"/>
                  </w:tcMar>
                  <w:vAlign w:val="center"/>
                </w:tcPr>
                <w:p w14:paraId="342736B6">
                  <w:pPr>
                    <w:jc w:val="center"/>
                    <w:rPr>
                      <w:rFonts w:hint="default" w:ascii="Times New Roman" w:hAnsi="Times New Roman" w:cs="Times New Roman"/>
                      <w:color w:val="auto"/>
                    </w:rPr>
                  </w:pPr>
                  <w:r>
                    <w:rPr>
                      <w:rFonts w:hint="default" w:ascii="Times New Roman" w:hAnsi="Times New Roman" w:cs="Times New Roman"/>
                      <w:color w:val="auto"/>
                    </w:rPr>
                    <w:t>环境风险潜势</w:t>
                  </w:r>
                </w:p>
              </w:tc>
              <w:tc>
                <w:tcPr>
                  <w:tcW w:w="1701" w:type="dxa"/>
                  <w:noWrap w:val="0"/>
                  <w:tcMar>
                    <w:left w:w="28" w:type="dxa"/>
                    <w:right w:w="28" w:type="dxa"/>
                  </w:tcMar>
                  <w:vAlign w:val="center"/>
                </w:tcPr>
                <w:p w14:paraId="1F86D1AC">
                  <w:pPr>
                    <w:jc w:val="center"/>
                    <w:rPr>
                      <w:rFonts w:hint="default" w:ascii="Times New Roman" w:hAnsi="Times New Roman" w:cs="Times New Roman"/>
                      <w:color w:val="auto"/>
                    </w:rPr>
                  </w:pPr>
                  <w:r>
                    <w:rPr>
                      <w:rFonts w:hint="default" w:ascii="Times New Roman" w:hAnsi="Times New Roman" w:cs="Times New Roman"/>
                      <w:color w:val="auto"/>
                    </w:rPr>
                    <w:t>Ⅵ、Ⅳ</w:t>
                  </w:r>
                  <w:r>
                    <w:rPr>
                      <w:rFonts w:hint="default" w:ascii="Times New Roman" w:hAnsi="Times New Roman" w:cs="Times New Roman"/>
                      <w:color w:val="auto"/>
                      <w:vertAlign w:val="superscript"/>
                    </w:rPr>
                    <w:t>+</w:t>
                  </w:r>
                </w:p>
              </w:tc>
              <w:tc>
                <w:tcPr>
                  <w:tcW w:w="1842" w:type="dxa"/>
                  <w:noWrap w:val="0"/>
                  <w:tcMar>
                    <w:left w:w="28" w:type="dxa"/>
                    <w:right w:w="28" w:type="dxa"/>
                  </w:tcMar>
                  <w:vAlign w:val="center"/>
                </w:tcPr>
                <w:p w14:paraId="5E843BF9">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2268" w:type="dxa"/>
                  <w:noWrap w:val="0"/>
                  <w:tcMar>
                    <w:left w:w="28" w:type="dxa"/>
                    <w:right w:w="28" w:type="dxa"/>
                  </w:tcMar>
                  <w:vAlign w:val="center"/>
                </w:tcPr>
                <w:p w14:paraId="39E08B7C">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1689" w:type="dxa"/>
                  <w:noWrap w:val="0"/>
                  <w:tcMar>
                    <w:left w:w="28" w:type="dxa"/>
                    <w:right w:w="28" w:type="dxa"/>
                  </w:tcMar>
                  <w:vAlign w:val="center"/>
                </w:tcPr>
                <w:p w14:paraId="0DA7E9B3">
                  <w:pPr>
                    <w:jc w:val="center"/>
                    <w:rPr>
                      <w:rFonts w:hint="default" w:ascii="Times New Roman" w:hAnsi="Times New Roman" w:cs="Times New Roman"/>
                      <w:b/>
                      <w:bCs/>
                      <w:color w:val="auto"/>
                    </w:rPr>
                  </w:pPr>
                  <w:r>
                    <w:rPr>
                      <w:rFonts w:hint="default" w:ascii="Times New Roman" w:hAnsi="Times New Roman" w:cs="Times New Roman"/>
                      <w:b/>
                      <w:bCs/>
                      <w:color w:val="auto"/>
                    </w:rPr>
                    <w:t>Ⅰ</w:t>
                  </w:r>
                </w:p>
              </w:tc>
            </w:tr>
            <w:tr w14:paraId="4363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noWrap w:val="0"/>
                  <w:tcMar>
                    <w:left w:w="28" w:type="dxa"/>
                    <w:right w:w="28" w:type="dxa"/>
                  </w:tcMar>
                  <w:vAlign w:val="center"/>
                </w:tcPr>
                <w:p w14:paraId="2DA80730">
                  <w:pPr>
                    <w:jc w:val="center"/>
                    <w:rPr>
                      <w:rFonts w:hint="default" w:ascii="Times New Roman" w:hAnsi="Times New Roman" w:cs="Times New Roman"/>
                      <w:color w:val="auto"/>
                    </w:rPr>
                  </w:pPr>
                  <w:r>
                    <w:rPr>
                      <w:rFonts w:hint="default" w:ascii="Times New Roman" w:hAnsi="Times New Roman" w:cs="Times New Roman"/>
                      <w:color w:val="auto"/>
                    </w:rPr>
                    <w:t>评价工作等级</w:t>
                  </w:r>
                </w:p>
              </w:tc>
              <w:tc>
                <w:tcPr>
                  <w:tcW w:w="1701" w:type="dxa"/>
                  <w:noWrap w:val="0"/>
                  <w:tcMar>
                    <w:left w:w="28" w:type="dxa"/>
                    <w:right w:w="28" w:type="dxa"/>
                  </w:tcMar>
                  <w:vAlign w:val="center"/>
                </w:tcPr>
                <w:p w14:paraId="20E2C175">
                  <w:pPr>
                    <w:jc w:val="center"/>
                    <w:rPr>
                      <w:rFonts w:hint="default" w:ascii="Times New Roman" w:hAnsi="Times New Roman" w:cs="Times New Roman"/>
                      <w:color w:val="auto"/>
                    </w:rPr>
                  </w:pPr>
                  <w:r>
                    <w:rPr>
                      <w:rFonts w:hint="default" w:ascii="Times New Roman" w:hAnsi="Times New Roman" w:cs="Times New Roman"/>
                      <w:color w:val="auto"/>
                    </w:rPr>
                    <w:t>一</w:t>
                  </w:r>
                </w:p>
              </w:tc>
              <w:tc>
                <w:tcPr>
                  <w:tcW w:w="1842" w:type="dxa"/>
                  <w:noWrap w:val="0"/>
                  <w:tcMar>
                    <w:left w:w="28" w:type="dxa"/>
                    <w:right w:w="28" w:type="dxa"/>
                  </w:tcMar>
                  <w:vAlign w:val="center"/>
                </w:tcPr>
                <w:p w14:paraId="0A6EADF0">
                  <w:pPr>
                    <w:jc w:val="center"/>
                    <w:rPr>
                      <w:rFonts w:hint="default" w:ascii="Times New Roman" w:hAnsi="Times New Roman" w:cs="Times New Roman"/>
                      <w:color w:val="auto"/>
                    </w:rPr>
                  </w:pPr>
                  <w:r>
                    <w:rPr>
                      <w:rFonts w:hint="default" w:ascii="Times New Roman" w:hAnsi="Times New Roman" w:cs="Times New Roman"/>
                      <w:color w:val="auto"/>
                    </w:rPr>
                    <w:t>二</w:t>
                  </w:r>
                </w:p>
              </w:tc>
              <w:tc>
                <w:tcPr>
                  <w:tcW w:w="2268" w:type="dxa"/>
                  <w:noWrap w:val="0"/>
                  <w:tcMar>
                    <w:left w:w="28" w:type="dxa"/>
                    <w:right w:w="28" w:type="dxa"/>
                  </w:tcMar>
                  <w:vAlign w:val="center"/>
                </w:tcPr>
                <w:p w14:paraId="4586906D">
                  <w:pPr>
                    <w:jc w:val="center"/>
                    <w:rPr>
                      <w:rFonts w:hint="default" w:ascii="Times New Roman" w:hAnsi="Times New Roman" w:cs="Times New Roman"/>
                      <w:color w:val="auto"/>
                    </w:rPr>
                  </w:pPr>
                  <w:r>
                    <w:rPr>
                      <w:rFonts w:hint="default" w:ascii="Times New Roman" w:hAnsi="Times New Roman" w:cs="Times New Roman"/>
                      <w:color w:val="auto"/>
                    </w:rPr>
                    <w:t>三</w:t>
                  </w:r>
                </w:p>
              </w:tc>
              <w:tc>
                <w:tcPr>
                  <w:tcW w:w="1689" w:type="dxa"/>
                  <w:noWrap w:val="0"/>
                  <w:tcMar>
                    <w:left w:w="28" w:type="dxa"/>
                    <w:right w:w="28" w:type="dxa"/>
                  </w:tcMar>
                  <w:vAlign w:val="center"/>
                </w:tcPr>
                <w:p w14:paraId="19F58B95">
                  <w:pPr>
                    <w:jc w:val="center"/>
                    <w:rPr>
                      <w:rFonts w:hint="default" w:ascii="Times New Roman" w:hAnsi="Times New Roman" w:cs="Times New Roman"/>
                      <w:b/>
                      <w:bCs/>
                      <w:color w:val="auto"/>
                    </w:rPr>
                  </w:pPr>
                  <w:r>
                    <w:rPr>
                      <w:rFonts w:hint="default" w:ascii="Times New Roman" w:hAnsi="Times New Roman" w:cs="Times New Roman"/>
                      <w:b/>
                      <w:bCs/>
                      <w:color w:val="auto"/>
                    </w:rPr>
                    <w:t>简单分析</w:t>
                  </w:r>
                </w:p>
              </w:tc>
            </w:tr>
            <w:tr w14:paraId="0CAA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0" w:type="dxa"/>
                  <w:gridSpan w:val="5"/>
                  <w:noWrap w:val="0"/>
                  <w:tcMar>
                    <w:left w:w="28" w:type="dxa"/>
                    <w:right w:w="28" w:type="dxa"/>
                  </w:tcMar>
                  <w:vAlign w:val="center"/>
                </w:tcPr>
                <w:p w14:paraId="0CDB5E22">
                  <w:pPr>
                    <w:jc w:val="center"/>
                    <w:rPr>
                      <w:rFonts w:hint="default" w:ascii="Times New Roman" w:hAnsi="Times New Roman" w:cs="Times New Roman"/>
                      <w:color w:val="auto"/>
                    </w:rPr>
                  </w:pPr>
                  <w:r>
                    <w:rPr>
                      <w:rFonts w:hint="default" w:ascii="Times New Roman" w:hAnsi="Times New Roman" w:cs="Times New Roman"/>
                      <w:color w:val="auto"/>
                    </w:rPr>
                    <w:t>简单分析是相对于详细评价工作内容而言，在描述危险物质、环境影响途径、环境危害后果、风险防范措施等方面给出特定的说明。</w:t>
                  </w:r>
                </w:p>
              </w:tc>
            </w:tr>
          </w:tbl>
          <w:p w14:paraId="320FE0E0">
            <w:pPr>
              <w:spacing w:line="360" w:lineRule="auto"/>
              <w:ind w:firstLine="482" w:firstLineChars="200"/>
              <w:jc w:val="both"/>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据上表，确定本项目环境风险评价工作等级为简单分析。</w:t>
            </w:r>
          </w:p>
          <w:p w14:paraId="5D47A810">
            <w:pPr>
              <w:spacing w:line="360" w:lineRule="auto"/>
              <w:ind w:firstLine="482" w:firstLineChars="200"/>
              <w:jc w:val="both"/>
              <w:rPr>
                <w:rFonts w:hint="default" w:ascii="Times New Roman" w:hAnsi="Times New Roman" w:eastAsia="宋体" w:cs="Times New Roman"/>
                <w:b w:val="0"/>
                <w:bCs/>
                <w:color w:val="auto"/>
                <w:sz w:val="24"/>
                <w:szCs w:val="24"/>
              </w:rPr>
            </w:pPr>
            <w:r>
              <w:rPr>
                <w:rFonts w:hint="default" w:ascii="Times New Roman" w:hAnsi="Times New Roman"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rPr>
              <w:t>、环境敏感目标调查</w:t>
            </w:r>
          </w:p>
          <w:p w14:paraId="687DE3A1">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根据上述分析，本项目为</w:t>
            </w:r>
            <w:r>
              <w:rPr>
                <w:rFonts w:hint="eastAsia" w:cs="Times New Roman"/>
                <w:color w:val="auto"/>
                <w:sz w:val="24"/>
                <w:szCs w:val="24"/>
                <w:lang w:val="en-US" w:eastAsia="zh-CN"/>
              </w:rPr>
              <w:t>栓结构构件制造和金属制品制作</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b w:val="0"/>
                <w:bCs/>
                <w:color w:val="auto"/>
                <w:sz w:val="24"/>
                <w:szCs w:val="24"/>
              </w:rPr>
              <w:t>，从其物理化学性质来看，这些原材料均无毒、无害，不会产生由于有毒有害物质泄漏导致的火灾、爆炸和中毒事故，不会给公众带来严重危害，造成环境污染。</w:t>
            </w:r>
          </w:p>
          <w:p w14:paraId="1AE00C7B">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本项目环境风险评价范围内主要社会关注点如下表所示。</w:t>
            </w:r>
          </w:p>
          <w:p w14:paraId="760D7CE5">
            <w:pPr>
              <w:spacing w:line="360" w:lineRule="auto"/>
              <w:ind w:firstLine="422" w:firstLineChars="20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表7-</w:t>
            </w:r>
            <w:r>
              <w:rPr>
                <w:rFonts w:hint="eastAsia" w:cs="Times New Roman"/>
                <w:b/>
                <w:bCs w:val="0"/>
                <w:color w:val="auto"/>
                <w:sz w:val="21"/>
                <w:szCs w:val="21"/>
                <w:lang w:val="en-US" w:eastAsia="zh-CN"/>
              </w:rPr>
              <w:t>31</w:t>
            </w:r>
            <w:r>
              <w:rPr>
                <w:rFonts w:hint="default" w:ascii="Times New Roman" w:hAnsi="Times New Roman" w:eastAsia="宋体" w:cs="Times New Roman"/>
                <w:b/>
                <w:bCs w:val="0"/>
                <w:color w:val="auto"/>
                <w:sz w:val="21"/>
                <w:szCs w:val="21"/>
              </w:rPr>
              <w:t xml:space="preserve">   项目环境风险评价范围内主要社会关注点</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1367"/>
              <w:gridCol w:w="1728"/>
              <w:gridCol w:w="2073"/>
              <w:gridCol w:w="1116"/>
            </w:tblGrid>
            <w:tr w14:paraId="2DE5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0F4024E6">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主要社会关注点</w:t>
                  </w:r>
                </w:p>
              </w:tc>
              <w:tc>
                <w:tcPr>
                  <w:tcW w:w="1367" w:type="dxa"/>
                  <w:noWrap w:val="0"/>
                  <w:vAlign w:val="center"/>
                </w:tcPr>
                <w:p w14:paraId="563152F9">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方位</w:t>
                  </w:r>
                </w:p>
              </w:tc>
              <w:tc>
                <w:tcPr>
                  <w:tcW w:w="1728" w:type="dxa"/>
                  <w:noWrap w:val="0"/>
                  <w:vAlign w:val="center"/>
                </w:tcPr>
                <w:p w14:paraId="5790C173">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与项目的距离</w:t>
                  </w:r>
                </w:p>
              </w:tc>
              <w:tc>
                <w:tcPr>
                  <w:tcW w:w="2073" w:type="dxa"/>
                  <w:noWrap w:val="0"/>
                  <w:vAlign w:val="center"/>
                </w:tcPr>
                <w:p w14:paraId="167625C1">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敏感点属性</w:t>
                  </w:r>
                </w:p>
              </w:tc>
              <w:tc>
                <w:tcPr>
                  <w:tcW w:w="1116" w:type="dxa"/>
                  <w:noWrap w:val="0"/>
                  <w:vAlign w:val="center"/>
                </w:tcPr>
                <w:p w14:paraId="396768E5">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规模</w:t>
                  </w:r>
                </w:p>
              </w:tc>
            </w:tr>
            <w:tr w14:paraId="2BA0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5E47BE08">
                  <w:pPr>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7409703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1728" w:type="dxa"/>
                  <w:noWrap w:val="0"/>
                  <w:vAlign w:val="center"/>
                </w:tcPr>
                <w:p w14:paraId="2672967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282m</w:t>
                  </w:r>
                </w:p>
              </w:tc>
              <w:tc>
                <w:tcPr>
                  <w:tcW w:w="2073" w:type="dxa"/>
                  <w:noWrap w:val="0"/>
                  <w:vAlign w:val="center"/>
                </w:tcPr>
                <w:p w14:paraId="0B485DBE">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4C6C1564">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sz w:val="21"/>
                      <w:szCs w:val="21"/>
                      <w:vertAlign w:val="baseline"/>
                      <w:lang w:val="en-US" w:eastAsia="zh-CN"/>
                    </w:rPr>
                    <w:t>1户</w:t>
                  </w:r>
                </w:p>
              </w:tc>
            </w:tr>
            <w:tr w14:paraId="4A51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7" w:type="dxa"/>
                  <w:noWrap w:val="0"/>
                  <w:vAlign w:val="center"/>
                </w:tcPr>
                <w:p w14:paraId="0BC76E0F">
                  <w:pPr>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447933D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东侧</w:t>
                  </w:r>
                </w:p>
              </w:tc>
              <w:tc>
                <w:tcPr>
                  <w:tcW w:w="1728" w:type="dxa"/>
                  <w:noWrap w:val="0"/>
                  <w:vAlign w:val="center"/>
                </w:tcPr>
                <w:p w14:paraId="0C89978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375m~606m</w:t>
                  </w:r>
                </w:p>
              </w:tc>
              <w:tc>
                <w:tcPr>
                  <w:tcW w:w="2073" w:type="dxa"/>
                  <w:noWrap w:val="0"/>
                  <w:vAlign w:val="center"/>
                </w:tcPr>
                <w:p w14:paraId="76D0FB2C">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4D10164E">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户</w:t>
                  </w:r>
                </w:p>
              </w:tc>
            </w:tr>
            <w:tr w14:paraId="442D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3B0E477D">
                  <w:pPr>
                    <w:spacing w:line="240" w:lineRule="auto"/>
                    <w:jc w:val="center"/>
                    <w:rPr>
                      <w:rFonts w:hint="default" w:ascii="Times New Roman" w:hAnsi="Times New Roman" w:eastAsia="宋体" w:cs="Times New Roman"/>
                      <w:color w:val="auto"/>
                      <w:sz w:val="21"/>
                      <w:szCs w:val="21"/>
                      <w:vertAlign w:val="baseline"/>
                      <w:lang w:eastAsia="zh-CN"/>
                    </w:rPr>
                  </w:pPr>
                  <w:r>
                    <w:rPr>
                      <w:rFonts w:hint="eastAsia" w:cs="宋体"/>
                      <w:color w:val="auto"/>
                      <w:sz w:val="21"/>
                      <w:szCs w:val="21"/>
                      <w:lang w:val="en-US" w:eastAsia="zh-CN"/>
                    </w:rPr>
                    <w:t>蓬溪县蓬南镇惠民小学</w:t>
                  </w:r>
                </w:p>
              </w:tc>
              <w:tc>
                <w:tcPr>
                  <w:tcW w:w="1367" w:type="dxa"/>
                  <w:noWrap w:val="0"/>
                  <w:vAlign w:val="center"/>
                </w:tcPr>
                <w:p w14:paraId="28AD37C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1728" w:type="dxa"/>
                  <w:noWrap w:val="0"/>
                  <w:vAlign w:val="center"/>
                </w:tcPr>
                <w:p w14:paraId="71929ED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420m</w:t>
                  </w:r>
                </w:p>
              </w:tc>
              <w:tc>
                <w:tcPr>
                  <w:tcW w:w="2073" w:type="dxa"/>
                  <w:noWrap w:val="0"/>
                  <w:vAlign w:val="center"/>
                </w:tcPr>
                <w:p w14:paraId="709DB3ED">
                  <w:pPr>
                    <w:spacing w:line="240" w:lineRule="auto"/>
                    <w:jc w:val="center"/>
                    <w:rPr>
                      <w:rFonts w:hint="default" w:ascii="Times New Roman" w:hAnsi="Times New Roman" w:eastAsia="宋体" w:cs="Times New Roman"/>
                      <w:color w:val="auto"/>
                      <w:sz w:val="21"/>
                      <w:szCs w:val="21"/>
                      <w:vertAlign w:val="baseline"/>
                    </w:rPr>
                  </w:pPr>
                  <w:r>
                    <w:rPr>
                      <w:rFonts w:hint="eastAsia" w:cs="宋体"/>
                      <w:color w:val="auto"/>
                      <w:sz w:val="21"/>
                      <w:szCs w:val="21"/>
                      <w:lang w:val="en-US" w:eastAsia="zh-CN"/>
                    </w:rPr>
                    <w:t>学校</w:t>
                  </w:r>
                </w:p>
              </w:tc>
              <w:tc>
                <w:tcPr>
                  <w:tcW w:w="1116" w:type="dxa"/>
                  <w:noWrap w:val="0"/>
                  <w:vAlign w:val="center"/>
                </w:tcPr>
                <w:p w14:paraId="59E157D5">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80人</w:t>
                  </w:r>
                </w:p>
              </w:tc>
            </w:tr>
            <w:tr w14:paraId="561D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148B08EE">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669B05E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Style w:val="65"/>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南侧</w:t>
                  </w:r>
                </w:p>
              </w:tc>
              <w:tc>
                <w:tcPr>
                  <w:tcW w:w="1728" w:type="dxa"/>
                  <w:noWrap w:val="0"/>
                  <w:vAlign w:val="center"/>
                </w:tcPr>
                <w:p w14:paraId="1617F50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15m-72m</w:t>
                  </w:r>
                </w:p>
              </w:tc>
              <w:tc>
                <w:tcPr>
                  <w:tcW w:w="2073" w:type="dxa"/>
                  <w:noWrap w:val="0"/>
                  <w:vAlign w:val="center"/>
                </w:tcPr>
                <w:p w14:paraId="521D2542">
                  <w:pPr>
                    <w:spacing w:line="240" w:lineRule="auto"/>
                    <w:jc w:val="center"/>
                    <w:rPr>
                      <w:rFonts w:hint="default" w:ascii="Times New Roman" w:hAnsi="Times New Roman" w:eastAsia="宋体" w:cs="Times New Roman"/>
                      <w:color w:val="auto"/>
                      <w:kern w:val="0"/>
                      <w:sz w:val="21"/>
                      <w:szCs w:val="21"/>
                      <w:vertAlign w:val="baseline"/>
                      <w:lang w:bidi="ar"/>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339D39B1">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6</w:t>
                  </w:r>
                  <w:r>
                    <w:rPr>
                      <w:rFonts w:hint="default" w:ascii="Times New Roman" w:hAnsi="Times New Roman" w:cs="Times New Roman"/>
                      <w:color w:val="auto"/>
                      <w:sz w:val="21"/>
                      <w:szCs w:val="21"/>
                      <w:vertAlign w:val="baseline"/>
                      <w:lang w:val="en-US" w:eastAsia="zh-CN"/>
                    </w:rPr>
                    <w:t>户</w:t>
                  </w:r>
                </w:p>
              </w:tc>
            </w:tr>
            <w:tr w14:paraId="24DE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787" w:type="dxa"/>
                  <w:noWrap w:val="0"/>
                  <w:vAlign w:val="center"/>
                </w:tcPr>
                <w:p w14:paraId="04170684">
                  <w:pPr>
                    <w:spacing w:line="240" w:lineRule="auto"/>
                    <w:jc w:val="center"/>
                    <w:rPr>
                      <w:rStyle w:val="65"/>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3EDD6EC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Style w:val="65"/>
                      <w:rFonts w:hint="default" w:ascii="Times New Roman" w:hAnsi="Times New Roman" w:eastAsia="宋体" w:cs="Times New Roman"/>
                      <w:color w:val="auto"/>
                      <w:sz w:val="21"/>
                      <w:szCs w:val="21"/>
                      <w:vertAlign w:val="baseline"/>
                      <w:lang w:eastAsia="zh-CN"/>
                    </w:rPr>
                  </w:pPr>
                  <w:r>
                    <w:rPr>
                      <w:rFonts w:hint="eastAsia" w:cs="宋体"/>
                      <w:color w:val="auto"/>
                      <w:sz w:val="21"/>
                      <w:szCs w:val="21"/>
                      <w:lang w:val="en-US" w:eastAsia="zh-CN"/>
                    </w:rPr>
                    <w:t>东南侧</w:t>
                  </w:r>
                </w:p>
              </w:tc>
              <w:tc>
                <w:tcPr>
                  <w:tcW w:w="1728" w:type="dxa"/>
                  <w:noWrap w:val="0"/>
                  <w:vAlign w:val="center"/>
                </w:tcPr>
                <w:p w14:paraId="0B06A1E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33m~260m</w:t>
                  </w:r>
                </w:p>
              </w:tc>
              <w:tc>
                <w:tcPr>
                  <w:tcW w:w="2073" w:type="dxa"/>
                  <w:noWrap w:val="0"/>
                  <w:vAlign w:val="center"/>
                </w:tcPr>
                <w:p w14:paraId="59B8F092">
                  <w:pPr>
                    <w:spacing w:line="240" w:lineRule="auto"/>
                    <w:jc w:val="center"/>
                    <w:rPr>
                      <w:rFonts w:hint="default" w:ascii="Times New Roman" w:hAnsi="Times New Roman" w:eastAsia="宋体" w:cs="Times New Roman"/>
                      <w:color w:val="auto"/>
                      <w:kern w:val="0"/>
                      <w:sz w:val="21"/>
                      <w:szCs w:val="21"/>
                      <w:vertAlign w:val="baseline"/>
                      <w:lang w:eastAsia="zh-CN" w:bidi="ar"/>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27916EE3">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8</w:t>
                  </w:r>
                  <w:r>
                    <w:rPr>
                      <w:rFonts w:hint="default" w:ascii="Times New Roman" w:hAnsi="Times New Roman" w:cs="Times New Roman"/>
                      <w:color w:val="auto"/>
                      <w:sz w:val="21"/>
                      <w:szCs w:val="21"/>
                      <w:vertAlign w:val="baseline"/>
                      <w:lang w:val="en-US" w:eastAsia="zh-CN"/>
                    </w:rPr>
                    <w:t>户</w:t>
                  </w:r>
                </w:p>
              </w:tc>
            </w:tr>
            <w:tr w14:paraId="6AEA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14ED8C56">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71BD750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西南侧</w:t>
                  </w:r>
                </w:p>
              </w:tc>
              <w:tc>
                <w:tcPr>
                  <w:tcW w:w="1728" w:type="dxa"/>
                  <w:noWrap w:val="0"/>
                  <w:vAlign w:val="center"/>
                </w:tcPr>
                <w:p w14:paraId="75E5A53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150m~322m</w:t>
                  </w:r>
                </w:p>
              </w:tc>
              <w:tc>
                <w:tcPr>
                  <w:tcW w:w="2073" w:type="dxa"/>
                  <w:noWrap w:val="0"/>
                  <w:vAlign w:val="center"/>
                </w:tcPr>
                <w:p w14:paraId="2FBC55A3">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办公</w:t>
                  </w:r>
                </w:p>
              </w:tc>
              <w:tc>
                <w:tcPr>
                  <w:tcW w:w="1116" w:type="dxa"/>
                  <w:noWrap w:val="0"/>
                  <w:vAlign w:val="center"/>
                </w:tcPr>
                <w:p w14:paraId="7362B3D8">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15</w:t>
                  </w:r>
                  <w:r>
                    <w:rPr>
                      <w:rFonts w:hint="default" w:ascii="Times New Roman" w:hAnsi="Times New Roman" w:cs="Times New Roman"/>
                      <w:color w:val="auto"/>
                      <w:sz w:val="21"/>
                      <w:szCs w:val="21"/>
                      <w:vertAlign w:val="baseline"/>
                      <w:lang w:val="en-US" w:eastAsia="zh-CN"/>
                    </w:rPr>
                    <w:t>户</w:t>
                  </w:r>
                </w:p>
              </w:tc>
            </w:tr>
            <w:tr w14:paraId="1A06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70EBFABC">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40D6F757">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西南侧</w:t>
                  </w:r>
                </w:p>
              </w:tc>
              <w:tc>
                <w:tcPr>
                  <w:tcW w:w="1728" w:type="dxa"/>
                  <w:noWrap w:val="0"/>
                  <w:vAlign w:val="center"/>
                </w:tcPr>
                <w:p w14:paraId="00582BA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352m</w:t>
                  </w:r>
                </w:p>
              </w:tc>
              <w:tc>
                <w:tcPr>
                  <w:tcW w:w="2073" w:type="dxa"/>
                  <w:noWrap w:val="0"/>
                  <w:vAlign w:val="center"/>
                </w:tcPr>
                <w:p w14:paraId="1F9F62E8">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712EFA6B">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户</w:t>
                  </w:r>
                </w:p>
              </w:tc>
            </w:tr>
            <w:tr w14:paraId="6102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5692ECA1">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长石村村委会</w:t>
                  </w:r>
                </w:p>
              </w:tc>
              <w:tc>
                <w:tcPr>
                  <w:tcW w:w="1367" w:type="dxa"/>
                  <w:noWrap w:val="0"/>
                  <w:vAlign w:val="center"/>
                </w:tcPr>
                <w:p w14:paraId="576AEEF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Style w:val="65"/>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西南侧</w:t>
                  </w:r>
                </w:p>
              </w:tc>
              <w:tc>
                <w:tcPr>
                  <w:tcW w:w="1728" w:type="dxa"/>
                  <w:noWrap w:val="0"/>
                  <w:vAlign w:val="center"/>
                </w:tcPr>
                <w:p w14:paraId="5AC2C84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35m</w:t>
                  </w:r>
                </w:p>
              </w:tc>
              <w:tc>
                <w:tcPr>
                  <w:tcW w:w="2073" w:type="dxa"/>
                  <w:noWrap w:val="0"/>
                  <w:vAlign w:val="center"/>
                </w:tcPr>
                <w:p w14:paraId="5B2807EF">
                  <w:pPr>
                    <w:spacing w:line="240" w:lineRule="auto"/>
                    <w:jc w:val="center"/>
                    <w:rPr>
                      <w:rFonts w:hint="default" w:ascii="Times New Roman" w:hAnsi="Times New Roman" w:eastAsia="宋体" w:cs="Times New Roman"/>
                      <w:color w:val="auto"/>
                      <w:kern w:val="0"/>
                      <w:sz w:val="21"/>
                      <w:szCs w:val="21"/>
                      <w:vertAlign w:val="baseline"/>
                      <w:lang w:eastAsia="zh-CN" w:bidi="ar"/>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6AE0495D">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8</w:t>
                  </w:r>
                  <w:r>
                    <w:rPr>
                      <w:rFonts w:hint="default" w:ascii="Times New Roman" w:hAnsi="Times New Roman" w:cs="Times New Roman"/>
                      <w:color w:val="auto"/>
                      <w:sz w:val="21"/>
                      <w:szCs w:val="21"/>
                      <w:vertAlign w:val="baseline"/>
                      <w:lang w:val="en-US" w:eastAsia="zh-CN"/>
                    </w:rPr>
                    <w:t>人</w:t>
                  </w:r>
                </w:p>
              </w:tc>
            </w:tr>
            <w:tr w14:paraId="62BF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7CC9F5C8">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5694D69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Style w:val="65"/>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北侧</w:t>
                  </w:r>
                </w:p>
              </w:tc>
              <w:tc>
                <w:tcPr>
                  <w:tcW w:w="1728" w:type="dxa"/>
                  <w:noWrap w:val="0"/>
                  <w:vAlign w:val="center"/>
                </w:tcPr>
                <w:p w14:paraId="3A0CB56A">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97m</w:t>
                  </w:r>
                </w:p>
              </w:tc>
              <w:tc>
                <w:tcPr>
                  <w:tcW w:w="2073" w:type="dxa"/>
                  <w:noWrap w:val="0"/>
                  <w:vAlign w:val="center"/>
                </w:tcPr>
                <w:p w14:paraId="72B29813">
                  <w:pPr>
                    <w:spacing w:line="240" w:lineRule="auto"/>
                    <w:jc w:val="center"/>
                    <w:rPr>
                      <w:rFonts w:hint="default" w:ascii="Times New Roman" w:hAnsi="Times New Roman" w:eastAsia="宋体" w:cs="Times New Roman"/>
                      <w:color w:val="auto"/>
                      <w:kern w:val="0"/>
                      <w:sz w:val="21"/>
                      <w:szCs w:val="21"/>
                      <w:vertAlign w:val="baseline"/>
                      <w:lang w:eastAsia="zh-CN" w:bidi="ar"/>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7B799587">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户</w:t>
                  </w:r>
                </w:p>
              </w:tc>
            </w:tr>
            <w:tr w14:paraId="412D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385CDF57">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农户</w:t>
                  </w:r>
                </w:p>
              </w:tc>
              <w:tc>
                <w:tcPr>
                  <w:tcW w:w="1367" w:type="dxa"/>
                  <w:noWrap w:val="0"/>
                  <w:vAlign w:val="center"/>
                </w:tcPr>
                <w:p w14:paraId="18897AE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Style w:val="65"/>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rPr>
                    <w:t>北侧偏东</w:t>
                  </w:r>
                </w:p>
              </w:tc>
              <w:tc>
                <w:tcPr>
                  <w:tcW w:w="1728" w:type="dxa"/>
                  <w:noWrap w:val="0"/>
                  <w:vAlign w:val="center"/>
                </w:tcPr>
                <w:p w14:paraId="1446033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宋体"/>
                      <w:color w:val="auto"/>
                      <w:sz w:val="21"/>
                      <w:szCs w:val="21"/>
                      <w:lang w:val="en-US" w:eastAsia="zh-CN"/>
                    </w:rPr>
                    <w:t>212m~300m</w:t>
                  </w:r>
                </w:p>
              </w:tc>
              <w:tc>
                <w:tcPr>
                  <w:tcW w:w="2073" w:type="dxa"/>
                  <w:noWrap w:val="0"/>
                  <w:vAlign w:val="center"/>
                </w:tcPr>
                <w:p w14:paraId="520720A3">
                  <w:pPr>
                    <w:spacing w:line="240" w:lineRule="auto"/>
                    <w:jc w:val="center"/>
                    <w:rPr>
                      <w:rFonts w:hint="default" w:ascii="Times New Roman" w:hAnsi="Times New Roman" w:eastAsia="宋体" w:cs="Times New Roman"/>
                      <w:color w:val="auto"/>
                      <w:kern w:val="0"/>
                      <w:sz w:val="21"/>
                      <w:szCs w:val="21"/>
                      <w:vertAlign w:val="baseline"/>
                      <w:lang w:eastAsia="zh-CN" w:bidi="ar"/>
                    </w:rPr>
                  </w:pPr>
                  <w:r>
                    <w:rPr>
                      <w:rFonts w:hint="default" w:ascii="Times New Roman" w:hAnsi="Times New Roman" w:cs="Times New Roman"/>
                      <w:color w:val="auto"/>
                      <w:sz w:val="21"/>
                      <w:szCs w:val="21"/>
                      <w:vertAlign w:val="baseline"/>
                      <w:lang w:val="en-US" w:eastAsia="zh-CN"/>
                    </w:rPr>
                    <w:t>居住</w:t>
                  </w:r>
                </w:p>
              </w:tc>
              <w:tc>
                <w:tcPr>
                  <w:tcW w:w="1116" w:type="dxa"/>
                  <w:noWrap w:val="0"/>
                  <w:vAlign w:val="center"/>
                </w:tcPr>
                <w:p w14:paraId="09B304B1">
                  <w:pPr>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sz w:val="21"/>
                      <w:szCs w:val="21"/>
                      <w:vertAlign w:val="baseline"/>
                      <w:lang w:val="en-US" w:eastAsia="zh-CN"/>
                    </w:rPr>
                    <w:t>13</w:t>
                  </w:r>
                  <w:r>
                    <w:rPr>
                      <w:rFonts w:hint="default" w:ascii="Times New Roman" w:hAnsi="Times New Roman" w:cs="Times New Roman"/>
                      <w:color w:val="auto"/>
                      <w:sz w:val="21"/>
                      <w:szCs w:val="21"/>
                      <w:vertAlign w:val="baseline"/>
                      <w:lang w:val="en-US" w:eastAsia="zh-CN"/>
                    </w:rPr>
                    <w:t>户</w:t>
                  </w:r>
                </w:p>
              </w:tc>
            </w:tr>
            <w:tr w14:paraId="3C75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6DA276F5">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蓬南镇</w:t>
                  </w:r>
                </w:p>
              </w:tc>
              <w:tc>
                <w:tcPr>
                  <w:tcW w:w="1367" w:type="dxa"/>
                  <w:noWrap w:val="0"/>
                  <w:vAlign w:val="center"/>
                </w:tcPr>
                <w:p w14:paraId="20C52036">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东北侧</w:t>
                  </w:r>
                </w:p>
              </w:tc>
              <w:tc>
                <w:tcPr>
                  <w:tcW w:w="1728" w:type="dxa"/>
                  <w:noWrap w:val="0"/>
                  <w:vAlign w:val="center"/>
                </w:tcPr>
                <w:p w14:paraId="0525B114">
                  <w:pPr>
                    <w:spacing w:line="240" w:lineRule="auto"/>
                    <w:jc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2800m</w:t>
                  </w:r>
                </w:p>
              </w:tc>
              <w:tc>
                <w:tcPr>
                  <w:tcW w:w="2073" w:type="dxa"/>
                  <w:noWrap w:val="0"/>
                  <w:vAlign w:val="center"/>
                </w:tcPr>
                <w:p w14:paraId="34996954">
                  <w:pPr>
                    <w:spacing w:line="240" w:lineRule="auto"/>
                    <w:jc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乡镇</w:t>
                  </w:r>
                </w:p>
              </w:tc>
              <w:tc>
                <w:tcPr>
                  <w:tcW w:w="1116" w:type="dxa"/>
                  <w:noWrap w:val="0"/>
                  <w:vAlign w:val="center"/>
                </w:tcPr>
                <w:p w14:paraId="0978A82C">
                  <w:pPr>
                    <w:spacing w:line="240" w:lineRule="auto"/>
                    <w:jc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10000人</w:t>
                  </w:r>
                </w:p>
              </w:tc>
            </w:tr>
            <w:tr w14:paraId="1484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7" w:type="dxa"/>
                  <w:noWrap w:val="0"/>
                  <w:vAlign w:val="center"/>
                </w:tcPr>
                <w:p w14:paraId="37F4ED0B">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沙坝水库</w:t>
                  </w:r>
                </w:p>
              </w:tc>
              <w:tc>
                <w:tcPr>
                  <w:tcW w:w="1367" w:type="dxa"/>
                  <w:noWrap w:val="0"/>
                  <w:vAlign w:val="center"/>
                </w:tcPr>
                <w:p w14:paraId="4150BB36">
                  <w:pPr>
                    <w:spacing w:line="240" w:lineRule="auto"/>
                    <w:jc w:val="center"/>
                    <w:rPr>
                      <w:rStyle w:val="65"/>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东侧</w:t>
                  </w:r>
                </w:p>
              </w:tc>
              <w:tc>
                <w:tcPr>
                  <w:tcW w:w="1728" w:type="dxa"/>
                  <w:noWrap w:val="0"/>
                  <w:vAlign w:val="center"/>
                </w:tcPr>
                <w:p w14:paraId="4584117E">
                  <w:pPr>
                    <w:spacing w:line="240" w:lineRule="auto"/>
                    <w:jc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2050m</w:t>
                  </w:r>
                </w:p>
              </w:tc>
              <w:tc>
                <w:tcPr>
                  <w:tcW w:w="2073" w:type="dxa"/>
                  <w:noWrap w:val="0"/>
                  <w:vAlign w:val="center"/>
                </w:tcPr>
                <w:p w14:paraId="1E2E484F">
                  <w:pPr>
                    <w:spacing w:line="240" w:lineRule="auto"/>
                    <w:jc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地表水</w:t>
                  </w:r>
                </w:p>
              </w:tc>
              <w:tc>
                <w:tcPr>
                  <w:tcW w:w="1116" w:type="dxa"/>
                  <w:noWrap w:val="0"/>
                  <w:vAlign w:val="center"/>
                </w:tcPr>
                <w:p w14:paraId="7CBB37BC">
                  <w:pPr>
                    <w:spacing w:line="240" w:lineRule="auto"/>
                    <w:jc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w:t>
                  </w:r>
                </w:p>
              </w:tc>
            </w:tr>
          </w:tbl>
          <w:p w14:paraId="34FAF2CA">
            <w:pPr>
              <w:spacing w:line="360" w:lineRule="auto"/>
              <w:ind w:firstLine="482" w:firstLineChars="200"/>
              <w:jc w:val="both"/>
              <w:rPr>
                <w:rFonts w:hint="default" w:ascii="Times New Roman" w:hAnsi="Times New Roman" w:eastAsia="宋体" w:cs="Times New Roman"/>
                <w:b w:val="0"/>
                <w:bCs/>
                <w:color w:val="auto"/>
                <w:sz w:val="24"/>
                <w:szCs w:val="24"/>
              </w:rPr>
            </w:pPr>
            <w:r>
              <w:rPr>
                <w:rFonts w:hint="default" w:ascii="Times New Roman" w:hAnsi="Times New Roman"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rPr>
              <w:t>、环境风险识别</w:t>
            </w:r>
          </w:p>
          <w:p w14:paraId="6C70DF7E">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本项目生产工艺为物理加工工艺，生产工艺中没有有害工序。根据项目生产特点，可能发生风险主要为：沉淀池</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化粪池</w:t>
            </w:r>
            <w:r>
              <w:rPr>
                <w:rFonts w:hint="default" w:ascii="Times New Roman" w:hAnsi="Times New Roman" w:eastAsia="宋体" w:cs="Times New Roman"/>
                <w:b w:val="0"/>
                <w:bCs/>
                <w:color w:val="auto"/>
                <w:sz w:val="24"/>
                <w:szCs w:val="24"/>
              </w:rPr>
              <w:t>破裂或溢流引发的废水排放故障以及所用电气设备、机械设备等出现故障引起火灾。</w:t>
            </w:r>
          </w:p>
          <w:p w14:paraId="251FF9BA">
            <w:pPr>
              <w:spacing w:line="360" w:lineRule="auto"/>
              <w:ind w:firstLine="482" w:firstLineChars="200"/>
              <w:jc w:val="both"/>
              <w:rPr>
                <w:rFonts w:hint="default" w:ascii="Times New Roman" w:hAnsi="Times New Roman" w:eastAsia="宋体" w:cs="Times New Roman"/>
                <w:b w:val="0"/>
                <w:bCs/>
                <w:color w:val="auto"/>
                <w:sz w:val="24"/>
                <w:szCs w:val="24"/>
              </w:rPr>
            </w:pPr>
            <w:r>
              <w:rPr>
                <w:rFonts w:hint="default" w:ascii="Times New Roman" w:hAnsi="Times New Roman" w:cs="Times New Roman"/>
                <w:b/>
                <w:bCs w:val="0"/>
                <w:color w:val="auto"/>
                <w:sz w:val="24"/>
                <w:szCs w:val="24"/>
                <w:lang w:val="en-US" w:eastAsia="zh-CN"/>
              </w:rPr>
              <w:t>5</w:t>
            </w:r>
            <w:r>
              <w:rPr>
                <w:rFonts w:hint="default" w:ascii="Times New Roman" w:hAnsi="Times New Roman" w:eastAsia="宋体" w:cs="Times New Roman"/>
                <w:b/>
                <w:bCs w:val="0"/>
                <w:color w:val="auto"/>
                <w:sz w:val="24"/>
                <w:szCs w:val="24"/>
              </w:rPr>
              <w:t>、环境风险防范措施及应急要求</w:t>
            </w:r>
          </w:p>
          <w:p w14:paraId="0FABCDBE">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为使废水和设施设备故障引发的环境风险减小到最低限度，</w:t>
            </w:r>
            <w:r>
              <w:rPr>
                <w:rFonts w:hint="default" w:ascii="Times New Roman" w:hAnsi="Times New Roman" w:cs="Times New Roman"/>
                <w:b w:val="0"/>
                <w:bCs/>
                <w:color w:val="auto"/>
                <w:sz w:val="24"/>
                <w:szCs w:val="24"/>
                <w:lang w:val="en-US" w:eastAsia="zh-CN"/>
              </w:rPr>
              <w:t>建设单位拟</w:t>
            </w:r>
            <w:r>
              <w:rPr>
                <w:rFonts w:hint="default" w:ascii="Times New Roman" w:hAnsi="Times New Roman" w:eastAsia="宋体" w:cs="Times New Roman"/>
                <w:b w:val="0"/>
                <w:bCs/>
                <w:color w:val="auto"/>
                <w:sz w:val="24"/>
                <w:szCs w:val="24"/>
              </w:rPr>
              <w:t>采取以下措施：</w:t>
            </w:r>
          </w:p>
          <w:p w14:paraId="26D12636">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①严格控制处理设施设备设备质量，并定期检验、检测、保养、维修。</w:t>
            </w:r>
          </w:p>
          <w:p w14:paraId="6CBDE921">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②安全设施保持齐全、完好。</w:t>
            </w:r>
          </w:p>
          <w:p w14:paraId="33AD3A23">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③严格岗位管理，保证废水处理装置正常运行。</w:t>
            </w:r>
          </w:p>
          <w:p w14:paraId="02BE079C">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 4 \* GB3 \* MERGEFORMAT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color w:val="auto"/>
                <w:sz w:val="24"/>
                <w:szCs w:val="24"/>
              </w:rPr>
              <w:t>所用电气设备宜采用加防护外罩的防潮封闭型，总开关最好设在车间的门外，动力、照明电线束应穿套塑管或锌管后引入厂房内；电气设备需接地良好。</w:t>
            </w:r>
          </w:p>
          <w:p w14:paraId="38AA5628">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 5 \* GB3 \* MERGEFORMAT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color w:val="auto"/>
                <w:sz w:val="24"/>
                <w:szCs w:val="24"/>
              </w:rPr>
              <w:t>对电气设备、机械设备应定期维修加强保养；轴、轮等运转部位需保持润滑。</w:t>
            </w:r>
          </w:p>
          <w:p w14:paraId="1CA9AEA1">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 6 \* GB3 \* MERGEFORMAT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color w:val="auto"/>
                <w:sz w:val="24"/>
                <w:szCs w:val="24"/>
              </w:rPr>
              <w:t>⑥</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color w:val="auto"/>
                <w:sz w:val="24"/>
                <w:szCs w:val="24"/>
              </w:rPr>
              <w:t>厂房内应配备必要的消防设施和灭火器材，建立健全岗位责任制，并要及时清扫车间粉尘等杂物。</w:t>
            </w:r>
          </w:p>
          <w:p w14:paraId="20710BD6">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 7 \* GB3 \* MERGEFORMAT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color w:val="auto"/>
                <w:sz w:val="24"/>
                <w:szCs w:val="24"/>
              </w:rPr>
              <w:t>⑦</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color w:val="auto"/>
                <w:sz w:val="24"/>
                <w:szCs w:val="24"/>
              </w:rPr>
              <w:t>认真贯彻“安全第一，预防为主”的生产方针，设置专门的机构和人员负责检查工作；</w:t>
            </w:r>
          </w:p>
          <w:p w14:paraId="07E25622">
            <w:pPr>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 8 \* GB3 \* MERGEFORMAT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color w:val="auto"/>
                <w:sz w:val="24"/>
                <w:szCs w:val="24"/>
              </w:rPr>
              <w:t>⑧</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color w:val="auto"/>
                <w:sz w:val="24"/>
                <w:szCs w:val="24"/>
              </w:rPr>
              <w:t>项目生活污水</w:t>
            </w:r>
            <w:r>
              <w:rPr>
                <w:rFonts w:hint="default" w:ascii="Times New Roman" w:hAnsi="Times New Roman" w:eastAsia="宋体" w:cs="Times New Roman"/>
                <w:b w:val="0"/>
                <w:bCs/>
                <w:color w:val="auto"/>
                <w:sz w:val="24"/>
                <w:szCs w:val="24"/>
                <w:lang w:val="en-US" w:eastAsia="zh-CN"/>
              </w:rPr>
              <w:t>化粪池</w:t>
            </w:r>
            <w:r>
              <w:rPr>
                <w:rFonts w:hint="default" w:ascii="Times New Roman" w:hAnsi="Times New Roman" w:eastAsia="宋体" w:cs="Times New Roman"/>
                <w:b w:val="0"/>
                <w:bCs/>
                <w:color w:val="auto"/>
                <w:sz w:val="24"/>
                <w:szCs w:val="24"/>
              </w:rPr>
              <w:t>已应按有关规范要求进行设计和建设</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地面及四壁均应做好防腐防渗处理，防止未处理废水渗漏对地下水造成污染。</w:t>
            </w:r>
            <w:r>
              <w:rPr>
                <w:rFonts w:hint="default" w:ascii="Times New Roman" w:hAnsi="Times New Roman" w:cs="Times New Roman"/>
                <w:b w:val="0"/>
                <w:bCs/>
                <w:color w:val="auto"/>
                <w:sz w:val="24"/>
                <w:szCs w:val="24"/>
                <w:lang w:val="en-US" w:eastAsia="zh-CN"/>
              </w:rPr>
              <w:t>本次项目新增的三级沉淀池和雨水收集池按要求进行重点防渗，</w:t>
            </w:r>
            <w:r>
              <w:rPr>
                <w:rFonts w:hint="default" w:ascii="Times New Roman" w:hAnsi="Times New Roman" w:eastAsia="宋体" w:cs="Times New Roman"/>
                <w:b w:val="0"/>
                <w:bCs/>
                <w:color w:val="auto"/>
                <w:sz w:val="24"/>
                <w:szCs w:val="24"/>
              </w:rPr>
              <w:t>地面及四壁均应做好防腐防渗处理，防止未处理废水渗漏对地下水造成污染</w:t>
            </w:r>
            <w:r>
              <w:rPr>
                <w:rFonts w:hint="default" w:ascii="Times New Roman" w:hAnsi="Times New Roman" w:cs="Times New Roman"/>
                <w:b w:val="0"/>
                <w:bCs/>
                <w:color w:val="auto"/>
                <w:sz w:val="24"/>
                <w:szCs w:val="24"/>
                <w:lang w:val="en-US" w:eastAsia="zh-CN"/>
              </w:rPr>
              <w:t>。</w:t>
            </w:r>
          </w:p>
          <w:p w14:paraId="6B95226B">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⑨</w:t>
            </w:r>
            <w:r>
              <w:rPr>
                <w:rFonts w:hint="default" w:ascii="Times New Roman" w:hAnsi="Times New Roman" w:eastAsia="宋体" w:cs="Times New Roman"/>
                <w:b w:val="0"/>
                <w:bCs/>
                <w:color w:val="auto"/>
                <w:sz w:val="24"/>
                <w:szCs w:val="24"/>
              </w:rPr>
              <w:t>经常开展安全生产检查活动，查出事故隐患，提出预防措施，防止安全事故的发生。</w:t>
            </w:r>
          </w:p>
          <w:p w14:paraId="01A1770A">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⑩</w:t>
            </w:r>
            <w:r>
              <w:rPr>
                <w:rFonts w:hint="default" w:ascii="Times New Roman" w:hAnsi="Times New Roman" w:eastAsia="宋体" w:cs="Times New Roman"/>
                <w:b w:val="0"/>
                <w:bCs/>
                <w:color w:val="auto"/>
                <w:sz w:val="24"/>
                <w:szCs w:val="24"/>
              </w:rPr>
              <w:t>其他防范措施</w:t>
            </w:r>
          </w:p>
          <w:p w14:paraId="4CC87DAC">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为能在事故发生后，迅速准确，有条不紊地处理事故，尽可能减少事故造成的损失，平时必须做好应急救援的准备工作落实岗位责任制和各项制度。具体措施有：</w:t>
            </w:r>
          </w:p>
          <w:p w14:paraId="5B7FF5AD">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A、落实应急救援组织，救援指挥部成员和救援人员应按专业分工本着专业对口便于领导，便于集结和开展救援的原则，建立组织。落实人员，每年初要根据人员的变化进行组织调整，确保救援组织的落实。</w:t>
            </w:r>
          </w:p>
          <w:p w14:paraId="3959F986">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B、按照任务分工做好物资器材准备。如：必要的指挥通讯、报警、洗消、抢修等器材及交通工具。上述各种器材应指定专人保管，并定期检查保养使其经常处于良好状态，各重点目标设救援器材柜，专人保管以备急用。</w:t>
            </w:r>
          </w:p>
          <w:p w14:paraId="39FB939D">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C、定期组织救援训练和演习，各队按专业分工每年训练两次。结合本厂实际每年组织一次综合性应急救援演习，提高指挥水平和救援能力。对职工进行火灾事故救援常识教育。</w:t>
            </w:r>
          </w:p>
          <w:p w14:paraId="0A37DBF4">
            <w:pPr>
              <w:spacing w:line="360" w:lineRule="auto"/>
              <w:ind w:firstLine="482" w:firstLineChars="200"/>
              <w:jc w:val="both"/>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6、环境风险应急预案</w:t>
            </w:r>
          </w:p>
          <w:p w14:paraId="15DC4093">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为预防突发性的自然灾害、操作失控、污染事故、危险品大量泄漏等重、特大事故的发生，确保国家财产和人民生命的安全，在突发性事故发生时，能迅速、准确的处理和控制事故扩大，把事故损失及危害降到最小程度，有效地应急救援行动是唯一可以抵御事故灾害蔓延和减缓灾害后果的有力措施。</w:t>
            </w:r>
          </w:p>
          <w:p w14:paraId="61C75E89">
            <w:pPr>
              <w:spacing w:line="360" w:lineRule="auto"/>
              <w:ind w:firstLine="480" w:firstLineChars="200"/>
              <w:jc w:val="both"/>
              <w:rPr>
                <w:rFonts w:hint="default" w:ascii="Times New Roman" w:hAnsi="Times New Roman" w:cs="Times New Roman"/>
                <w:b w:val="0"/>
                <w:bCs/>
                <w:color w:val="auto"/>
                <w:sz w:val="24"/>
                <w:szCs w:val="24"/>
                <w:lang w:eastAsia="zh-CN"/>
              </w:rPr>
            </w:pPr>
            <w:r>
              <w:rPr>
                <w:rFonts w:hint="default" w:ascii="Times New Roman" w:hAnsi="Times New Roman" w:eastAsia="宋体" w:cs="Times New Roman"/>
                <w:b w:val="0"/>
                <w:bCs/>
                <w:color w:val="auto"/>
                <w:sz w:val="24"/>
                <w:szCs w:val="24"/>
              </w:rPr>
              <w:t>一般应急预案主要内容见下表</w:t>
            </w:r>
            <w:r>
              <w:rPr>
                <w:rFonts w:hint="default" w:ascii="Times New Roman" w:hAnsi="Times New Roman" w:cs="Times New Roman"/>
                <w:b w:val="0"/>
                <w:bCs/>
                <w:color w:val="auto"/>
                <w:sz w:val="24"/>
                <w:szCs w:val="24"/>
                <w:lang w:eastAsia="zh-CN"/>
              </w:rPr>
              <w:t>：</w:t>
            </w:r>
          </w:p>
          <w:p w14:paraId="6D0E3B05">
            <w:pPr>
              <w:spacing w:line="360" w:lineRule="auto"/>
              <w:ind w:firstLine="422" w:firstLineChars="200"/>
              <w:jc w:val="center"/>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cs="Times New Roman"/>
                <w:b/>
                <w:bCs w:val="0"/>
                <w:color w:val="auto"/>
                <w:sz w:val="21"/>
                <w:szCs w:val="21"/>
                <w:lang w:eastAsia="zh-CN"/>
              </w:rPr>
              <w:t>表7-</w:t>
            </w:r>
            <w:r>
              <w:rPr>
                <w:rFonts w:hint="eastAsia" w:cs="Times New Roman"/>
                <w:b/>
                <w:bCs w:val="0"/>
                <w:color w:val="auto"/>
                <w:sz w:val="21"/>
                <w:szCs w:val="21"/>
                <w:lang w:val="en-US" w:eastAsia="zh-CN"/>
              </w:rPr>
              <w:t>32</w:t>
            </w:r>
            <w:r>
              <w:rPr>
                <w:rFonts w:hint="default" w:ascii="Times New Roman" w:hAnsi="Times New Roman" w:cs="Times New Roman"/>
                <w:b/>
                <w:bCs w:val="0"/>
                <w:color w:val="auto"/>
                <w:sz w:val="21"/>
                <w:szCs w:val="21"/>
                <w:lang w:val="en-US" w:eastAsia="zh-CN"/>
              </w:rPr>
              <w:t xml:space="preserve">  </w:t>
            </w:r>
            <w:r>
              <w:rPr>
                <w:rFonts w:hint="default" w:ascii="Times New Roman" w:hAnsi="Times New Roman" w:cs="Times New Roman"/>
                <w:b/>
                <w:bCs w:val="0"/>
                <w:color w:val="auto"/>
                <w:sz w:val="21"/>
                <w:szCs w:val="21"/>
                <w:lang w:eastAsia="zh-CN"/>
              </w:rPr>
              <w:t>环境应急预案内容一览表</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112"/>
              <w:gridCol w:w="6715"/>
            </w:tblGrid>
            <w:tr w14:paraId="04A1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5CEAED30">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序号</w:t>
                  </w:r>
                </w:p>
              </w:tc>
              <w:tc>
                <w:tcPr>
                  <w:tcW w:w="2175" w:type="dxa"/>
                  <w:noWrap w:val="0"/>
                  <w:vAlign w:val="center"/>
                </w:tcPr>
                <w:p w14:paraId="26DD7EA7">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项目</w:t>
                  </w:r>
                </w:p>
              </w:tc>
              <w:tc>
                <w:tcPr>
                  <w:tcW w:w="6975" w:type="dxa"/>
                  <w:noWrap w:val="0"/>
                  <w:vAlign w:val="center"/>
                </w:tcPr>
                <w:p w14:paraId="52CB7D0D">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内容及要求</w:t>
                  </w:r>
                </w:p>
              </w:tc>
            </w:tr>
            <w:tr w14:paraId="7495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5DAB7796">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p>
              </w:tc>
              <w:tc>
                <w:tcPr>
                  <w:tcW w:w="2175" w:type="dxa"/>
                  <w:noWrap w:val="0"/>
                  <w:vAlign w:val="center"/>
                </w:tcPr>
                <w:p w14:paraId="0DD5C276">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应急计划区</w:t>
                  </w:r>
                </w:p>
              </w:tc>
              <w:tc>
                <w:tcPr>
                  <w:tcW w:w="6975" w:type="dxa"/>
                  <w:noWrap w:val="0"/>
                  <w:vAlign w:val="center"/>
                </w:tcPr>
                <w:p w14:paraId="2AFD74AF">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危险目标：</w:t>
                  </w:r>
                  <w:r>
                    <w:rPr>
                      <w:rFonts w:hint="default" w:ascii="Times New Roman" w:hAnsi="Times New Roman" w:cs="Times New Roman"/>
                      <w:b w:val="0"/>
                      <w:bCs/>
                      <w:color w:val="auto"/>
                      <w:sz w:val="21"/>
                      <w:szCs w:val="21"/>
                      <w:vertAlign w:val="baseline"/>
                      <w:lang w:val="en-US" w:eastAsia="zh-CN"/>
                    </w:rPr>
                    <w:t>沉淀池、化粪池</w:t>
                  </w:r>
                  <w:r>
                    <w:rPr>
                      <w:rFonts w:hint="default" w:ascii="Times New Roman" w:hAnsi="Times New Roman" w:eastAsia="宋体" w:cs="Times New Roman"/>
                      <w:b w:val="0"/>
                      <w:bCs/>
                      <w:color w:val="auto"/>
                      <w:sz w:val="21"/>
                      <w:szCs w:val="21"/>
                      <w:vertAlign w:val="baseline"/>
                      <w:lang w:val="en-US" w:eastAsia="zh-CN"/>
                    </w:rPr>
                    <w:t>、环境保护目标</w:t>
                  </w:r>
                </w:p>
              </w:tc>
            </w:tr>
            <w:tr w14:paraId="1A6E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2567B37F">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w:t>
                  </w:r>
                </w:p>
              </w:tc>
              <w:tc>
                <w:tcPr>
                  <w:tcW w:w="2175" w:type="dxa"/>
                  <w:noWrap w:val="0"/>
                  <w:vAlign w:val="center"/>
                </w:tcPr>
                <w:p w14:paraId="72A7A19E">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应急组织机构、人员</w:t>
                  </w:r>
                </w:p>
              </w:tc>
              <w:tc>
                <w:tcPr>
                  <w:tcW w:w="6975" w:type="dxa"/>
                  <w:noWrap w:val="0"/>
                  <w:vAlign w:val="center"/>
                </w:tcPr>
                <w:p w14:paraId="030E38EE">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公司设置应急组织机构，厂长为总负责人，各部门和基层单位应急负责人为本单位为应急计划、协调第一责任人，应急人员必须为培训上岗熟练工；区域应急组织结构由当地政府、相关行业专家、卫生安全相关单位组成，并由当地政府进行统一调度</w:t>
                  </w:r>
                </w:p>
              </w:tc>
            </w:tr>
            <w:tr w14:paraId="6BC3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39F8BC38">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3</w:t>
                  </w:r>
                </w:p>
              </w:tc>
              <w:tc>
                <w:tcPr>
                  <w:tcW w:w="2175" w:type="dxa"/>
                  <w:noWrap w:val="0"/>
                  <w:vAlign w:val="center"/>
                </w:tcPr>
                <w:p w14:paraId="07B49D56">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预案分级响应条件</w:t>
                  </w:r>
                </w:p>
              </w:tc>
              <w:tc>
                <w:tcPr>
                  <w:tcW w:w="6975" w:type="dxa"/>
                  <w:noWrap w:val="0"/>
                  <w:vAlign w:val="center"/>
                </w:tcPr>
                <w:p w14:paraId="08B6393A">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根据事故险情的严重程度制定相应级别的应急预案，以及适合相应情况的处理措施</w:t>
                  </w:r>
                </w:p>
              </w:tc>
            </w:tr>
            <w:tr w14:paraId="7216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5336464F">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4</w:t>
                  </w:r>
                </w:p>
              </w:tc>
              <w:tc>
                <w:tcPr>
                  <w:tcW w:w="2175" w:type="dxa"/>
                  <w:noWrap w:val="0"/>
                  <w:vAlign w:val="center"/>
                </w:tcPr>
                <w:p w14:paraId="16C083FF">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应急救援保障</w:t>
                  </w:r>
                </w:p>
              </w:tc>
              <w:tc>
                <w:tcPr>
                  <w:tcW w:w="6975" w:type="dxa"/>
                  <w:noWrap w:val="0"/>
                  <w:vAlign w:val="center"/>
                </w:tcPr>
                <w:p w14:paraId="6F976398">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各装置应配备相应数量的基本的灭火器、大型灭火器具等，凡是与有毒气体相关的装置配备氧呼或空呼设备。应急设备设施的管理具体执行《生产车间应急装备物资管理规定》</w:t>
                  </w:r>
                </w:p>
              </w:tc>
            </w:tr>
            <w:tr w14:paraId="528E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33F5560B">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5</w:t>
                  </w:r>
                </w:p>
              </w:tc>
              <w:tc>
                <w:tcPr>
                  <w:tcW w:w="2175" w:type="dxa"/>
                  <w:noWrap w:val="0"/>
                  <w:vAlign w:val="center"/>
                </w:tcPr>
                <w:p w14:paraId="3CF41550">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报警、通讯联络方式</w:t>
                  </w:r>
                </w:p>
              </w:tc>
              <w:tc>
                <w:tcPr>
                  <w:tcW w:w="6975" w:type="dxa"/>
                  <w:noWrap w:val="0"/>
                  <w:vAlign w:val="center"/>
                </w:tcPr>
                <w:p w14:paraId="1617A713">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逐一细化应急状态下各主要负责部门的报警通讯方式、地点、电话号码以及相关配套的交通保障、管制、消防联络方法，涉及跨区域的还应与相关区域环境保护部门和上级环保部门保持联系，及时通报事故处理情况，以获得区域性支援。同时充分重视并发挥煤体的作用</w:t>
                  </w:r>
                </w:p>
              </w:tc>
            </w:tr>
            <w:tr w14:paraId="58B5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46945ACC">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6</w:t>
                  </w:r>
                </w:p>
              </w:tc>
              <w:tc>
                <w:tcPr>
                  <w:tcW w:w="2175" w:type="dxa"/>
                  <w:noWrap w:val="0"/>
                  <w:vAlign w:val="center"/>
                </w:tcPr>
                <w:p w14:paraId="4E8FB722">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应急环境监测、抢险、救援及控制措施</w:t>
                  </w:r>
                </w:p>
              </w:tc>
              <w:tc>
                <w:tcPr>
                  <w:tcW w:w="6975" w:type="dxa"/>
                  <w:noWrap w:val="0"/>
                  <w:vAlign w:val="center"/>
                </w:tcPr>
                <w:p w14:paraId="2A59D9E7">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组织专业队伍负责对事故现场进行侦察监测，对事故性质、参数与后果进行评估，专为指挥部门提供决策依据。严格规定事故多发区、事故现场、邻近区域、控制防火区域设置控制和清除污染措施及相应设备的数量、使用方法、使用人员</w:t>
                  </w:r>
                </w:p>
              </w:tc>
            </w:tr>
            <w:tr w14:paraId="3E40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648A7FE9">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7</w:t>
                  </w:r>
                </w:p>
              </w:tc>
              <w:tc>
                <w:tcPr>
                  <w:tcW w:w="2175" w:type="dxa"/>
                  <w:noWrap w:val="0"/>
                  <w:vAlign w:val="center"/>
                </w:tcPr>
                <w:p w14:paraId="06F5135A">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应急检测、防护措施、清除泄漏措施和器材</w:t>
                  </w:r>
                </w:p>
              </w:tc>
              <w:tc>
                <w:tcPr>
                  <w:tcW w:w="6975" w:type="dxa"/>
                  <w:noWrap w:val="0"/>
                  <w:vAlign w:val="center"/>
                </w:tcPr>
                <w:p w14:paraId="06605960">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事故现场、邻近区域、控制防火区域，控制和清除污染措施及相应设备</w:t>
                  </w:r>
                </w:p>
              </w:tc>
            </w:tr>
            <w:tr w14:paraId="132B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4BDD7F32">
                  <w:pPr>
                    <w:spacing w:line="240" w:lineRule="auto"/>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8</w:t>
                  </w:r>
                </w:p>
              </w:tc>
              <w:tc>
                <w:tcPr>
                  <w:tcW w:w="2175" w:type="dxa"/>
                  <w:noWrap w:val="0"/>
                  <w:vAlign w:val="center"/>
                </w:tcPr>
                <w:p w14:paraId="12E0DDF2">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人员紧急撤离、疏散，应急剂量控制、撤离组织计划</w:t>
                  </w:r>
                </w:p>
              </w:tc>
              <w:tc>
                <w:tcPr>
                  <w:tcW w:w="6975" w:type="dxa"/>
                  <w:noWrap w:val="0"/>
                  <w:vAlign w:val="center"/>
                </w:tcPr>
                <w:p w14:paraId="1C958EAA">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事故现场、工厂邻近区、受事故影响的区域人员及公众对有毒有害物质应急剂量控制规定，制定紧急撤离组织计划和救护，医疗救护与公众健康。根据厂内风向标，判断事故气体扩散的方向，制定逃生路线</w:t>
                  </w:r>
                </w:p>
              </w:tc>
            </w:tr>
            <w:tr w14:paraId="5408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40ED41DF">
                  <w:pPr>
                    <w:spacing w:line="240" w:lineRule="auto"/>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9</w:t>
                  </w:r>
                </w:p>
              </w:tc>
              <w:tc>
                <w:tcPr>
                  <w:tcW w:w="2175" w:type="dxa"/>
                  <w:noWrap w:val="0"/>
                  <w:vAlign w:val="center"/>
                </w:tcPr>
                <w:p w14:paraId="4C9CBC77">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事故应急救援关闭程序与恢复措施</w:t>
                  </w:r>
                </w:p>
              </w:tc>
              <w:tc>
                <w:tcPr>
                  <w:tcW w:w="6975" w:type="dxa"/>
                  <w:noWrap w:val="0"/>
                  <w:vAlign w:val="center"/>
                </w:tcPr>
                <w:p w14:paraId="5EE015EF">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制定相关应急状态终止程序，事故现场、受影响范围内的善后处理、恢复措施，邻近区域解除事故警戒及善后恢复措施</w:t>
                  </w:r>
                </w:p>
              </w:tc>
            </w:tr>
            <w:tr w14:paraId="3F78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58257AEB">
                  <w:pPr>
                    <w:spacing w:line="240" w:lineRule="auto"/>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10</w:t>
                  </w:r>
                </w:p>
              </w:tc>
              <w:tc>
                <w:tcPr>
                  <w:tcW w:w="2175" w:type="dxa"/>
                  <w:noWrap w:val="0"/>
                  <w:vAlign w:val="center"/>
                </w:tcPr>
                <w:p w14:paraId="430CCC6B">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应急培训计划</w:t>
                  </w:r>
                </w:p>
              </w:tc>
              <w:tc>
                <w:tcPr>
                  <w:tcW w:w="6975" w:type="dxa"/>
                  <w:noWrap w:val="0"/>
                  <w:vAlign w:val="center"/>
                </w:tcPr>
                <w:p w14:paraId="56D40CD5">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定期安排有关人员进行培训与演练</w:t>
                  </w:r>
                </w:p>
              </w:tc>
            </w:tr>
            <w:tr w14:paraId="37CC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5145DA8A">
                  <w:pPr>
                    <w:spacing w:line="240" w:lineRule="auto"/>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11</w:t>
                  </w:r>
                </w:p>
              </w:tc>
              <w:tc>
                <w:tcPr>
                  <w:tcW w:w="2175" w:type="dxa"/>
                  <w:noWrap w:val="0"/>
                  <w:vAlign w:val="center"/>
                </w:tcPr>
                <w:p w14:paraId="4A705A75">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公众教育和信息</w:t>
                  </w:r>
                </w:p>
              </w:tc>
              <w:tc>
                <w:tcPr>
                  <w:tcW w:w="6975" w:type="dxa"/>
                  <w:noWrap w:val="0"/>
                  <w:vAlign w:val="center"/>
                </w:tcPr>
                <w:p w14:paraId="4E3A03A1">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对工厂邻近地区开展公众教育、培训和发布有关信息</w:t>
                  </w:r>
                </w:p>
              </w:tc>
            </w:tr>
            <w:tr w14:paraId="023A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noWrap w:val="0"/>
                  <w:vAlign w:val="center"/>
                </w:tcPr>
                <w:p w14:paraId="0A050789">
                  <w:pPr>
                    <w:spacing w:line="240" w:lineRule="auto"/>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12</w:t>
                  </w:r>
                </w:p>
              </w:tc>
              <w:tc>
                <w:tcPr>
                  <w:tcW w:w="2175" w:type="dxa"/>
                  <w:noWrap w:val="0"/>
                  <w:vAlign w:val="center"/>
                </w:tcPr>
                <w:p w14:paraId="41FC1EEB">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事故恢复措施</w:t>
                  </w:r>
                </w:p>
              </w:tc>
              <w:tc>
                <w:tcPr>
                  <w:tcW w:w="6975" w:type="dxa"/>
                  <w:noWrap w:val="0"/>
                  <w:vAlign w:val="center"/>
                </w:tcPr>
                <w:p w14:paraId="76817E1C">
                  <w:p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组织专业人员对事故后的环境变化进行监测，对事故应急措施的环境可行性进行分析论证</w:t>
                  </w:r>
                </w:p>
              </w:tc>
            </w:tr>
          </w:tbl>
          <w:p w14:paraId="1BCAF7BA">
            <w:pPr>
              <w:spacing w:line="360" w:lineRule="auto"/>
              <w:ind w:firstLine="482" w:firstLineChars="200"/>
              <w:jc w:val="both"/>
              <w:rPr>
                <w:rFonts w:hint="default" w:ascii="Times New Roman" w:hAnsi="Times New Roman" w:eastAsia="宋体" w:cs="Times New Roman"/>
                <w:b w:val="0"/>
                <w:bCs/>
                <w:color w:val="auto"/>
                <w:sz w:val="24"/>
                <w:szCs w:val="24"/>
              </w:rPr>
            </w:pPr>
            <w:r>
              <w:rPr>
                <w:rFonts w:hint="default" w:ascii="Times New Roman" w:hAnsi="Times New Roman"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rPr>
              <w:t>、环境风险分析结论</w:t>
            </w:r>
          </w:p>
          <w:p w14:paraId="399ED4D6">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综上所述，项目营运过程中存在着一定的环境风险，但只要加强管理，建立健全相应的风险防范管理、应急措施，并在管理及运行中认真落实工程安全措施、消防措施及评价所提出的风险防范、管理措施，制定相应的事故应</w:t>
            </w:r>
            <w:r>
              <w:rPr>
                <w:rFonts w:hint="eastAsia" w:cs="Times New Roman"/>
                <w:b w:val="0"/>
                <w:bCs/>
                <w:color w:val="auto"/>
                <w:sz w:val="24"/>
                <w:szCs w:val="24"/>
                <w:lang w:val="en-US" w:eastAsia="zh-CN"/>
              </w:rPr>
              <w:t>急</w:t>
            </w:r>
            <w:r>
              <w:rPr>
                <w:rFonts w:hint="default" w:ascii="Times New Roman" w:hAnsi="Times New Roman" w:eastAsia="宋体" w:cs="Times New Roman"/>
                <w:b w:val="0"/>
                <w:bCs/>
                <w:color w:val="auto"/>
                <w:sz w:val="24"/>
                <w:szCs w:val="24"/>
              </w:rPr>
              <w:t>预案，则其在营运期的环境风险可接受，并且其环境风险事故隐患可降至最低。</w:t>
            </w:r>
          </w:p>
          <w:p w14:paraId="212D2607">
            <w:pPr>
              <w:spacing w:line="360" w:lineRule="auto"/>
              <w:ind w:firstLine="480" w:firstLineChars="20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从风险角度分析，项目建设是可行。</w:t>
            </w:r>
          </w:p>
          <w:p w14:paraId="3BFC8678">
            <w:pPr>
              <w:spacing w:line="360" w:lineRule="auto"/>
              <w:ind w:firstLine="422"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val="0"/>
                <w:color w:val="auto"/>
                <w:sz w:val="21"/>
                <w:szCs w:val="21"/>
              </w:rPr>
              <w:t>表7-</w:t>
            </w:r>
            <w:r>
              <w:rPr>
                <w:rFonts w:hint="eastAsia" w:cs="Times New Roman"/>
                <w:b/>
                <w:bCs w:val="0"/>
                <w:color w:val="auto"/>
                <w:sz w:val="21"/>
                <w:szCs w:val="21"/>
                <w:lang w:val="en-US" w:eastAsia="zh-CN"/>
              </w:rPr>
              <w:t>33</w:t>
            </w:r>
            <w:r>
              <w:rPr>
                <w:rFonts w:hint="default" w:ascii="Times New Roman" w:hAnsi="Times New Roman" w:eastAsia="宋体" w:cs="Times New Roman"/>
                <w:b/>
                <w:bCs w:val="0"/>
                <w:color w:val="auto"/>
                <w:sz w:val="21"/>
                <w:szCs w:val="21"/>
              </w:rPr>
              <w:t xml:space="preserve">   建设项目环境风险简单分析内容表</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969"/>
              <w:gridCol w:w="337"/>
              <w:gridCol w:w="1238"/>
              <w:gridCol w:w="876"/>
              <w:gridCol w:w="386"/>
              <w:gridCol w:w="1000"/>
              <w:gridCol w:w="2213"/>
            </w:tblGrid>
            <w:tr w14:paraId="456B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19" w:type="dxa"/>
                  <w:tcBorders>
                    <w:top w:val="single" w:color="auto" w:sz="4" w:space="0"/>
                    <w:left w:val="single" w:color="auto" w:sz="4" w:space="0"/>
                    <w:bottom w:val="single" w:color="auto" w:sz="4" w:space="0"/>
                    <w:right w:val="single" w:color="auto" w:sz="4" w:space="0"/>
                  </w:tcBorders>
                  <w:noWrap w:val="0"/>
                  <w:vAlign w:val="center"/>
                </w:tcPr>
                <w:p w14:paraId="13481312">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建设项目名称</w:t>
                  </w:r>
                </w:p>
              </w:tc>
              <w:tc>
                <w:tcPr>
                  <w:tcW w:w="8019" w:type="dxa"/>
                  <w:gridSpan w:val="7"/>
                  <w:tcBorders>
                    <w:top w:val="single" w:color="auto" w:sz="4" w:space="0"/>
                    <w:left w:val="single" w:color="auto" w:sz="4" w:space="0"/>
                    <w:bottom w:val="single" w:color="auto" w:sz="4" w:space="0"/>
                    <w:right w:val="single" w:color="auto" w:sz="4" w:space="0"/>
                  </w:tcBorders>
                  <w:noWrap w:val="0"/>
                  <w:vAlign w:val="center"/>
                </w:tcPr>
                <w:p w14:paraId="3D8ABF94">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畜禽养殖专用水泥制品及不锈钢制品项目</w:t>
                  </w:r>
                </w:p>
              </w:tc>
            </w:tr>
            <w:tr w14:paraId="7240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19" w:type="dxa"/>
                  <w:tcBorders>
                    <w:top w:val="single" w:color="auto" w:sz="4" w:space="0"/>
                    <w:left w:val="single" w:color="auto" w:sz="4" w:space="0"/>
                    <w:bottom w:val="single" w:color="auto" w:sz="4" w:space="0"/>
                    <w:right w:val="single" w:color="auto" w:sz="4" w:space="0"/>
                  </w:tcBorders>
                  <w:noWrap w:val="0"/>
                  <w:vAlign w:val="center"/>
                </w:tcPr>
                <w:p w14:paraId="1D7F5A1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建设地点</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133B8BA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（四川）省</w:t>
                  </w:r>
                </w:p>
              </w:tc>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2370EF6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（遂宁）市</w:t>
                  </w:r>
                </w:p>
              </w:tc>
              <w:tc>
                <w:tcPr>
                  <w:tcW w:w="1262" w:type="dxa"/>
                  <w:gridSpan w:val="2"/>
                  <w:tcBorders>
                    <w:top w:val="single" w:color="auto" w:sz="4" w:space="0"/>
                    <w:left w:val="single" w:color="auto" w:sz="4" w:space="0"/>
                    <w:bottom w:val="single" w:color="auto" w:sz="4" w:space="0"/>
                    <w:right w:val="single" w:color="auto" w:sz="4" w:space="0"/>
                  </w:tcBorders>
                  <w:noWrap w:val="0"/>
                  <w:vAlign w:val="center"/>
                </w:tcPr>
                <w:p w14:paraId="4D1A436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C4C667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蓬溪</w:t>
                  </w:r>
                  <w:r>
                    <w:rPr>
                      <w:rFonts w:hint="default" w:ascii="Times New Roman" w:hAnsi="Times New Roman" w:eastAsia="宋体" w:cs="Times New Roman"/>
                      <w:color w:val="auto"/>
                      <w:sz w:val="21"/>
                      <w:szCs w:val="21"/>
                    </w:rPr>
                    <w:t>）县</w:t>
                  </w: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597F0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蓬南</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镇</w:t>
                  </w:r>
                </w:p>
              </w:tc>
            </w:tr>
            <w:tr w14:paraId="6674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19" w:type="dxa"/>
                  <w:tcBorders>
                    <w:top w:val="single" w:color="auto" w:sz="4" w:space="0"/>
                    <w:left w:val="single" w:color="auto" w:sz="4" w:space="0"/>
                    <w:bottom w:val="single" w:color="auto" w:sz="4" w:space="0"/>
                    <w:right w:val="single" w:color="auto" w:sz="4" w:space="0"/>
                  </w:tcBorders>
                  <w:noWrap w:val="0"/>
                  <w:vAlign w:val="center"/>
                </w:tcPr>
                <w:p w14:paraId="6ACA1B8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2306" w:type="dxa"/>
                  <w:gridSpan w:val="2"/>
                  <w:tcBorders>
                    <w:top w:val="single" w:color="auto" w:sz="4" w:space="0"/>
                    <w:left w:val="single" w:color="auto" w:sz="4" w:space="0"/>
                    <w:bottom w:val="single" w:color="auto" w:sz="4" w:space="0"/>
                    <w:right w:val="single" w:color="auto" w:sz="4" w:space="0"/>
                  </w:tcBorders>
                  <w:noWrap w:val="0"/>
                  <w:vAlign w:val="center"/>
                </w:tcPr>
                <w:p w14:paraId="0E0BAEA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2114" w:type="dxa"/>
                  <w:gridSpan w:val="2"/>
                  <w:tcBorders>
                    <w:top w:val="single" w:color="auto" w:sz="4" w:space="0"/>
                    <w:left w:val="single" w:color="auto" w:sz="4" w:space="0"/>
                    <w:bottom w:val="single" w:color="auto" w:sz="4" w:space="0"/>
                    <w:right w:val="single" w:color="auto" w:sz="4" w:space="0"/>
                  </w:tcBorders>
                  <w:noWrap w:val="0"/>
                  <w:vAlign w:val="center"/>
                </w:tcPr>
                <w:p w14:paraId="0179495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东经105.8547°</w:t>
                  </w:r>
                </w:p>
              </w:tc>
              <w:tc>
                <w:tcPr>
                  <w:tcW w:w="1386" w:type="dxa"/>
                  <w:gridSpan w:val="2"/>
                  <w:tcBorders>
                    <w:top w:val="single" w:color="auto" w:sz="4" w:space="0"/>
                    <w:left w:val="single" w:color="auto" w:sz="4" w:space="0"/>
                    <w:bottom w:val="single" w:color="auto" w:sz="4" w:space="0"/>
                    <w:right w:val="single" w:color="auto" w:sz="4" w:space="0"/>
                  </w:tcBorders>
                  <w:noWrap w:val="0"/>
                  <w:vAlign w:val="center"/>
                </w:tcPr>
                <w:p w14:paraId="341C410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2213" w:type="dxa"/>
                  <w:tcBorders>
                    <w:top w:val="single" w:color="auto" w:sz="4" w:space="0"/>
                    <w:left w:val="single" w:color="auto" w:sz="4" w:space="0"/>
                    <w:bottom w:val="single" w:color="auto" w:sz="4" w:space="0"/>
                    <w:right w:val="single" w:color="auto" w:sz="4" w:space="0"/>
                  </w:tcBorders>
                  <w:noWrap w:val="0"/>
                  <w:vAlign w:val="center"/>
                </w:tcPr>
                <w:p w14:paraId="537211C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北纬 30.421</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p>
              </w:tc>
            </w:tr>
            <w:tr w14:paraId="43F7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19" w:type="dxa"/>
                  <w:tcBorders>
                    <w:top w:val="single" w:color="auto" w:sz="4" w:space="0"/>
                    <w:left w:val="single" w:color="auto" w:sz="4" w:space="0"/>
                    <w:bottom w:val="single" w:color="auto" w:sz="4" w:space="0"/>
                    <w:right w:val="single" w:color="auto" w:sz="4" w:space="0"/>
                  </w:tcBorders>
                  <w:noWrap w:val="0"/>
                  <w:vAlign w:val="center"/>
                </w:tcPr>
                <w:p w14:paraId="062CB88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主要危险物质及分布</w:t>
                  </w:r>
                </w:p>
              </w:tc>
              <w:tc>
                <w:tcPr>
                  <w:tcW w:w="8019" w:type="dxa"/>
                  <w:gridSpan w:val="7"/>
                  <w:tcBorders>
                    <w:top w:val="single" w:color="auto" w:sz="4" w:space="0"/>
                    <w:left w:val="single" w:color="auto" w:sz="4" w:space="0"/>
                    <w:bottom w:val="single" w:color="auto" w:sz="4" w:space="0"/>
                    <w:right w:val="single" w:color="auto" w:sz="4" w:space="0"/>
                  </w:tcBorders>
                  <w:noWrap w:val="0"/>
                  <w:vAlign w:val="center"/>
                </w:tcPr>
                <w:p w14:paraId="2A370E15">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036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19" w:type="dxa"/>
                  <w:tcBorders>
                    <w:top w:val="single" w:color="auto" w:sz="4" w:space="0"/>
                    <w:left w:val="single" w:color="auto" w:sz="4" w:space="0"/>
                    <w:bottom w:val="single" w:color="auto" w:sz="4" w:space="0"/>
                    <w:right w:val="single" w:color="auto" w:sz="4" w:space="0"/>
                  </w:tcBorders>
                  <w:noWrap w:val="0"/>
                  <w:vAlign w:val="center"/>
                </w:tcPr>
                <w:p w14:paraId="6C89095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环境影响途径及危害后果（大气、地表水、地下水等）</w:t>
                  </w:r>
                </w:p>
              </w:tc>
              <w:tc>
                <w:tcPr>
                  <w:tcW w:w="8019" w:type="dxa"/>
                  <w:gridSpan w:val="7"/>
                  <w:tcBorders>
                    <w:top w:val="single" w:color="auto" w:sz="4" w:space="0"/>
                    <w:left w:val="single" w:color="auto" w:sz="4" w:space="0"/>
                    <w:bottom w:val="single" w:color="auto" w:sz="4" w:space="0"/>
                    <w:right w:val="single" w:color="auto" w:sz="4" w:space="0"/>
                  </w:tcBorders>
                  <w:noWrap w:val="0"/>
                  <w:vAlign w:val="center"/>
                </w:tcPr>
                <w:p w14:paraId="0C9126F8">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A、大气环境：</w:t>
                  </w:r>
                </w:p>
                <w:p w14:paraId="0267FF0C">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项目火灾爆炸产生燃烧、爆炸废气，主要为粉尘、烟尘、SO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及其他有毒有害气体，将对周围大气环境产生严重污染。</w:t>
                  </w:r>
                </w:p>
                <w:p w14:paraId="000102A4">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B、地表水：</w:t>
                  </w:r>
                </w:p>
                <w:p w14:paraId="243756BF">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项目发生火灾后，产生消防废水，含大量</w:t>
                  </w:r>
                  <w:r>
                    <w:rPr>
                      <w:rFonts w:hint="default" w:ascii="Times New Roman" w:hAnsi="Times New Roman" w:eastAsia="宋体" w:cs="Times New Roman"/>
                      <w:color w:val="auto"/>
                      <w:sz w:val="21"/>
                      <w:szCs w:val="21"/>
                      <w:lang w:eastAsia="zh-CN"/>
                    </w:rPr>
                    <w:t>石油</w:t>
                  </w:r>
                  <w:r>
                    <w:rPr>
                      <w:rFonts w:hint="default" w:ascii="Times New Roman" w:hAnsi="Times New Roman" w:eastAsia="宋体" w:cs="Times New Roman"/>
                      <w:color w:val="auto"/>
                      <w:sz w:val="21"/>
                      <w:szCs w:val="21"/>
                    </w:rPr>
                    <w:t>类物质，若进入雨水管网直接排放进入</w:t>
                  </w:r>
                  <w:r>
                    <w:rPr>
                      <w:rFonts w:hint="default" w:ascii="Times New Roman" w:hAnsi="Times New Roman" w:eastAsia="宋体" w:cs="Times New Roman"/>
                      <w:color w:val="auto"/>
                      <w:sz w:val="21"/>
                      <w:szCs w:val="21"/>
                      <w:lang w:eastAsia="zh-CN"/>
                    </w:rPr>
                    <w:t>涪江</w:t>
                  </w:r>
                  <w:r>
                    <w:rPr>
                      <w:rFonts w:hint="default" w:ascii="Times New Roman" w:hAnsi="Times New Roman" w:eastAsia="宋体" w:cs="Times New Roman"/>
                      <w:color w:val="auto"/>
                      <w:sz w:val="21"/>
                      <w:szCs w:val="21"/>
                    </w:rPr>
                    <w:t>，将对</w:t>
                  </w:r>
                  <w:r>
                    <w:rPr>
                      <w:rFonts w:hint="default" w:ascii="Times New Roman" w:hAnsi="Times New Roman" w:eastAsia="宋体" w:cs="Times New Roman"/>
                      <w:color w:val="auto"/>
                      <w:sz w:val="21"/>
                      <w:szCs w:val="21"/>
                      <w:lang w:eastAsia="zh-CN"/>
                    </w:rPr>
                    <w:t>涪江</w:t>
                  </w:r>
                  <w:r>
                    <w:rPr>
                      <w:rFonts w:hint="default" w:ascii="Times New Roman" w:hAnsi="Times New Roman" w:eastAsia="宋体" w:cs="Times New Roman"/>
                      <w:color w:val="auto"/>
                      <w:sz w:val="21"/>
                      <w:szCs w:val="21"/>
                    </w:rPr>
                    <w:t>产生毒害作用。若超标排放进入污水管网，将对下游污水处理厂产生影响。</w:t>
                  </w:r>
                </w:p>
              </w:tc>
            </w:tr>
            <w:tr w14:paraId="2DF9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19" w:type="dxa"/>
                  <w:tcBorders>
                    <w:top w:val="single" w:color="auto" w:sz="4" w:space="0"/>
                    <w:left w:val="single" w:color="auto" w:sz="4" w:space="0"/>
                    <w:bottom w:val="single" w:color="auto" w:sz="4" w:space="0"/>
                    <w:right w:val="single" w:color="auto" w:sz="4" w:space="0"/>
                  </w:tcBorders>
                  <w:noWrap w:val="0"/>
                  <w:vAlign w:val="center"/>
                </w:tcPr>
                <w:p w14:paraId="43DE6682">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环境影响途径及危害后果（大气、地表水、地下水等）</w:t>
                  </w:r>
                </w:p>
              </w:tc>
              <w:tc>
                <w:tcPr>
                  <w:tcW w:w="8019" w:type="dxa"/>
                  <w:gridSpan w:val="7"/>
                  <w:tcBorders>
                    <w:top w:val="single" w:color="auto" w:sz="4" w:space="0"/>
                    <w:left w:val="single" w:color="auto" w:sz="4" w:space="0"/>
                    <w:bottom w:val="single" w:color="auto" w:sz="4" w:space="0"/>
                    <w:right w:val="single" w:color="auto" w:sz="4" w:space="0"/>
                  </w:tcBorders>
                  <w:noWrap w:val="0"/>
                  <w:vAlign w:val="center"/>
                </w:tcPr>
                <w:p w14:paraId="4B65C2E4">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C、地下水：</w:t>
                  </w:r>
                </w:p>
                <w:p w14:paraId="3203CF99">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化粪池、沉淀池出现破损</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废水未经处理</w:t>
                  </w:r>
                  <w:r>
                    <w:rPr>
                      <w:rFonts w:hint="default" w:ascii="Times New Roman" w:hAnsi="Times New Roman" w:eastAsia="宋体" w:cs="Times New Roman"/>
                      <w:color w:val="auto"/>
                      <w:sz w:val="21"/>
                      <w:szCs w:val="21"/>
                    </w:rPr>
                    <w:t>通过地面下渗将对区域地下水产生污染。</w:t>
                  </w:r>
                </w:p>
              </w:tc>
            </w:tr>
            <w:tr w14:paraId="6CAF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1619" w:type="dxa"/>
                  <w:tcBorders>
                    <w:top w:val="single" w:color="auto" w:sz="4" w:space="0"/>
                    <w:left w:val="single" w:color="auto" w:sz="4" w:space="0"/>
                    <w:right w:val="single" w:color="auto" w:sz="4" w:space="0"/>
                  </w:tcBorders>
                  <w:noWrap w:val="0"/>
                  <w:vAlign w:val="center"/>
                </w:tcPr>
                <w:p w14:paraId="0EF839B7">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风险防范措施要求</w:t>
                  </w:r>
                </w:p>
              </w:tc>
              <w:tc>
                <w:tcPr>
                  <w:tcW w:w="8019" w:type="dxa"/>
                  <w:gridSpan w:val="7"/>
                  <w:tcBorders>
                    <w:top w:val="single" w:color="auto" w:sz="4" w:space="0"/>
                    <w:left w:val="single" w:color="auto" w:sz="4" w:space="0"/>
                    <w:bottom w:val="single" w:color="auto" w:sz="4" w:space="0"/>
                    <w:right w:val="single" w:color="auto" w:sz="4" w:space="0"/>
                  </w:tcBorders>
                  <w:noWrap w:val="0"/>
                  <w:vAlign w:val="center"/>
                </w:tcPr>
                <w:p w14:paraId="6FE210FF">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具体见“环境风险防范措施及应急要求”</w:t>
                  </w:r>
                </w:p>
              </w:tc>
            </w:tr>
            <w:tr w14:paraId="56A9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638" w:type="dxa"/>
                  <w:gridSpan w:val="8"/>
                  <w:tcBorders>
                    <w:top w:val="single" w:color="auto" w:sz="4" w:space="0"/>
                    <w:left w:val="single" w:color="auto" w:sz="4" w:space="0"/>
                    <w:bottom w:val="single" w:color="auto" w:sz="4" w:space="0"/>
                    <w:right w:val="single" w:color="auto" w:sz="4" w:space="0"/>
                  </w:tcBorders>
                  <w:noWrap w:val="0"/>
                  <w:vAlign w:val="center"/>
                </w:tcPr>
                <w:p w14:paraId="22AB2AD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填表说明（列出项目相关信息及评价说明）：</w:t>
                  </w:r>
                  <w:r>
                    <w:rPr>
                      <w:rFonts w:hint="default" w:ascii="Times New Roman" w:hAnsi="Times New Roman" w:eastAsia="宋体" w:cs="Times New Roman"/>
                      <w:color w:val="auto"/>
                      <w:sz w:val="21"/>
                      <w:szCs w:val="21"/>
                    </w:rPr>
                    <w:t>无</w:t>
                  </w:r>
                </w:p>
              </w:tc>
            </w:tr>
          </w:tbl>
          <w:p w14:paraId="0CAA32AA">
            <w:pPr>
              <w:spacing w:line="360" w:lineRule="auto"/>
              <w:outlineLvl w:val="0"/>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rPr>
              <w:t>四、清洁生产</w:t>
            </w:r>
          </w:p>
          <w:p w14:paraId="6ECD78C7">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清洁生产作为21世纪工业发展模式，对企业提出了更高要求、更具体的要求,从生产原辅材料选取和利用，生产工艺设备，生产路线和产品的选取到每个生产环节以及能耗物料的综合利用等贯穿始终。清洁生产就是指将污染物消除或消解在生产过程中，使生产末端处于无废或少废状态的一种全新生产工艺路线。清洁生产是将产品生产和污染治理有机结合起来取得资源、能源配置利用的最大效率和环境成本的最小量化，是深化工业污染防治、实现可持续发展的根本途径。</w:t>
            </w:r>
          </w:p>
          <w:p w14:paraId="7EA86F89">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根据行业的实际情况，从以下几个方面对清洁生产水平进行评价：</w:t>
            </w:r>
          </w:p>
          <w:p w14:paraId="0C0870FC">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（1）原材料及能源</w:t>
            </w:r>
          </w:p>
          <w:p w14:paraId="394D320F">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本项目生产所需原料均满足相关国标。项目生产过程中使用清洁能源电作为能源。</w:t>
            </w:r>
          </w:p>
          <w:p w14:paraId="64194A61">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 生产工艺及产品</w:t>
            </w:r>
          </w:p>
          <w:p w14:paraId="300F2781">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根据国家发展和改革委员会《产业结构调整指导目录（20</w:t>
            </w:r>
            <w:r>
              <w:rPr>
                <w:rFonts w:hint="eastAsia" w:cs="Times New Roman"/>
                <w:bCs/>
                <w:color w:val="auto"/>
                <w:sz w:val="24"/>
                <w:lang w:val="en-US" w:eastAsia="zh-CN"/>
              </w:rPr>
              <w:t>19</w:t>
            </w:r>
            <w:r>
              <w:rPr>
                <w:rFonts w:hint="default" w:ascii="Times New Roman" w:hAnsi="Times New Roman" w:eastAsia="宋体" w:cs="Times New Roman"/>
                <w:bCs/>
                <w:color w:val="auto"/>
                <w:sz w:val="24"/>
              </w:rPr>
              <w:t>年本）》，项目生产不采用其中的落后工艺和设备，其生产内容不属于该目录中的限制类和淘汰类，符合国家现行产业政策。</w:t>
            </w:r>
          </w:p>
          <w:p w14:paraId="22A0927E">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（3）资源能源利用指标</w:t>
            </w:r>
          </w:p>
          <w:p w14:paraId="6139C3FD">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本项目采用电作为能源使用，从源头上削减了大气污染物排放量。</w:t>
            </w:r>
          </w:p>
          <w:p w14:paraId="17FA4392">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（4）废物的综合利用</w:t>
            </w:r>
          </w:p>
          <w:p w14:paraId="1F577261">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项目生产过程</w:t>
            </w:r>
            <w:r>
              <w:rPr>
                <w:rFonts w:hint="default" w:ascii="Times New Roman" w:hAnsi="Times New Roman" w:cs="Times New Roman"/>
                <w:bCs/>
                <w:color w:val="auto"/>
                <w:sz w:val="24"/>
                <w:lang w:val="en-US" w:eastAsia="zh-CN"/>
              </w:rPr>
              <w:t>不产生废料，沉淀池沉渣和收集的粉尘均可以作为石粉产品外售</w:t>
            </w:r>
            <w:r>
              <w:rPr>
                <w:rFonts w:hint="default" w:ascii="Times New Roman" w:hAnsi="Times New Roman" w:eastAsia="宋体" w:cs="Times New Roman"/>
                <w:bCs/>
                <w:color w:val="auto"/>
                <w:sz w:val="24"/>
              </w:rPr>
              <w:t>。</w:t>
            </w:r>
          </w:p>
          <w:p w14:paraId="71C08903">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（5）污染物治理和排放</w:t>
            </w:r>
          </w:p>
          <w:p w14:paraId="7AD489ED">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项目运行期间通过采取本评价所提出的措施后，其废气、废水、噪声、固体废弃物处理措施有效可行，均能实现达标排放；固废处置措施合理，不会对环境造成二次污染。经类比分析目前国内同类</w:t>
            </w:r>
            <w:r>
              <w:rPr>
                <w:rFonts w:hint="eastAsia" w:cs="Times New Roman"/>
                <w:bCs/>
                <w:color w:val="auto"/>
                <w:sz w:val="24"/>
                <w:lang w:val="en-US" w:eastAsia="zh-CN"/>
              </w:rPr>
              <w:t>栓结构构件和</w:t>
            </w:r>
            <w:r>
              <w:rPr>
                <w:rFonts w:hint="default" w:ascii="Times New Roman" w:hAnsi="Times New Roman" w:eastAsia="宋体" w:cs="Times New Roman"/>
                <w:bCs/>
                <w:color w:val="auto"/>
                <w:sz w:val="24"/>
              </w:rPr>
              <w:t>金属制品加工企业情况可知，本项目清洁生产水平可达到国内先进水平，符合清洁生产要求。</w:t>
            </w:r>
          </w:p>
          <w:p w14:paraId="32A69BC9">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（6）清洁生产评价结论</w:t>
            </w:r>
          </w:p>
          <w:p w14:paraId="74977A81">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通过在内部管理、生产工艺和设备选择、原辅材料选用和管理、废品回收利用、污染治理等几方面采取合理可行的清洁生产措施，有效地控制污染，公司采取的清洁生产方案和措施，可大大降低能耗、物耗、水耗，减少污染物排放，降低产品的生产成本。综合以上分析，</w:t>
            </w:r>
          </w:p>
          <w:p w14:paraId="44945873">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评价认为，该项目生产工艺水平已超过国内同行业的平均水平，满足清洁生产要求。</w:t>
            </w:r>
          </w:p>
          <w:p w14:paraId="0F1BB358">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清洁生产建议：</w:t>
            </w:r>
          </w:p>
          <w:p w14:paraId="567013C6">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①选用能耗较低的设备，降低单位产品能耗；</w:t>
            </w:r>
          </w:p>
          <w:p w14:paraId="206691CD">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②合理安排检修，减少设备闲置时间，提高设备利用率；</w:t>
            </w:r>
          </w:p>
          <w:p w14:paraId="22B588AF">
            <w:pPr>
              <w:tabs>
                <w:tab w:val="left" w:pos="7290"/>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③在场区内多植树以降低噪声的影响同时美化环境。</w:t>
            </w:r>
          </w:p>
          <w:p w14:paraId="488D096E">
            <w:pPr>
              <w:pStyle w:val="2"/>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lang w:eastAsia="zh-CN"/>
              </w:rPr>
              <w:t>五</w:t>
            </w:r>
            <w:r>
              <w:rPr>
                <w:rFonts w:hint="default" w:ascii="Times New Roman" w:hAnsi="Times New Roman" w:eastAsia="宋体" w:cs="Times New Roman"/>
                <w:b/>
                <w:bCs/>
                <w:color w:val="auto"/>
                <w:sz w:val="28"/>
                <w:szCs w:val="28"/>
              </w:rPr>
              <w:t>、环境管理与环境监测</w:t>
            </w:r>
          </w:p>
          <w:p w14:paraId="72896291">
            <w:pPr>
              <w:widowControl/>
              <w:adjustRightInd w:val="0"/>
              <w:snapToGrid w:val="0"/>
              <w:spacing w:line="360" w:lineRule="auto"/>
              <w:ind w:firstLine="470" w:firstLineChars="19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1、环境管理的目的</w:t>
            </w:r>
          </w:p>
          <w:p w14:paraId="50BB4055">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理是按照国家、省和市有关环境保护法规，进行环境管理，接受地方主管环保部门的监督，制定环保规划和目标，环境管理是环境保护工作的重要内容之一，也是企业管理的重要组成部分，利用行政、经济、技术、法律、教育等手段，对企业生产、经营发展、环境保护的关系进行协调，以达到环境效益、经济效益与社会效益相统一，实现可持续发展目标。</w:t>
            </w:r>
          </w:p>
          <w:p w14:paraId="4E16D2A8">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践证明：大量的环境问题是由于缺乏对环境的企业管理造成的，如果没有健全的环境管理制度，很难保证建设项目不对环境造成污染，所以本环评要求建设单位要建立完善的环境管理和监控体系，将其列入企业的议事日程，对生产过程中产生的或可能发生的环境问题进行深入细致的研究，制定合理的污染治理方案，使环保措施落到实处并真正发挥效用，将环境风险降到最低，达到环境保护的目的。</w:t>
            </w:r>
          </w:p>
          <w:p w14:paraId="2EEEF77F">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项目环境管理主要有环境监理、环境监测及竣工环境保护验收几个方面。</w:t>
            </w:r>
          </w:p>
          <w:p w14:paraId="2862B324">
            <w:pPr>
              <w:adjustRightInd w:val="0"/>
              <w:snapToGrid w:val="0"/>
              <w:spacing w:line="360" w:lineRule="auto"/>
              <w:ind w:firstLine="590" w:firstLineChars="245"/>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2、环境管理工作内容</w:t>
            </w:r>
          </w:p>
          <w:p w14:paraId="1141A505">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会对临近环境产生一定的影响，必须通过环境措施来减缓和消除不利的环境影响。为了保证环保措施的切实落实，使项目的社会、经济和环境效益得以协调发展，必须加强环境管理，使项目建设符合国家经济建设、社会发展和环境建设同时设计、同时施工、同时投产的方针。根据《中华人民共和国环境保护法》，建设单位必须把环境保护工作纳入计划，建立环境保护责任制度，采取有效措施，防治或减轻生产活动中产生的污染危害及对生态环境造成的破坏。</w:t>
            </w:r>
          </w:p>
          <w:p w14:paraId="3605CFD0">
            <w:pPr>
              <w:adjustRightInd w:val="0"/>
              <w:snapToGrid w:val="0"/>
              <w:spacing w:line="360" w:lineRule="auto"/>
              <w:ind w:firstLine="590" w:firstLineChars="245"/>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3、管理工作内容</w:t>
            </w:r>
          </w:p>
          <w:p w14:paraId="4A3ECF08">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（1）根据《中华人民共和国环境保护法》、《中华人民共和国固体废物污染</w:t>
            </w:r>
            <w:r>
              <w:rPr>
                <w:rFonts w:hint="eastAsia" w:cs="Times New Roman"/>
                <w:color w:val="auto"/>
                <w:sz w:val="24"/>
                <w:szCs w:val="24"/>
                <w:lang w:val="en-US" w:eastAsia="zh-CN"/>
              </w:rPr>
              <w:t>环境</w:t>
            </w:r>
            <w:r>
              <w:rPr>
                <w:rFonts w:hint="default" w:ascii="Times New Roman" w:hAnsi="Times New Roman" w:eastAsia="宋体" w:cs="Times New Roman"/>
                <w:color w:val="auto"/>
                <w:sz w:val="24"/>
                <w:szCs w:val="24"/>
              </w:rPr>
              <w:t>防治法》、《地表水环境质量标准》（GB3838-2002）、《污水综合排放标准》（GB8978-1996）、《环境空气质量标准》（GB3095-2012）、《大气污染物综合排放标准》（GB16297-1996）等，对本工程的环境保护工作进行全面的监督及管理。</w:t>
            </w:r>
          </w:p>
          <w:p w14:paraId="0E2A8CB5">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（2）对治理污染物的各种处理设备的正常工作状态进行监督管理，对项目区域的自然和生态环境进行保护。</w:t>
            </w:r>
          </w:p>
          <w:p w14:paraId="7D84E2D0">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（3）对工程产生的污染物及处置情况进行监督、管理。</w:t>
            </w:r>
          </w:p>
          <w:p w14:paraId="03301A48">
            <w:pPr>
              <w:adjustRightInd w:val="0"/>
              <w:snapToGrid w:val="0"/>
              <w:spacing w:line="360" w:lineRule="auto"/>
              <w:ind w:firstLine="472" w:firstLineChars="196"/>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4、管理机构及职责</w:t>
            </w:r>
          </w:p>
          <w:p w14:paraId="7B56785A">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地方环保部门：接受</w:t>
            </w:r>
            <w:r>
              <w:rPr>
                <w:rFonts w:hint="eastAsia" w:cs="Times New Roman"/>
                <w:color w:val="auto"/>
                <w:sz w:val="24"/>
                <w:szCs w:val="24"/>
                <w:lang w:val="en-US" w:eastAsia="zh-CN"/>
              </w:rPr>
              <w:t>蓬溪县</w:t>
            </w:r>
            <w:r>
              <w:rPr>
                <w:rFonts w:hint="default" w:ascii="Times New Roman" w:hAnsi="Times New Roman" w:eastAsia="宋体" w:cs="Times New Roman"/>
                <w:color w:val="auto"/>
                <w:sz w:val="24"/>
                <w:szCs w:val="24"/>
              </w:rPr>
              <w:t>生态环境局、</w:t>
            </w:r>
            <w:r>
              <w:rPr>
                <w:rFonts w:hint="eastAsia" w:ascii="Times New Roman" w:hAnsi="Times New Roman" w:eastAsia="宋体" w:cs="Times New Roman"/>
                <w:color w:val="auto"/>
                <w:sz w:val="24"/>
                <w:szCs w:val="24"/>
                <w:lang w:val="en-US" w:eastAsia="zh-CN"/>
              </w:rPr>
              <w:t>遂宁</w:t>
            </w:r>
            <w:r>
              <w:rPr>
                <w:rFonts w:hint="default" w:ascii="Times New Roman" w:hAnsi="Times New Roman" w:eastAsia="宋体" w:cs="Times New Roman"/>
                <w:color w:val="auto"/>
                <w:sz w:val="24"/>
                <w:szCs w:val="24"/>
              </w:rPr>
              <w:t>市生态环境局以及四川省生态环境厅的工作指导，监督建设单位执行有关环保法规标准，协调各部门之间的环境保护工作；负责环境保护的施工检查和监督工作，检查和监督环保设施的运行情况；指导地方环境监测单位对项目区域内进行定期环境监督和排污监测，监督建设单位实施环保工作计划，负责向</w:t>
            </w:r>
            <w:r>
              <w:rPr>
                <w:rFonts w:hint="eastAsia" w:ascii="Times New Roman" w:hAnsi="Times New Roman" w:eastAsia="宋体" w:cs="Times New Roman"/>
                <w:color w:val="auto"/>
                <w:sz w:val="24"/>
                <w:szCs w:val="24"/>
                <w:lang w:val="en-US" w:eastAsia="zh-CN"/>
              </w:rPr>
              <w:t>船山区</w:t>
            </w:r>
            <w:r>
              <w:rPr>
                <w:rFonts w:hint="default" w:ascii="Times New Roman" w:hAnsi="Times New Roman" w:eastAsia="宋体" w:cs="Times New Roman"/>
                <w:color w:val="auto"/>
                <w:sz w:val="24"/>
                <w:szCs w:val="24"/>
              </w:rPr>
              <w:t>生态环境局报告项目的环境保护工作情况。</w:t>
            </w:r>
          </w:p>
          <w:p w14:paraId="117E073B">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接受各级环保机构的监督；执行环保法规、落实环境影响评价、设计与环保工作计划中的各项环保措施；保证环保设施的正常运转，设立环保管理机构和监督机构、人员，对项目排污进行日常监测，建立污染源档案定期报告生态环境局。</w:t>
            </w:r>
          </w:p>
          <w:p w14:paraId="57191E78">
            <w:pPr>
              <w:adjustRightInd w:val="0"/>
              <w:snapToGrid w:val="0"/>
              <w:spacing w:line="360" w:lineRule="auto"/>
              <w:ind w:firstLine="472" w:firstLineChars="196"/>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5、环境管理</w:t>
            </w:r>
          </w:p>
          <w:p w14:paraId="13DD921D">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项目业主应设专人负责营运期环境保护工作，管理人员要经过专业培训合格后才能上岗。管理内容包括：</w:t>
            </w:r>
          </w:p>
          <w:p w14:paraId="2D462549">
            <w:pPr>
              <w:numPr>
                <w:ilvl w:val="0"/>
                <w:numId w:val="4"/>
              </w:num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根据《中华人民共和国环境保护法》、《大气污染物综合排放标准》（GB16297-1996）、《中华人民共和国固体废物污染</w:t>
            </w:r>
            <w:r>
              <w:rPr>
                <w:rFonts w:hint="eastAsia" w:cs="Times New Roman"/>
                <w:color w:val="auto"/>
                <w:sz w:val="24"/>
                <w:szCs w:val="24"/>
                <w:lang w:val="en-US" w:eastAsia="zh-CN"/>
              </w:rPr>
              <w:t>环境</w:t>
            </w:r>
            <w:r>
              <w:rPr>
                <w:rFonts w:hint="default" w:ascii="Times New Roman" w:hAnsi="Times New Roman" w:eastAsia="宋体" w:cs="Times New Roman"/>
                <w:color w:val="auto"/>
                <w:sz w:val="24"/>
                <w:szCs w:val="24"/>
              </w:rPr>
              <w:t>防治法》等，对本工程的环境保护工作进行全面的监督及管理。</w:t>
            </w:r>
          </w:p>
          <w:p w14:paraId="3075AD84">
            <w:pPr>
              <w:numPr>
                <w:ilvl w:val="0"/>
                <w:numId w:val="4"/>
              </w:num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工程运行前，协助环保部门进行“三同时”验收，检查环保设施是否按要求建设。</w:t>
            </w:r>
          </w:p>
          <w:p w14:paraId="0CEA6E8D">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（3）加强环保宣传，设置公益告示栏，尽量提高人们的环境意识，使其主动爱护区域内的一草一木和环境卫生。</w:t>
            </w:r>
          </w:p>
          <w:p w14:paraId="091D6DCE">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做好生产过程中的环保管理。项目内控制大气环境、水环境、声学环境、固体废弃物污染的重要设施，只有这些系统运转正常，才能保证区域内污染物达标排放。环保设施的保养、维修应制度化，确保环保设施正常运行。</w:t>
            </w:r>
          </w:p>
          <w:p w14:paraId="74AAF1D5">
            <w:pPr>
              <w:adjustRightInd w:val="0"/>
              <w:snapToGrid w:val="0"/>
              <w:spacing w:line="360" w:lineRule="auto"/>
              <w:ind w:firstLine="590" w:firstLineChars="245"/>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6、污染源监测计划</w:t>
            </w:r>
          </w:p>
          <w:p w14:paraId="77AF25EB">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（1）项目大气环境、生活生产废水、场界噪声如出现异常情况，应及时请当地环保部门监测，采取控制措施，确保污染物达标排放；</w:t>
            </w:r>
          </w:p>
          <w:p w14:paraId="22BBB451">
            <w:pPr>
              <w:adjustRightInd w:val="0"/>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（2）严格执行“三同时”制度，对项目污染治理设施及周围的生态恢复情况进行环保验收和监测。</w:t>
            </w:r>
          </w:p>
          <w:p w14:paraId="2C61993B">
            <w:pPr>
              <w:adjustRightInd w:val="0"/>
              <w:snapToGrid w:val="0"/>
              <w:spacing w:line="360" w:lineRule="auto"/>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建设项目营运期环境监控主要目的是为了项目建成后的环境监测，防止污染事故发生，为环境管理提供依据。项目运营期建设单位自行委托有监测资质的单位进行建设项目污染源监测，主要包括噪声、废气监测。</w:t>
            </w:r>
          </w:p>
          <w:p w14:paraId="227B4FF6">
            <w:pPr>
              <w:pStyle w:val="13"/>
              <w:adjustRightInd/>
              <w:spacing w:line="240" w:lineRule="auto"/>
              <w:ind w:firstLine="0" w:firstLineChars="0"/>
              <w:jc w:val="center"/>
              <w:rPr>
                <w:rFonts w:hint="default" w:ascii="Times New Roman" w:hAnsi="Times New Roman" w:eastAsia="宋体" w:cs="Times New Roman"/>
                <w:b/>
                <w:color w:val="auto"/>
                <w:sz w:val="21"/>
                <w:szCs w:val="24"/>
              </w:rPr>
            </w:pPr>
            <w:r>
              <w:rPr>
                <w:rFonts w:hint="default" w:ascii="Times New Roman" w:hAnsi="Times New Roman" w:eastAsia="宋体" w:cs="Times New Roman"/>
                <w:b/>
                <w:color w:val="auto"/>
                <w:sz w:val="21"/>
                <w:szCs w:val="24"/>
              </w:rPr>
              <w:t>表7-</w:t>
            </w:r>
            <w:r>
              <w:rPr>
                <w:rFonts w:hint="eastAsia" w:ascii="Times New Roman" w:cs="Times New Roman"/>
                <w:b/>
                <w:color w:val="auto"/>
                <w:sz w:val="21"/>
                <w:szCs w:val="24"/>
                <w:lang w:val="en-US" w:eastAsia="zh-CN"/>
              </w:rPr>
              <w:t>34</w:t>
            </w:r>
            <w:r>
              <w:rPr>
                <w:rFonts w:hint="default" w:ascii="Times New Roman" w:hAnsi="Times New Roman" w:eastAsia="宋体" w:cs="Times New Roman"/>
                <w:b/>
                <w:color w:val="auto"/>
                <w:sz w:val="21"/>
                <w:szCs w:val="24"/>
              </w:rPr>
              <w:t xml:space="preserve">   项目监测计划表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1611"/>
              <w:gridCol w:w="2062"/>
              <w:gridCol w:w="3427"/>
              <w:gridCol w:w="1557"/>
            </w:tblGrid>
            <w:tr w14:paraId="2213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noWrap w:val="0"/>
                  <w:vAlign w:val="center"/>
                </w:tcPr>
                <w:p w14:paraId="1FBAE310">
                  <w:pPr>
                    <w:adjustRightInd w:val="0"/>
                    <w:snapToGrid w:val="0"/>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523" w:type="dxa"/>
                  <w:noWrap w:val="0"/>
                  <w:vAlign w:val="center"/>
                </w:tcPr>
                <w:p w14:paraId="00128F35">
                  <w:pPr>
                    <w:adjustRightInd w:val="0"/>
                    <w:snapToGrid w:val="0"/>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950" w:type="dxa"/>
                  <w:noWrap w:val="0"/>
                  <w:vAlign w:val="center"/>
                </w:tcPr>
                <w:p w14:paraId="57A1DC73">
                  <w:pPr>
                    <w:adjustRightInd w:val="0"/>
                    <w:snapToGrid w:val="0"/>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3240" w:type="dxa"/>
                  <w:noWrap w:val="0"/>
                  <w:vAlign w:val="center"/>
                </w:tcPr>
                <w:p w14:paraId="5A6CAE5C">
                  <w:pPr>
                    <w:adjustRightInd w:val="0"/>
                    <w:snapToGrid w:val="0"/>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472" w:type="dxa"/>
                  <w:noWrap w:val="0"/>
                  <w:vAlign w:val="center"/>
                </w:tcPr>
                <w:p w14:paraId="1CC5A8CC">
                  <w:pPr>
                    <w:adjustRightInd w:val="0"/>
                    <w:snapToGrid w:val="0"/>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监测方法</w:t>
                  </w:r>
                </w:p>
              </w:tc>
            </w:tr>
            <w:tr w14:paraId="7070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3" w:type="dxa"/>
                  <w:noWrap w:val="0"/>
                  <w:vAlign w:val="center"/>
                </w:tcPr>
                <w:p w14:paraId="2D121405">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23" w:type="dxa"/>
                  <w:noWrap w:val="0"/>
                  <w:vAlign w:val="center"/>
                </w:tcPr>
                <w:p w14:paraId="02B2E63B">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w:t>
                  </w:r>
                </w:p>
              </w:tc>
              <w:tc>
                <w:tcPr>
                  <w:tcW w:w="1950" w:type="dxa"/>
                  <w:noWrap w:val="0"/>
                  <w:vAlign w:val="center"/>
                </w:tcPr>
                <w:p w14:paraId="2BF1AF26">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等效声级</w:t>
                  </w:r>
                </w:p>
              </w:tc>
              <w:tc>
                <w:tcPr>
                  <w:tcW w:w="3240" w:type="dxa"/>
                  <w:noWrap w:val="0"/>
                  <w:vAlign w:val="center"/>
                </w:tcPr>
                <w:p w14:paraId="1DD3EBFE">
                  <w:pPr>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每半年监测1次，连续2天，昼夜各1次</w:t>
                  </w:r>
                </w:p>
              </w:tc>
              <w:tc>
                <w:tcPr>
                  <w:tcW w:w="1472" w:type="dxa"/>
                  <w:vMerge w:val="restart"/>
                  <w:noWrap w:val="0"/>
                  <w:vAlign w:val="center"/>
                </w:tcPr>
                <w:p w14:paraId="09B67565">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按国家标准方法进行</w:t>
                  </w:r>
                </w:p>
              </w:tc>
            </w:tr>
            <w:tr w14:paraId="1BD5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3" w:type="dxa"/>
                  <w:vMerge w:val="restart"/>
                  <w:noWrap w:val="0"/>
                  <w:vAlign w:val="center"/>
                </w:tcPr>
                <w:p w14:paraId="55652A70">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523" w:type="dxa"/>
                  <w:noWrap w:val="0"/>
                  <w:vAlign w:val="center"/>
                </w:tcPr>
                <w:p w14:paraId="35E6A965">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厂界（无组织）</w:t>
                  </w:r>
                </w:p>
              </w:tc>
              <w:tc>
                <w:tcPr>
                  <w:tcW w:w="1950" w:type="dxa"/>
                  <w:noWrap w:val="0"/>
                  <w:vAlign w:val="center"/>
                </w:tcPr>
                <w:p w14:paraId="7C22F51D">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240" w:type="dxa"/>
                  <w:noWrap w:val="0"/>
                  <w:vAlign w:val="center"/>
                </w:tcPr>
                <w:p w14:paraId="3A606AF9">
                  <w:pPr>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每半年监测1次，厂界上风向</w:t>
                  </w:r>
                  <w:r>
                    <w:rPr>
                      <w:rFonts w:hint="eastAsia" w:cs="Times New Roman"/>
                      <w:color w:val="auto"/>
                      <w:sz w:val="21"/>
                      <w:szCs w:val="21"/>
                      <w:lang w:val="en-US" w:eastAsia="zh-CN"/>
                    </w:rPr>
                    <w:t>20m1个点</w:t>
                  </w:r>
                  <w:r>
                    <w:rPr>
                      <w:rFonts w:hint="default" w:ascii="Times New Roman" w:hAnsi="Times New Roman" w:eastAsia="宋体" w:cs="Times New Roman"/>
                      <w:color w:val="auto"/>
                      <w:sz w:val="21"/>
                      <w:szCs w:val="21"/>
                    </w:rPr>
                    <w:t>、下风向布设</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个点位，检测2天，每天1次</w:t>
                  </w:r>
                </w:p>
              </w:tc>
              <w:tc>
                <w:tcPr>
                  <w:tcW w:w="1472" w:type="dxa"/>
                  <w:vMerge w:val="continue"/>
                  <w:noWrap w:val="0"/>
                  <w:vAlign w:val="center"/>
                </w:tcPr>
                <w:p w14:paraId="5D73A182">
                  <w:pPr>
                    <w:adjustRightInd w:val="0"/>
                    <w:snapToGrid w:val="0"/>
                    <w:spacing w:line="0" w:lineRule="atLeast"/>
                    <w:jc w:val="center"/>
                    <w:rPr>
                      <w:rFonts w:hint="default" w:ascii="Times New Roman" w:hAnsi="Times New Roman" w:eastAsia="宋体" w:cs="Times New Roman"/>
                      <w:color w:val="auto"/>
                      <w:sz w:val="21"/>
                      <w:szCs w:val="21"/>
                    </w:rPr>
                  </w:pPr>
                </w:p>
              </w:tc>
            </w:tr>
            <w:tr w14:paraId="4BD8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3" w:type="dxa"/>
                  <w:vMerge w:val="continue"/>
                  <w:noWrap w:val="0"/>
                  <w:vAlign w:val="center"/>
                </w:tcPr>
                <w:p w14:paraId="2A680B29">
                  <w:pPr>
                    <w:adjustRightInd w:val="0"/>
                    <w:snapToGrid w:val="0"/>
                    <w:spacing w:line="0" w:lineRule="atLeast"/>
                    <w:jc w:val="center"/>
                    <w:rPr>
                      <w:rFonts w:hint="default" w:ascii="Times New Roman" w:hAnsi="Times New Roman" w:eastAsia="宋体" w:cs="Times New Roman"/>
                      <w:color w:val="auto"/>
                      <w:sz w:val="21"/>
                      <w:szCs w:val="21"/>
                    </w:rPr>
                  </w:pPr>
                </w:p>
              </w:tc>
              <w:tc>
                <w:tcPr>
                  <w:tcW w:w="1523" w:type="dxa"/>
                  <w:noWrap w:val="0"/>
                  <w:vAlign w:val="center"/>
                </w:tcPr>
                <w:p w14:paraId="3557EB92">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15m排气筒（有组织）</w:t>
                  </w:r>
                </w:p>
              </w:tc>
              <w:tc>
                <w:tcPr>
                  <w:tcW w:w="1950" w:type="dxa"/>
                  <w:noWrap w:val="0"/>
                  <w:vAlign w:val="center"/>
                </w:tcPr>
                <w:p w14:paraId="1CF2FA68">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240" w:type="dxa"/>
                  <w:noWrap w:val="0"/>
                  <w:vAlign w:val="center"/>
                </w:tcPr>
                <w:p w14:paraId="3A7A0297">
                  <w:pPr>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每半年监测1次，每个排气筒分别监测布点采样，连续2天，每天1次</w:t>
                  </w:r>
                </w:p>
              </w:tc>
              <w:tc>
                <w:tcPr>
                  <w:tcW w:w="1472" w:type="dxa"/>
                  <w:vMerge w:val="continue"/>
                  <w:noWrap w:val="0"/>
                  <w:vAlign w:val="center"/>
                </w:tcPr>
                <w:p w14:paraId="1E995774">
                  <w:pPr>
                    <w:adjustRightInd w:val="0"/>
                    <w:snapToGrid w:val="0"/>
                    <w:spacing w:line="0" w:lineRule="atLeast"/>
                    <w:jc w:val="center"/>
                    <w:rPr>
                      <w:rFonts w:hint="default" w:ascii="Times New Roman" w:hAnsi="Times New Roman" w:eastAsia="宋体" w:cs="Times New Roman"/>
                      <w:color w:val="auto"/>
                      <w:sz w:val="21"/>
                      <w:szCs w:val="21"/>
                    </w:rPr>
                  </w:pPr>
                </w:p>
              </w:tc>
            </w:tr>
            <w:tr w14:paraId="5A77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noWrap w:val="0"/>
                  <w:vAlign w:val="center"/>
                </w:tcPr>
                <w:p w14:paraId="4378874E">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523" w:type="dxa"/>
                  <w:noWrap w:val="0"/>
                  <w:vAlign w:val="center"/>
                </w:tcPr>
                <w:p w14:paraId="68870DC9">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固废暂存间</w:t>
                  </w:r>
                </w:p>
              </w:tc>
              <w:tc>
                <w:tcPr>
                  <w:tcW w:w="1950" w:type="dxa"/>
                  <w:noWrap w:val="0"/>
                  <w:vAlign w:val="center"/>
                </w:tcPr>
                <w:p w14:paraId="6D6EA189">
                  <w:pPr>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统计种类、排放量、处理方式、去向</w:t>
                  </w:r>
                </w:p>
              </w:tc>
              <w:tc>
                <w:tcPr>
                  <w:tcW w:w="3240" w:type="dxa"/>
                  <w:noWrap w:val="0"/>
                  <w:vAlign w:val="center"/>
                </w:tcPr>
                <w:p w14:paraId="0BC33959">
                  <w:pPr>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每半年统计1次</w:t>
                  </w:r>
                </w:p>
              </w:tc>
              <w:tc>
                <w:tcPr>
                  <w:tcW w:w="1472" w:type="dxa"/>
                  <w:vMerge w:val="continue"/>
                  <w:noWrap w:val="0"/>
                  <w:vAlign w:val="center"/>
                </w:tcPr>
                <w:p w14:paraId="45A8AD99">
                  <w:pPr>
                    <w:adjustRightInd w:val="0"/>
                    <w:snapToGrid w:val="0"/>
                    <w:spacing w:line="0" w:lineRule="atLeast"/>
                    <w:jc w:val="center"/>
                    <w:rPr>
                      <w:rFonts w:hint="default" w:ascii="Times New Roman" w:hAnsi="Times New Roman" w:eastAsia="宋体" w:cs="Times New Roman"/>
                      <w:color w:val="auto"/>
                      <w:sz w:val="21"/>
                      <w:szCs w:val="21"/>
                    </w:rPr>
                  </w:pPr>
                </w:p>
              </w:tc>
            </w:tr>
          </w:tbl>
          <w:p w14:paraId="3B3B3D5B">
            <w:pPr>
              <w:spacing w:line="360" w:lineRule="auto"/>
              <w:outlineLvl w:val="0"/>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lang w:eastAsia="zh-CN"/>
              </w:rPr>
              <w:t>六</w:t>
            </w:r>
            <w:r>
              <w:rPr>
                <w:rFonts w:hint="default" w:ascii="Times New Roman" w:hAnsi="Times New Roman" w:eastAsia="宋体" w:cs="Times New Roman"/>
                <w:b/>
                <w:bCs/>
                <w:color w:val="auto"/>
                <w:sz w:val="28"/>
              </w:rPr>
              <w:t>、总量控制</w:t>
            </w:r>
          </w:p>
          <w:p w14:paraId="0E69CD0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rPr>
              <w:t>根据工程分析，计算出本项目</w:t>
            </w:r>
            <w:r>
              <w:rPr>
                <w:rFonts w:hint="eastAsia" w:ascii="宋体" w:hAnsi="宋体" w:eastAsia="宋体" w:cs="宋体"/>
                <w:color w:val="auto"/>
                <w:kern w:val="0"/>
                <w:sz w:val="24"/>
                <w:lang w:val="en-US" w:eastAsia="zh-CN"/>
              </w:rPr>
              <w:t>建成后</w:t>
            </w:r>
            <w:r>
              <w:rPr>
                <w:rFonts w:hint="eastAsia" w:ascii="宋体" w:hAnsi="宋体" w:eastAsia="宋体" w:cs="宋体"/>
                <w:color w:val="auto"/>
                <w:kern w:val="0"/>
                <w:sz w:val="24"/>
              </w:rPr>
              <w:t>废水污染物年排放总量，提供给环保管理部门，作为制定该公司总量控制指标时的参考：</w:t>
            </w:r>
          </w:p>
          <w:p w14:paraId="5D983474">
            <w:pPr>
              <w:keepNext w:val="0"/>
              <w:keepLines w:val="0"/>
              <w:suppressLineNumbers w:val="0"/>
              <w:autoSpaceDE w:val="0"/>
              <w:autoSpaceDN w:val="0"/>
              <w:adjustRightInd w:val="0"/>
              <w:spacing w:before="0" w:beforeAutospacing="0" w:after="0" w:afterAutospacing="0" w:line="360" w:lineRule="auto"/>
              <w:ind w:left="0" w:right="0" w:firstLine="477" w:firstLineChars="198"/>
              <w:rPr>
                <w:rFonts w:hint="eastAsia" w:ascii="宋体" w:hAnsi="宋体" w:eastAsia="宋体" w:cs="宋体"/>
                <w:color w:val="auto"/>
                <w:kern w:val="0"/>
                <w:sz w:val="24"/>
              </w:rPr>
            </w:pPr>
            <w:r>
              <w:rPr>
                <w:rFonts w:hint="eastAsia" w:ascii="宋体" w:hAnsi="宋体" w:eastAsia="宋体" w:cs="宋体"/>
                <w:b/>
                <w:bCs/>
                <w:color w:val="auto"/>
                <w:kern w:val="0"/>
                <w:sz w:val="24"/>
              </w:rPr>
              <w:t xml:space="preserve">1、废水 </w:t>
            </w:r>
            <w:r>
              <w:rPr>
                <w:rFonts w:hint="eastAsia" w:ascii="宋体" w:hAnsi="宋体" w:eastAsia="宋体" w:cs="宋体"/>
                <w:color w:val="auto"/>
                <w:kern w:val="0"/>
                <w:sz w:val="24"/>
              </w:rPr>
              <w:t xml:space="preserve"> </w:t>
            </w:r>
          </w:p>
          <w:p w14:paraId="7D23C0C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rPr>
              <w:t>根据项目污染物排放特点，</w:t>
            </w:r>
            <w:r>
              <w:rPr>
                <w:rFonts w:hint="default" w:ascii="Times New Roman" w:hAnsi="Times New Roman" w:cs="Times New Roman"/>
                <w:bCs/>
                <w:color w:val="auto"/>
                <w:sz w:val="24"/>
                <w:lang w:val="en-US" w:eastAsia="zh-CN"/>
              </w:rPr>
              <w:t>项目生活污水经化粪池处理后由周边农户清掏用于农肥，</w:t>
            </w:r>
            <w:r>
              <w:rPr>
                <w:rFonts w:hint="eastAsia" w:cs="Times New Roman"/>
                <w:bCs/>
                <w:color w:val="auto"/>
                <w:sz w:val="24"/>
                <w:lang w:val="en-US" w:eastAsia="zh-CN"/>
              </w:rPr>
              <w:t>地面</w:t>
            </w:r>
            <w:r>
              <w:rPr>
                <w:rFonts w:hint="default" w:ascii="Times New Roman" w:hAnsi="Times New Roman" w:cs="Times New Roman"/>
                <w:bCs/>
                <w:color w:val="auto"/>
                <w:sz w:val="24"/>
                <w:lang w:val="en-US" w:eastAsia="zh-CN"/>
              </w:rPr>
              <w:t>冲洗废水经沉淀池沉淀后</w:t>
            </w:r>
            <w:r>
              <w:rPr>
                <w:rFonts w:hint="eastAsia" w:cs="Times New Roman"/>
                <w:bCs/>
                <w:color w:val="auto"/>
                <w:sz w:val="24"/>
                <w:lang w:val="en-US" w:eastAsia="zh-CN"/>
              </w:rPr>
              <w:t>回</w:t>
            </w:r>
            <w:r>
              <w:rPr>
                <w:rFonts w:hint="default" w:ascii="Times New Roman" w:hAnsi="Times New Roman" w:cs="Times New Roman"/>
                <w:bCs/>
                <w:color w:val="auto"/>
                <w:sz w:val="24"/>
                <w:lang w:val="en-US" w:eastAsia="zh-CN"/>
              </w:rPr>
              <w:t>用，不外排</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故不设水污染物总量控制指标。</w:t>
            </w:r>
          </w:p>
          <w:p w14:paraId="4F663811">
            <w:pPr>
              <w:keepNext w:val="0"/>
              <w:keepLines w:val="0"/>
              <w:suppressLineNumbers w:val="0"/>
              <w:autoSpaceDE w:val="0"/>
              <w:autoSpaceDN w:val="0"/>
              <w:adjustRightInd w:val="0"/>
              <w:spacing w:before="0" w:beforeAutospacing="0" w:after="0" w:afterAutospacing="0" w:line="360" w:lineRule="auto"/>
              <w:ind w:left="0" w:right="0" w:firstLine="477" w:firstLineChars="198"/>
              <w:rPr>
                <w:rFonts w:hint="default"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2、废气</w:t>
            </w:r>
          </w:p>
          <w:p w14:paraId="7C3AF132">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default" w:hAnsi="宋体"/>
                <w:color w:val="auto"/>
                <w:kern w:val="0"/>
                <w:sz w:val="24"/>
              </w:rPr>
            </w:pPr>
            <w:r>
              <w:rPr>
                <w:rFonts w:hint="default" w:hAnsi="宋体"/>
                <w:color w:val="auto"/>
                <w:kern w:val="0"/>
                <w:sz w:val="24"/>
              </w:rPr>
              <w:t xml:space="preserve">根据《建设项目主要污染物排放总量指标审核及管理暂行办法》（环发[2014]197 号，简称（《暂行方法》）在污染物排放总量指标审核中明确“火电、钢铁、水泥、造纸、印染行业建设项目所需替代的主要污染物排放总量指标采用绩效方法核定。其他行业依照国家或地方污染物排放标准及单位产品基准排水量（行业最高允许排水量）、烟气量等予以核定。”  </w:t>
            </w:r>
          </w:p>
          <w:p w14:paraId="2A9D06BB">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default" w:hAnsi="宋体"/>
                <w:color w:val="auto"/>
                <w:kern w:val="0"/>
                <w:sz w:val="24"/>
              </w:rPr>
            </w:pPr>
            <w:r>
              <w:rPr>
                <w:rFonts w:hint="default" w:hAnsi="宋体"/>
                <w:color w:val="auto"/>
                <w:kern w:val="0"/>
                <w:sz w:val="24"/>
              </w:rPr>
              <w:t>针对本项目废气排放特点，设置废气总量控制指标为</w:t>
            </w:r>
            <w:r>
              <w:rPr>
                <w:rFonts w:hint="eastAsia" w:hAnsi="宋体"/>
                <w:color w:val="auto"/>
                <w:kern w:val="0"/>
                <w:sz w:val="24"/>
                <w:lang w:val="en-US" w:eastAsia="zh-CN"/>
              </w:rPr>
              <w:t>颗粒物</w:t>
            </w:r>
            <w:r>
              <w:rPr>
                <w:rFonts w:hint="default" w:hAnsi="宋体"/>
                <w:color w:val="auto"/>
                <w:kern w:val="0"/>
                <w:sz w:val="24"/>
              </w:rPr>
              <w:t xml:space="preserve">。根据《暂行方法》）提出总量指标的计算方法，上述废气污染物核算应按照“国家或地方污染物排放标准及单位产品基准排水量（行业最高允许排水量）、烟气量等予以核定”。但是，由于本项目废气中有机废气实际排放量与按照标准核定量差异较大，因此，本项目废气总量指标中 </w:t>
            </w:r>
            <w:r>
              <w:rPr>
                <w:rFonts w:hint="eastAsia" w:hAnsi="宋体"/>
                <w:color w:val="auto"/>
                <w:kern w:val="0"/>
                <w:sz w:val="24"/>
                <w:lang w:val="en-US" w:eastAsia="zh-CN"/>
              </w:rPr>
              <w:t>颗粒物</w:t>
            </w:r>
            <w:r>
              <w:rPr>
                <w:rFonts w:hint="default" w:hAnsi="宋体"/>
                <w:color w:val="auto"/>
                <w:kern w:val="0"/>
                <w:sz w:val="24"/>
              </w:rPr>
              <w:t xml:space="preserve">按实际排放量进行核算。 </w:t>
            </w:r>
          </w:p>
          <w:p w14:paraId="0B357A18">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default" w:hAnsi="宋体"/>
                <w:color w:val="auto"/>
                <w:kern w:val="0"/>
                <w:sz w:val="24"/>
              </w:rPr>
            </w:pPr>
            <w:r>
              <w:rPr>
                <w:rFonts w:hint="default" w:hAnsi="宋体"/>
                <w:color w:val="auto"/>
                <w:kern w:val="0"/>
                <w:sz w:val="24"/>
              </w:rPr>
              <w:t xml:space="preserve">总量核算如下： </w:t>
            </w:r>
          </w:p>
          <w:p w14:paraId="653D3EBB">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eastAsia" w:ascii="Times New Roman" w:hAnsi="宋体" w:cs="Times New Roman"/>
                <w:color w:val="auto"/>
                <w:kern w:val="0"/>
                <w:sz w:val="24"/>
              </w:rPr>
            </w:pPr>
            <w:r>
              <w:rPr>
                <w:rFonts w:hint="eastAsia" w:hAnsi="宋体"/>
                <w:color w:val="auto"/>
                <w:kern w:val="0"/>
                <w:sz w:val="24"/>
                <w:lang w:val="en-US" w:eastAsia="zh-CN"/>
              </w:rPr>
              <w:t>颗粒物</w:t>
            </w:r>
            <w:r>
              <w:rPr>
                <w:rFonts w:hint="default" w:hAnsi="宋体"/>
                <w:color w:val="auto"/>
                <w:kern w:val="0"/>
                <w:sz w:val="24"/>
              </w:rPr>
              <w:t>：</w:t>
            </w:r>
            <w:r>
              <w:rPr>
                <w:rFonts w:hint="eastAsia" w:ascii="Times New Roman" w:hAnsi="宋体" w:cs="Times New Roman"/>
                <w:color w:val="auto"/>
                <w:kern w:val="0"/>
                <w:sz w:val="24"/>
                <w:lang w:val="en-US" w:eastAsia="zh-CN"/>
              </w:rPr>
              <w:t>0.000114</w:t>
            </w:r>
            <w:r>
              <w:rPr>
                <w:rFonts w:hint="default" w:ascii="Times New Roman" w:hAnsi="宋体" w:cs="Times New Roman"/>
                <w:color w:val="auto"/>
                <w:kern w:val="0"/>
                <w:sz w:val="24"/>
              </w:rPr>
              <w:t>t/a</w:t>
            </w:r>
            <w:r>
              <w:rPr>
                <w:rFonts w:hint="eastAsia" w:ascii="Times New Roman" w:hAnsi="宋体" w:cs="Times New Roman"/>
                <w:color w:val="auto"/>
                <w:kern w:val="0"/>
                <w:sz w:val="24"/>
                <w:lang w:val="en-US" w:eastAsia="zh-CN"/>
              </w:rPr>
              <w:t>+0.00912</w:t>
            </w:r>
            <w:r>
              <w:rPr>
                <w:rFonts w:hint="default" w:ascii="Times New Roman" w:hAnsi="宋体" w:cs="Times New Roman"/>
                <w:color w:val="auto"/>
                <w:kern w:val="0"/>
                <w:sz w:val="24"/>
              </w:rPr>
              <w:t>t/a</w:t>
            </w:r>
            <w:r>
              <w:rPr>
                <w:rFonts w:hint="eastAsia" w:ascii="Times New Roman" w:hAnsi="宋体" w:cs="Times New Roman"/>
                <w:color w:val="auto"/>
                <w:kern w:val="0"/>
                <w:sz w:val="24"/>
                <w:lang w:val="en-US" w:eastAsia="zh-CN"/>
              </w:rPr>
              <w:t>+0.00216</w:t>
            </w:r>
            <w:r>
              <w:rPr>
                <w:rFonts w:hint="default" w:ascii="Times New Roman" w:hAnsi="宋体" w:cs="Times New Roman"/>
                <w:color w:val="auto"/>
                <w:kern w:val="0"/>
                <w:sz w:val="24"/>
              </w:rPr>
              <w:t>t/a=</w:t>
            </w:r>
            <w:r>
              <w:rPr>
                <w:rFonts w:hint="eastAsia" w:ascii="Times New Roman" w:hAnsi="宋体" w:cs="Times New Roman"/>
                <w:color w:val="auto"/>
                <w:kern w:val="0"/>
                <w:sz w:val="24"/>
                <w:lang w:val="en-US" w:eastAsia="zh-CN"/>
              </w:rPr>
              <w:t>0.011394</w:t>
            </w:r>
            <w:r>
              <w:rPr>
                <w:rFonts w:hint="default" w:ascii="Times New Roman" w:hAnsi="宋体" w:cs="Times New Roman"/>
                <w:color w:val="auto"/>
                <w:kern w:val="0"/>
                <w:sz w:val="24"/>
              </w:rPr>
              <w:t>t/a</w:t>
            </w:r>
          </w:p>
          <w:p w14:paraId="308C99C2">
            <w:pPr>
              <w:keepNext w:val="0"/>
              <w:keepLines w:val="0"/>
              <w:suppressLineNumbers w:val="0"/>
              <w:autoSpaceDE w:val="0"/>
              <w:autoSpaceDN w:val="0"/>
              <w:adjustRightInd w:val="0"/>
              <w:spacing w:before="0" w:beforeAutospacing="0" w:after="0" w:afterAutospacing="0" w:line="360" w:lineRule="auto"/>
              <w:ind w:left="0" w:right="0" w:firstLine="477" w:firstLineChars="198"/>
              <w:rPr>
                <w:rFonts w:hint="default" w:hAnsi="宋体"/>
                <w:b/>
                <w:bCs/>
                <w:color w:val="auto"/>
                <w:kern w:val="0"/>
                <w:sz w:val="24"/>
              </w:rPr>
            </w:pPr>
            <w:r>
              <w:rPr>
                <w:rFonts w:hint="eastAsia" w:ascii="宋体" w:hAnsi="宋体" w:eastAsia="宋体" w:cs="宋体"/>
                <w:b/>
                <w:bCs/>
                <w:color w:val="auto"/>
                <w:kern w:val="0"/>
                <w:sz w:val="24"/>
                <w:lang w:val="en-US" w:eastAsia="zh-CN"/>
              </w:rPr>
              <w:t>3</w:t>
            </w:r>
            <w:r>
              <w:rPr>
                <w:rFonts w:hint="eastAsia" w:ascii="宋体" w:hAnsi="宋体" w:eastAsia="宋体" w:cs="宋体"/>
                <w:b/>
                <w:bCs/>
                <w:color w:val="auto"/>
                <w:kern w:val="0"/>
                <w:sz w:val="24"/>
              </w:rPr>
              <w:t>、</w:t>
            </w:r>
            <w:r>
              <w:rPr>
                <w:rFonts w:hint="default" w:hAnsi="宋体"/>
                <w:b/>
                <w:bCs/>
                <w:color w:val="auto"/>
                <w:kern w:val="0"/>
                <w:sz w:val="24"/>
              </w:rPr>
              <w:t xml:space="preserve">项目总量控制指标汇总 </w:t>
            </w:r>
          </w:p>
          <w:p w14:paraId="673D539C">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eastAsia" w:ascii="宋体" w:hAnsi="宋体" w:eastAsia="宋体" w:cs="宋体"/>
                <w:color w:val="auto"/>
                <w:kern w:val="0"/>
                <w:sz w:val="24"/>
              </w:rPr>
            </w:pPr>
            <w:r>
              <w:rPr>
                <w:rFonts w:hint="default" w:hAnsi="宋体"/>
                <w:color w:val="auto"/>
                <w:kern w:val="0"/>
                <w:sz w:val="24"/>
              </w:rPr>
              <w:t>本项目废气污染物总量控制指标汇总如下</w:t>
            </w:r>
            <w:r>
              <w:rPr>
                <w:rFonts w:hint="eastAsia" w:ascii="宋体" w:hAnsi="宋体" w:eastAsia="宋体" w:cs="宋体"/>
                <w:color w:val="auto"/>
                <w:kern w:val="0"/>
                <w:sz w:val="24"/>
              </w:rPr>
              <w:t xml:space="preserve">： </w:t>
            </w:r>
          </w:p>
          <w:p w14:paraId="50F3E3B3">
            <w:pPr>
              <w:pStyle w:val="2"/>
              <w:keepNext w:val="0"/>
              <w:keepLines w:val="0"/>
              <w:suppressLineNumbers w:val="0"/>
              <w:spacing w:before="0" w:beforeAutospacing="0" w:after="0" w:afterAutospacing="0" w:line="360" w:lineRule="auto"/>
              <w:ind w:left="0" w:right="0" w:firstLine="422" w:firstLineChars="200"/>
              <w:jc w:val="center"/>
              <w:rPr>
                <w:rFonts w:hint="eastAsia" w:hAnsi="Times New Roman"/>
                <w:b/>
                <w:bCs/>
                <w:sz w:val="21"/>
                <w:szCs w:val="21"/>
                <w:lang w:val="fr-FR"/>
              </w:rPr>
            </w:pPr>
            <w:r>
              <w:rPr>
                <w:rFonts w:hint="eastAsia" w:hAnsi="Times New Roman"/>
                <w:b/>
                <w:bCs/>
                <w:sz w:val="21"/>
                <w:szCs w:val="21"/>
                <w:lang w:val="fr-FR"/>
              </w:rPr>
              <w:t>表7-</w:t>
            </w:r>
            <w:r>
              <w:rPr>
                <w:rFonts w:hint="eastAsia"/>
                <w:b/>
                <w:bCs/>
                <w:sz w:val="21"/>
                <w:szCs w:val="21"/>
                <w:lang w:val="en-US" w:eastAsia="zh-CN"/>
              </w:rPr>
              <w:t>35</w:t>
            </w:r>
            <w:r>
              <w:rPr>
                <w:rFonts w:hint="eastAsia" w:hAnsi="Times New Roman"/>
                <w:b/>
                <w:bCs/>
                <w:sz w:val="21"/>
                <w:szCs w:val="21"/>
                <w:lang w:val="fr-FR"/>
              </w:rPr>
              <w:t xml:space="preserve">  总量控制指标一览表</w:t>
            </w:r>
          </w:p>
          <w:tbl>
            <w:tblPr>
              <w:tblStyle w:val="22"/>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368"/>
              <w:gridCol w:w="2327"/>
              <w:gridCol w:w="4845"/>
            </w:tblGrid>
            <w:tr w14:paraId="3BA0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0" w:type="dxa"/>
                  <w:shd w:val="clear" w:color="auto" w:fill="auto"/>
                  <w:vAlign w:val="center"/>
                </w:tcPr>
                <w:p w14:paraId="49968EE5">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序号</w:t>
                  </w:r>
                </w:p>
              </w:tc>
              <w:tc>
                <w:tcPr>
                  <w:tcW w:w="1368" w:type="dxa"/>
                  <w:vAlign w:val="center"/>
                </w:tcPr>
                <w:p w14:paraId="0BC25C8F">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类别</w:t>
                  </w:r>
                </w:p>
              </w:tc>
              <w:tc>
                <w:tcPr>
                  <w:tcW w:w="2327" w:type="dxa"/>
                  <w:vAlign w:val="center"/>
                </w:tcPr>
                <w:p w14:paraId="0FBF8A3C">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控制指标</w:t>
                  </w:r>
                </w:p>
              </w:tc>
              <w:tc>
                <w:tcPr>
                  <w:tcW w:w="4845" w:type="dxa"/>
                  <w:vAlign w:val="center"/>
                </w:tcPr>
                <w:p w14:paraId="46A29E58">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总量控制</w:t>
                  </w:r>
                </w:p>
              </w:tc>
            </w:tr>
            <w:tr w14:paraId="4D18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shd w:val="clear" w:color="auto" w:fill="auto"/>
                  <w:vAlign w:val="center"/>
                </w:tcPr>
                <w:p w14:paraId="13B8C13C">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1</w:t>
                  </w:r>
                </w:p>
              </w:tc>
              <w:tc>
                <w:tcPr>
                  <w:tcW w:w="1368" w:type="dxa"/>
                  <w:vAlign w:val="center"/>
                </w:tcPr>
                <w:p w14:paraId="076FDD24">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大气污染物</w:t>
                  </w:r>
                </w:p>
              </w:tc>
              <w:tc>
                <w:tcPr>
                  <w:tcW w:w="2327" w:type="dxa"/>
                  <w:vAlign w:val="center"/>
                </w:tcPr>
                <w:p w14:paraId="106884A8">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颗粒物</w:t>
                  </w:r>
                </w:p>
              </w:tc>
              <w:tc>
                <w:tcPr>
                  <w:tcW w:w="4845" w:type="dxa"/>
                  <w:vAlign w:val="center"/>
                </w:tcPr>
                <w:p w14:paraId="25118C88">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0.011394</w:t>
                  </w:r>
                  <w:r>
                    <w:rPr>
                      <w:rFonts w:hint="eastAsia"/>
                      <w:color w:val="auto"/>
                      <w:szCs w:val="21"/>
                    </w:rPr>
                    <w:t>t</w:t>
                  </w:r>
                  <w:r>
                    <w:rPr>
                      <w:rFonts w:hint="default"/>
                      <w:color w:val="auto"/>
                      <w:szCs w:val="21"/>
                    </w:rPr>
                    <w:t>/a</w:t>
                  </w:r>
                </w:p>
              </w:tc>
            </w:tr>
          </w:tbl>
          <w:p w14:paraId="1E37AE07">
            <w:pPr>
              <w:spacing w:line="360" w:lineRule="auto"/>
              <w:ind w:firstLine="480" w:firstLineChars="200"/>
              <w:rPr>
                <w:rFonts w:hint="default" w:ascii="Times New Roman" w:hAnsi="Times New Roman" w:eastAsia="宋体" w:cs="Times New Roman"/>
                <w:bCs/>
                <w:color w:val="C00000"/>
                <w:sz w:val="24"/>
              </w:rPr>
            </w:pPr>
          </w:p>
          <w:p w14:paraId="1FF4C099">
            <w:pPr>
              <w:spacing w:line="360" w:lineRule="auto"/>
              <w:rPr>
                <w:rFonts w:hint="default" w:ascii="Times New Roman" w:hAnsi="Times New Roman" w:eastAsia="宋体" w:cs="Times New Roman"/>
                <w:b w:val="0"/>
                <w:bCs/>
                <w:color w:val="auto"/>
                <w:sz w:val="24"/>
              </w:rPr>
            </w:pPr>
            <w:r>
              <w:rPr>
                <w:rFonts w:hint="default" w:ascii="Times New Roman" w:hAnsi="Times New Roman" w:cs="Times New Roman"/>
                <w:b/>
                <w:bCs w:val="0"/>
                <w:color w:val="auto"/>
                <w:sz w:val="28"/>
                <w:szCs w:val="28"/>
                <w:lang w:eastAsia="zh-CN"/>
              </w:rPr>
              <w:t>七、</w:t>
            </w:r>
            <w:r>
              <w:rPr>
                <w:rFonts w:hint="default" w:ascii="Times New Roman" w:hAnsi="Times New Roman" w:eastAsia="宋体" w:cs="Times New Roman"/>
                <w:b/>
                <w:bCs w:val="0"/>
                <w:color w:val="auto"/>
                <w:sz w:val="28"/>
                <w:szCs w:val="28"/>
              </w:rPr>
              <w:t>环保投资</w:t>
            </w:r>
          </w:p>
          <w:p w14:paraId="23C443DA">
            <w:pPr>
              <w:pStyle w:val="2"/>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本项目总投资</w:t>
            </w:r>
            <w:r>
              <w:rPr>
                <w:rFonts w:hint="eastAsia" w:ascii="Times New Roman" w:cs="Times New Roman"/>
                <w:bCs/>
                <w:color w:val="auto"/>
                <w:sz w:val="24"/>
                <w:lang w:val="en-US" w:eastAsia="zh-CN"/>
              </w:rPr>
              <w:t>50</w:t>
            </w:r>
            <w:r>
              <w:rPr>
                <w:rFonts w:hint="default" w:ascii="Times New Roman" w:hAnsi="Times New Roman" w:eastAsia="宋体" w:cs="Times New Roman"/>
                <w:bCs/>
                <w:color w:val="auto"/>
                <w:sz w:val="24"/>
              </w:rPr>
              <w:t>万元，其中环保投资为</w:t>
            </w:r>
            <w:r>
              <w:rPr>
                <w:rFonts w:hint="eastAsia" w:ascii="Times New Roman" w:cs="Times New Roman"/>
                <w:bCs/>
                <w:color w:val="auto"/>
                <w:sz w:val="24"/>
                <w:lang w:val="en-US" w:eastAsia="zh-CN"/>
              </w:rPr>
              <w:t>19.3</w:t>
            </w:r>
            <w:r>
              <w:rPr>
                <w:rFonts w:hint="default" w:ascii="Times New Roman" w:hAnsi="Times New Roman" w:eastAsia="宋体" w:cs="Times New Roman"/>
                <w:bCs/>
                <w:color w:val="auto"/>
                <w:sz w:val="24"/>
              </w:rPr>
              <w:t>万元，环保投资占总投资比例为</w:t>
            </w:r>
            <w:r>
              <w:rPr>
                <w:rFonts w:hint="eastAsia" w:ascii="Times New Roman" w:cs="Times New Roman"/>
                <w:bCs/>
                <w:color w:val="auto"/>
                <w:sz w:val="24"/>
                <w:lang w:val="en-US" w:eastAsia="zh-CN"/>
              </w:rPr>
              <w:t>38.6</w:t>
            </w:r>
            <w:r>
              <w:rPr>
                <w:rFonts w:hint="default" w:ascii="Times New Roman" w:hAnsi="Times New Roman" w:eastAsia="宋体" w:cs="Times New Roman"/>
                <w:bCs/>
                <w:color w:val="auto"/>
                <w:sz w:val="24"/>
              </w:rPr>
              <w:t>%。项目主要环保设施（措施）及投资估算表详见表7-</w:t>
            </w:r>
            <w:r>
              <w:rPr>
                <w:rFonts w:hint="eastAsia" w:ascii="Times New Roman" w:cs="Times New Roman"/>
                <w:bCs/>
                <w:color w:val="auto"/>
                <w:sz w:val="24"/>
                <w:lang w:val="en-US" w:eastAsia="zh-CN"/>
              </w:rPr>
              <w:t>36</w:t>
            </w:r>
            <w:r>
              <w:rPr>
                <w:rFonts w:hint="default" w:ascii="Times New Roman" w:hAnsi="Times New Roman" w:eastAsia="宋体" w:cs="Times New Roman"/>
                <w:bCs/>
                <w:color w:val="auto"/>
                <w:sz w:val="24"/>
              </w:rPr>
              <w:t>。</w:t>
            </w:r>
          </w:p>
          <w:p w14:paraId="4AF3B93A">
            <w:pPr>
              <w:pStyle w:val="2"/>
              <w:spacing w:line="360" w:lineRule="auto"/>
              <w:ind w:firstLine="422" w:firstLineChars="20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cs="Times New Roman"/>
                <w:b/>
                <w:color w:val="auto"/>
                <w:kern w:val="0"/>
                <w:sz w:val="21"/>
                <w:szCs w:val="21"/>
                <w:lang w:val="en-US" w:eastAsia="zh-CN"/>
              </w:rPr>
              <w:t>7</w:t>
            </w:r>
            <w:r>
              <w:rPr>
                <w:rFonts w:hint="default" w:ascii="Times New Roman" w:hAnsi="Times New Roman" w:eastAsia="宋体" w:cs="Times New Roman"/>
                <w:b/>
                <w:color w:val="auto"/>
                <w:kern w:val="0"/>
                <w:sz w:val="21"/>
                <w:szCs w:val="21"/>
              </w:rPr>
              <w:t>-</w:t>
            </w:r>
            <w:r>
              <w:rPr>
                <w:rFonts w:hint="eastAsia" w:ascii="Times New Roman" w:cs="Times New Roman"/>
                <w:b/>
                <w:color w:val="auto"/>
                <w:kern w:val="0"/>
                <w:sz w:val="21"/>
                <w:szCs w:val="21"/>
                <w:lang w:val="en-US" w:eastAsia="zh-CN"/>
              </w:rPr>
              <w:t>36</w:t>
            </w:r>
            <w:r>
              <w:rPr>
                <w:rFonts w:hint="default" w:ascii="Times New Roman" w:hAnsi="Times New Roman" w:eastAsia="宋体" w:cs="Times New Roman"/>
                <w:b/>
                <w:color w:val="auto"/>
                <w:kern w:val="0"/>
                <w:sz w:val="21"/>
                <w:szCs w:val="21"/>
              </w:rPr>
              <w:t xml:space="preserve">  环保设施（措施）及投资一览表  单位：万元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6742"/>
              <w:gridCol w:w="2035"/>
            </w:tblGrid>
            <w:tr w14:paraId="011B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noWrap w:val="0"/>
                  <w:vAlign w:val="center"/>
                </w:tcPr>
                <w:p w14:paraId="09804EB4">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307" w:type="pct"/>
                  <w:noWrap w:val="0"/>
                  <w:vAlign w:val="center"/>
                </w:tcPr>
                <w:p w14:paraId="624988FF">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w:t>
                  </w:r>
                </w:p>
              </w:tc>
              <w:tc>
                <w:tcPr>
                  <w:tcW w:w="997" w:type="pct"/>
                  <w:noWrap w:val="0"/>
                  <w:vAlign w:val="center"/>
                </w:tcPr>
                <w:p w14:paraId="7A564B01">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投资（万元）</w:t>
                  </w:r>
                </w:p>
              </w:tc>
            </w:tr>
            <w:tr w14:paraId="22E2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0095CF5A">
                  <w:pPr>
                    <w:spacing w:line="0" w:lineRule="atLeas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一、施工期</w:t>
                  </w:r>
                </w:p>
              </w:tc>
            </w:tr>
            <w:tr w14:paraId="4C58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noWrap w:val="0"/>
                  <w:vAlign w:val="center"/>
                </w:tcPr>
                <w:p w14:paraId="4EAB39BF">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w:t>
                  </w:r>
                </w:p>
              </w:tc>
              <w:tc>
                <w:tcPr>
                  <w:tcW w:w="3307" w:type="pct"/>
                  <w:noWrap w:val="0"/>
                  <w:vAlign w:val="center"/>
                </w:tcPr>
                <w:p w14:paraId="195B2AD1">
                  <w:pPr>
                    <w:spacing w:line="0" w:lineRule="atLeas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道路采用硬化路面并进行洒水抑尘，运输车辆要加盖蓬布减少散落，车辆驶出装、卸场地前用水将车厢和轮胎冲洗干净</w:t>
                  </w:r>
                  <w:r>
                    <w:rPr>
                      <w:rFonts w:hint="default" w:ascii="Times New Roman" w:hAnsi="Times New Roman" w:eastAsia="宋体" w:cs="Times New Roman"/>
                      <w:color w:val="auto"/>
                      <w:sz w:val="21"/>
                      <w:szCs w:val="21"/>
                      <w:lang w:eastAsia="zh-CN"/>
                    </w:rPr>
                    <w:t>；</w:t>
                  </w:r>
                </w:p>
              </w:tc>
              <w:tc>
                <w:tcPr>
                  <w:tcW w:w="997" w:type="pct"/>
                  <w:noWrap w:val="0"/>
                  <w:vAlign w:val="center"/>
                </w:tcPr>
                <w:p w14:paraId="08C8ADD2">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r>
            <w:tr w14:paraId="1190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noWrap w:val="0"/>
                  <w:vAlign w:val="center"/>
                </w:tcPr>
                <w:p w14:paraId="29D6FDCE">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3307" w:type="pct"/>
                  <w:noWrap w:val="0"/>
                  <w:vAlign w:val="center"/>
                </w:tcPr>
                <w:p w14:paraId="49CEC524">
                  <w:pPr>
                    <w:spacing w:line="0" w:lineRule="atLeas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施工废水经沉淀处理后回用；生活污水经</w:t>
                  </w:r>
                  <w:r>
                    <w:rPr>
                      <w:rFonts w:hint="default" w:ascii="Times New Roman" w:hAnsi="Times New Roman" w:eastAsia="宋体" w:cs="Times New Roman"/>
                      <w:color w:val="auto"/>
                      <w:sz w:val="21"/>
                      <w:szCs w:val="21"/>
                      <w:lang w:val="en-US" w:eastAsia="zh-CN"/>
                    </w:rPr>
                    <w:t>化粪</w:t>
                  </w:r>
                  <w:r>
                    <w:rPr>
                      <w:rFonts w:hint="default" w:ascii="Times New Roman" w:hAnsi="Times New Roman" w:eastAsia="宋体" w:cs="Times New Roman"/>
                      <w:color w:val="auto"/>
                      <w:sz w:val="21"/>
                      <w:szCs w:val="21"/>
                    </w:rPr>
                    <w:t>池处理</w:t>
                  </w:r>
                  <w:r>
                    <w:rPr>
                      <w:rFonts w:hint="eastAsia" w:ascii="Times New Roman" w:hAnsi="Times New Roman" w:cs="Times New Roman"/>
                      <w:color w:val="auto"/>
                      <w:sz w:val="21"/>
                      <w:szCs w:val="21"/>
                      <w:lang w:val="en-US" w:eastAsia="zh-CN"/>
                    </w:rPr>
                    <w:t>后农田施肥</w:t>
                  </w:r>
                  <w:r>
                    <w:rPr>
                      <w:rFonts w:hint="default" w:ascii="Times New Roman" w:hAnsi="Times New Roman" w:eastAsia="宋体" w:cs="Times New Roman"/>
                      <w:color w:val="auto"/>
                      <w:sz w:val="21"/>
                      <w:szCs w:val="21"/>
                      <w:lang w:eastAsia="zh-CN"/>
                    </w:rPr>
                    <w:t>；</w:t>
                  </w:r>
                </w:p>
              </w:tc>
              <w:tc>
                <w:tcPr>
                  <w:tcW w:w="997" w:type="pct"/>
                  <w:noWrap w:val="0"/>
                  <w:vAlign w:val="center"/>
                </w:tcPr>
                <w:p w14:paraId="756DFA79">
                  <w:pPr>
                    <w:spacing w:line="0" w:lineRule="atLeas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w:t>
                  </w:r>
                  <w:r>
                    <w:rPr>
                      <w:rFonts w:hint="eastAsia" w:ascii="Times New Roman" w:hAnsi="Times New Roman" w:cs="Times New Roman"/>
                      <w:color w:val="auto"/>
                      <w:sz w:val="21"/>
                      <w:szCs w:val="21"/>
                      <w:lang w:val="en-US" w:eastAsia="zh-CN"/>
                    </w:rPr>
                    <w:t>2</w:t>
                  </w:r>
                </w:p>
              </w:tc>
            </w:tr>
            <w:tr w14:paraId="0EF3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noWrap w:val="0"/>
                  <w:vAlign w:val="center"/>
                </w:tcPr>
                <w:p w14:paraId="0DEE78A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w:t>
                  </w:r>
                </w:p>
              </w:tc>
              <w:tc>
                <w:tcPr>
                  <w:tcW w:w="3307" w:type="pct"/>
                  <w:noWrap w:val="0"/>
                  <w:vAlign w:val="center"/>
                </w:tcPr>
                <w:p w14:paraId="4DC1CABF">
                  <w:pPr>
                    <w:spacing w:line="0" w:lineRule="atLeas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加工管理，文明施工</w:t>
                  </w:r>
                  <w:r>
                    <w:rPr>
                      <w:rFonts w:hint="default" w:ascii="Times New Roman" w:hAnsi="Times New Roman" w:eastAsia="宋体" w:cs="Times New Roman"/>
                      <w:color w:val="auto"/>
                      <w:sz w:val="21"/>
                      <w:szCs w:val="21"/>
                      <w:lang w:eastAsia="zh-CN"/>
                    </w:rPr>
                    <w:t>；</w:t>
                  </w:r>
                </w:p>
              </w:tc>
              <w:tc>
                <w:tcPr>
                  <w:tcW w:w="997" w:type="pct"/>
                  <w:noWrap w:val="0"/>
                  <w:vAlign w:val="center"/>
                </w:tcPr>
                <w:p w14:paraId="004B8FB1">
                  <w:pPr>
                    <w:spacing w:line="0" w:lineRule="atLeast"/>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0.5</w:t>
                  </w:r>
                </w:p>
              </w:tc>
            </w:tr>
            <w:tr w14:paraId="3502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noWrap w:val="0"/>
                  <w:vAlign w:val="center"/>
                </w:tcPr>
                <w:p w14:paraId="6757E876">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固废处置</w:t>
                  </w:r>
                </w:p>
              </w:tc>
              <w:tc>
                <w:tcPr>
                  <w:tcW w:w="3307" w:type="pct"/>
                  <w:noWrap w:val="0"/>
                  <w:vAlign w:val="center"/>
                </w:tcPr>
                <w:p w14:paraId="4A3D2539">
                  <w:pPr>
                    <w:spacing w:line="0" w:lineRule="atLeas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装修废料及生活垃圾的清运</w:t>
                  </w:r>
                  <w:r>
                    <w:rPr>
                      <w:rFonts w:hint="default" w:ascii="Times New Roman" w:hAnsi="Times New Roman" w:eastAsia="宋体" w:cs="Times New Roman"/>
                      <w:color w:val="auto"/>
                      <w:sz w:val="21"/>
                      <w:szCs w:val="21"/>
                      <w:lang w:eastAsia="zh-CN"/>
                    </w:rPr>
                    <w:t>；</w:t>
                  </w:r>
                </w:p>
              </w:tc>
              <w:tc>
                <w:tcPr>
                  <w:tcW w:w="997" w:type="pct"/>
                  <w:noWrap w:val="0"/>
                  <w:vAlign w:val="center"/>
                </w:tcPr>
                <w:p w14:paraId="53E48300">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14:paraId="6CFC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2" w:type="pct"/>
                  <w:gridSpan w:val="2"/>
                  <w:noWrap w:val="0"/>
                  <w:vAlign w:val="center"/>
                </w:tcPr>
                <w:p w14:paraId="709AD576">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997" w:type="pct"/>
                  <w:noWrap w:val="0"/>
                  <w:vAlign w:val="center"/>
                </w:tcPr>
                <w:p w14:paraId="584167CE">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r>
            <w:tr w14:paraId="0649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66D3E3DD">
                  <w:pPr>
                    <w:spacing w:line="0" w:lineRule="atLeas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二、营运期</w:t>
                  </w:r>
                </w:p>
              </w:tc>
            </w:tr>
            <w:tr w14:paraId="72EE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 w:hRule="atLeast"/>
                <w:jc w:val="center"/>
              </w:trPr>
              <w:tc>
                <w:tcPr>
                  <w:tcW w:w="695" w:type="pct"/>
                  <w:vMerge w:val="restart"/>
                  <w:noWrap w:val="0"/>
                  <w:vAlign w:val="center"/>
                </w:tcPr>
                <w:p w14:paraId="084A4859">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14:paraId="46BC46A1">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w:t>
                  </w:r>
                </w:p>
              </w:tc>
              <w:tc>
                <w:tcPr>
                  <w:tcW w:w="3307" w:type="pct"/>
                  <w:noWrap w:val="0"/>
                  <w:vAlign w:val="center"/>
                </w:tcPr>
                <w:p w14:paraId="4CEB1CDB">
                  <w:pPr>
                    <w:spacing w:line="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厂区雨、污分流系统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初期雨水经雨水收集沟收集汇入</w:t>
                  </w:r>
                  <w:r>
                    <w:rPr>
                      <w:rFonts w:hint="eastAsia" w:ascii="Times New Roman" w:hAnsi="Times New Roman" w:cs="Times New Roman"/>
                      <w:color w:val="auto"/>
                      <w:sz w:val="21"/>
                      <w:szCs w:val="21"/>
                      <w:lang w:val="en-US" w:eastAsia="zh-CN"/>
                    </w:rPr>
                    <w:t>沉淀池</w:t>
                  </w:r>
                  <w:r>
                    <w:rPr>
                      <w:rFonts w:hint="default" w:ascii="Times New Roman" w:hAnsi="Times New Roman" w:eastAsia="宋体" w:cs="Times New Roman"/>
                      <w:color w:val="auto"/>
                      <w:sz w:val="21"/>
                      <w:szCs w:val="21"/>
                      <w:lang w:val="en-US" w:eastAsia="zh-CN"/>
                    </w:rPr>
                    <w:t>内沉淀；</w:t>
                  </w:r>
                </w:p>
              </w:tc>
              <w:tc>
                <w:tcPr>
                  <w:tcW w:w="997" w:type="pct"/>
                  <w:vMerge w:val="restart"/>
                  <w:noWrap w:val="0"/>
                  <w:vAlign w:val="center"/>
                </w:tcPr>
                <w:p w14:paraId="3BFDFFE5">
                  <w:pPr>
                    <w:spacing w:line="0" w:lineRule="atLeast"/>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1.5</w:t>
                  </w:r>
                </w:p>
              </w:tc>
            </w:tr>
            <w:tr w14:paraId="79A3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695" w:type="pct"/>
                  <w:vMerge w:val="continue"/>
                  <w:noWrap w:val="0"/>
                  <w:vAlign w:val="center"/>
                </w:tcPr>
                <w:p w14:paraId="5208A1C6">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06447F47">
                  <w:pPr>
                    <w:spacing w:line="0" w:lineRule="atLeas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本项目修建1座容积为15m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沉淀池，</w:t>
                  </w:r>
                  <w:r>
                    <w:rPr>
                      <w:rFonts w:hint="eastAsia" w:ascii="Times New Roman" w:hAnsi="Times New Roman" w:cs="Times New Roman"/>
                      <w:color w:val="auto"/>
                      <w:sz w:val="21"/>
                      <w:szCs w:val="21"/>
                      <w:lang w:val="en-US" w:eastAsia="zh-CN"/>
                    </w:rPr>
                    <w:t>本项目生产废水除作业区地面冲洗废水进入沉淀池沉淀后用于生产，其他用水进入产品或全部消耗，均不外排</w:t>
                  </w:r>
                  <w:r>
                    <w:rPr>
                      <w:rFonts w:hint="default" w:ascii="Times New Roman" w:hAnsi="Times New Roman" w:eastAsia="宋体" w:cs="Times New Roman"/>
                      <w:color w:val="auto"/>
                      <w:sz w:val="21"/>
                      <w:szCs w:val="21"/>
                    </w:rPr>
                    <w:t>：</w:t>
                  </w:r>
                </w:p>
              </w:tc>
              <w:tc>
                <w:tcPr>
                  <w:tcW w:w="997" w:type="pct"/>
                  <w:vMerge w:val="continue"/>
                  <w:noWrap w:val="0"/>
                  <w:vAlign w:val="center"/>
                </w:tcPr>
                <w:p w14:paraId="0A352021">
                  <w:pPr>
                    <w:spacing w:line="0" w:lineRule="atLeast"/>
                    <w:jc w:val="center"/>
                    <w:rPr>
                      <w:rFonts w:hint="default" w:ascii="Times New Roman" w:hAnsi="Times New Roman" w:eastAsia="宋体" w:cs="Times New Roman"/>
                      <w:color w:val="auto"/>
                      <w:sz w:val="21"/>
                      <w:szCs w:val="21"/>
                      <w:lang w:val="en-US" w:eastAsia="zh-CN"/>
                    </w:rPr>
                  </w:pPr>
                </w:p>
              </w:tc>
            </w:tr>
            <w:tr w14:paraId="7FEF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695" w:type="pct"/>
                  <w:vMerge w:val="continue"/>
                  <w:noWrap w:val="0"/>
                  <w:vAlign w:val="center"/>
                </w:tcPr>
                <w:p w14:paraId="09520BAC">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298AB096">
                  <w:pPr>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生活废水经</w:t>
                  </w:r>
                  <w:r>
                    <w:rPr>
                      <w:rFonts w:hint="default"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（容积</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）处理后外运施肥</w:t>
                  </w:r>
                </w:p>
              </w:tc>
              <w:tc>
                <w:tcPr>
                  <w:tcW w:w="997" w:type="pct"/>
                  <w:noWrap w:val="0"/>
                  <w:vAlign w:val="center"/>
                </w:tcPr>
                <w:p w14:paraId="2E61B1A3">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14:paraId="6081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95" w:type="pct"/>
                  <w:vMerge w:val="restart"/>
                  <w:noWrap w:val="0"/>
                  <w:vAlign w:val="center"/>
                </w:tcPr>
                <w:p w14:paraId="3DDFDECD">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14:paraId="11C08DBF">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w:t>
                  </w:r>
                </w:p>
              </w:tc>
              <w:tc>
                <w:tcPr>
                  <w:tcW w:w="3307" w:type="pct"/>
                  <w:noWrap w:val="0"/>
                  <w:vAlign w:val="center"/>
                </w:tcPr>
                <w:p w14:paraId="54CE27F5">
                  <w:pPr>
                    <w:spacing w:line="0" w:lineRule="atLeas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水泥筒仓装卸粉尘</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各</w:t>
                  </w:r>
                  <w:r>
                    <w:rPr>
                      <w:rFonts w:hint="default" w:ascii="Times New Roman" w:hAnsi="Times New Roman" w:eastAsia="宋体" w:cs="Times New Roman"/>
                      <w:color w:val="auto"/>
                      <w:sz w:val="21"/>
                      <w:szCs w:val="21"/>
                      <w:lang w:val="en-US" w:eastAsia="zh-CN"/>
                    </w:rPr>
                    <w:t>设备自带的</w:t>
                  </w:r>
                  <w:r>
                    <w:rPr>
                      <w:rFonts w:hint="eastAsia" w:ascii="Times New Roman" w:hAnsi="Times New Roman" w:eastAsia="宋体" w:cs="Times New Roman"/>
                      <w:color w:val="auto"/>
                      <w:sz w:val="21"/>
                      <w:szCs w:val="21"/>
                      <w:lang w:val="en-US" w:eastAsia="zh-CN"/>
                    </w:rPr>
                    <w:t>脉冲</w:t>
                  </w:r>
                  <w:r>
                    <w:rPr>
                      <w:rFonts w:hint="default" w:ascii="Times New Roman" w:hAnsi="Times New Roman" w:eastAsia="宋体" w:cs="Times New Roman"/>
                      <w:color w:val="auto"/>
                      <w:sz w:val="21"/>
                      <w:szCs w:val="21"/>
                      <w:lang w:val="en-US" w:eastAsia="zh-CN"/>
                    </w:rPr>
                    <w:t>除尘器</w:t>
                  </w:r>
                  <w:r>
                    <w:rPr>
                      <w:rFonts w:hint="default" w:ascii="Times New Roman" w:hAnsi="Times New Roman" w:eastAsia="宋体" w:cs="Times New Roman"/>
                      <w:color w:val="auto"/>
                      <w:sz w:val="21"/>
                      <w:szCs w:val="21"/>
                    </w:rPr>
                    <w:t>处理后由筒仓顶部排气筒</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高度约15m</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有</w:t>
                  </w:r>
                  <w:r>
                    <w:rPr>
                      <w:rFonts w:hint="default" w:ascii="Times New Roman" w:hAnsi="Times New Roman" w:eastAsia="宋体" w:cs="Times New Roman"/>
                      <w:color w:val="auto"/>
                      <w:sz w:val="21"/>
                      <w:szCs w:val="21"/>
                      <w:lang w:val="en-US" w:eastAsia="zh-CN"/>
                    </w:rPr>
                    <w:t>组织</w:t>
                  </w:r>
                  <w:r>
                    <w:rPr>
                      <w:rFonts w:hint="eastAsia" w:ascii="Times New Roman" w:hAnsi="Times New Roman" w:eastAsia="宋体" w:cs="Times New Roman"/>
                      <w:color w:val="auto"/>
                      <w:sz w:val="21"/>
                      <w:szCs w:val="21"/>
                      <w:lang w:val="en-US" w:eastAsia="zh-CN"/>
                    </w:rPr>
                    <w:t>达标</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lang w:eastAsia="zh-CN"/>
                    </w:rPr>
                    <w:t>；</w:t>
                  </w:r>
                </w:p>
              </w:tc>
              <w:tc>
                <w:tcPr>
                  <w:tcW w:w="997" w:type="pct"/>
                  <w:noWrap w:val="0"/>
                  <w:vAlign w:val="center"/>
                </w:tcPr>
                <w:p w14:paraId="5C5A9283">
                  <w:pPr>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计入设备投资和主体投资</w:t>
                  </w:r>
                </w:p>
              </w:tc>
            </w:tr>
            <w:tr w14:paraId="1371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95" w:type="pct"/>
                  <w:vMerge w:val="continue"/>
                  <w:noWrap w:val="0"/>
                  <w:vAlign w:val="center"/>
                </w:tcPr>
                <w:p w14:paraId="05B49F6A">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198D2C02">
                  <w:pPr>
                    <w:spacing w:line="0" w:lineRule="atLeas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搅拌粉尘：设置为</w:t>
                  </w:r>
                  <w:r>
                    <w:rPr>
                      <w:rFonts w:hint="eastAsia" w:ascii="Times New Roman" w:hAnsi="Times New Roman" w:cs="Times New Roman"/>
                      <w:color w:val="auto"/>
                      <w:sz w:val="21"/>
                      <w:szCs w:val="21"/>
                      <w:lang w:val="en-US" w:eastAsia="zh-CN"/>
                    </w:rPr>
                    <w:t>在</w:t>
                  </w:r>
                  <w:r>
                    <w:rPr>
                      <w:rFonts w:hint="default" w:ascii="Times New Roman" w:hAnsi="Times New Roman" w:cs="Times New Roman"/>
                      <w:color w:val="auto"/>
                      <w:sz w:val="21"/>
                      <w:szCs w:val="21"/>
                      <w:lang w:val="en-US" w:eastAsia="zh-CN"/>
                    </w:rPr>
                    <w:t>密闭</w:t>
                  </w:r>
                  <w:r>
                    <w:rPr>
                      <w:rFonts w:hint="eastAsia" w:ascii="Times New Roman" w:hAnsi="Times New Roman" w:cs="Times New Roman"/>
                      <w:color w:val="auto"/>
                      <w:sz w:val="21"/>
                      <w:szCs w:val="21"/>
                      <w:lang w:val="en-US" w:eastAsia="zh-CN"/>
                    </w:rPr>
                    <w:t>生产车间内</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在搅拌机上方各设置一个2m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的集气罩，收集的粉尘经</w:t>
                  </w:r>
                  <w:r>
                    <w:rPr>
                      <w:rFonts w:hint="default" w:ascii="Times New Roman" w:hAnsi="Times New Roman" w:cs="Times New Roman"/>
                      <w:color w:val="auto"/>
                      <w:sz w:val="21"/>
                      <w:szCs w:val="21"/>
                      <w:lang w:val="en-US" w:eastAsia="zh-CN"/>
                    </w:rPr>
                    <w:t>一台脉冲式布袋除尘器进行除尘处理后</w:t>
                  </w:r>
                  <w:r>
                    <w:rPr>
                      <w:rFonts w:hint="eastAsia" w:ascii="Times New Roman" w:hAnsi="Times New Roman" w:cs="Times New Roman"/>
                      <w:color w:val="auto"/>
                      <w:sz w:val="21"/>
                      <w:szCs w:val="21"/>
                      <w:lang w:val="en-US" w:eastAsia="zh-CN"/>
                    </w:rPr>
                    <w:t>通过15m高排气筒（2#）有组织排放</w:t>
                  </w:r>
                  <w:r>
                    <w:rPr>
                      <w:rFonts w:hint="default" w:ascii="Times New Roman" w:hAnsi="Times New Roman" w:cs="Times New Roman"/>
                      <w:color w:val="auto"/>
                      <w:sz w:val="21"/>
                      <w:szCs w:val="21"/>
                      <w:lang w:val="en-US" w:eastAsia="zh-CN"/>
                    </w:rPr>
                    <w:t>；</w:t>
                  </w:r>
                </w:p>
              </w:tc>
              <w:tc>
                <w:tcPr>
                  <w:tcW w:w="997" w:type="pct"/>
                  <w:noWrap w:val="0"/>
                  <w:vAlign w:val="center"/>
                </w:tcPr>
                <w:p w14:paraId="2EB631F0">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3457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95" w:type="pct"/>
                  <w:vMerge w:val="continue"/>
                  <w:noWrap w:val="0"/>
                  <w:vAlign w:val="center"/>
                </w:tcPr>
                <w:p w14:paraId="04A781FD">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59ABC5C4">
                  <w:pPr>
                    <w:spacing w:line="0" w:lineRule="atLeas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焊接烟尘：每个焊接工位上方设置集气罩，焊接烟尘经收集后，通过焊接烟尘净化器处理，处理后经15m高排气筒（3#）排放</w:t>
                  </w:r>
                </w:p>
              </w:tc>
              <w:tc>
                <w:tcPr>
                  <w:tcW w:w="997" w:type="pct"/>
                  <w:noWrap w:val="0"/>
                  <w:vAlign w:val="center"/>
                </w:tcPr>
                <w:p w14:paraId="1F421DF8">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1A36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695" w:type="pct"/>
                  <w:vMerge w:val="continue"/>
                  <w:noWrap w:val="0"/>
                  <w:vAlign w:val="center"/>
                </w:tcPr>
                <w:p w14:paraId="642A4345">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0E1BF0BF">
                  <w:pPr>
                    <w:spacing w:line="0" w:lineRule="atLeas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卸料、输送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堆场粉尘</w:t>
                  </w:r>
                  <w:r>
                    <w:rPr>
                      <w:rFonts w:hint="eastAsia" w:ascii="Times New Roman" w:hAnsi="Times New Roman" w:eastAsia="宋体" w:cs="Times New Roman"/>
                      <w:color w:val="auto"/>
                      <w:sz w:val="21"/>
                      <w:szCs w:val="21"/>
                      <w:lang w:val="en-US" w:eastAsia="zh-CN"/>
                    </w:rPr>
                    <w:t>和物料输送、</w:t>
                  </w:r>
                  <w:r>
                    <w:rPr>
                      <w:rFonts w:hint="default" w:ascii="Times New Roman" w:hAnsi="Times New Roman" w:eastAsia="宋体" w:cs="Times New Roman"/>
                      <w:color w:val="auto"/>
                      <w:sz w:val="21"/>
                      <w:szCs w:val="21"/>
                      <w:lang w:val="en-US" w:eastAsia="zh-CN"/>
                    </w:rPr>
                    <w:t>转运</w:t>
                  </w:r>
                  <w:r>
                    <w:rPr>
                      <w:rFonts w:hint="eastAsia" w:ascii="Times New Roman" w:hAnsi="Times New Roman" w:eastAsia="宋体" w:cs="Times New Roman"/>
                      <w:color w:val="auto"/>
                      <w:sz w:val="21"/>
                      <w:szCs w:val="21"/>
                      <w:lang w:val="en-US" w:eastAsia="zh-CN"/>
                    </w:rPr>
                    <w:t>环节</w:t>
                  </w:r>
                  <w:r>
                    <w:rPr>
                      <w:rFonts w:hint="default" w:ascii="Times New Roman" w:hAnsi="Times New Roman" w:eastAsia="宋体" w:cs="Times New Roman"/>
                      <w:color w:val="auto"/>
                      <w:sz w:val="21"/>
                      <w:szCs w:val="21"/>
                    </w:rPr>
                    <w:t>粉尘：</w:t>
                  </w:r>
                  <w:r>
                    <w:rPr>
                      <w:rFonts w:hint="eastAsia" w:ascii="Times New Roman" w:hAnsi="Times New Roman" w:cs="Times New Roman"/>
                      <w:color w:val="auto"/>
                      <w:sz w:val="21"/>
                      <w:szCs w:val="21"/>
                      <w:lang w:val="en-US" w:eastAsia="zh-CN"/>
                    </w:rPr>
                    <w:t>砂石原料堆场和生产车间均设置成密闭空间，仅留有车辆进出口；在原料库房设置10</w:t>
                  </w:r>
                  <w:r>
                    <w:rPr>
                      <w:rFonts w:hint="default" w:ascii="Times New Roman" w:hAnsi="Times New Roman" w:eastAsia="宋体" w:cs="Times New Roman"/>
                      <w:color w:val="auto"/>
                      <w:sz w:val="21"/>
                      <w:szCs w:val="21"/>
                      <w:lang w:val="en-US" w:eastAsia="zh-CN"/>
                    </w:rPr>
                    <w:t>个喷淋</w:t>
                  </w:r>
                  <w:r>
                    <w:rPr>
                      <w:rFonts w:hint="default" w:ascii="Times New Roman" w:hAnsi="Times New Roman" w:eastAsia="宋体" w:cs="Times New Roman"/>
                      <w:color w:val="auto"/>
                      <w:sz w:val="21"/>
                      <w:szCs w:val="21"/>
                      <w:lang w:eastAsia="zh-CN"/>
                    </w:rPr>
                    <w:t>装置；</w:t>
                  </w:r>
                  <w:r>
                    <w:rPr>
                      <w:rFonts w:hint="eastAsia"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lang w:val="en-US" w:eastAsia="zh-CN"/>
                    </w:rPr>
                    <w:t>上料斗</w:t>
                  </w:r>
                  <w:r>
                    <w:rPr>
                      <w:rFonts w:hint="eastAsia" w:ascii="Times New Roman" w:hAnsi="Times New Roman" w:eastAsia="宋体" w:cs="Times New Roman"/>
                      <w:color w:val="auto"/>
                      <w:sz w:val="21"/>
                      <w:szCs w:val="21"/>
                      <w:lang w:val="en-US" w:eastAsia="zh-CN"/>
                    </w:rPr>
                    <w:t>和搅拌机</w:t>
                  </w:r>
                  <w:r>
                    <w:rPr>
                      <w:rFonts w:hint="eastAsia" w:ascii="Times New Roman" w:hAnsi="Times New Roman" w:cs="Times New Roman"/>
                      <w:color w:val="auto"/>
                      <w:sz w:val="21"/>
                      <w:szCs w:val="21"/>
                      <w:lang w:val="en-US" w:eastAsia="zh-CN"/>
                    </w:rPr>
                    <w:t>处</w:t>
                  </w:r>
                  <w:r>
                    <w:rPr>
                      <w:rFonts w:hint="default" w:ascii="Times New Roman" w:hAnsi="Times New Roman" w:eastAsia="宋体" w:cs="Times New Roman"/>
                      <w:color w:val="auto"/>
                      <w:sz w:val="21"/>
                      <w:szCs w:val="21"/>
                      <w:lang w:val="en-US" w:eastAsia="zh-CN"/>
                    </w:rPr>
                    <w:t>设置喷淋装置，</w:t>
                  </w:r>
                  <w:r>
                    <w:rPr>
                      <w:rFonts w:hint="eastAsia" w:ascii="Times New Roman" w:hAnsi="Times New Roman" w:eastAsia="宋体" w:cs="Times New Roman"/>
                      <w:color w:val="auto"/>
                      <w:sz w:val="21"/>
                      <w:szCs w:val="21"/>
                      <w:lang w:val="en-US" w:eastAsia="zh-CN"/>
                    </w:rPr>
                    <w:t>水泥在输送、转运环节采用密闭输送和管式螺旋输送机</w:t>
                  </w:r>
                </w:p>
              </w:tc>
              <w:tc>
                <w:tcPr>
                  <w:tcW w:w="997" w:type="pct"/>
                  <w:noWrap w:val="0"/>
                  <w:vAlign w:val="center"/>
                </w:tcPr>
                <w:p w14:paraId="50D6578B">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14:paraId="23AD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695" w:type="pct"/>
                  <w:vMerge w:val="continue"/>
                  <w:noWrap w:val="0"/>
                  <w:vAlign w:val="center"/>
                </w:tcPr>
                <w:p w14:paraId="13123F69">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76C23001">
                  <w:pPr>
                    <w:spacing w:line="0" w:lineRule="atLeas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汽车运输扬尘</w:t>
                  </w:r>
                  <w:r>
                    <w:rPr>
                      <w:rFonts w:hint="default" w:ascii="Times New Roman" w:hAnsi="Times New Roman" w:eastAsia="宋体" w:cs="Times New Roman"/>
                      <w:color w:val="auto"/>
                      <w:sz w:val="21"/>
                      <w:szCs w:val="21"/>
                      <w:lang w:eastAsia="zh-CN"/>
                    </w:rPr>
                    <w:t>：路面进行水泥硬化，定期对路面进行清扫，厂区内</w:t>
                  </w:r>
                  <w:r>
                    <w:rPr>
                      <w:rFonts w:hint="eastAsia" w:ascii="Times New Roman" w:hAnsi="Times New Roman" w:eastAsia="宋体" w:cs="Times New Roman"/>
                      <w:color w:val="auto"/>
                      <w:sz w:val="21"/>
                      <w:szCs w:val="21"/>
                      <w:lang w:eastAsia="zh-CN"/>
                    </w:rPr>
                    <w:t>道路</w:t>
                  </w:r>
                  <w:r>
                    <w:rPr>
                      <w:rFonts w:hint="default" w:ascii="Times New Roman" w:hAnsi="Times New Roman" w:eastAsia="宋体" w:cs="Times New Roman"/>
                      <w:color w:val="auto"/>
                      <w:sz w:val="21"/>
                      <w:szCs w:val="21"/>
                      <w:lang w:eastAsia="zh-CN"/>
                    </w:rPr>
                    <w:t>设置</w:t>
                  </w:r>
                  <w:r>
                    <w:rPr>
                      <w:rFonts w:hint="eastAsia" w:ascii="Times New Roman" w:hAnsi="Times New Roman" w:eastAsia="宋体" w:cs="Times New Roman"/>
                      <w:color w:val="auto"/>
                      <w:sz w:val="21"/>
                      <w:szCs w:val="21"/>
                      <w:lang w:eastAsia="zh-CN"/>
                    </w:rPr>
                    <w:t>喷淋装置</w:t>
                  </w:r>
                  <w:r>
                    <w:rPr>
                      <w:rFonts w:hint="default" w:ascii="Times New Roman" w:hAnsi="Times New Roman" w:eastAsia="宋体" w:cs="Times New Roman"/>
                      <w:color w:val="auto"/>
                      <w:sz w:val="21"/>
                      <w:szCs w:val="21"/>
                      <w:lang w:eastAsia="zh-CN"/>
                    </w:rPr>
                    <w:t>对车辆行驶的路面实施喷雾降尘，在本厂区出入口设置1处洗车平台，运输车辆加盖篷布，做好遮掩工作，并控制车速等；</w:t>
                  </w:r>
                </w:p>
              </w:tc>
              <w:tc>
                <w:tcPr>
                  <w:tcW w:w="997" w:type="pct"/>
                  <w:noWrap w:val="0"/>
                  <w:vAlign w:val="center"/>
                </w:tcPr>
                <w:p w14:paraId="4F3FFB8A">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14:paraId="74C5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695" w:type="pct"/>
                  <w:noWrap w:val="0"/>
                  <w:vAlign w:val="center"/>
                </w:tcPr>
                <w:p w14:paraId="43300BAD">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14:paraId="1DF4D14D">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w:t>
                  </w:r>
                </w:p>
              </w:tc>
              <w:tc>
                <w:tcPr>
                  <w:tcW w:w="3307" w:type="pct"/>
                  <w:noWrap w:val="0"/>
                  <w:vAlign w:val="center"/>
                </w:tcPr>
                <w:p w14:paraId="4DBE34B9">
                  <w:pPr>
                    <w:spacing w:line="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合理布置噪声源；所有生产设备都设置于密闭厂房内选型上使用先进的低噪声设备，安装时底座设置减振垫； 加强设备的日常维护保养，防止出现因机器不正常运转造成噪声值异常升高的问题；对进出车辆加强管理，限制车速，禁鸣喇叭；卸料和装车的时间应避开午休时间，车辆减速行驶、禁止鸣笛等措施</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夜间不生产</w:t>
                  </w:r>
                </w:p>
              </w:tc>
              <w:tc>
                <w:tcPr>
                  <w:tcW w:w="997" w:type="pct"/>
                  <w:noWrap w:val="0"/>
                  <w:vAlign w:val="center"/>
                </w:tcPr>
                <w:p w14:paraId="5F7B963E">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p>
              </w:tc>
            </w:tr>
            <w:tr w14:paraId="12B5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restart"/>
                  <w:noWrap w:val="0"/>
                  <w:vAlign w:val="center"/>
                </w:tcPr>
                <w:p w14:paraId="10024062">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p w14:paraId="1A239E7B">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w:t>
                  </w:r>
                </w:p>
              </w:tc>
              <w:tc>
                <w:tcPr>
                  <w:tcW w:w="3307" w:type="pct"/>
                  <w:noWrap w:val="0"/>
                  <w:vAlign w:val="center"/>
                </w:tcPr>
                <w:p w14:paraId="34BB8B84">
                  <w:pPr>
                    <w:spacing w:line="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生活垃圾：生活垃圾袋装收集后定期交由环卫部分统一清运处理；</w:t>
                  </w:r>
                </w:p>
              </w:tc>
              <w:tc>
                <w:tcPr>
                  <w:tcW w:w="997" w:type="pct"/>
                  <w:noWrap w:val="0"/>
                  <w:vAlign w:val="center"/>
                </w:tcPr>
                <w:p w14:paraId="1D278FAA">
                  <w:pPr>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2</w:t>
                  </w:r>
                </w:p>
              </w:tc>
            </w:tr>
            <w:tr w14:paraId="31DA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continue"/>
                  <w:noWrap w:val="0"/>
                  <w:vAlign w:val="center"/>
                </w:tcPr>
                <w:p w14:paraId="293AB5DB">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368875C8">
                  <w:pPr>
                    <w:spacing w:line="0" w:lineRule="atLeast"/>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沉淀池沉渣和沉沙</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定期打捞回用生产</w:t>
                  </w:r>
                  <w:r>
                    <w:rPr>
                      <w:rFonts w:hint="eastAsia" w:ascii="Times New Roman" w:hAnsi="Times New Roman" w:eastAsia="宋体" w:cs="Times New Roman"/>
                      <w:color w:val="auto"/>
                      <w:sz w:val="21"/>
                      <w:szCs w:val="21"/>
                      <w:vertAlign w:val="baseline"/>
                      <w:lang w:val="en-US" w:eastAsia="zh-CN"/>
                    </w:rPr>
                    <w:t>；</w:t>
                  </w:r>
                </w:p>
              </w:tc>
              <w:tc>
                <w:tcPr>
                  <w:tcW w:w="997" w:type="pct"/>
                  <w:noWrap w:val="0"/>
                  <w:vAlign w:val="center"/>
                </w:tcPr>
                <w:p w14:paraId="0BCC76D5">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r>
            <w:tr w14:paraId="264B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continue"/>
                  <w:noWrap w:val="0"/>
                  <w:vAlign w:val="center"/>
                </w:tcPr>
                <w:p w14:paraId="1A1CA735">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4B0F6D60">
                  <w:pPr>
                    <w:spacing w:line="0" w:lineRule="atLeast"/>
                    <w:jc w:val="left"/>
                    <w:rPr>
                      <w:rFonts w:hint="default" w:ascii="Times New Roman" w:hAnsi="Times New Roman" w:eastAsia="宋体" w:cs="Times New Roman"/>
                      <w:color w:val="auto"/>
                      <w:sz w:val="21"/>
                      <w:szCs w:val="21"/>
                      <w:lang w:val="en-US" w:eastAsia="zh-CN"/>
                    </w:rPr>
                  </w:pPr>
                  <w:r>
                    <w:rPr>
                      <w:rFonts w:hint="eastAsia"/>
                      <w:color w:val="auto"/>
                      <w:lang w:val="en-US" w:eastAsia="zh-CN"/>
                    </w:rPr>
                    <w:t>废气处理系统收集粉尘：回用于生产</w:t>
                  </w:r>
                </w:p>
              </w:tc>
              <w:tc>
                <w:tcPr>
                  <w:tcW w:w="997" w:type="pct"/>
                  <w:noWrap w:val="0"/>
                  <w:vAlign w:val="center"/>
                </w:tcPr>
                <w:p w14:paraId="481ECBB0">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14:paraId="1B30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continue"/>
                  <w:noWrap w:val="0"/>
                  <w:vAlign w:val="center"/>
                </w:tcPr>
                <w:p w14:paraId="0C1A49E0">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2B16D3F5">
                  <w:pPr>
                    <w:spacing w:line="0" w:lineRule="atLeast"/>
                    <w:jc w:val="left"/>
                    <w:rPr>
                      <w:rFonts w:hint="default" w:ascii="Times New Roman" w:hAnsi="Times New Roman" w:eastAsia="宋体" w:cs="Times New Roman"/>
                      <w:color w:val="auto"/>
                      <w:sz w:val="21"/>
                      <w:szCs w:val="21"/>
                      <w:lang w:val="en-US" w:eastAsia="zh-CN"/>
                    </w:rPr>
                  </w:pPr>
                  <w:r>
                    <w:rPr>
                      <w:rFonts w:hint="eastAsia"/>
                      <w:color w:val="auto"/>
                      <w:lang w:val="en-US" w:eastAsia="zh-CN"/>
                    </w:rPr>
                    <w:t>预处理池污泥：用于农田施肥</w:t>
                  </w:r>
                </w:p>
              </w:tc>
              <w:tc>
                <w:tcPr>
                  <w:tcW w:w="997" w:type="pct"/>
                  <w:noWrap w:val="0"/>
                  <w:vAlign w:val="center"/>
                </w:tcPr>
                <w:p w14:paraId="237ECC83">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14:paraId="3631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continue"/>
                  <w:noWrap w:val="0"/>
                  <w:vAlign w:val="center"/>
                </w:tcPr>
                <w:p w14:paraId="4CB1B886">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5C381C1C">
                  <w:pPr>
                    <w:spacing w:line="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钢筋头、不锈钢边角料、废焊丝和熔渣：定期外售给废品收购站</w:t>
                  </w:r>
                </w:p>
              </w:tc>
              <w:tc>
                <w:tcPr>
                  <w:tcW w:w="997" w:type="pct"/>
                  <w:noWrap w:val="0"/>
                  <w:vAlign w:val="center"/>
                </w:tcPr>
                <w:p w14:paraId="708156FF">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1BE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continue"/>
                  <w:noWrap w:val="0"/>
                  <w:vAlign w:val="center"/>
                </w:tcPr>
                <w:p w14:paraId="76F56AEC">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059B2B17">
                  <w:pPr>
                    <w:spacing w:line="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废滤芯：</w:t>
                  </w:r>
                  <w:r>
                    <w:rPr>
                      <w:color w:val="auto"/>
                    </w:rPr>
                    <w:t>环卫清运</w:t>
                  </w:r>
                </w:p>
              </w:tc>
              <w:tc>
                <w:tcPr>
                  <w:tcW w:w="997" w:type="pct"/>
                  <w:noWrap w:val="0"/>
                  <w:vAlign w:val="center"/>
                </w:tcPr>
                <w:p w14:paraId="7AEC0D9F">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r>
            <w:tr w14:paraId="0801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95" w:type="pct"/>
                  <w:vMerge w:val="continue"/>
                  <w:noWrap w:val="0"/>
                  <w:vAlign w:val="center"/>
                </w:tcPr>
                <w:p w14:paraId="735648C9">
                  <w:pPr>
                    <w:spacing w:line="0" w:lineRule="atLeast"/>
                    <w:jc w:val="center"/>
                    <w:rPr>
                      <w:rFonts w:hint="default" w:ascii="Times New Roman" w:hAnsi="Times New Roman" w:eastAsia="宋体" w:cs="Times New Roman"/>
                      <w:color w:val="auto"/>
                      <w:sz w:val="21"/>
                      <w:szCs w:val="21"/>
                    </w:rPr>
                  </w:pPr>
                </w:p>
              </w:tc>
              <w:tc>
                <w:tcPr>
                  <w:tcW w:w="3307" w:type="pct"/>
                  <w:noWrap w:val="0"/>
                  <w:vAlign w:val="center"/>
                </w:tcPr>
                <w:p w14:paraId="23277173">
                  <w:pPr>
                    <w:spacing w:line="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r>
                    <w:rPr>
                      <w:rFonts w:hint="eastAsia" w:ascii="Times New Roman" w:hAnsi="Times New Roman" w:cs="Times New Roman"/>
                      <w:color w:val="auto"/>
                      <w:sz w:val="21"/>
                      <w:szCs w:val="21"/>
                      <w:lang w:val="en-US" w:eastAsia="zh-CN"/>
                    </w:rPr>
                    <w:t>（</w:t>
                  </w:r>
                  <w:r>
                    <w:rPr>
                      <w:rFonts w:hint="eastAsia"/>
                      <w:color w:val="auto"/>
                      <w:lang w:eastAsia="zh-CN"/>
                    </w:rPr>
                    <w:t>废抹布、手套、废机油</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：新增危废暂存间1间，建筑面积</w:t>
                  </w:r>
                  <w:r>
                    <w:rPr>
                      <w:rFonts w:hint="eastAsia"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，危险废物</w:t>
                  </w:r>
                  <w:r>
                    <w:rPr>
                      <w:rFonts w:hint="default"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交由有资质的单位进行处理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同时对危废间做好“四防”措施</w:t>
                  </w:r>
                </w:p>
              </w:tc>
              <w:tc>
                <w:tcPr>
                  <w:tcW w:w="997" w:type="pct"/>
                  <w:noWrap w:val="0"/>
                  <w:vAlign w:val="center"/>
                </w:tcPr>
                <w:p w14:paraId="2CEF4538">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53C5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5" w:type="pct"/>
                  <w:noWrap w:val="0"/>
                  <w:vAlign w:val="center"/>
                </w:tcPr>
                <w:p w14:paraId="7968E3F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地下水污染防治</w:t>
                  </w:r>
                </w:p>
              </w:tc>
              <w:tc>
                <w:tcPr>
                  <w:tcW w:w="3307" w:type="pct"/>
                  <w:noWrap w:val="0"/>
                  <w:vAlign w:val="center"/>
                </w:tcPr>
                <w:p w14:paraId="6DC6C8F3">
                  <w:pPr>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要求建设单位采取分区防渗措施防治地下水：</w:t>
                  </w:r>
                </w:p>
                <w:p w14:paraId="712239F3">
                  <w:pPr>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按照重点防渗区的要求，将危废暂存间所在区域进行重点防渗，采用高密度聚乙烯防渗层或者其他人工材料，确保其防渗技术要求达到《危险废物贮存污染控制标准》（GB18597-2001）中要求：基础必须防渗，防渗层为至少2mm厚高密度聚乙烯，或至少 2mm厚的其他人工材料，确保渗透系数≤10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 xml:space="preserve">cm/s。 </w:t>
                  </w:r>
                </w:p>
                <w:p w14:paraId="7464274C">
                  <w:pPr>
                    <w:spacing w:line="0" w:lineRule="atLeas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b</w:t>
                  </w:r>
                  <w:r>
                    <w:rPr>
                      <w:rFonts w:hint="default" w:ascii="Times New Roman" w:hAnsi="Times New Roman" w:eastAsia="宋体" w:cs="Times New Roman"/>
                      <w:color w:val="auto"/>
                      <w:sz w:val="21"/>
                      <w:szCs w:val="21"/>
                    </w:rPr>
                    <w:t>、按照一般防渗区的要求，将沉淀池和</w:t>
                  </w:r>
                  <w:r>
                    <w:rPr>
                      <w:rFonts w:hint="eastAsia" w:ascii="Times New Roman" w:hAnsi="Times New Roman" w:cs="Times New Roman"/>
                      <w:color w:val="auto"/>
                      <w:sz w:val="21"/>
                      <w:szCs w:val="21"/>
                      <w:lang w:val="en-US" w:eastAsia="zh-CN"/>
                    </w:rPr>
                    <w:t>化粪池</w:t>
                  </w:r>
                  <w:r>
                    <w:rPr>
                      <w:rFonts w:hint="default" w:ascii="Times New Roman" w:hAnsi="Times New Roman" w:eastAsia="宋体" w:cs="Times New Roman"/>
                      <w:color w:val="auto"/>
                      <w:sz w:val="21"/>
                      <w:szCs w:val="21"/>
                    </w:rPr>
                    <w:t>进行一般防渗。防渗技术要求为等效粘土防渗层 Mb≥1.5m，K≤10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 xml:space="preserve">cm/s。 </w:t>
                  </w:r>
                </w:p>
                <w:p w14:paraId="4B81A69B">
                  <w:pPr>
                    <w:spacing w:line="0" w:lineRule="atLeas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c</w:t>
                  </w:r>
                  <w:r>
                    <w:rPr>
                      <w:rFonts w:hint="default" w:ascii="Times New Roman" w:hAnsi="Times New Roman" w:eastAsia="宋体" w:cs="Times New Roman"/>
                      <w:color w:val="auto"/>
                      <w:sz w:val="21"/>
                      <w:szCs w:val="21"/>
                    </w:rPr>
                    <w:t>、按照简单防渗区的要求，将</w:t>
                  </w:r>
                  <w:r>
                    <w:rPr>
                      <w:rFonts w:hint="eastAsia" w:ascii="Times New Roman" w:hAnsi="Times New Roman" w:cs="Times New Roman"/>
                      <w:color w:val="auto"/>
                      <w:sz w:val="21"/>
                      <w:szCs w:val="21"/>
                      <w:lang w:val="en-US" w:eastAsia="zh-CN"/>
                    </w:rPr>
                    <w:t>除重点防渗和一般防渗区以外地方</w:t>
                  </w:r>
                  <w:r>
                    <w:rPr>
                      <w:rFonts w:hint="default" w:ascii="Times New Roman" w:hAnsi="Times New Roman" w:eastAsia="宋体" w:cs="Times New Roman"/>
                      <w:color w:val="auto"/>
                      <w:sz w:val="21"/>
                      <w:szCs w:val="21"/>
                    </w:rPr>
                    <w:t>进行一般地面硬化。</w:t>
                  </w:r>
                </w:p>
              </w:tc>
              <w:tc>
                <w:tcPr>
                  <w:tcW w:w="997" w:type="pct"/>
                  <w:noWrap w:val="0"/>
                  <w:vAlign w:val="center"/>
                </w:tcPr>
                <w:p w14:paraId="01AD456A">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2BEE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002" w:type="pct"/>
                  <w:gridSpan w:val="2"/>
                  <w:noWrap w:val="0"/>
                  <w:vAlign w:val="center"/>
                </w:tcPr>
                <w:p w14:paraId="0203EE19">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997" w:type="pct"/>
                  <w:noWrap w:val="0"/>
                  <w:vAlign w:val="center"/>
                </w:tcPr>
                <w:p w14:paraId="35ABC349">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17.9</w:t>
                  </w:r>
                </w:p>
              </w:tc>
            </w:tr>
            <w:tr w14:paraId="544F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002" w:type="pct"/>
                  <w:gridSpan w:val="2"/>
                  <w:noWrap w:val="0"/>
                  <w:vAlign w:val="center"/>
                </w:tcPr>
                <w:p w14:paraId="487745A2">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997" w:type="pct"/>
                  <w:noWrap w:val="0"/>
                  <w:vAlign w:val="center"/>
                </w:tcPr>
                <w:p w14:paraId="27788EA1">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19.3</w:t>
                  </w:r>
                </w:p>
              </w:tc>
            </w:tr>
          </w:tbl>
          <w:p w14:paraId="5D6210C7">
            <w:pPr>
              <w:spacing w:line="360" w:lineRule="auto"/>
              <w:rPr>
                <w:rFonts w:eastAsia="黑体"/>
                <w:b/>
                <w:bCs/>
                <w:color w:val="auto"/>
                <w:sz w:val="24"/>
              </w:rPr>
            </w:pPr>
            <w:r>
              <w:rPr>
                <w:rFonts w:hint="eastAsia" w:eastAsia="黑体"/>
                <w:b/>
                <w:bCs/>
                <w:color w:val="auto"/>
                <w:sz w:val="24"/>
              </w:rPr>
              <w:t>八</w:t>
            </w:r>
            <w:r>
              <w:rPr>
                <w:rFonts w:eastAsia="黑体"/>
                <w:b/>
                <w:bCs/>
                <w:color w:val="auto"/>
                <w:sz w:val="24"/>
              </w:rPr>
              <w:t>、环保</w:t>
            </w:r>
            <w:r>
              <w:rPr>
                <w:rFonts w:hint="eastAsia" w:eastAsia="黑体"/>
                <w:b/>
                <w:bCs/>
                <w:color w:val="auto"/>
                <w:sz w:val="24"/>
              </w:rPr>
              <w:t>验收</w:t>
            </w:r>
          </w:p>
          <w:p w14:paraId="7654D936">
            <w:pPr>
              <w:spacing w:line="360" w:lineRule="auto"/>
              <w:ind w:firstLine="480" w:firstLineChars="200"/>
              <w:rPr>
                <w:rFonts w:ascii="宋体" w:hAnsi="宋体"/>
                <w:color w:val="auto"/>
                <w:sz w:val="24"/>
              </w:rPr>
            </w:pPr>
            <w:r>
              <w:rPr>
                <w:rFonts w:hint="eastAsia" w:ascii="宋体" w:hAnsi="宋体"/>
                <w:color w:val="auto"/>
                <w:sz w:val="24"/>
              </w:rPr>
              <w:t>项目竣工环境保护验收内容详见表</w:t>
            </w:r>
            <w:r>
              <w:rPr>
                <w:rFonts w:ascii="宋体" w:hAnsi="宋体"/>
                <w:color w:val="auto"/>
                <w:sz w:val="24"/>
              </w:rPr>
              <w:t>7</w:t>
            </w:r>
            <w:r>
              <w:rPr>
                <w:rFonts w:hint="eastAsia" w:ascii="宋体" w:hAnsi="宋体"/>
                <w:color w:val="auto"/>
                <w:sz w:val="24"/>
              </w:rPr>
              <w:t>-</w:t>
            </w:r>
            <w:r>
              <w:rPr>
                <w:rFonts w:hint="eastAsia" w:ascii="宋体" w:hAnsi="宋体"/>
                <w:color w:val="auto"/>
                <w:sz w:val="24"/>
                <w:lang w:val="en-US" w:eastAsia="zh-CN"/>
              </w:rPr>
              <w:t>37</w:t>
            </w:r>
            <w:r>
              <w:rPr>
                <w:rFonts w:hint="eastAsia" w:ascii="宋体" w:hAnsi="宋体"/>
                <w:color w:val="auto"/>
                <w:sz w:val="24"/>
              </w:rPr>
              <w:t>。</w:t>
            </w:r>
          </w:p>
          <w:p w14:paraId="3DA3C627">
            <w:pPr>
              <w:spacing w:line="302" w:lineRule="auto"/>
              <w:ind w:right="393"/>
              <w:jc w:val="center"/>
              <w:rPr>
                <w:rFonts w:eastAsia="黑体"/>
                <w:snapToGrid w:val="0"/>
                <w:color w:val="auto"/>
                <w:kern w:val="0"/>
                <w:szCs w:val="21"/>
                <w:lang w:val="fr-FR"/>
              </w:rPr>
            </w:pPr>
            <w:r>
              <w:rPr>
                <w:rFonts w:hint="eastAsia" w:eastAsia="黑体"/>
                <w:snapToGrid w:val="0"/>
                <w:color w:val="auto"/>
                <w:kern w:val="0"/>
                <w:szCs w:val="21"/>
                <w:lang w:val="fr-FR"/>
              </w:rPr>
              <w:t>表7-</w:t>
            </w:r>
            <w:r>
              <w:rPr>
                <w:rFonts w:hint="eastAsia" w:eastAsia="黑体"/>
                <w:snapToGrid w:val="0"/>
                <w:color w:val="auto"/>
                <w:kern w:val="0"/>
                <w:szCs w:val="21"/>
                <w:lang w:val="en-US" w:eastAsia="zh-CN"/>
              </w:rPr>
              <w:t>37</w:t>
            </w:r>
            <w:r>
              <w:rPr>
                <w:rFonts w:hint="eastAsia" w:eastAsia="黑体"/>
                <w:snapToGrid w:val="0"/>
                <w:color w:val="auto"/>
                <w:kern w:val="0"/>
                <w:szCs w:val="21"/>
                <w:lang w:val="fr-FR"/>
              </w:rPr>
              <w:t xml:space="preserve">   项目全厂竣工环境保护验收一览表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5407"/>
              <w:gridCol w:w="3481"/>
            </w:tblGrid>
            <w:tr w14:paraId="11F1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14:paraId="4E49C157">
                  <w:pPr>
                    <w:pStyle w:val="69"/>
                    <w:adjustRightInd w:val="0"/>
                    <w:snapToGrid w:val="0"/>
                    <w:jc w:val="center"/>
                    <w:rPr>
                      <w:rFonts w:ascii="Times New Roman" w:hAnsi="Times New Roman" w:eastAsia="宋体" w:cs="Times New Roman"/>
                      <w:b/>
                      <w:bCs/>
                      <w:snapToGrid w:val="0"/>
                      <w:color w:val="auto"/>
                      <w:sz w:val="21"/>
                      <w:szCs w:val="21"/>
                      <w:lang w:eastAsia="zh-CN"/>
                    </w:rPr>
                  </w:pPr>
                  <w:r>
                    <w:rPr>
                      <w:rFonts w:ascii="Times New Roman" w:hAnsi="Times New Roman" w:eastAsia="宋体" w:cs="Times New Roman"/>
                      <w:b/>
                      <w:bCs/>
                      <w:snapToGrid w:val="0"/>
                      <w:color w:val="auto"/>
                      <w:sz w:val="21"/>
                      <w:szCs w:val="21"/>
                      <w:lang w:eastAsia="zh-CN"/>
                    </w:rPr>
                    <w:t>项目</w:t>
                  </w:r>
                </w:p>
              </w:tc>
              <w:tc>
                <w:tcPr>
                  <w:tcW w:w="2653" w:type="pct"/>
                  <w:vAlign w:val="center"/>
                </w:tcPr>
                <w:p w14:paraId="71C65006">
                  <w:pPr>
                    <w:pStyle w:val="69"/>
                    <w:adjustRightInd w:val="0"/>
                    <w:snapToGrid w:val="0"/>
                    <w:jc w:val="center"/>
                    <w:rPr>
                      <w:rFonts w:ascii="Times New Roman" w:hAnsi="Times New Roman" w:eastAsia="宋体" w:cs="Times New Roman"/>
                      <w:b/>
                      <w:bCs/>
                      <w:snapToGrid w:val="0"/>
                      <w:color w:val="auto"/>
                      <w:sz w:val="21"/>
                      <w:szCs w:val="21"/>
                      <w:lang w:eastAsia="zh-CN"/>
                    </w:rPr>
                  </w:pPr>
                  <w:r>
                    <w:rPr>
                      <w:rFonts w:ascii="Times New Roman" w:hAnsi="Times New Roman" w:eastAsia="宋体" w:cs="Times New Roman"/>
                      <w:b/>
                      <w:bCs/>
                      <w:snapToGrid w:val="0"/>
                      <w:color w:val="auto"/>
                      <w:sz w:val="21"/>
                      <w:szCs w:val="21"/>
                      <w:lang w:eastAsia="zh-CN"/>
                    </w:rPr>
                    <w:t>内容</w:t>
                  </w:r>
                </w:p>
              </w:tc>
              <w:tc>
                <w:tcPr>
                  <w:tcW w:w="1708" w:type="pct"/>
                  <w:vAlign w:val="center"/>
                </w:tcPr>
                <w:p w14:paraId="0344CBCC">
                  <w:pPr>
                    <w:pStyle w:val="69"/>
                    <w:adjustRightInd w:val="0"/>
                    <w:snapToGrid w:val="0"/>
                    <w:jc w:val="center"/>
                    <w:rPr>
                      <w:rFonts w:ascii="Times New Roman" w:hAnsi="Times New Roman" w:eastAsia="宋体" w:cs="Times New Roman"/>
                      <w:b/>
                      <w:bCs/>
                      <w:snapToGrid w:val="0"/>
                      <w:color w:val="auto"/>
                      <w:sz w:val="21"/>
                      <w:szCs w:val="21"/>
                      <w:lang w:eastAsia="zh-CN"/>
                    </w:rPr>
                  </w:pPr>
                  <w:r>
                    <w:rPr>
                      <w:rFonts w:ascii="Times New Roman" w:hAnsi="Times New Roman" w:eastAsia="宋体" w:cs="Times New Roman"/>
                      <w:b/>
                      <w:bCs/>
                      <w:snapToGrid w:val="0"/>
                      <w:color w:val="auto"/>
                      <w:sz w:val="21"/>
                      <w:szCs w:val="21"/>
                      <w:lang w:eastAsia="zh-CN"/>
                    </w:rPr>
                    <w:t>验收标准及要求</w:t>
                  </w:r>
                </w:p>
              </w:tc>
            </w:tr>
            <w:tr w14:paraId="0C5D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14:paraId="657DF4A2">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废水</w:t>
                  </w:r>
                </w:p>
                <w:p w14:paraId="5FC4A1D8">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治理</w:t>
                  </w:r>
                </w:p>
              </w:tc>
              <w:tc>
                <w:tcPr>
                  <w:tcW w:w="2653" w:type="pct"/>
                  <w:vAlign w:val="center"/>
                </w:tcPr>
                <w:p w14:paraId="51DDA370">
                  <w:pPr>
                    <w:pStyle w:val="69"/>
                    <w:adjustRightInd w:val="0"/>
                    <w:snapToGrid w:val="0"/>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eastAsia="zh-CN"/>
                    </w:rPr>
                    <w:t>生活污水</w:t>
                  </w:r>
                  <w:r>
                    <w:rPr>
                      <w:rFonts w:hint="eastAsia" w:ascii="Times New Roman" w:hAnsi="Times New Roman" w:cs="Times New Roman"/>
                      <w:snapToGrid w:val="0"/>
                      <w:color w:val="auto"/>
                      <w:sz w:val="21"/>
                      <w:szCs w:val="21"/>
                      <w:lang w:eastAsia="zh-CN"/>
                    </w:rPr>
                    <w:t>经</w:t>
                  </w:r>
                  <w:r>
                    <w:rPr>
                      <w:rFonts w:hint="eastAsia" w:ascii="Times New Roman" w:hAnsi="Times New Roman" w:eastAsia="宋体" w:cs="Times New Roman"/>
                      <w:snapToGrid w:val="0"/>
                      <w:color w:val="auto"/>
                      <w:sz w:val="21"/>
                      <w:szCs w:val="21"/>
                      <w:lang w:eastAsia="zh-CN"/>
                    </w:rPr>
                    <w:t>厂区的预处理池处理生活</w:t>
                  </w:r>
                  <w:r>
                    <w:rPr>
                      <w:rFonts w:ascii="Times New Roman" w:hAnsi="Times New Roman" w:eastAsia="宋体" w:cs="Times New Roman"/>
                      <w:snapToGrid w:val="0"/>
                      <w:color w:val="auto"/>
                      <w:sz w:val="21"/>
                      <w:szCs w:val="21"/>
                      <w:lang w:eastAsia="zh-CN"/>
                    </w:rPr>
                    <w:t>污水</w:t>
                  </w:r>
                  <w:r>
                    <w:rPr>
                      <w:rFonts w:hint="eastAsia" w:ascii="Times New Roman" w:hAnsi="Times New Roman" w:cs="Times New Roman"/>
                      <w:snapToGrid w:val="0"/>
                      <w:color w:val="auto"/>
                      <w:sz w:val="21"/>
                      <w:szCs w:val="21"/>
                      <w:lang w:eastAsia="zh-CN"/>
                    </w:rPr>
                    <w:t>；</w:t>
                  </w:r>
                  <w:r>
                    <w:rPr>
                      <w:rFonts w:hint="eastAsia" w:ascii="Times New Roman" w:hAnsi="Times New Roman" w:cs="Times New Roman"/>
                      <w:snapToGrid w:val="0"/>
                      <w:color w:val="auto"/>
                      <w:sz w:val="21"/>
                      <w:szCs w:val="21"/>
                      <w:lang w:val="en-US" w:eastAsia="zh-CN"/>
                    </w:rPr>
                    <w:t>生产废水循环使用或用于生产，不外排。</w:t>
                  </w:r>
                </w:p>
              </w:tc>
              <w:tc>
                <w:tcPr>
                  <w:tcW w:w="1708" w:type="pct"/>
                  <w:vAlign w:val="center"/>
                </w:tcPr>
                <w:p w14:paraId="0D7366A0">
                  <w:pPr>
                    <w:pStyle w:val="69"/>
                    <w:adjustRightInd w:val="0"/>
                    <w:snapToGrid w:val="0"/>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生活污水</w:t>
                  </w:r>
                  <w:r>
                    <w:rPr>
                      <w:rFonts w:hint="eastAsia" w:ascii="Times New Roman" w:hAnsi="Times New Roman" w:cs="Times New Roman"/>
                      <w:snapToGrid w:val="0"/>
                      <w:color w:val="auto"/>
                      <w:sz w:val="21"/>
                      <w:szCs w:val="21"/>
                      <w:lang w:eastAsia="zh-CN"/>
                    </w:rPr>
                    <w:t>和生产废水</w:t>
                  </w:r>
                  <w:r>
                    <w:rPr>
                      <w:rFonts w:hint="eastAsia" w:ascii="Times New Roman" w:hAnsi="Times New Roman" w:eastAsia="宋体" w:cs="Times New Roman"/>
                      <w:snapToGrid w:val="0"/>
                      <w:color w:val="auto"/>
                      <w:sz w:val="21"/>
                      <w:szCs w:val="21"/>
                      <w:lang w:eastAsia="zh-CN"/>
                    </w:rPr>
                    <w:t>全部收集通过相应设施处理，</w:t>
                  </w:r>
                  <w:r>
                    <w:rPr>
                      <w:rFonts w:hint="eastAsia" w:ascii="Times New Roman" w:hAnsi="Times New Roman" w:cs="Times New Roman"/>
                      <w:snapToGrid w:val="0"/>
                      <w:color w:val="auto"/>
                      <w:sz w:val="21"/>
                      <w:szCs w:val="21"/>
                      <w:lang w:eastAsia="zh-CN"/>
                    </w:rPr>
                    <w:t>并用于农肥和会用生产</w:t>
                  </w:r>
                </w:p>
              </w:tc>
            </w:tr>
            <w:tr w14:paraId="23CD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638" w:type="pct"/>
                  <w:vAlign w:val="center"/>
                </w:tcPr>
                <w:p w14:paraId="398C466D">
                  <w:pPr>
                    <w:pStyle w:val="69"/>
                    <w:adjustRightInd w:val="0"/>
                    <w:snapToGrid w:val="0"/>
                    <w:jc w:val="center"/>
                    <w:rPr>
                      <w:rFonts w:hint="default" w:ascii="Times New Roman" w:hAnsi="Times New Roman" w:eastAsia="宋体" w:cs="Times New Roman"/>
                      <w:snapToGrid w:val="0"/>
                      <w:color w:val="auto"/>
                      <w:sz w:val="21"/>
                      <w:szCs w:val="21"/>
                      <w:lang w:val="en-US" w:eastAsia="zh-CN"/>
                    </w:rPr>
                  </w:pPr>
                  <w:r>
                    <w:rPr>
                      <w:rFonts w:ascii="Times New Roman" w:hAnsi="Times New Roman" w:eastAsia="宋体" w:cs="Times New Roman"/>
                      <w:snapToGrid w:val="0"/>
                      <w:color w:val="auto"/>
                      <w:sz w:val="21"/>
                      <w:szCs w:val="21"/>
                      <w:lang w:eastAsia="zh-CN"/>
                    </w:rPr>
                    <w:t>废气治理</w:t>
                  </w:r>
                </w:p>
              </w:tc>
              <w:tc>
                <w:tcPr>
                  <w:tcW w:w="2653" w:type="pct"/>
                  <w:vAlign w:val="center"/>
                </w:tcPr>
                <w:p w14:paraId="277D152D">
                  <w:pPr>
                    <w:pStyle w:val="69"/>
                    <w:adjustRightInd w:val="0"/>
                    <w:snapToGrid w:val="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水泥筒仓装卸粉尘</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各</w:t>
                  </w:r>
                  <w:r>
                    <w:rPr>
                      <w:rFonts w:hint="default" w:ascii="Times New Roman" w:hAnsi="Times New Roman" w:eastAsia="宋体" w:cs="Times New Roman"/>
                      <w:color w:val="auto"/>
                      <w:sz w:val="21"/>
                      <w:szCs w:val="21"/>
                      <w:lang w:val="en-US" w:eastAsia="zh-CN"/>
                    </w:rPr>
                    <w:t>设备自带的</w:t>
                  </w:r>
                  <w:r>
                    <w:rPr>
                      <w:rFonts w:hint="eastAsia" w:ascii="Times New Roman" w:hAnsi="Times New Roman" w:eastAsia="宋体" w:cs="Times New Roman"/>
                      <w:color w:val="auto"/>
                      <w:sz w:val="21"/>
                      <w:szCs w:val="21"/>
                      <w:lang w:val="en-US" w:eastAsia="zh-CN"/>
                    </w:rPr>
                    <w:t>脉冲</w:t>
                  </w:r>
                  <w:r>
                    <w:rPr>
                      <w:rFonts w:hint="default" w:ascii="Times New Roman" w:hAnsi="Times New Roman" w:eastAsia="宋体" w:cs="Times New Roman"/>
                      <w:color w:val="auto"/>
                      <w:sz w:val="21"/>
                      <w:szCs w:val="21"/>
                      <w:lang w:val="en-US" w:eastAsia="zh-CN"/>
                    </w:rPr>
                    <w:t>除尘器</w:t>
                  </w:r>
                  <w:r>
                    <w:rPr>
                      <w:rFonts w:hint="default" w:ascii="Times New Roman" w:hAnsi="Times New Roman" w:eastAsia="宋体" w:cs="Times New Roman"/>
                      <w:color w:val="auto"/>
                      <w:sz w:val="21"/>
                      <w:szCs w:val="21"/>
                    </w:rPr>
                    <w:t>处理后由筒仓顶部排气筒</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高度约15m</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有</w:t>
                  </w:r>
                  <w:r>
                    <w:rPr>
                      <w:rFonts w:hint="default" w:ascii="Times New Roman" w:hAnsi="Times New Roman" w:eastAsia="宋体" w:cs="Times New Roman"/>
                      <w:color w:val="auto"/>
                      <w:sz w:val="21"/>
                      <w:szCs w:val="21"/>
                      <w:lang w:val="en-US" w:eastAsia="zh-CN"/>
                    </w:rPr>
                    <w:t>组织</w:t>
                  </w:r>
                  <w:r>
                    <w:rPr>
                      <w:rFonts w:hint="eastAsia" w:ascii="Times New Roman" w:hAnsi="Times New Roman" w:eastAsia="宋体" w:cs="Times New Roman"/>
                      <w:color w:val="auto"/>
                      <w:sz w:val="21"/>
                      <w:szCs w:val="21"/>
                      <w:lang w:val="en-US" w:eastAsia="zh-CN"/>
                    </w:rPr>
                    <w:t>达标</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lang w:eastAsia="zh-CN"/>
                    </w:rPr>
                    <w:t>；</w:t>
                  </w:r>
                </w:p>
                <w:p w14:paraId="39C1A7F3">
                  <w:pPr>
                    <w:pStyle w:val="69"/>
                    <w:adjustRightInd w:val="0"/>
                    <w:snapToGrid w:val="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搅拌粉尘：设置为</w:t>
                  </w:r>
                  <w:r>
                    <w:rPr>
                      <w:rFonts w:hint="eastAsia" w:ascii="Times New Roman" w:hAnsi="Times New Roman" w:cs="Times New Roman"/>
                      <w:color w:val="auto"/>
                      <w:sz w:val="21"/>
                      <w:szCs w:val="21"/>
                      <w:lang w:val="en-US" w:eastAsia="zh-CN"/>
                    </w:rPr>
                    <w:t>在</w:t>
                  </w:r>
                  <w:r>
                    <w:rPr>
                      <w:rFonts w:hint="default" w:ascii="Times New Roman" w:hAnsi="Times New Roman" w:cs="Times New Roman"/>
                      <w:color w:val="auto"/>
                      <w:sz w:val="21"/>
                      <w:szCs w:val="21"/>
                      <w:lang w:val="en-US" w:eastAsia="zh-CN"/>
                    </w:rPr>
                    <w:t>密闭</w:t>
                  </w:r>
                  <w:r>
                    <w:rPr>
                      <w:rFonts w:hint="eastAsia" w:ascii="Times New Roman" w:hAnsi="Times New Roman" w:cs="Times New Roman"/>
                      <w:color w:val="auto"/>
                      <w:sz w:val="21"/>
                      <w:szCs w:val="21"/>
                      <w:lang w:val="en-US" w:eastAsia="zh-CN"/>
                    </w:rPr>
                    <w:t>生产车间内</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在搅拌机上方各设置一个2m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的集气罩，收集的粉尘经</w:t>
                  </w:r>
                  <w:r>
                    <w:rPr>
                      <w:rFonts w:hint="default" w:ascii="Times New Roman" w:hAnsi="Times New Roman" w:cs="Times New Roman"/>
                      <w:color w:val="auto"/>
                      <w:sz w:val="21"/>
                      <w:szCs w:val="21"/>
                      <w:lang w:val="en-US" w:eastAsia="zh-CN"/>
                    </w:rPr>
                    <w:t>一台脉冲式布袋除尘器进行除尘处理后</w:t>
                  </w:r>
                  <w:r>
                    <w:rPr>
                      <w:rFonts w:hint="eastAsia" w:ascii="Times New Roman" w:hAnsi="Times New Roman" w:cs="Times New Roman"/>
                      <w:color w:val="auto"/>
                      <w:sz w:val="21"/>
                      <w:szCs w:val="21"/>
                      <w:lang w:val="en-US" w:eastAsia="zh-CN"/>
                    </w:rPr>
                    <w:t>通过15m高排气筒（2#）有组织排放</w:t>
                  </w:r>
                  <w:r>
                    <w:rPr>
                      <w:rFonts w:hint="default" w:ascii="Times New Roman" w:hAnsi="Times New Roman" w:cs="Times New Roman"/>
                      <w:color w:val="auto"/>
                      <w:sz w:val="21"/>
                      <w:szCs w:val="21"/>
                      <w:lang w:val="en-US" w:eastAsia="zh-CN"/>
                    </w:rPr>
                    <w:t>；</w:t>
                  </w:r>
                </w:p>
                <w:p w14:paraId="31275534">
                  <w:pPr>
                    <w:pStyle w:val="69"/>
                    <w:adjustRightInd w:val="0"/>
                    <w:snapToGrid w:val="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3、焊接烟尘：每个焊接工位上方设置集气罩，焊接烟尘经收集后，通过焊接烟尘净化器处理，处理后经15m高排气筒（3#）排放；</w:t>
                  </w:r>
                </w:p>
                <w:p w14:paraId="53601951">
                  <w:pPr>
                    <w:pStyle w:val="69"/>
                    <w:adjustRightInd w:val="0"/>
                    <w:snapToGrid w:val="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rPr>
                    <w:t>卸料、输送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堆场粉尘</w:t>
                  </w:r>
                  <w:r>
                    <w:rPr>
                      <w:rFonts w:hint="eastAsia" w:ascii="Times New Roman" w:hAnsi="Times New Roman" w:eastAsia="宋体" w:cs="Times New Roman"/>
                      <w:color w:val="auto"/>
                      <w:sz w:val="21"/>
                      <w:szCs w:val="21"/>
                      <w:lang w:val="en-US" w:eastAsia="zh-CN"/>
                    </w:rPr>
                    <w:t>和物料输送、</w:t>
                  </w:r>
                  <w:r>
                    <w:rPr>
                      <w:rFonts w:hint="default" w:ascii="Times New Roman" w:hAnsi="Times New Roman" w:eastAsia="宋体" w:cs="Times New Roman"/>
                      <w:color w:val="auto"/>
                      <w:sz w:val="21"/>
                      <w:szCs w:val="21"/>
                      <w:lang w:val="en-US" w:eastAsia="zh-CN"/>
                    </w:rPr>
                    <w:t>转运</w:t>
                  </w:r>
                  <w:r>
                    <w:rPr>
                      <w:rFonts w:hint="eastAsia" w:ascii="Times New Roman" w:hAnsi="Times New Roman" w:eastAsia="宋体" w:cs="Times New Roman"/>
                      <w:color w:val="auto"/>
                      <w:sz w:val="21"/>
                      <w:szCs w:val="21"/>
                      <w:lang w:val="en-US" w:eastAsia="zh-CN"/>
                    </w:rPr>
                    <w:t>环节</w:t>
                  </w:r>
                  <w:r>
                    <w:rPr>
                      <w:rFonts w:hint="default" w:ascii="Times New Roman" w:hAnsi="Times New Roman" w:eastAsia="宋体" w:cs="Times New Roman"/>
                      <w:color w:val="auto"/>
                      <w:sz w:val="21"/>
                      <w:szCs w:val="21"/>
                    </w:rPr>
                    <w:t>粉尘：</w:t>
                  </w:r>
                  <w:r>
                    <w:rPr>
                      <w:rFonts w:hint="eastAsia" w:ascii="Times New Roman" w:hAnsi="Times New Roman" w:cs="Times New Roman"/>
                      <w:color w:val="auto"/>
                      <w:sz w:val="21"/>
                      <w:szCs w:val="21"/>
                      <w:lang w:val="en-US" w:eastAsia="zh-CN"/>
                    </w:rPr>
                    <w:t>砂石原料堆场和生产车间均设置成密闭空间，仅留有车辆进出口；在原料库房设置10</w:t>
                  </w:r>
                  <w:r>
                    <w:rPr>
                      <w:rFonts w:hint="default" w:ascii="Times New Roman" w:hAnsi="Times New Roman" w:eastAsia="宋体" w:cs="Times New Roman"/>
                      <w:color w:val="auto"/>
                      <w:sz w:val="21"/>
                      <w:szCs w:val="21"/>
                      <w:lang w:val="en-US" w:eastAsia="zh-CN"/>
                    </w:rPr>
                    <w:t>个喷淋</w:t>
                  </w:r>
                  <w:r>
                    <w:rPr>
                      <w:rFonts w:hint="default" w:ascii="Times New Roman" w:hAnsi="Times New Roman" w:eastAsia="宋体" w:cs="Times New Roman"/>
                      <w:color w:val="auto"/>
                      <w:sz w:val="21"/>
                      <w:szCs w:val="21"/>
                      <w:lang w:eastAsia="zh-CN"/>
                    </w:rPr>
                    <w:t>装置；</w:t>
                  </w:r>
                  <w:r>
                    <w:rPr>
                      <w:rFonts w:hint="eastAsia"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lang w:val="en-US" w:eastAsia="zh-CN"/>
                    </w:rPr>
                    <w:t>上料斗</w:t>
                  </w:r>
                  <w:r>
                    <w:rPr>
                      <w:rFonts w:hint="eastAsia" w:ascii="Times New Roman" w:hAnsi="Times New Roman" w:eastAsia="宋体" w:cs="Times New Roman"/>
                      <w:color w:val="auto"/>
                      <w:sz w:val="21"/>
                      <w:szCs w:val="21"/>
                      <w:lang w:val="en-US" w:eastAsia="zh-CN"/>
                    </w:rPr>
                    <w:t>和搅拌机</w:t>
                  </w:r>
                  <w:r>
                    <w:rPr>
                      <w:rFonts w:hint="eastAsia" w:ascii="Times New Roman" w:hAnsi="Times New Roman" w:cs="Times New Roman"/>
                      <w:color w:val="auto"/>
                      <w:sz w:val="21"/>
                      <w:szCs w:val="21"/>
                      <w:lang w:val="en-US" w:eastAsia="zh-CN"/>
                    </w:rPr>
                    <w:t>处</w:t>
                  </w:r>
                  <w:r>
                    <w:rPr>
                      <w:rFonts w:hint="default" w:ascii="Times New Roman" w:hAnsi="Times New Roman" w:eastAsia="宋体" w:cs="Times New Roman"/>
                      <w:color w:val="auto"/>
                      <w:sz w:val="21"/>
                      <w:szCs w:val="21"/>
                      <w:lang w:val="en-US" w:eastAsia="zh-CN"/>
                    </w:rPr>
                    <w:t>设置喷淋装置，</w:t>
                  </w:r>
                  <w:r>
                    <w:rPr>
                      <w:rFonts w:hint="eastAsia" w:ascii="Times New Roman" w:hAnsi="Times New Roman" w:eastAsia="宋体" w:cs="Times New Roman"/>
                      <w:color w:val="auto"/>
                      <w:sz w:val="21"/>
                      <w:szCs w:val="21"/>
                      <w:lang w:val="en-US" w:eastAsia="zh-CN"/>
                    </w:rPr>
                    <w:t>水泥在输送、转运环节采用密闭输送和管式螺旋输送机</w:t>
                  </w:r>
                  <w:r>
                    <w:rPr>
                      <w:rFonts w:hint="eastAsia" w:ascii="Times New Roman" w:hAnsi="Times New Roman" w:cs="Times New Roman"/>
                      <w:color w:val="auto"/>
                      <w:sz w:val="21"/>
                      <w:szCs w:val="21"/>
                      <w:lang w:val="en-US" w:eastAsia="zh-CN"/>
                    </w:rPr>
                    <w:t>；</w:t>
                  </w:r>
                </w:p>
                <w:p w14:paraId="181BD253">
                  <w:pPr>
                    <w:pStyle w:val="69"/>
                    <w:adjustRightInd w:val="0"/>
                    <w:snapToGrid w:val="0"/>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rPr>
                    <w:t>汽车运输扬尘</w:t>
                  </w:r>
                  <w:r>
                    <w:rPr>
                      <w:rFonts w:hint="default" w:ascii="Times New Roman" w:hAnsi="Times New Roman" w:eastAsia="宋体" w:cs="Times New Roman"/>
                      <w:color w:val="auto"/>
                      <w:sz w:val="21"/>
                      <w:szCs w:val="21"/>
                      <w:lang w:eastAsia="zh-CN"/>
                    </w:rPr>
                    <w:t>：路面进行水泥硬化，定期对路面进行清扫，厂区内</w:t>
                  </w:r>
                  <w:r>
                    <w:rPr>
                      <w:rFonts w:hint="eastAsia" w:ascii="Times New Roman" w:hAnsi="Times New Roman" w:eastAsia="宋体" w:cs="Times New Roman"/>
                      <w:color w:val="auto"/>
                      <w:sz w:val="21"/>
                      <w:szCs w:val="21"/>
                      <w:lang w:eastAsia="zh-CN"/>
                    </w:rPr>
                    <w:t>道路</w:t>
                  </w:r>
                  <w:r>
                    <w:rPr>
                      <w:rFonts w:hint="default" w:ascii="Times New Roman" w:hAnsi="Times New Roman" w:eastAsia="宋体" w:cs="Times New Roman"/>
                      <w:color w:val="auto"/>
                      <w:sz w:val="21"/>
                      <w:szCs w:val="21"/>
                      <w:lang w:eastAsia="zh-CN"/>
                    </w:rPr>
                    <w:t>设置</w:t>
                  </w:r>
                  <w:r>
                    <w:rPr>
                      <w:rFonts w:hint="eastAsia" w:ascii="Times New Roman" w:hAnsi="Times New Roman" w:eastAsia="宋体" w:cs="Times New Roman"/>
                      <w:color w:val="auto"/>
                      <w:sz w:val="21"/>
                      <w:szCs w:val="21"/>
                      <w:lang w:eastAsia="zh-CN"/>
                    </w:rPr>
                    <w:t>喷淋装置</w:t>
                  </w:r>
                  <w:r>
                    <w:rPr>
                      <w:rFonts w:hint="default" w:ascii="Times New Roman" w:hAnsi="Times New Roman" w:eastAsia="宋体" w:cs="Times New Roman"/>
                      <w:color w:val="auto"/>
                      <w:sz w:val="21"/>
                      <w:szCs w:val="21"/>
                      <w:lang w:eastAsia="zh-CN"/>
                    </w:rPr>
                    <w:t>对车辆行驶的路面实施喷雾降尘，在本厂区出入口设置1处洗车平台，运输车辆加盖篷布，做好遮掩工作，并控制车速等；</w:t>
                  </w:r>
                </w:p>
              </w:tc>
              <w:tc>
                <w:tcPr>
                  <w:tcW w:w="1708" w:type="pct"/>
                  <w:vAlign w:val="center"/>
                </w:tcPr>
                <w:p w14:paraId="36955EAA">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环保设施运行稳定，颗粒物排放满足《大气污染物综合排放标准》(GB16297-1996)</w:t>
                  </w:r>
                  <w:r>
                    <w:rPr>
                      <w:rFonts w:hint="eastAsia" w:ascii="Times New Roman" w:hAnsi="Times New Roman" w:eastAsia="宋体" w:cs="Times New Roman"/>
                      <w:snapToGrid w:val="0"/>
                      <w:color w:val="auto"/>
                      <w:sz w:val="21"/>
                      <w:szCs w:val="21"/>
                      <w:lang w:eastAsia="zh-CN"/>
                    </w:rPr>
                    <w:t>相关</w:t>
                  </w:r>
                  <w:r>
                    <w:rPr>
                      <w:rFonts w:ascii="Times New Roman" w:hAnsi="Times New Roman" w:eastAsia="宋体" w:cs="Times New Roman"/>
                      <w:snapToGrid w:val="0"/>
                      <w:color w:val="auto"/>
                      <w:sz w:val="21"/>
                      <w:szCs w:val="21"/>
                      <w:lang w:eastAsia="zh-CN"/>
                    </w:rPr>
                    <w:t>标准要求</w:t>
                  </w:r>
                </w:p>
              </w:tc>
            </w:tr>
            <w:tr w14:paraId="035E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14:paraId="50E742EF">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噪声</w:t>
                  </w:r>
                </w:p>
                <w:p w14:paraId="73EDAE0D">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治理</w:t>
                  </w:r>
                </w:p>
              </w:tc>
              <w:tc>
                <w:tcPr>
                  <w:tcW w:w="2653" w:type="pct"/>
                  <w:vAlign w:val="center"/>
                </w:tcPr>
                <w:p w14:paraId="439A542F">
                  <w:pPr>
                    <w:pStyle w:val="69"/>
                    <w:adjustRightInd w:val="0"/>
                    <w:snapToGrid w:val="0"/>
                    <w:jc w:val="center"/>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定期对设备进行保养，维修；选用先进的低噪声设备</w:t>
                  </w:r>
                </w:p>
              </w:tc>
              <w:tc>
                <w:tcPr>
                  <w:tcW w:w="1708" w:type="pct"/>
                  <w:vAlign w:val="center"/>
                </w:tcPr>
                <w:p w14:paraId="0101251E">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项目厂界噪声满足《工业企业厂界环境噪声排放标准》GB12348-2008中</w:t>
                  </w:r>
                  <w:r>
                    <w:rPr>
                      <w:rFonts w:hint="eastAsia" w:ascii="Times New Roman" w:hAnsi="Times New Roman" w:cs="Times New Roman"/>
                      <w:snapToGrid w:val="0"/>
                      <w:color w:val="auto"/>
                      <w:sz w:val="21"/>
                      <w:szCs w:val="21"/>
                      <w:lang w:val="en-US" w:eastAsia="zh-CN"/>
                    </w:rPr>
                    <w:t>2</w:t>
                  </w:r>
                  <w:r>
                    <w:rPr>
                      <w:rFonts w:ascii="Times New Roman" w:hAnsi="Times New Roman" w:eastAsia="宋体" w:cs="Times New Roman"/>
                      <w:snapToGrid w:val="0"/>
                      <w:color w:val="auto"/>
                      <w:sz w:val="21"/>
                      <w:szCs w:val="21"/>
                      <w:lang w:eastAsia="zh-CN"/>
                    </w:rPr>
                    <w:t>类标准</w:t>
                  </w:r>
                  <w:r>
                    <w:rPr>
                      <w:rFonts w:hint="eastAsia" w:ascii="Times New Roman" w:hAnsi="Times New Roman" w:eastAsia="宋体" w:cs="Times New Roman"/>
                      <w:snapToGrid w:val="0"/>
                      <w:color w:val="auto"/>
                      <w:sz w:val="21"/>
                      <w:szCs w:val="21"/>
                      <w:lang w:eastAsia="zh-CN"/>
                    </w:rPr>
                    <w:t>要求</w:t>
                  </w:r>
                </w:p>
              </w:tc>
            </w:tr>
            <w:tr w14:paraId="5207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Merge w:val="restart"/>
                  <w:vAlign w:val="center"/>
                </w:tcPr>
                <w:p w14:paraId="07C9D3C7">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固废</w:t>
                  </w:r>
                </w:p>
                <w:p w14:paraId="1EEC309E">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治理</w:t>
                  </w:r>
                </w:p>
              </w:tc>
              <w:tc>
                <w:tcPr>
                  <w:tcW w:w="2653" w:type="pct"/>
                  <w:vAlign w:val="center"/>
                </w:tcPr>
                <w:p w14:paraId="0266D37B">
                  <w:pPr>
                    <w:pStyle w:val="69"/>
                    <w:adjustRightInd w:val="0"/>
                    <w:snapToGrid w:val="0"/>
                    <w:jc w:val="left"/>
                    <w:rPr>
                      <w:rFonts w:hint="eastAsia" w:ascii="Times New Roman" w:hAnsi="Times New Roman" w:eastAsia="宋体" w:cs="Times New Roman"/>
                      <w:snapToGrid w:val="0"/>
                      <w:color w:val="auto"/>
                      <w:sz w:val="21"/>
                      <w:szCs w:val="21"/>
                      <w:lang w:eastAsia="zh-CN"/>
                    </w:rPr>
                  </w:pPr>
                  <w:r>
                    <w:rPr>
                      <w:rFonts w:hint="eastAsia" w:ascii="Times New Roman" w:hAnsi="Times New Roman" w:cs="Times New Roman"/>
                      <w:snapToGrid w:val="0"/>
                      <w:color w:val="auto"/>
                      <w:sz w:val="21"/>
                      <w:szCs w:val="21"/>
                      <w:lang w:val="en-US" w:eastAsia="zh-CN"/>
                    </w:rPr>
                    <w:t>生活垃圾和废滤芯由环卫部门清运处置</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cs="Times New Roman"/>
                      <w:snapToGrid w:val="0"/>
                      <w:color w:val="auto"/>
                      <w:sz w:val="21"/>
                      <w:szCs w:val="21"/>
                      <w:lang w:val="en-US" w:eastAsia="zh-CN"/>
                    </w:rPr>
                    <w:t>沉淀池沉积物和</w:t>
                  </w:r>
                  <w:r>
                    <w:rPr>
                      <w:rFonts w:hint="eastAsia"/>
                      <w:color w:val="auto"/>
                      <w:lang w:val="en-US" w:eastAsia="zh-CN"/>
                    </w:rPr>
                    <w:t>废气收集系统收</w:t>
                  </w:r>
                  <w:r>
                    <w:rPr>
                      <w:rFonts w:hint="eastAsia"/>
                      <w:b w:val="0"/>
                      <w:bCs w:val="0"/>
                      <w:color w:val="auto"/>
                      <w:lang w:val="en-US" w:eastAsia="zh-CN"/>
                    </w:rPr>
                    <w:t>集粉尘</w:t>
                  </w:r>
                  <w:r>
                    <w:rPr>
                      <w:rFonts w:hint="eastAsia"/>
                      <w:color w:val="auto"/>
                      <w:lang w:val="en-US" w:eastAsia="zh-CN"/>
                    </w:rPr>
                    <w:t>回用生</w:t>
                  </w:r>
                  <w:r>
                    <w:rPr>
                      <w:rFonts w:hint="eastAsia"/>
                      <w:b w:val="0"/>
                      <w:bCs w:val="0"/>
                      <w:color w:val="auto"/>
                      <w:lang w:val="en-US" w:eastAsia="zh-CN"/>
                    </w:rPr>
                    <w:t>产；预处理池污泥农田施肥；</w:t>
                  </w:r>
                  <w:r>
                    <w:rPr>
                      <w:rFonts w:hint="eastAsia" w:ascii="Times New Roman" w:hAnsi="Times New Roman" w:cs="Times New Roman"/>
                      <w:color w:val="auto"/>
                      <w:sz w:val="21"/>
                      <w:szCs w:val="21"/>
                      <w:lang w:val="en-US" w:eastAsia="zh-CN"/>
                    </w:rPr>
                    <w:t>钢筋头、不锈钢边角料、废焊丝和熔渣定期外售给废品收购站</w:t>
                  </w:r>
                  <w:r>
                    <w:rPr>
                      <w:rFonts w:hint="eastAsia" w:ascii="Times New Roman" w:hAnsi="Times New Roman" w:eastAsia="宋体" w:cs="Times New Roman"/>
                      <w:snapToGrid w:val="0"/>
                      <w:color w:val="auto"/>
                      <w:sz w:val="21"/>
                      <w:szCs w:val="21"/>
                      <w:lang w:eastAsia="zh-CN"/>
                    </w:rPr>
                    <w:t>。</w:t>
                  </w:r>
                </w:p>
              </w:tc>
              <w:tc>
                <w:tcPr>
                  <w:tcW w:w="1708" w:type="pct"/>
                  <w:vMerge w:val="restart"/>
                  <w:vAlign w:val="center"/>
                </w:tcPr>
                <w:p w14:paraId="26D09A23">
                  <w:pPr>
                    <w:pStyle w:val="69"/>
                    <w:adjustRightInd w:val="0"/>
                    <w:snapToGrid w:val="0"/>
                    <w:jc w:val="center"/>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去向明确，处置得当，符合固废处置“无害化、减量化、资源化”原则，不会对周围环境造成二次污染</w:t>
                  </w:r>
                </w:p>
              </w:tc>
            </w:tr>
            <w:tr w14:paraId="0098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pct"/>
                  <w:vMerge w:val="continue"/>
                  <w:vAlign w:val="center"/>
                </w:tcPr>
                <w:p w14:paraId="212578FE">
                  <w:pPr>
                    <w:pStyle w:val="69"/>
                    <w:adjustRightInd w:val="0"/>
                    <w:snapToGrid w:val="0"/>
                    <w:jc w:val="center"/>
                    <w:rPr>
                      <w:rFonts w:ascii="Times New Roman" w:hAnsi="Times New Roman" w:eastAsia="宋体" w:cs="Times New Roman"/>
                      <w:snapToGrid w:val="0"/>
                      <w:color w:val="auto"/>
                      <w:sz w:val="21"/>
                      <w:szCs w:val="21"/>
                      <w:lang w:eastAsia="zh-CN"/>
                    </w:rPr>
                  </w:pPr>
                </w:p>
              </w:tc>
              <w:tc>
                <w:tcPr>
                  <w:tcW w:w="2653" w:type="pct"/>
                  <w:vAlign w:val="center"/>
                </w:tcPr>
                <w:p w14:paraId="77C47A5C">
                  <w:pPr>
                    <w:pStyle w:val="69"/>
                    <w:adjustRightInd w:val="0"/>
                    <w:snapToGrid w:val="0"/>
                    <w:jc w:val="left"/>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危险废物：</w:t>
                  </w:r>
                  <w:r>
                    <w:rPr>
                      <w:rFonts w:hint="eastAsia" w:ascii="Times New Roman" w:hAnsi="Times New Roman" w:eastAsia="宋体" w:cs="Times New Roman"/>
                      <w:snapToGrid w:val="0"/>
                      <w:color w:val="auto"/>
                      <w:kern w:val="2"/>
                      <w:sz w:val="21"/>
                      <w:szCs w:val="21"/>
                      <w:lang w:val="en-US" w:eastAsia="zh-CN" w:bidi="zh-CN"/>
                    </w:rPr>
                    <w:t>含油抹布手套</w:t>
                  </w:r>
                  <w:r>
                    <w:rPr>
                      <w:rFonts w:hint="eastAsia" w:ascii="Times New Roman" w:hAnsi="Times New Roman" w:cs="Times New Roman"/>
                      <w:snapToGrid w:val="0"/>
                      <w:color w:val="auto"/>
                      <w:kern w:val="2"/>
                      <w:sz w:val="21"/>
                      <w:szCs w:val="21"/>
                      <w:lang w:val="en-US" w:eastAsia="zh-CN" w:bidi="zh-CN"/>
                    </w:rPr>
                    <w:t>和废机油暂存危废暂存间，定期交由具有资质单位处理</w:t>
                  </w:r>
                </w:p>
              </w:tc>
              <w:tc>
                <w:tcPr>
                  <w:tcW w:w="1708" w:type="pct"/>
                  <w:vMerge w:val="continue"/>
                  <w:vAlign w:val="center"/>
                </w:tcPr>
                <w:p w14:paraId="1810D3D5">
                  <w:pPr>
                    <w:pStyle w:val="69"/>
                    <w:adjustRightInd w:val="0"/>
                    <w:snapToGrid w:val="0"/>
                    <w:jc w:val="center"/>
                    <w:rPr>
                      <w:rFonts w:ascii="Times New Roman" w:hAnsi="Times New Roman" w:eastAsia="宋体" w:cs="Times New Roman"/>
                      <w:snapToGrid w:val="0"/>
                      <w:color w:val="auto"/>
                      <w:sz w:val="21"/>
                      <w:szCs w:val="21"/>
                      <w:lang w:eastAsia="zh-CN"/>
                    </w:rPr>
                  </w:pPr>
                </w:p>
              </w:tc>
            </w:tr>
            <w:tr w14:paraId="4BB7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14:paraId="342282E1">
                  <w:pPr>
                    <w:pStyle w:val="69"/>
                    <w:adjustRightInd w:val="0"/>
                    <w:snapToGrid w:val="0"/>
                    <w:jc w:val="center"/>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地下水防治</w:t>
                  </w:r>
                </w:p>
              </w:tc>
              <w:tc>
                <w:tcPr>
                  <w:tcW w:w="2653" w:type="pct"/>
                  <w:vAlign w:val="center"/>
                </w:tcPr>
                <w:p w14:paraId="13AE381D">
                  <w:pPr>
                    <w:pStyle w:val="69"/>
                    <w:adjustRightInd w:val="0"/>
                    <w:snapToGrid w:val="0"/>
                    <w:jc w:val="center"/>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分区防渗</w:t>
                  </w:r>
                </w:p>
              </w:tc>
              <w:tc>
                <w:tcPr>
                  <w:tcW w:w="1708" w:type="pct"/>
                  <w:vAlign w:val="center"/>
                </w:tcPr>
                <w:p w14:paraId="7E9EA87E">
                  <w:pPr>
                    <w:pStyle w:val="69"/>
                    <w:adjustRightInd w:val="0"/>
                    <w:snapToGrid w:val="0"/>
                    <w:rPr>
                      <w:rFonts w:ascii="Times New Roman" w:hAnsi="Times New Roman" w:eastAsia="宋体" w:cs="Times New Roman"/>
                      <w:snapToGrid w:val="0"/>
                      <w:color w:val="auto"/>
                      <w:sz w:val="21"/>
                      <w:szCs w:val="21"/>
                      <w:lang w:eastAsia="zh-CN"/>
                    </w:rPr>
                  </w:pPr>
                  <w:r>
                    <w:rPr>
                      <w:rFonts w:hint="eastAsia"/>
                      <w:b w:val="0"/>
                      <w:bCs/>
                      <w:color w:val="auto"/>
                      <w:sz w:val="21"/>
                      <w:szCs w:val="21"/>
                      <w:lang w:val="en-US" w:eastAsia="zh-CN"/>
                    </w:rPr>
                    <w:t>应按照项目环评做相应防渗</w:t>
                  </w:r>
                  <w:r>
                    <w:rPr>
                      <w:rFonts w:hint="eastAsia"/>
                      <w:b w:val="0"/>
                      <w:bCs/>
                      <w:color w:val="auto"/>
                      <w:sz w:val="21"/>
                      <w:szCs w:val="21"/>
                      <w:lang w:eastAsia="zh-CN"/>
                    </w:rPr>
                    <w:t>。</w:t>
                  </w:r>
                </w:p>
              </w:tc>
            </w:tr>
            <w:tr w14:paraId="69C8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14:paraId="0A75812D">
                  <w:pPr>
                    <w:pStyle w:val="69"/>
                    <w:adjustRightInd w:val="0"/>
                    <w:snapToGrid w:val="0"/>
                    <w:jc w:val="center"/>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环境</w:t>
                  </w:r>
                </w:p>
                <w:p w14:paraId="51EA7B55">
                  <w:pPr>
                    <w:pStyle w:val="69"/>
                    <w:adjustRightInd w:val="0"/>
                    <w:snapToGrid w:val="0"/>
                    <w:jc w:val="center"/>
                    <w:rPr>
                      <w:rFonts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风险</w:t>
                  </w:r>
                </w:p>
              </w:tc>
              <w:tc>
                <w:tcPr>
                  <w:tcW w:w="2653" w:type="pct"/>
                  <w:vAlign w:val="center"/>
                </w:tcPr>
                <w:p w14:paraId="1834CA37">
                  <w:pPr>
                    <w:pStyle w:val="69"/>
                    <w:adjustRightInd w:val="0"/>
                    <w:snapToGrid w:val="0"/>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车间设置严禁火标志，采取密闭、防雨、防风措施，加强通风，原料分类储存</w:t>
                  </w:r>
                  <w:r>
                    <w:rPr>
                      <w:rFonts w:hint="eastAsia" w:ascii="Times New Roman" w:hAnsi="Times New Roman" w:eastAsia="宋体" w:cs="Times New Roman"/>
                      <w:snapToGrid w:val="0"/>
                      <w:color w:val="auto"/>
                      <w:sz w:val="21"/>
                      <w:szCs w:val="21"/>
                      <w:lang w:eastAsia="zh-CN"/>
                    </w:rPr>
                    <w:t>，</w:t>
                  </w:r>
                  <w:r>
                    <w:rPr>
                      <w:rFonts w:ascii="Times New Roman" w:hAnsi="Times New Roman" w:eastAsia="宋体" w:cs="Times New Roman"/>
                      <w:snapToGrid w:val="0"/>
                      <w:color w:val="auto"/>
                      <w:sz w:val="21"/>
                      <w:szCs w:val="21"/>
                      <w:lang w:eastAsia="zh-CN"/>
                    </w:rPr>
                    <w:t>配备足够的灭火器等消防设施、设备，制订快速有效的环境风险事故应急救援预案</w:t>
                  </w:r>
                </w:p>
              </w:tc>
              <w:tc>
                <w:tcPr>
                  <w:tcW w:w="1708" w:type="pct"/>
                  <w:vAlign w:val="center"/>
                </w:tcPr>
                <w:p w14:paraId="4EB50F60">
                  <w:pPr>
                    <w:pStyle w:val="69"/>
                    <w:adjustRightInd w:val="0"/>
                    <w:snapToGrid w:val="0"/>
                    <w:jc w:val="center"/>
                    <w:rPr>
                      <w:rFonts w:ascii="Times New Roman" w:hAnsi="Times New Roman" w:eastAsia="宋体" w:cs="Times New Roman"/>
                      <w:snapToGrid w:val="0"/>
                      <w:color w:val="auto"/>
                      <w:sz w:val="21"/>
                      <w:szCs w:val="21"/>
                      <w:lang w:eastAsia="zh-CN"/>
                    </w:rPr>
                  </w:pPr>
                  <w:r>
                    <w:rPr>
                      <w:rFonts w:ascii="Times New Roman" w:hAnsi="Times New Roman" w:eastAsia="宋体" w:cs="Times New Roman"/>
                      <w:snapToGrid w:val="0"/>
                      <w:color w:val="auto"/>
                      <w:sz w:val="21"/>
                      <w:szCs w:val="21"/>
                      <w:lang w:eastAsia="zh-CN"/>
                    </w:rPr>
                    <w:t>满足企业突发环境事件预防与应急需求</w:t>
                  </w:r>
                </w:p>
              </w:tc>
            </w:tr>
          </w:tbl>
          <w:p w14:paraId="2FF22139">
            <w:pPr>
              <w:pStyle w:val="2"/>
              <w:spacing w:line="360" w:lineRule="auto"/>
              <w:ind w:firstLine="422" w:firstLineChars="200"/>
              <w:jc w:val="center"/>
              <w:rPr>
                <w:rFonts w:hint="default" w:ascii="Times New Roman" w:hAnsi="Times New Roman" w:eastAsia="宋体" w:cs="Times New Roman"/>
                <w:b/>
                <w:color w:val="auto"/>
                <w:kern w:val="0"/>
                <w:sz w:val="21"/>
                <w:szCs w:val="21"/>
              </w:rPr>
            </w:pPr>
          </w:p>
          <w:p w14:paraId="710DCAAC">
            <w:pPr>
              <w:spacing w:line="360" w:lineRule="auto"/>
              <w:rPr>
                <w:rFonts w:hint="default" w:ascii="Times New Roman" w:hAnsi="Times New Roman" w:eastAsia="宋体" w:cs="Times New Roman"/>
                <w:color w:val="C00000"/>
                <w:sz w:val="24"/>
                <w:szCs w:val="24"/>
              </w:rPr>
            </w:pPr>
          </w:p>
        </w:tc>
      </w:tr>
    </w:tbl>
    <w:p w14:paraId="21D14722">
      <w:pPr>
        <w:spacing w:line="360" w:lineRule="auto"/>
        <w:ind w:firstLine="281" w:firstLineChars="100"/>
        <w:rPr>
          <w:rFonts w:hint="default" w:ascii="Times New Roman" w:hAnsi="Times New Roman" w:eastAsia="宋体" w:cs="Times New Roman"/>
          <w:b/>
          <w:color w:val="C00000"/>
          <w:sz w:val="28"/>
          <w:szCs w:val="28"/>
        </w:rPr>
      </w:pPr>
    </w:p>
    <w:p w14:paraId="1CE94624">
      <w:pPr>
        <w:spacing w:line="360" w:lineRule="auto"/>
        <w:ind w:firstLine="281" w:firstLineChars="100"/>
        <w:rPr>
          <w:rFonts w:hint="default" w:ascii="Times New Roman" w:hAnsi="Times New Roman" w:eastAsia="宋体" w:cs="Times New Roman"/>
          <w:b/>
          <w:color w:val="C00000"/>
          <w:sz w:val="28"/>
          <w:szCs w:val="28"/>
        </w:rPr>
      </w:pPr>
    </w:p>
    <w:p w14:paraId="674EF710">
      <w:pPr>
        <w:spacing w:line="360" w:lineRule="auto"/>
        <w:ind w:firstLine="281" w:firstLineChars="100"/>
        <w:rPr>
          <w:rFonts w:hint="default" w:ascii="Times New Roman" w:hAnsi="Times New Roman" w:eastAsia="宋体" w:cs="Times New Roman"/>
          <w:b/>
          <w:color w:val="C00000"/>
          <w:sz w:val="28"/>
          <w:szCs w:val="28"/>
        </w:rPr>
      </w:pPr>
    </w:p>
    <w:p w14:paraId="3CA803E6">
      <w:pPr>
        <w:spacing w:line="360" w:lineRule="auto"/>
        <w:ind w:firstLine="281" w:firstLineChars="100"/>
        <w:rPr>
          <w:rFonts w:hint="default" w:ascii="Times New Roman" w:hAnsi="Times New Roman" w:eastAsia="宋体" w:cs="Times New Roman"/>
          <w:b/>
          <w:color w:val="C00000"/>
          <w:sz w:val="28"/>
          <w:szCs w:val="28"/>
        </w:rPr>
      </w:pPr>
    </w:p>
    <w:p w14:paraId="66346FE6">
      <w:pPr>
        <w:spacing w:line="360" w:lineRule="auto"/>
        <w:ind w:firstLine="281" w:firstLineChars="100"/>
        <w:rPr>
          <w:rFonts w:hint="default" w:ascii="Times New Roman" w:hAnsi="Times New Roman" w:eastAsia="宋体" w:cs="Times New Roman"/>
          <w:b/>
          <w:color w:val="C00000"/>
          <w:sz w:val="28"/>
          <w:szCs w:val="28"/>
        </w:rPr>
      </w:pPr>
    </w:p>
    <w:p w14:paraId="50EB48CB">
      <w:pPr>
        <w:spacing w:line="360" w:lineRule="auto"/>
        <w:ind w:firstLine="281" w:firstLineChars="100"/>
        <w:rPr>
          <w:rFonts w:hint="default" w:ascii="Times New Roman" w:hAnsi="Times New Roman" w:eastAsia="宋体" w:cs="Times New Roman"/>
          <w:b/>
          <w:color w:val="C00000"/>
          <w:sz w:val="28"/>
          <w:szCs w:val="28"/>
        </w:rPr>
      </w:pPr>
    </w:p>
    <w:p w14:paraId="68AF4DA3">
      <w:pPr>
        <w:spacing w:line="360" w:lineRule="auto"/>
        <w:ind w:firstLine="281" w:firstLineChars="100"/>
        <w:rPr>
          <w:rFonts w:hint="default" w:ascii="Times New Roman" w:hAnsi="Times New Roman" w:eastAsia="宋体" w:cs="Times New Roman"/>
          <w:b/>
          <w:color w:val="C00000"/>
          <w:sz w:val="28"/>
          <w:szCs w:val="28"/>
        </w:rPr>
      </w:pPr>
    </w:p>
    <w:p w14:paraId="4B927FBA">
      <w:pPr>
        <w:spacing w:line="360" w:lineRule="auto"/>
        <w:ind w:firstLine="281" w:firstLineChars="100"/>
        <w:outlineLvl w:val="0"/>
        <w:rPr>
          <w:rFonts w:hint="default" w:ascii="Times New Roman" w:hAnsi="Times New Roman" w:eastAsia="宋体" w:cs="Times New Roman"/>
          <w:b/>
          <w:color w:val="auto"/>
          <w:sz w:val="28"/>
          <w:szCs w:val="28"/>
        </w:rPr>
      </w:pPr>
    </w:p>
    <w:p w14:paraId="4437B170">
      <w:pPr>
        <w:spacing w:line="360" w:lineRule="auto"/>
        <w:ind w:firstLine="281" w:firstLineChars="100"/>
        <w:outlineLvl w:val="0"/>
        <w:rPr>
          <w:rFonts w:hint="default" w:ascii="Times New Roman" w:hAnsi="Times New Roman" w:eastAsia="宋体" w:cs="Times New Roman"/>
          <w:b/>
          <w:color w:val="auto"/>
          <w:sz w:val="28"/>
          <w:szCs w:val="28"/>
        </w:rPr>
      </w:pPr>
    </w:p>
    <w:p w14:paraId="0D4E9B31">
      <w:pPr>
        <w:spacing w:line="360" w:lineRule="auto"/>
        <w:ind w:firstLine="281" w:firstLineChars="100"/>
        <w:outlineLvl w:val="0"/>
        <w:rPr>
          <w:rFonts w:hint="default" w:ascii="Times New Roman" w:hAnsi="Times New Roman" w:eastAsia="宋体" w:cs="Times New Roman"/>
          <w:b/>
          <w:color w:val="auto"/>
          <w:sz w:val="28"/>
          <w:szCs w:val="28"/>
        </w:rPr>
      </w:pPr>
    </w:p>
    <w:p w14:paraId="580E02C6">
      <w:pPr>
        <w:spacing w:line="360" w:lineRule="auto"/>
        <w:ind w:firstLine="281" w:firstLineChars="100"/>
        <w:outlineLvl w:val="0"/>
        <w:rPr>
          <w:rFonts w:hint="default" w:ascii="Times New Roman" w:hAnsi="Times New Roman" w:eastAsia="宋体" w:cs="Times New Roman"/>
          <w:b/>
          <w:color w:val="auto"/>
          <w:sz w:val="28"/>
          <w:szCs w:val="28"/>
        </w:rPr>
      </w:pPr>
    </w:p>
    <w:p w14:paraId="1B340285">
      <w:pPr>
        <w:spacing w:line="360" w:lineRule="auto"/>
        <w:ind w:firstLine="281" w:firstLineChars="100"/>
        <w:outlineLvl w:val="0"/>
        <w:rPr>
          <w:rFonts w:hint="default" w:ascii="Times New Roman" w:hAnsi="Times New Roman" w:eastAsia="宋体" w:cs="Times New Roman"/>
          <w:b/>
          <w:color w:val="auto"/>
          <w:sz w:val="28"/>
          <w:szCs w:val="28"/>
        </w:rPr>
      </w:pPr>
    </w:p>
    <w:p w14:paraId="05DDBA0A">
      <w:pPr>
        <w:spacing w:line="360" w:lineRule="auto"/>
        <w:ind w:firstLine="281" w:firstLineChars="100"/>
        <w:outlineLvl w:val="0"/>
        <w:rPr>
          <w:rFonts w:hint="default" w:ascii="Times New Roman" w:hAnsi="Times New Roman" w:eastAsia="宋体" w:cs="Times New Roman"/>
          <w:b/>
          <w:color w:val="auto"/>
          <w:sz w:val="28"/>
          <w:szCs w:val="28"/>
        </w:rPr>
      </w:pPr>
    </w:p>
    <w:p w14:paraId="10956E47">
      <w:pPr>
        <w:spacing w:line="360" w:lineRule="auto"/>
        <w:ind w:firstLine="281" w:firstLineChars="100"/>
        <w:outlineLvl w:val="0"/>
        <w:rPr>
          <w:rFonts w:hint="default" w:ascii="Times New Roman" w:hAnsi="Times New Roman" w:eastAsia="宋体" w:cs="Times New Roman"/>
          <w:b/>
          <w:color w:val="auto"/>
          <w:sz w:val="28"/>
          <w:szCs w:val="28"/>
        </w:rPr>
      </w:pPr>
    </w:p>
    <w:p w14:paraId="7211FC67">
      <w:pPr>
        <w:spacing w:line="360" w:lineRule="auto"/>
        <w:ind w:firstLine="281" w:firstLineChars="100"/>
        <w:outlineLvl w:val="0"/>
        <w:rPr>
          <w:rFonts w:hint="default" w:ascii="Times New Roman" w:hAnsi="Times New Roman" w:eastAsia="宋体" w:cs="Times New Roman"/>
          <w:b/>
          <w:color w:val="auto"/>
          <w:sz w:val="28"/>
          <w:szCs w:val="28"/>
        </w:rPr>
      </w:pPr>
    </w:p>
    <w:p w14:paraId="7B297E77">
      <w:pPr>
        <w:spacing w:line="360" w:lineRule="auto"/>
        <w:ind w:firstLine="281" w:firstLineChars="100"/>
        <w:outlineLvl w:val="0"/>
        <w:rPr>
          <w:rFonts w:hint="default" w:ascii="Times New Roman" w:hAnsi="Times New Roman" w:eastAsia="宋体" w:cs="Times New Roman"/>
          <w:b/>
          <w:color w:val="auto"/>
          <w:sz w:val="28"/>
          <w:szCs w:val="28"/>
        </w:rPr>
      </w:pPr>
    </w:p>
    <w:p w14:paraId="0CF63221">
      <w:pPr>
        <w:spacing w:line="360" w:lineRule="auto"/>
        <w:ind w:firstLine="281" w:firstLineChars="100"/>
        <w:outlineLvl w:val="0"/>
        <w:rPr>
          <w:rFonts w:hint="default" w:ascii="Times New Roman" w:hAnsi="Times New Roman" w:eastAsia="宋体" w:cs="Times New Roman"/>
          <w:b/>
          <w:color w:val="auto"/>
          <w:sz w:val="28"/>
          <w:szCs w:val="28"/>
        </w:rPr>
      </w:pPr>
    </w:p>
    <w:p w14:paraId="3428A0D8">
      <w:pPr>
        <w:spacing w:line="360" w:lineRule="auto"/>
        <w:ind w:firstLine="281" w:firstLineChars="100"/>
        <w:outlineLvl w:val="0"/>
        <w:rPr>
          <w:rFonts w:hint="default" w:ascii="Times New Roman" w:hAnsi="Times New Roman" w:eastAsia="宋体" w:cs="Times New Roman"/>
          <w:b/>
          <w:color w:val="auto"/>
          <w:sz w:val="28"/>
          <w:szCs w:val="28"/>
        </w:rPr>
      </w:pPr>
    </w:p>
    <w:p w14:paraId="7612F002">
      <w:pPr>
        <w:spacing w:line="360" w:lineRule="auto"/>
        <w:ind w:firstLine="281" w:firstLineChars="100"/>
        <w:outlineLvl w:val="0"/>
        <w:rPr>
          <w:rFonts w:hint="default" w:ascii="Times New Roman" w:hAnsi="Times New Roman" w:eastAsia="宋体" w:cs="Times New Roman"/>
          <w:b/>
          <w:color w:val="auto"/>
          <w:sz w:val="28"/>
          <w:szCs w:val="28"/>
        </w:rPr>
      </w:pPr>
    </w:p>
    <w:p w14:paraId="5C773B90">
      <w:pPr>
        <w:spacing w:line="360" w:lineRule="auto"/>
        <w:ind w:firstLine="281" w:firstLineChars="100"/>
        <w:outlineLvl w:val="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 xml:space="preserve">建设项目拟采取的防治措施及预期治理效果                     </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（表八）</w:t>
      </w:r>
    </w:p>
    <w:tbl>
      <w:tblPr>
        <w:tblStyle w:val="23"/>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95"/>
        <w:gridCol w:w="887"/>
        <w:gridCol w:w="1500"/>
        <w:gridCol w:w="5188"/>
        <w:gridCol w:w="1228"/>
      </w:tblGrid>
      <w:tr w14:paraId="4943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91" w:type="dxa"/>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758A53D">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       </w:t>
            </w:r>
          </w:p>
          <w:p w14:paraId="4F602BAD">
            <w:pPr>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p w14:paraId="7C6B0FCC">
            <w:pPr>
              <w:spacing w:line="240" w:lineRule="auto"/>
              <w:ind w:firstLine="210" w:firstLineChars="1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tc>
        <w:tc>
          <w:tcPr>
            <w:tcW w:w="887" w:type="dxa"/>
            <w:vAlign w:val="center"/>
          </w:tcPr>
          <w:p w14:paraId="2F1FC31F">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排放源</w:t>
            </w:r>
          </w:p>
        </w:tc>
        <w:tc>
          <w:tcPr>
            <w:tcW w:w="1500" w:type="dxa"/>
            <w:vAlign w:val="center"/>
          </w:tcPr>
          <w:p w14:paraId="5DDC730B">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5188" w:type="dxa"/>
            <w:vAlign w:val="center"/>
          </w:tcPr>
          <w:p w14:paraId="76E0F43E">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防治措施</w:t>
            </w:r>
          </w:p>
        </w:tc>
        <w:tc>
          <w:tcPr>
            <w:tcW w:w="1228" w:type="dxa"/>
            <w:vAlign w:val="center"/>
          </w:tcPr>
          <w:p w14:paraId="5753C9BA">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预期治理效果</w:t>
            </w:r>
          </w:p>
        </w:tc>
      </w:tr>
      <w:tr w14:paraId="0688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restart"/>
            <w:vAlign w:val="center"/>
          </w:tcPr>
          <w:p w14:paraId="1F1EA52D">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695" w:type="dxa"/>
            <w:vMerge w:val="restart"/>
            <w:vAlign w:val="center"/>
          </w:tcPr>
          <w:p w14:paraId="01F03638">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营运期</w:t>
            </w:r>
          </w:p>
        </w:tc>
        <w:tc>
          <w:tcPr>
            <w:tcW w:w="887" w:type="dxa"/>
            <w:vMerge w:val="restart"/>
            <w:vAlign w:val="center"/>
          </w:tcPr>
          <w:p w14:paraId="6AAAA6E4">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生产区</w:t>
            </w:r>
          </w:p>
        </w:tc>
        <w:tc>
          <w:tcPr>
            <w:tcW w:w="1500" w:type="dxa"/>
            <w:vAlign w:val="center"/>
          </w:tcPr>
          <w:p w14:paraId="476913E2">
            <w:pPr>
              <w:spacing w:line="240" w:lineRule="auto"/>
              <w:jc w:val="center"/>
              <w:rPr>
                <w:rFonts w:hint="default" w:ascii="Times New Roman" w:hAnsi="Times New Roman" w:eastAsia="宋体" w:cs="Times New Roman"/>
                <w:color w:val="auto"/>
                <w:szCs w:val="21"/>
              </w:rPr>
            </w:pPr>
            <w:r>
              <w:rPr>
                <w:rFonts w:hint="eastAsia" w:ascii="Times New Roman" w:hAnsi="Times New Roman" w:cs="Times New Roman"/>
                <w:color w:val="auto"/>
                <w:sz w:val="18"/>
                <w:szCs w:val="18"/>
                <w:lang w:val="en-US" w:eastAsia="zh-CN"/>
              </w:rPr>
              <w:t>原料堆存</w:t>
            </w:r>
            <w:r>
              <w:rPr>
                <w:rFonts w:hint="default" w:ascii="Times New Roman" w:hAnsi="Times New Roman" w:cs="Times New Roman"/>
                <w:color w:val="auto"/>
                <w:sz w:val="18"/>
                <w:szCs w:val="18"/>
                <w:lang w:val="en-US" w:eastAsia="zh-CN"/>
              </w:rPr>
              <w:t>粉尘</w:t>
            </w:r>
          </w:p>
        </w:tc>
        <w:tc>
          <w:tcPr>
            <w:tcW w:w="5188" w:type="dxa"/>
            <w:vAlign w:val="center"/>
          </w:tcPr>
          <w:p w14:paraId="412BB72B">
            <w:pPr>
              <w:spacing w:line="240" w:lineRule="auto"/>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color w:val="auto"/>
                <w:sz w:val="18"/>
                <w:szCs w:val="18"/>
                <w:lang w:val="en-US" w:eastAsia="zh-CN"/>
              </w:rPr>
              <w:t>将原料堆场设置在密闭厂棚内，并在厂棚内设置</w:t>
            </w:r>
            <w:r>
              <w:rPr>
                <w:rFonts w:hint="eastAsia"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lang w:val="en-US" w:eastAsia="zh-CN"/>
              </w:rPr>
              <w:t>个喷淋装置对卸料和堆存过程产生的粉尘进行喷淋降尘，要求卸料车辆做到轻装倾卸，及时进行洒水降尘</w:t>
            </w:r>
          </w:p>
        </w:tc>
        <w:tc>
          <w:tcPr>
            <w:tcW w:w="1228" w:type="dxa"/>
            <w:vMerge w:val="restart"/>
            <w:vAlign w:val="center"/>
          </w:tcPr>
          <w:p w14:paraId="6367C7C3">
            <w:pPr>
              <w:spacing w:line="276"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达标排放</w:t>
            </w:r>
            <w:r>
              <w:rPr>
                <w:rFonts w:hint="default" w:ascii="Times New Roman" w:hAnsi="Times New Roman" w:cs="Times New Roman"/>
                <w:color w:val="auto"/>
                <w:szCs w:val="21"/>
                <w:lang w:eastAsia="zh-CN"/>
              </w:rPr>
              <w:t>，不会对环境造成明显影响</w:t>
            </w:r>
          </w:p>
        </w:tc>
      </w:tr>
      <w:tr w14:paraId="0A44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66ADD36C">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58B4C30C">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78DF5C3A">
            <w:pPr>
              <w:spacing w:line="240" w:lineRule="auto"/>
              <w:jc w:val="center"/>
              <w:rPr>
                <w:rFonts w:hint="default" w:ascii="Times New Roman" w:hAnsi="Times New Roman" w:eastAsia="宋体" w:cs="Times New Roman"/>
                <w:color w:val="auto"/>
                <w:szCs w:val="21"/>
              </w:rPr>
            </w:pPr>
          </w:p>
        </w:tc>
        <w:tc>
          <w:tcPr>
            <w:tcW w:w="1500" w:type="dxa"/>
            <w:vAlign w:val="center"/>
          </w:tcPr>
          <w:p w14:paraId="2A114FFC">
            <w:pPr>
              <w:spacing w:line="240" w:lineRule="auto"/>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 w:val="18"/>
                <w:szCs w:val="18"/>
                <w:lang w:val="en-US" w:eastAsia="zh-CN"/>
              </w:rPr>
              <w:t>物料输送</w:t>
            </w:r>
            <w:r>
              <w:rPr>
                <w:rFonts w:hint="default" w:ascii="Times New Roman" w:hAnsi="Times New Roman" w:cs="Times New Roman"/>
                <w:color w:val="auto"/>
                <w:sz w:val="18"/>
                <w:szCs w:val="18"/>
                <w:lang w:val="en-US" w:eastAsia="zh-CN"/>
              </w:rPr>
              <w:t>转运环节</w:t>
            </w:r>
            <w:r>
              <w:rPr>
                <w:rFonts w:hint="default" w:ascii="Times New Roman" w:hAnsi="Times New Roman" w:eastAsia="宋体" w:cs="Times New Roman"/>
                <w:color w:val="auto"/>
                <w:sz w:val="18"/>
                <w:szCs w:val="18"/>
                <w:lang w:eastAsia="zh-CN"/>
              </w:rPr>
              <w:t>粉尘</w:t>
            </w:r>
          </w:p>
        </w:tc>
        <w:tc>
          <w:tcPr>
            <w:tcW w:w="5188" w:type="dxa"/>
            <w:vAlign w:val="center"/>
          </w:tcPr>
          <w:p w14:paraId="4C41FE65">
            <w:pPr>
              <w:spacing w:line="24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sz w:val="18"/>
                <w:szCs w:val="18"/>
                <w:lang w:val="en-US" w:eastAsia="zh-CN"/>
              </w:rPr>
              <w:t>生产车间</w:t>
            </w:r>
            <w:r>
              <w:rPr>
                <w:rFonts w:hint="eastAsia" w:ascii="Times New Roman" w:hAnsi="Times New Roman" w:eastAsia="宋体" w:cs="Times New Roman"/>
                <w:color w:val="auto"/>
                <w:sz w:val="18"/>
                <w:szCs w:val="18"/>
                <w:lang w:val="en-US" w:eastAsia="zh-CN"/>
              </w:rPr>
              <w:t>设置</w:t>
            </w:r>
            <w:r>
              <w:rPr>
                <w:rFonts w:hint="default" w:ascii="Times New Roman" w:hAnsi="Times New Roman" w:eastAsia="宋体" w:cs="Times New Roman"/>
                <w:color w:val="auto"/>
                <w:sz w:val="18"/>
                <w:szCs w:val="18"/>
                <w:lang w:val="en-US" w:eastAsia="zh-CN"/>
              </w:rPr>
              <w:t>为密闭结构</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并在车间上方设置喷淋装置</w:t>
            </w:r>
            <w:r>
              <w:rPr>
                <w:rFonts w:hint="eastAsia" w:ascii="Times New Roman" w:hAnsi="Times New Roman" w:eastAsia="宋体" w:cs="Times New Roman"/>
                <w:color w:val="auto"/>
                <w:sz w:val="18"/>
                <w:szCs w:val="18"/>
                <w:lang w:val="en-US" w:eastAsia="zh-CN"/>
              </w:rPr>
              <w:t>，在</w:t>
            </w:r>
            <w:r>
              <w:rPr>
                <w:rFonts w:hint="default" w:ascii="Times New Roman" w:hAnsi="Times New Roman" w:eastAsia="宋体" w:cs="Times New Roman"/>
                <w:color w:val="auto"/>
                <w:sz w:val="18"/>
                <w:szCs w:val="18"/>
                <w:lang w:val="en-US" w:eastAsia="zh-CN"/>
              </w:rPr>
              <w:t>上料斗</w:t>
            </w:r>
            <w:r>
              <w:rPr>
                <w:rFonts w:hint="eastAsia" w:ascii="Times New Roman" w:hAnsi="Times New Roman" w:eastAsia="宋体" w:cs="Times New Roman"/>
                <w:color w:val="auto"/>
                <w:sz w:val="18"/>
                <w:szCs w:val="18"/>
                <w:lang w:val="en-US" w:eastAsia="zh-CN"/>
              </w:rPr>
              <w:t>和搅拌机</w:t>
            </w:r>
            <w:r>
              <w:rPr>
                <w:rFonts w:hint="default" w:ascii="Times New Roman" w:hAnsi="Times New Roman" w:eastAsia="宋体" w:cs="Times New Roman"/>
                <w:color w:val="auto"/>
                <w:sz w:val="18"/>
                <w:szCs w:val="18"/>
                <w:lang w:val="en-US" w:eastAsia="zh-CN"/>
              </w:rPr>
              <w:t>设置喷淋装置，</w:t>
            </w:r>
            <w:r>
              <w:rPr>
                <w:rFonts w:hint="eastAsia" w:ascii="Times New Roman" w:hAnsi="Times New Roman" w:eastAsia="宋体" w:cs="Times New Roman"/>
                <w:color w:val="auto"/>
                <w:sz w:val="18"/>
                <w:szCs w:val="18"/>
                <w:lang w:val="en-US" w:eastAsia="zh-CN"/>
              </w:rPr>
              <w:t>水泥在输送、转运环节采用密闭输送和管式螺旋输送机</w:t>
            </w:r>
          </w:p>
        </w:tc>
        <w:tc>
          <w:tcPr>
            <w:tcW w:w="1228" w:type="dxa"/>
            <w:vMerge w:val="continue"/>
            <w:vAlign w:val="center"/>
          </w:tcPr>
          <w:p w14:paraId="6A742369">
            <w:pPr>
              <w:spacing w:line="276" w:lineRule="auto"/>
              <w:jc w:val="center"/>
              <w:rPr>
                <w:rFonts w:hint="default" w:ascii="Times New Roman" w:hAnsi="Times New Roman" w:eastAsia="宋体" w:cs="Times New Roman"/>
                <w:color w:val="auto"/>
                <w:szCs w:val="21"/>
              </w:rPr>
            </w:pPr>
          </w:p>
        </w:tc>
      </w:tr>
      <w:tr w14:paraId="4F38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679A5D30">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14EB0309">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36A57926">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03412E99">
            <w:pPr>
              <w:spacing w:line="240" w:lineRule="auto"/>
              <w:jc w:val="center"/>
              <w:rPr>
                <w:rFonts w:hint="default" w:ascii="Times New Roman" w:hAnsi="Times New Roman" w:eastAsia="宋体" w:cs="Times New Roman"/>
                <w:color w:val="auto"/>
                <w:szCs w:val="21"/>
                <w:lang w:eastAsia="zh-CN"/>
              </w:rPr>
            </w:pPr>
            <w:r>
              <w:rPr>
                <w:rFonts w:hint="eastAsia"/>
                <w:color w:val="auto"/>
                <w:sz w:val="18"/>
                <w:szCs w:val="18"/>
                <w:shd w:val="clear" w:color="auto" w:fill="auto"/>
                <w:lang w:val="en-US" w:eastAsia="zh-CN"/>
              </w:rPr>
              <w:t>水泥筒仓装卸粉尘</w:t>
            </w:r>
          </w:p>
        </w:tc>
        <w:tc>
          <w:tcPr>
            <w:tcW w:w="5188" w:type="dxa"/>
            <w:vAlign w:val="center"/>
          </w:tcPr>
          <w:p w14:paraId="7C78B815">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 w:val="18"/>
                <w:szCs w:val="18"/>
                <w:lang w:val="en-US" w:eastAsia="zh-CN"/>
              </w:rPr>
              <w:t>生产车间为密闭结构，设置 1 台仓顶</w:t>
            </w:r>
            <w:r>
              <w:rPr>
                <w:rFonts w:hint="eastAsia"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lang w:val="en-US" w:eastAsia="zh-CN"/>
              </w:rPr>
              <w:t>废气收集效率以100%计，除尘效率均以 99.</w:t>
            </w:r>
            <w:r>
              <w:rPr>
                <w:rFonts w:hint="eastAsia" w:ascii="Times New Roman" w:hAnsi="Times New Roman" w:eastAsia="宋体" w:cs="Times New Roman"/>
                <w:color w:val="auto"/>
                <w:sz w:val="18"/>
                <w:szCs w:val="18"/>
                <w:lang w:val="en-US" w:eastAsia="zh-CN"/>
              </w:rPr>
              <w:t>9</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，筒仓</w:t>
            </w:r>
            <w:r>
              <w:rPr>
                <w:rFonts w:hint="default" w:ascii="Times New Roman" w:hAnsi="Times New Roman" w:eastAsia="宋体" w:cs="Times New Roman"/>
                <w:color w:val="auto"/>
                <w:sz w:val="18"/>
                <w:szCs w:val="18"/>
                <w:lang w:val="en-US" w:eastAsia="zh-CN"/>
              </w:rPr>
              <w:t>粉尘经过仓顶</w:t>
            </w:r>
            <w:r>
              <w:rPr>
                <w:rFonts w:hint="eastAsia"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lang w:val="en-US" w:eastAsia="zh-CN"/>
              </w:rPr>
              <w:t>处理后经仓顶排气口排放</w:t>
            </w:r>
            <w:r>
              <w:rPr>
                <w:rFonts w:hint="eastAsia" w:ascii="Times New Roman" w:hAnsi="Times New Roman" w:eastAsia="宋体" w:cs="Times New Roman"/>
                <w:color w:val="auto"/>
                <w:sz w:val="18"/>
                <w:szCs w:val="18"/>
                <w:lang w:val="en-US" w:eastAsia="zh-CN"/>
              </w:rPr>
              <w:t>（1#排气筒）</w:t>
            </w:r>
          </w:p>
        </w:tc>
        <w:tc>
          <w:tcPr>
            <w:tcW w:w="1228" w:type="dxa"/>
            <w:vMerge w:val="continue"/>
            <w:vAlign w:val="center"/>
          </w:tcPr>
          <w:p w14:paraId="594B39FB">
            <w:pPr>
              <w:spacing w:line="276" w:lineRule="auto"/>
              <w:jc w:val="center"/>
              <w:rPr>
                <w:rFonts w:hint="default" w:ascii="Times New Roman" w:hAnsi="Times New Roman" w:eastAsia="宋体" w:cs="Times New Roman"/>
                <w:color w:val="auto"/>
                <w:szCs w:val="21"/>
              </w:rPr>
            </w:pPr>
          </w:p>
        </w:tc>
      </w:tr>
      <w:tr w14:paraId="391C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75E2BF53">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5A33B32A">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74C28A8C">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1A9EFB88">
            <w:pPr>
              <w:spacing w:line="240" w:lineRule="auto"/>
              <w:jc w:val="center"/>
              <w:rPr>
                <w:rFonts w:hint="default" w:ascii="Times New Roman" w:hAnsi="Times New Roman" w:eastAsia="宋体" w:cs="Times New Roman"/>
                <w:color w:val="auto"/>
                <w:szCs w:val="21"/>
                <w:lang w:eastAsia="zh-CN"/>
              </w:rPr>
            </w:pPr>
            <w:r>
              <w:rPr>
                <w:rFonts w:hint="eastAsia"/>
                <w:color w:val="auto"/>
                <w:sz w:val="18"/>
                <w:szCs w:val="18"/>
                <w:shd w:val="clear" w:color="auto" w:fill="auto"/>
                <w:lang w:val="en-US" w:eastAsia="zh-CN"/>
              </w:rPr>
              <w:t>搅拌粉尘</w:t>
            </w:r>
            <w:r>
              <w:rPr>
                <w:rFonts w:hint="default" w:ascii="Times New Roman" w:hAnsi="Times New Roman" w:cs="Times New Roman"/>
                <w:color w:val="auto"/>
                <w:sz w:val="18"/>
                <w:szCs w:val="18"/>
                <w:lang w:eastAsia="zh-CN"/>
              </w:rPr>
              <w:t>粉尘</w:t>
            </w:r>
          </w:p>
        </w:tc>
        <w:tc>
          <w:tcPr>
            <w:tcW w:w="5188" w:type="dxa"/>
            <w:vAlign w:val="center"/>
          </w:tcPr>
          <w:p w14:paraId="0722A71C">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18"/>
                <w:szCs w:val="18"/>
                <w:lang w:val="en-US" w:eastAsia="zh-CN"/>
              </w:rPr>
              <w:t>生产车间为密闭结构，</w:t>
            </w:r>
            <w:r>
              <w:rPr>
                <w:rFonts w:hint="eastAsia" w:ascii="Times New Roman" w:hAnsi="Times New Roman" w:eastAsia="宋体" w:cs="Times New Roman"/>
                <w:color w:val="auto"/>
                <w:sz w:val="18"/>
                <w:szCs w:val="18"/>
                <w:lang w:val="en-US" w:eastAsia="zh-CN"/>
              </w:rPr>
              <w:t>在搅拌机上方各设置一个2m2的集气罩，收集搅拌过程中产生的粉尘。收集的粉尘经</w:t>
            </w:r>
            <w:r>
              <w:rPr>
                <w:rFonts w:hint="default" w:ascii="Times New Roman" w:hAnsi="Times New Roman" w:eastAsia="宋体" w:cs="Times New Roman"/>
                <w:color w:val="auto"/>
                <w:sz w:val="18"/>
                <w:szCs w:val="18"/>
                <w:lang w:val="en-US" w:eastAsia="zh-CN"/>
              </w:rPr>
              <w:t>仓顶</w:t>
            </w:r>
            <w:r>
              <w:rPr>
                <w:rFonts w:hint="eastAsia" w:ascii="Times New Roman" w:hAnsi="Times New Roman" w:eastAsia="宋体" w:cs="Times New Roman"/>
                <w:color w:val="auto"/>
                <w:sz w:val="18"/>
                <w:szCs w:val="18"/>
                <w:lang w:val="en-US" w:eastAsia="zh-CN"/>
              </w:rPr>
              <w:t>脉冲除尘器处理后，通过15m搞排气筒排放（</w:t>
            </w:r>
            <w:r>
              <w:rPr>
                <w:rFonts w:hint="eastAsia"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#排气筒）</w:t>
            </w:r>
          </w:p>
        </w:tc>
        <w:tc>
          <w:tcPr>
            <w:tcW w:w="1228" w:type="dxa"/>
            <w:vMerge w:val="continue"/>
            <w:vAlign w:val="center"/>
          </w:tcPr>
          <w:p w14:paraId="618BD76F">
            <w:pPr>
              <w:spacing w:line="276" w:lineRule="auto"/>
              <w:jc w:val="center"/>
              <w:rPr>
                <w:rFonts w:hint="default" w:ascii="Times New Roman" w:hAnsi="Times New Roman" w:eastAsia="宋体" w:cs="Times New Roman"/>
                <w:color w:val="auto"/>
                <w:szCs w:val="21"/>
              </w:rPr>
            </w:pPr>
          </w:p>
        </w:tc>
      </w:tr>
      <w:tr w14:paraId="66EA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4F60E858">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06D4DD60">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4F766AE1">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4B412874">
            <w:pPr>
              <w:spacing w:line="240" w:lineRule="auto"/>
              <w:jc w:val="center"/>
              <w:rPr>
                <w:rFonts w:hint="eastAsia"/>
                <w:color w:val="auto"/>
                <w:sz w:val="18"/>
                <w:szCs w:val="18"/>
                <w:shd w:val="clear" w:color="auto" w:fill="auto"/>
                <w:lang w:val="en-US" w:eastAsia="zh-CN"/>
              </w:rPr>
            </w:pPr>
            <w:r>
              <w:rPr>
                <w:rFonts w:hint="eastAsia"/>
                <w:color w:val="auto"/>
                <w:sz w:val="18"/>
                <w:szCs w:val="18"/>
                <w:shd w:val="clear" w:color="auto" w:fill="auto"/>
                <w:lang w:val="en-US" w:eastAsia="zh-CN"/>
              </w:rPr>
              <w:t>焊接烟尘</w:t>
            </w:r>
          </w:p>
        </w:tc>
        <w:tc>
          <w:tcPr>
            <w:tcW w:w="5188" w:type="dxa"/>
            <w:vAlign w:val="center"/>
          </w:tcPr>
          <w:p w14:paraId="58EB146D">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每个焊接工位上方设置集气罩（收集效率按90%），焊接烟尘经收集后，通过焊接烟尘净化器处理（处理效率90%），处理后经15m高排气筒（</w:t>
            </w:r>
            <w:r>
              <w:rPr>
                <w:rFonts w:hint="eastAsia"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#）排放</w:t>
            </w:r>
          </w:p>
        </w:tc>
        <w:tc>
          <w:tcPr>
            <w:tcW w:w="1228" w:type="dxa"/>
            <w:vMerge w:val="continue"/>
            <w:vAlign w:val="center"/>
          </w:tcPr>
          <w:p w14:paraId="3A171F0D">
            <w:pPr>
              <w:spacing w:line="276" w:lineRule="auto"/>
              <w:jc w:val="center"/>
              <w:rPr>
                <w:rFonts w:hint="default" w:ascii="Times New Roman" w:hAnsi="Times New Roman" w:eastAsia="宋体" w:cs="Times New Roman"/>
                <w:color w:val="auto"/>
                <w:szCs w:val="21"/>
              </w:rPr>
            </w:pPr>
          </w:p>
        </w:tc>
      </w:tr>
      <w:tr w14:paraId="1C3C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7E3B87A2">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2BB0AA6F">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3B013D4F">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12240F35">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汽车运输扬尘</w:t>
            </w:r>
          </w:p>
        </w:tc>
        <w:tc>
          <w:tcPr>
            <w:tcW w:w="5188" w:type="dxa"/>
            <w:vAlign w:val="center"/>
          </w:tcPr>
          <w:p w14:paraId="29BFEE5C">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18"/>
                <w:szCs w:val="18"/>
                <w:lang w:eastAsia="zh-CN"/>
              </w:rPr>
              <w:t>限制运输车辆车速，对厂区内地面派专人定期进行清扫，以减少道路扬尘</w:t>
            </w:r>
          </w:p>
        </w:tc>
        <w:tc>
          <w:tcPr>
            <w:tcW w:w="1228" w:type="dxa"/>
            <w:vMerge w:val="continue"/>
            <w:vAlign w:val="center"/>
          </w:tcPr>
          <w:p w14:paraId="53189598">
            <w:pPr>
              <w:spacing w:line="276" w:lineRule="auto"/>
              <w:jc w:val="center"/>
              <w:rPr>
                <w:rFonts w:hint="default" w:ascii="Times New Roman" w:hAnsi="Times New Roman" w:eastAsia="宋体" w:cs="Times New Roman"/>
                <w:color w:val="auto"/>
                <w:szCs w:val="21"/>
              </w:rPr>
            </w:pPr>
          </w:p>
        </w:tc>
      </w:tr>
      <w:tr w14:paraId="719A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0A5FB348">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4B221A47">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16C1AB54">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4C3F51C9">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汽车尾气</w:t>
            </w:r>
          </w:p>
        </w:tc>
        <w:tc>
          <w:tcPr>
            <w:tcW w:w="5188" w:type="dxa"/>
            <w:vAlign w:val="center"/>
          </w:tcPr>
          <w:p w14:paraId="038A1920">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18"/>
                <w:szCs w:val="18"/>
                <w:lang w:eastAsia="zh-CN"/>
              </w:rPr>
              <w:t>通过加强管理，限制车速，严禁车辆超限超载，加强装载车辆保养，减少滞留时间</w:t>
            </w:r>
          </w:p>
        </w:tc>
        <w:tc>
          <w:tcPr>
            <w:tcW w:w="1228" w:type="dxa"/>
            <w:vMerge w:val="continue"/>
            <w:vAlign w:val="center"/>
          </w:tcPr>
          <w:p w14:paraId="1B195E9A">
            <w:pPr>
              <w:spacing w:line="276" w:lineRule="auto"/>
              <w:jc w:val="center"/>
              <w:rPr>
                <w:rFonts w:hint="default" w:ascii="Times New Roman" w:hAnsi="Times New Roman" w:eastAsia="宋体" w:cs="Times New Roman"/>
                <w:color w:val="auto"/>
                <w:szCs w:val="21"/>
              </w:rPr>
            </w:pPr>
          </w:p>
        </w:tc>
      </w:tr>
      <w:tr w14:paraId="1BA4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restart"/>
            <w:vAlign w:val="center"/>
          </w:tcPr>
          <w:p w14:paraId="41309D00">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695" w:type="dxa"/>
            <w:vMerge w:val="restart"/>
            <w:vAlign w:val="center"/>
          </w:tcPr>
          <w:p w14:paraId="2D1CAE36">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营运期</w:t>
            </w:r>
          </w:p>
        </w:tc>
        <w:tc>
          <w:tcPr>
            <w:tcW w:w="887" w:type="dxa"/>
            <w:vAlign w:val="center"/>
          </w:tcPr>
          <w:p w14:paraId="5B8370E4">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1500" w:type="dxa"/>
            <w:vAlign w:val="center"/>
          </w:tcPr>
          <w:p w14:paraId="58056F7D">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5188" w:type="dxa"/>
            <w:vAlign w:val="center"/>
          </w:tcPr>
          <w:p w14:paraId="278BEDB0">
            <w:pPr>
              <w:spacing w:line="240" w:lineRule="auto"/>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生活污水经</w:t>
            </w:r>
            <w:r>
              <w:rPr>
                <w:rFonts w:hint="default" w:ascii="Times New Roman" w:hAnsi="Times New Roman" w:eastAsia="宋体" w:cs="Times New Roman"/>
                <w:color w:val="auto"/>
                <w:szCs w:val="21"/>
                <w:lang w:eastAsia="zh-CN"/>
              </w:rPr>
              <w:t>化粪池</w:t>
            </w:r>
            <w:r>
              <w:rPr>
                <w:rFonts w:hint="default" w:ascii="Times New Roman" w:hAnsi="Times New Roman" w:cs="Times New Roman"/>
                <w:color w:val="auto"/>
                <w:szCs w:val="21"/>
                <w:lang w:val="en-US" w:eastAsia="zh-CN"/>
              </w:rPr>
              <w:t>处理后定期由周边农户清掏由于农肥</w:t>
            </w:r>
          </w:p>
        </w:tc>
        <w:tc>
          <w:tcPr>
            <w:tcW w:w="1228" w:type="dxa"/>
            <w:vMerge w:val="restart"/>
            <w:vAlign w:val="center"/>
          </w:tcPr>
          <w:p w14:paraId="60E80AC0">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达标排放</w:t>
            </w:r>
            <w:r>
              <w:rPr>
                <w:rFonts w:hint="default" w:ascii="Times New Roman" w:hAnsi="Times New Roman" w:cs="Times New Roman"/>
                <w:color w:val="auto"/>
                <w:szCs w:val="21"/>
                <w:lang w:eastAsia="zh-CN"/>
              </w:rPr>
              <w:t>，不会对环境造成明显影响</w:t>
            </w:r>
          </w:p>
        </w:tc>
      </w:tr>
      <w:tr w14:paraId="10BE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14:paraId="718E05C1">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102F14CC">
            <w:pPr>
              <w:spacing w:line="240" w:lineRule="auto"/>
              <w:jc w:val="center"/>
              <w:rPr>
                <w:rFonts w:hint="default" w:ascii="Times New Roman" w:hAnsi="Times New Roman" w:eastAsia="宋体" w:cs="Times New Roman"/>
                <w:color w:val="auto"/>
                <w:szCs w:val="21"/>
              </w:rPr>
            </w:pPr>
          </w:p>
        </w:tc>
        <w:tc>
          <w:tcPr>
            <w:tcW w:w="887" w:type="dxa"/>
            <w:vAlign w:val="center"/>
          </w:tcPr>
          <w:p w14:paraId="1CC38A53">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作业地面</w:t>
            </w:r>
            <w:r>
              <w:rPr>
                <w:rFonts w:hint="default" w:ascii="Times New Roman" w:hAnsi="Times New Roman" w:cs="Times New Roman"/>
                <w:color w:val="auto"/>
                <w:szCs w:val="21"/>
                <w:lang w:val="en-US" w:eastAsia="zh-CN"/>
              </w:rPr>
              <w:t>冲洗废水</w:t>
            </w:r>
          </w:p>
        </w:tc>
        <w:tc>
          <w:tcPr>
            <w:tcW w:w="1500" w:type="dxa"/>
            <w:vAlign w:val="center"/>
          </w:tcPr>
          <w:p w14:paraId="047E4626">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SS</w:t>
            </w:r>
          </w:p>
        </w:tc>
        <w:tc>
          <w:tcPr>
            <w:tcW w:w="5188" w:type="dxa"/>
            <w:vAlign w:val="center"/>
          </w:tcPr>
          <w:p w14:paraId="3F9448F6">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沉淀池处理后</w:t>
            </w:r>
            <w:r>
              <w:rPr>
                <w:rFonts w:hint="eastAsia" w:cs="Times New Roman"/>
                <w:color w:val="auto"/>
                <w:szCs w:val="21"/>
                <w:lang w:val="en-US" w:eastAsia="zh-CN"/>
              </w:rPr>
              <w:t>用与生产，</w:t>
            </w:r>
            <w:r>
              <w:rPr>
                <w:rFonts w:hint="default" w:ascii="Times New Roman" w:hAnsi="Times New Roman" w:cs="Times New Roman"/>
                <w:color w:val="auto"/>
                <w:szCs w:val="21"/>
                <w:lang w:val="en-US" w:eastAsia="zh-CN"/>
              </w:rPr>
              <w:t>不外排</w:t>
            </w:r>
          </w:p>
        </w:tc>
        <w:tc>
          <w:tcPr>
            <w:tcW w:w="1228" w:type="dxa"/>
            <w:vMerge w:val="continue"/>
            <w:vAlign w:val="center"/>
          </w:tcPr>
          <w:p w14:paraId="6B5DACE8">
            <w:pPr>
              <w:spacing w:line="240" w:lineRule="auto"/>
              <w:jc w:val="center"/>
              <w:rPr>
                <w:rFonts w:hint="default" w:ascii="Times New Roman" w:hAnsi="Times New Roman" w:eastAsia="宋体" w:cs="Times New Roman"/>
                <w:color w:val="auto"/>
                <w:szCs w:val="21"/>
              </w:rPr>
            </w:pPr>
          </w:p>
        </w:tc>
      </w:tr>
      <w:tr w14:paraId="1358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96" w:type="dxa"/>
            <w:vAlign w:val="center"/>
          </w:tcPr>
          <w:p w14:paraId="6E2FB7EC">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695" w:type="dxa"/>
            <w:vAlign w:val="center"/>
          </w:tcPr>
          <w:p w14:paraId="068C974C">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营运期</w:t>
            </w:r>
          </w:p>
        </w:tc>
        <w:tc>
          <w:tcPr>
            <w:tcW w:w="887" w:type="dxa"/>
            <w:vAlign w:val="center"/>
          </w:tcPr>
          <w:p w14:paraId="6AED352E">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生产设备</w:t>
            </w:r>
            <w:r>
              <w:rPr>
                <w:rFonts w:hint="default" w:ascii="Times New Roman" w:hAnsi="Times New Roman" w:cs="Times New Roman"/>
                <w:color w:val="auto"/>
                <w:lang w:val="en-US" w:eastAsia="zh-CN"/>
              </w:rPr>
              <w:t>运输设备</w:t>
            </w:r>
          </w:p>
        </w:tc>
        <w:tc>
          <w:tcPr>
            <w:tcW w:w="1500" w:type="dxa"/>
            <w:vAlign w:val="center"/>
          </w:tcPr>
          <w:p w14:paraId="0EA0B855">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设备噪声</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运输噪声</w:t>
            </w:r>
          </w:p>
        </w:tc>
        <w:tc>
          <w:tcPr>
            <w:tcW w:w="5188" w:type="dxa"/>
            <w:vAlign w:val="center"/>
          </w:tcPr>
          <w:p w14:paraId="2D02DD45">
            <w:pPr>
              <w:spacing w:line="240" w:lineRule="auto"/>
              <w:jc w:val="both"/>
              <w:rPr>
                <w:rFonts w:hint="default" w:ascii="Times New Roman" w:hAnsi="Times New Roman" w:eastAsia="宋体" w:cs="Times New Roman"/>
                <w:color w:val="auto"/>
                <w:szCs w:val="21"/>
              </w:rPr>
            </w:pPr>
            <w:r>
              <w:rPr>
                <w:rFonts w:hint="eastAsia" w:cs="Times New Roman"/>
                <w:color w:val="auto"/>
                <w:lang w:val="en-US" w:eastAsia="zh-CN"/>
              </w:rPr>
              <w:t>项目夜间不生产；</w:t>
            </w:r>
            <w:r>
              <w:rPr>
                <w:rFonts w:hint="default" w:ascii="Times New Roman" w:hAnsi="Times New Roman" w:eastAsia="宋体" w:cs="Times New Roman"/>
                <w:color w:val="auto"/>
                <w:szCs w:val="21"/>
              </w:rPr>
              <w:t>装载机发动机自带消音装置；合理布置噪声源；所有生产设备都设置于密闭厂房内；选型上使用先进的低噪声设备，安装时底座设置减振垫；加强设备的日常维护保养，防止出现因机器不正常运转造成噪声值异常升高的问题；对进出车辆加强管理，限制车速，禁鸣喇叭；卸料和装车的时间应避开午休时间，车辆减速行驶、禁止鸣笛等措施。</w:t>
            </w:r>
          </w:p>
        </w:tc>
        <w:tc>
          <w:tcPr>
            <w:tcW w:w="1228" w:type="dxa"/>
            <w:vAlign w:val="center"/>
          </w:tcPr>
          <w:p w14:paraId="569A494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达标排放</w:t>
            </w:r>
            <w:r>
              <w:rPr>
                <w:rFonts w:hint="default" w:ascii="Times New Roman" w:hAnsi="Times New Roman" w:cs="Times New Roman"/>
                <w:color w:val="auto"/>
                <w:szCs w:val="21"/>
                <w:lang w:eastAsia="zh-CN"/>
              </w:rPr>
              <w:t>不会对环境造成明显影响</w:t>
            </w:r>
          </w:p>
        </w:tc>
      </w:tr>
      <w:tr w14:paraId="52E3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6" w:type="dxa"/>
            <w:vMerge w:val="restart"/>
            <w:vAlign w:val="center"/>
          </w:tcPr>
          <w:p w14:paraId="4F50D0CF">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p w14:paraId="1DD22C73">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废物</w:t>
            </w:r>
          </w:p>
        </w:tc>
        <w:tc>
          <w:tcPr>
            <w:tcW w:w="695" w:type="dxa"/>
            <w:vMerge w:val="restart"/>
            <w:vAlign w:val="center"/>
          </w:tcPr>
          <w:p w14:paraId="47450897">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营运期</w:t>
            </w:r>
          </w:p>
        </w:tc>
        <w:tc>
          <w:tcPr>
            <w:tcW w:w="887" w:type="dxa"/>
            <w:vMerge w:val="restart"/>
            <w:vAlign w:val="center"/>
          </w:tcPr>
          <w:p w14:paraId="69D9D0ED">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办公</w:t>
            </w:r>
            <w:r>
              <w:rPr>
                <w:rFonts w:hint="default" w:ascii="Times New Roman" w:hAnsi="Times New Roman" w:cs="Times New Roman"/>
                <w:color w:val="auto"/>
                <w:szCs w:val="21"/>
                <w:lang w:val="en-US" w:eastAsia="zh-CN"/>
              </w:rPr>
              <w:t>区</w:t>
            </w:r>
          </w:p>
        </w:tc>
        <w:tc>
          <w:tcPr>
            <w:tcW w:w="1500" w:type="dxa"/>
            <w:vAlign w:val="center"/>
          </w:tcPr>
          <w:p w14:paraId="08ADC969">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18"/>
                <w:szCs w:val="18"/>
              </w:rPr>
              <w:t>生活垃圾</w:t>
            </w:r>
          </w:p>
        </w:tc>
        <w:tc>
          <w:tcPr>
            <w:tcW w:w="5188" w:type="dxa"/>
            <w:vAlign w:val="center"/>
          </w:tcPr>
          <w:p w14:paraId="3125F23D">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收集后定期交由环卫部门处理</w:t>
            </w:r>
          </w:p>
        </w:tc>
        <w:tc>
          <w:tcPr>
            <w:tcW w:w="1228" w:type="dxa"/>
            <w:vMerge w:val="restart"/>
            <w:vAlign w:val="center"/>
          </w:tcPr>
          <w:p w14:paraId="21135D39">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资源化、</w:t>
            </w:r>
            <w:r>
              <w:rPr>
                <w:rFonts w:hint="default" w:ascii="Times New Roman" w:hAnsi="Times New Roman" w:eastAsia="宋体" w:cs="Times New Roman"/>
                <w:color w:val="auto"/>
                <w:szCs w:val="21"/>
              </w:rPr>
              <w:t>无害化处置</w:t>
            </w:r>
          </w:p>
        </w:tc>
      </w:tr>
      <w:tr w14:paraId="506F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96" w:type="dxa"/>
            <w:vMerge w:val="continue"/>
            <w:vAlign w:val="center"/>
          </w:tcPr>
          <w:p w14:paraId="56266F6C">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7F4646A4">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0689278B">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2B8C234F">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 w:val="18"/>
                <w:szCs w:val="18"/>
                <w:lang w:val="en-US" w:eastAsia="zh-CN"/>
              </w:rPr>
              <w:t>预处理池污泥</w:t>
            </w:r>
          </w:p>
        </w:tc>
        <w:tc>
          <w:tcPr>
            <w:tcW w:w="5188" w:type="dxa"/>
            <w:vAlign w:val="center"/>
          </w:tcPr>
          <w:p w14:paraId="12F7DCAA">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农田施肥</w:t>
            </w:r>
          </w:p>
        </w:tc>
        <w:tc>
          <w:tcPr>
            <w:tcW w:w="1228" w:type="dxa"/>
            <w:vMerge w:val="continue"/>
            <w:vAlign w:val="center"/>
          </w:tcPr>
          <w:p w14:paraId="5BFE70B9">
            <w:pPr>
              <w:spacing w:line="276" w:lineRule="auto"/>
              <w:jc w:val="center"/>
              <w:rPr>
                <w:rFonts w:hint="default" w:ascii="Times New Roman" w:hAnsi="Times New Roman" w:eastAsia="宋体" w:cs="Times New Roman"/>
                <w:color w:val="auto"/>
                <w:szCs w:val="21"/>
              </w:rPr>
            </w:pPr>
          </w:p>
        </w:tc>
      </w:tr>
      <w:tr w14:paraId="2696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08E8E67C">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3D4225BC">
            <w:pPr>
              <w:spacing w:line="240" w:lineRule="auto"/>
              <w:jc w:val="center"/>
              <w:rPr>
                <w:rFonts w:hint="default" w:ascii="Times New Roman" w:hAnsi="Times New Roman" w:eastAsia="宋体" w:cs="Times New Roman"/>
                <w:color w:val="auto"/>
                <w:szCs w:val="21"/>
              </w:rPr>
            </w:pPr>
          </w:p>
        </w:tc>
        <w:tc>
          <w:tcPr>
            <w:tcW w:w="887" w:type="dxa"/>
            <w:vMerge w:val="restart"/>
            <w:vAlign w:val="center"/>
          </w:tcPr>
          <w:p w14:paraId="14654CC9">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生产区</w:t>
            </w:r>
          </w:p>
        </w:tc>
        <w:tc>
          <w:tcPr>
            <w:tcW w:w="1500" w:type="dxa"/>
            <w:vAlign w:val="center"/>
          </w:tcPr>
          <w:p w14:paraId="7812B4B4">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 w:val="18"/>
                <w:szCs w:val="18"/>
                <w:lang w:val="en-US" w:eastAsia="zh-CN"/>
              </w:rPr>
              <w:t>废气处理系统收集</w:t>
            </w:r>
            <w:r>
              <w:rPr>
                <w:rFonts w:hint="default" w:ascii="Times New Roman" w:hAnsi="Times New Roman" w:cs="Times New Roman"/>
                <w:color w:val="auto"/>
                <w:sz w:val="18"/>
                <w:szCs w:val="18"/>
                <w:lang w:val="en-US" w:eastAsia="zh-CN"/>
              </w:rPr>
              <w:t>粉尘</w:t>
            </w:r>
          </w:p>
        </w:tc>
        <w:tc>
          <w:tcPr>
            <w:tcW w:w="5188" w:type="dxa"/>
            <w:vMerge w:val="restart"/>
            <w:vAlign w:val="center"/>
          </w:tcPr>
          <w:p w14:paraId="5978B5EC">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回用生产</w:t>
            </w:r>
          </w:p>
        </w:tc>
        <w:tc>
          <w:tcPr>
            <w:tcW w:w="1228" w:type="dxa"/>
            <w:vMerge w:val="continue"/>
            <w:vAlign w:val="center"/>
          </w:tcPr>
          <w:p w14:paraId="55F0B4C5">
            <w:pPr>
              <w:spacing w:line="276" w:lineRule="auto"/>
              <w:jc w:val="center"/>
              <w:rPr>
                <w:rFonts w:hint="default" w:ascii="Times New Roman" w:hAnsi="Times New Roman" w:eastAsia="宋体" w:cs="Times New Roman"/>
                <w:color w:val="auto"/>
                <w:szCs w:val="21"/>
              </w:rPr>
            </w:pPr>
          </w:p>
        </w:tc>
      </w:tr>
      <w:tr w14:paraId="2C9C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166B4281">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517EECD8">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24159E0B">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46B86D70">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18"/>
                <w:szCs w:val="18"/>
                <w:lang w:val="en-US" w:eastAsia="zh-CN"/>
              </w:rPr>
              <w:t>沉淀泥沙</w:t>
            </w:r>
          </w:p>
        </w:tc>
        <w:tc>
          <w:tcPr>
            <w:tcW w:w="5188" w:type="dxa"/>
            <w:vMerge w:val="continue"/>
            <w:vAlign w:val="center"/>
          </w:tcPr>
          <w:p w14:paraId="7954D29F">
            <w:pPr>
              <w:spacing w:line="240" w:lineRule="auto"/>
              <w:jc w:val="center"/>
              <w:rPr>
                <w:rFonts w:hint="default" w:ascii="Times New Roman" w:hAnsi="Times New Roman" w:cs="Times New Roman"/>
                <w:color w:val="auto"/>
                <w:szCs w:val="21"/>
                <w:lang w:val="en-US" w:eastAsia="zh-CN"/>
              </w:rPr>
            </w:pPr>
          </w:p>
        </w:tc>
        <w:tc>
          <w:tcPr>
            <w:tcW w:w="1228" w:type="dxa"/>
            <w:vMerge w:val="continue"/>
            <w:vAlign w:val="center"/>
          </w:tcPr>
          <w:p w14:paraId="299DD355">
            <w:pPr>
              <w:spacing w:line="276" w:lineRule="auto"/>
              <w:jc w:val="center"/>
              <w:rPr>
                <w:rFonts w:hint="default" w:ascii="Times New Roman" w:hAnsi="Times New Roman" w:eastAsia="宋体" w:cs="Times New Roman"/>
                <w:color w:val="auto"/>
                <w:szCs w:val="21"/>
              </w:rPr>
            </w:pPr>
          </w:p>
        </w:tc>
      </w:tr>
      <w:tr w14:paraId="3A03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0A400C2E">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15A043E9">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6CBD7E65">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48B20920">
            <w:pPr>
              <w:spacing w:line="240" w:lineRule="auto"/>
              <w:jc w:val="center"/>
              <w:rPr>
                <w:rFonts w:hint="default" w:ascii="Times New Roman" w:hAnsi="Times New Roman" w:cs="Times New Roman"/>
                <w:color w:val="auto"/>
                <w:szCs w:val="21"/>
                <w:lang w:val="en-US" w:eastAsia="zh-CN"/>
              </w:rPr>
            </w:pPr>
            <w:r>
              <w:rPr>
                <w:rFonts w:hint="eastAsia" w:cs="Times New Roman"/>
                <w:color w:val="auto"/>
                <w:sz w:val="18"/>
                <w:szCs w:val="18"/>
                <w:lang w:val="en-US" w:eastAsia="zh-CN"/>
              </w:rPr>
              <w:t>废滤芯</w:t>
            </w:r>
          </w:p>
        </w:tc>
        <w:tc>
          <w:tcPr>
            <w:tcW w:w="5188" w:type="dxa"/>
            <w:vAlign w:val="center"/>
          </w:tcPr>
          <w:p w14:paraId="04EB306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18"/>
                <w:szCs w:val="18"/>
              </w:rPr>
              <w:t>环卫部门清运处理</w:t>
            </w:r>
          </w:p>
        </w:tc>
        <w:tc>
          <w:tcPr>
            <w:tcW w:w="1228" w:type="dxa"/>
            <w:vMerge w:val="continue"/>
            <w:vAlign w:val="center"/>
          </w:tcPr>
          <w:p w14:paraId="24AEB284">
            <w:pPr>
              <w:spacing w:line="276" w:lineRule="auto"/>
              <w:jc w:val="center"/>
              <w:rPr>
                <w:rFonts w:hint="default" w:ascii="Times New Roman" w:hAnsi="Times New Roman" w:eastAsia="宋体" w:cs="Times New Roman"/>
                <w:color w:val="auto"/>
                <w:szCs w:val="21"/>
              </w:rPr>
            </w:pPr>
          </w:p>
        </w:tc>
      </w:tr>
      <w:tr w14:paraId="045D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5C40C08A">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56DCE220">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3C4917F1">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6FBAC2F5">
            <w:pPr>
              <w:spacing w:line="240" w:lineRule="auto"/>
              <w:jc w:val="center"/>
              <w:rPr>
                <w:rFonts w:hint="default" w:ascii="Times New Roman" w:hAnsi="Times New Roman" w:cs="Times New Roman"/>
                <w:color w:val="auto"/>
                <w:szCs w:val="21"/>
                <w:lang w:val="en-US" w:eastAsia="zh-CN"/>
              </w:rPr>
            </w:pPr>
            <w:r>
              <w:rPr>
                <w:rFonts w:hint="eastAsia" w:cs="Times New Roman"/>
                <w:color w:val="auto"/>
                <w:sz w:val="18"/>
                <w:szCs w:val="18"/>
                <w:lang w:val="en-US" w:eastAsia="zh-CN"/>
              </w:rPr>
              <w:t>废焊丝、熔渣</w:t>
            </w:r>
          </w:p>
        </w:tc>
        <w:tc>
          <w:tcPr>
            <w:tcW w:w="5188" w:type="dxa"/>
            <w:vMerge w:val="restart"/>
            <w:vAlign w:val="center"/>
          </w:tcPr>
          <w:p w14:paraId="2457A297">
            <w:pPr>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 w:val="18"/>
                <w:szCs w:val="18"/>
                <w:lang w:val="en-US" w:eastAsia="zh-CN"/>
              </w:rPr>
              <w:t>外售废品收购站</w:t>
            </w:r>
          </w:p>
        </w:tc>
        <w:tc>
          <w:tcPr>
            <w:tcW w:w="1228" w:type="dxa"/>
            <w:vMerge w:val="continue"/>
            <w:vAlign w:val="center"/>
          </w:tcPr>
          <w:p w14:paraId="3D42D9DB">
            <w:pPr>
              <w:spacing w:line="276" w:lineRule="auto"/>
              <w:jc w:val="center"/>
              <w:rPr>
                <w:rFonts w:hint="default" w:ascii="Times New Roman" w:hAnsi="Times New Roman" w:eastAsia="宋体" w:cs="Times New Roman"/>
                <w:color w:val="auto"/>
                <w:szCs w:val="21"/>
              </w:rPr>
            </w:pPr>
          </w:p>
        </w:tc>
      </w:tr>
      <w:tr w14:paraId="54AB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Merge w:val="continue"/>
            <w:vAlign w:val="center"/>
          </w:tcPr>
          <w:p w14:paraId="2C62E442">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56F91506">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0766A05F">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4837F299">
            <w:pPr>
              <w:spacing w:line="240" w:lineRule="auto"/>
              <w:jc w:val="center"/>
              <w:rPr>
                <w:rFonts w:hint="default" w:ascii="Times New Roman" w:hAnsi="Times New Roman" w:cs="Times New Roman"/>
                <w:color w:val="auto"/>
                <w:szCs w:val="21"/>
                <w:lang w:val="en-US" w:eastAsia="zh-CN"/>
              </w:rPr>
            </w:pPr>
            <w:r>
              <w:rPr>
                <w:rFonts w:hint="eastAsia" w:cs="Times New Roman"/>
                <w:color w:val="auto"/>
                <w:sz w:val="18"/>
                <w:szCs w:val="18"/>
                <w:lang w:val="en-US" w:eastAsia="zh-CN"/>
              </w:rPr>
              <w:t>钢筋头和不锈钢边角料</w:t>
            </w:r>
          </w:p>
        </w:tc>
        <w:tc>
          <w:tcPr>
            <w:tcW w:w="5188" w:type="dxa"/>
            <w:vMerge w:val="continue"/>
            <w:vAlign w:val="center"/>
          </w:tcPr>
          <w:p w14:paraId="5B21AD87">
            <w:pPr>
              <w:spacing w:line="240" w:lineRule="auto"/>
              <w:jc w:val="center"/>
              <w:rPr>
                <w:rFonts w:hint="default" w:ascii="Times New Roman" w:hAnsi="Times New Roman" w:cs="Times New Roman"/>
                <w:color w:val="auto"/>
                <w:szCs w:val="21"/>
                <w:lang w:val="en-US" w:eastAsia="zh-CN"/>
              </w:rPr>
            </w:pPr>
          </w:p>
        </w:tc>
        <w:tc>
          <w:tcPr>
            <w:tcW w:w="1228" w:type="dxa"/>
            <w:vMerge w:val="continue"/>
            <w:vAlign w:val="center"/>
          </w:tcPr>
          <w:p w14:paraId="62744CC4">
            <w:pPr>
              <w:spacing w:line="276" w:lineRule="auto"/>
              <w:jc w:val="center"/>
              <w:rPr>
                <w:rFonts w:hint="default" w:ascii="Times New Roman" w:hAnsi="Times New Roman" w:eastAsia="宋体" w:cs="Times New Roman"/>
                <w:color w:val="auto"/>
                <w:szCs w:val="21"/>
              </w:rPr>
            </w:pPr>
          </w:p>
        </w:tc>
      </w:tr>
      <w:tr w14:paraId="7B8E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96" w:type="dxa"/>
            <w:vMerge w:val="continue"/>
            <w:vAlign w:val="center"/>
          </w:tcPr>
          <w:p w14:paraId="23CFC3A2">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4D7B0D3C">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0C1775AE">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16DF3B87">
            <w:pPr>
              <w:spacing w:line="240" w:lineRule="auto"/>
              <w:jc w:val="center"/>
              <w:rPr>
                <w:rFonts w:hint="default" w:ascii="Times New Roman" w:hAnsi="Times New Roman" w:cs="Times New Roman"/>
                <w:color w:val="auto"/>
                <w:szCs w:val="21"/>
                <w:lang w:val="en-US" w:eastAsia="zh-CN"/>
              </w:rPr>
            </w:pPr>
            <w:r>
              <w:rPr>
                <w:rFonts w:hint="eastAsia" w:cs="Times New Roman"/>
                <w:color w:val="auto"/>
                <w:sz w:val="18"/>
                <w:szCs w:val="18"/>
                <w:lang w:val="en-US" w:eastAsia="zh-CN"/>
              </w:rPr>
              <w:t>废抹布、手套</w:t>
            </w:r>
          </w:p>
        </w:tc>
        <w:tc>
          <w:tcPr>
            <w:tcW w:w="5188" w:type="dxa"/>
            <w:vMerge w:val="restart"/>
            <w:vAlign w:val="center"/>
          </w:tcPr>
          <w:p w14:paraId="2C9BB070">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18"/>
                <w:szCs w:val="18"/>
              </w:rPr>
              <w:t>暂存危废暂存间，定期交由有资质单位处理</w:t>
            </w:r>
          </w:p>
        </w:tc>
        <w:tc>
          <w:tcPr>
            <w:tcW w:w="1228" w:type="dxa"/>
            <w:vMerge w:val="continue"/>
            <w:vAlign w:val="center"/>
          </w:tcPr>
          <w:p w14:paraId="08CD1097">
            <w:pPr>
              <w:spacing w:line="276" w:lineRule="auto"/>
              <w:jc w:val="center"/>
              <w:rPr>
                <w:rFonts w:hint="default" w:ascii="Times New Roman" w:hAnsi="Times New Roman" w:eastAsia="宋体" w:cs="Times New Roman"/>
                <w:color w:val="auto"/>
                <w:szCs w:val="21"/>
              </w:rPr>
            </w:pPr>
          </w:p>
        </w:tc>
      </w:tr>
      <w:tr w14:paraId="4DA2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96" w:type="dxa"/>
            <w:vMerge w:val="continue"/>
            <w:vAlign w:val="center"/>
          </w:tcPr>
          <w:p w14:paraId="4CD1EBBF">
            <w:pPr>
              <w:spacing w:line="240" w:lineRule="auto"/>
              <w:jc w:val="center"/>
              <w:rPr>
                <w:rFonts w:hint="default" w:ascii="Times New Roman" w:hAnsi="Times New Roman" w:eastAsia="宋体" w:cs="Times New Roman"/>
                <w:color w:val="auto"/>
                <w:szCs w:val="21"/>
              </w:rPr>
            </w:pPr>
          </w:p>
        </w:tc>
        <w:tc>
          <w:tcPr>
            <w:tcW w:w="695" w:type="dxa"/>
            <w:vMerge w:val="continue"/>
            <w:vAlign w:val="center"/>
          </w:tcPr>
          <w:p w14:paraId="15E47993">
            <w:pPr>
              <w:spacing w:line="240" w:lineRule="auto"/>
              <w:jc w:val="center"/>
              <w:rPr>
                <w:rFonts w:hint="default" w:ascii="Times New Roman" w:hAnsi="Times New Roman" w:eastAsia="宋体" w:cs="Times New Roman"/>
                <w:color w:val="auto"/>
                <w:szCs w:val="21"/>
              </w:rPr>
            </w:pPr>
          </w:p>
        </w:tc>
        <w:tc>
          <w:tcPr>
            <w:tcW w:w="887" w:type="dxa"/>
            <w:vMerge w:val="continue"/>
            <w:vAlign w:val="center"/>
          </w:tcPr>
          <w:p w14:paraId="2A58B67A">
            <w:pPr>
              <w:spacing w:line="240" w:lineRule="auto"/>
              <w:jc w:val="center"/>
              <w:rPr>
                <w:rFonts w:hint="default" w:ascii="Times New Roman" w:hAnsi="Times New Roman" w:eastAsia="宋体" w:cs="Times New Roman"/>
                <w:color w:val="auto"/>
                <w:szCs w:val="21"/>
                <w:lang w:eastAsia="zh-CN"/>
              </w:rPr>
            </w:pPr>
          </w:p>
        </w:tc>
        <w:tc>
          <w:tcPr>
            <w:tcW w:w="1500" w:type="dxa"/>
            <w:vAlign w:val="center"/>
          </w:tcPr>
          <w:p w14:paraId="35F91516">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废机油</w:t>
            </w:r>
          </w:p>
        </w:tc>
        <w:tc>
          <w:tcPr>
            <w:tcW w:w="5188" w:type="dxa"/>
            <w:vMerge w:val="continue"/>
            <w:vAlign w:val="center"/>
          </w:tcPr>
          <w:p w14:paraId="3E8A0F46">
            <w:pPr>
              <w:spacing w:line="240" w:lineRule="auto"/>
              <w:jc w:val="center"/>
              <w:rPr>
                <w:rFonts w:hint="default" w:ascii="Times New Roman" w:hAnsi="Times New Roman" w:cs="Times New Roman"/>
                <w:color w:val="auto"/>
                <w:szCs w:val="21"/>
                <w:lang w:val="en-US" w:eastAsia="zh-CN"/>
              </w:rPr>
            </w:pPr>
          </w:p>
        </w:tc>
        <w:tc>
          <w:tcPr>
            <w:tcW w:w="1228" w:type="dxa"/>
            <w:vMerge w:val="continue"/>
            <w:vAlign w:val="center"/>
          </w:tcPr>
          <w:p w14:paraId="7ED63708">
            <w:pPr>
              <w:spacing w:line="276" w:lineRule="auto"/>
              <w:jc w:val="center"/>
              <w:rPr>
                <w:rFonts w:hint="default" w:ascii="Times New Roman" w:hAnsi="Times New Roman" w:eastAsia="宋体" w:cs="Times New Roman"/>
                <w:color w:val="auto"/>
                <w:szCs w:val="21"/>
              </w:rPr>
            </w:pPr>
          </w:p>
        </w:tc>
      </w:tr>
      <w:tr w14:paraId="7C39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4" w:type="dxa"/>
            <w:gridSpan w:val="6"/>
            <w:vAlign w:val="center"/>
          </w:tcPr>
          <w:p w14:paraId="4F416691">
            <w:pPr>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主要生态影响、保护措施及预期效果</w:t>
            </w:r>
          </w:p>
          <w:p w14:paraId="75814ECC">
            <w:pPr>
              <w:spacing w:line="360" w:lineRule="auto"/>
              <w:ind w:firstLine="480" w:firstLineChars="200"/>
              <w:rPr>
                <w:rFonts w:hint="eastAsia" w:ascii="Times New Roman" w:hAnsi="Times New Roman" w:cs="Times New Roman" w:eastAsiaTheme="minorEastAsia"/>
                <w:color w:val="auto"/>
                <w:szCs w:val="21"/>
                <w:lang w:eastAsia="zh-CN"/>
              </w:rPr>
            </w:pPr>
            <w:r>
              <w:rPr>
                <w:rFonts w:hint="eastAsia" w:asciiTheme="minorEastAsia" w:hAnsiTheme="minorEastAsia" w:eastAsiaTheme="minorEastAsia" w:cstheme="minorEastAsia"/>
                <w:color w:val="auto"/>
                <w:sz w:val="24"/>
                <w:szCs w:val="24"/>
              </w:rPr>
              <w:t>本项目位于</w:t>
            </w:r>
            <w:r>
              <w:rPr>
                <w:rFonts w:hint="eastAsia" w:cs="Times New Roman"/>
                <w:bCs/>
                <w:color w:val="auto"/>
                <w:sz w:val="24"/>
                <w:szCs w:val="24"/>
                <w:lang w:val="en-US" w:eastAsia="zh-CN"/>
              </w:rPr>
              <w:t>四川省遂宁市蓬溪县蓬南镇长石村3社</w:t>
            </w:r>
            <w:r>
              <w:rPr>
                <w:rFonts w:hint="eastAsia" w:asciiTheme="minorEastAsia" w:hAnsiTheme="minorEastAsia" w:eastAsiaTheme="minorEastAsia" w:cstheme="minorEastAsia"/>
                <w:color w:val="auto"/>
                <w:sz w:val="24"/>
                <w:szCs w:val="24"/>
              </w:rPr>
              <w:t>，项目所在地主要为</w:t>
            </w:r>
            <w:r>
              <w:rPr>
                <w:rFonts w:hint="eastAsia" w:asciiTheme="minorEastAsia" w:hAnsiTheme="minorEastAsia" w:eastAsiaTheme="minorEastAsia" w:cstheme="minorEastAsia"/>
                <w:color w:val="auto"/>
                <w:sz w:val="24"/>
                <w:szCs w:val="24"/>
                <w:lang w:val="en-US" w:eastAsia="zh-CN"/>
              </w:rPr>
              <w:t>乡镇</w:t>
            </w:r>
            <w:r>
              <w:rPr>
                <w:rFonts w:hint="eastAsia" w:asciiTheme="minorEastAsia" w:hAnsiTheme="minorEastAsia" w:eastAsiaTheme="minorEastAsia" w:cstheme="minorEastAsia"/>
                <w:color w:val="auto"/>
                <w:sz w:val="24"/>
                <w:szCs w:val="24"/>
              </w:rPr>
              <w:t>生态环境，区域内人类活动频繁，不存在原生植被。项目所在区域内无野生动物及珍惜植物，无文物古迹等需特殊保护的目标</w:t>
            </w:r>
            <w:r>
              <w:rPr>
                <w:rFonts w:hint="eastAsia" w:asciiTheme="minorEastAsia" w:hAnsiTheme="minorEastAsia" w:eastAsiaTheme="minorEastAsia" w:cstheme="minorEastAsia"/>
                <w:color w:val="auto"/>
                <w:sz w:val="24"/>
                <w:szCs w:val="24"/>
                <w:lang w:eastAsia="zh-CN"/>
              </w:rPr>
              <w:t>。</w:t>
            </w:r>
          </w:p>
        </w:tc>
      </w:tr>
    </w:tbl>
    <w:p w14:paraId="434A185C">
      <w:pPr>
        <w:spacing w:line="360" w:lineRule="auto"/>
        <w:rPr>
          <w:rFonts w:hint="default" w:ascii="Times New Roman" w:hAnsi="Times New Roman" w:eastAsia="宋体" w:cs="Times New Roman"/>
          <w:b/>
          <w:color w:val="C00000"/>
          <w:sz w:val="28"/>
          <w:szCs w:val="28"/>
        </w:rPr>
      </w:pPr>
    </w:p>
    <w:p w14:paraId="595AAC12">
      <w:pPr>
        <w:spacing w:line="360" w:lineRule="auto"/>
        <w:ind w:firstLine="281" w:firstLineChars="100"/>
        <w:outlineLvl w:val="0"/>
        <w:rPr>
          <w:rFonts w:hint="default" w:ascii="Times New Roman" w:hAnsi="Times New Roman" w:eastAsia="宋体" w:cs="Times New Roman"/>
          <w:b/>
          <w:color w:val="auto"/>
          <w:sz w:val="28"/>
          <w:szCs w:val="28"/>
        </w:rPr>
      </w:pPr>
    </w:p>
    <w:p w14:paraId="19C8FFE9">
      <w:pPr>
        <w:spacing w:line="360" w:lineRule="auto"/>
        <w:ind w:firstLine="281" w:firstLineChars="100"/>
        <w:outlineLvl w:val="0"/>
        <w:rPr>
          <w:rFonts w:hint="default" w:ascii="Times New Roman" w:hAnsi="Times New Roman" w:eastAsia="宋体" w:cs="Times New Roman"/>
          <w:b/>
          <w:color w:val="auto"/>
          <w:sz w:val="28"/>
          <w:szCs w:val="28"/>
        </w:rPr>
      </w:pPr>
    </w:p>
    <w:p w14:paraId="063B345C">
      <w:pPr>
        <w:spacing w:line="360" w:lineRule="auto"/>
        <w:ind w:firstLine="281" w:firstLineChars="100"/>
        <w:outlineLvl w:val="0"/>
        <w:rPr>
          <w:rFonts w:hint="default" w:ascii="Times New Roman" w:hAnsi="Times New Roman" w:eastAsia="宋体" w:cs="Times New Roman"/>
          <w:b/>
          <w:color w:val="auto"/>
          <w:sz w:val="28"/>
          <w:szCs w:val="28"/>
        </w:rPr>
      </w:pPr>
    </w:p>
    <w:p w14:paraId="2FF7B513">
      <w:pPr>
        <w:spacing w:line="360" w:lineRule="auto"/>
        <w:ind w:firstLine="281" w:firstLineChars="100"/>
        <w:outlineLvl w:val="0"/>
        <w:rPr>
          <w:rFonts w:hint="default" w:ascii="Times New Roman" w:hAnsi="Times New Roman" w:eastAsia="宋体" w:cs="Times New Roman"/>
          <w:b/>
          <w:color w:val="auto"/>
          <w:sz w:val="28"/>
          <w:szCs w:val="28"/>
        </w:rPr>
      </w:pPr>
    </w:p>
    <w:p w14:paraId="1601D9A1">
      <w:pPr>
        <w:spacing w:line="360" w:lineRule="auto"/>
        <w:ind w:firstLine="281" w:firstLineChars="100"/>
        <w:outlineLvl w:val="0"/>
        <w:rPr>
          <w:rFonts w:hint="default" w:ascii="Times New Roman" w:hAnsi="Times New Roman" w:eastAsia="宋体" w:cs="Times New Roman"/>
          <w:b/>
          <w:color w:val="auto"/>
          <w:sz w:val="28"/>
          <w:szCs w:val="28"/>
        </w:rPr>
      </w:pPr>
    </w:p>
    <w:p w14:paraId="342AF166">
      <w:pPr>
        <w:spacing w:line="360" w:lineRule="auto"/>
        <w:ind w:firstLine="281" w:firstLineChars="100"/>
        <w:outlineLvl w:val="0"/>
        <w:rPr>
          <w:rFonts w:hint="default" w:ascii="Times New Roman" w:hAnsi="Times New Roman" w:eastAsia="宋体" w:cs="Times New Roman"/>
          <w:b/>
          <w:color w:val="auto"/>
          <w:sz w:val="28"/>
          <w:szCs w:val="28"/>
        </w:rPr>
      </w:pPr>
    </w:p>
    <w:p w14:paraId="6706ED91">
      <w:pPr>
        <w:spacing w:line="360" w:lineRule="auto"/>
        <w:ind w:firstLine="281" w:firstLineChars="100"/>
        <w:outlineLvl w:val="0"/>
        <w:rPr>
          <w:rFonts w:hint="default" w:ascii="Times New Roman" w:hAnsi="Times New Roman" w:eastAsia="宋体" w:cs="Times New Roman"/>
          <w:b/>
          <w:color w:val="auto"/>
          <w:sz w:val="28"/>
          <w:szCs w:val="28"/>
        </w:rPr>
      </w:pPr>
    </w:p>
    <w:p w14:paraId="51AAF919">
      <w:pPr>
        <w:spacing w:line="360" w:lineRule="auto"/>
        <w:ind w:firstLine="281" w:firstLineChars="100"/>
        <w:outlineLvl w:val="0"/>
        <w:rPr>
          <w:rFonts w:hint="default" w:ascii="Times New Roman" w:hAnsi="Times New Roman" w:eastAsia="宋体" w:cs="Times New Roman"/>
          <w:b/>
          <w:color w:val="auto"/>
          <w:sz w:val="28"/>
          <w:szCs w:val="28"/>
        </w:rPr>
      </w:pPr>
    </w:p>
    <w:p w14:paraId="2AD5841F">
      <w:pPr>
        <w:spacing w:line="360" w:lineRule="auto"/>
        <w:ind w:firstLine="281" w:firstLineChars="100"/>
        <w:outlineLvl w:val="0"/>
        <w:rPr>
          <w:rFonts w:hint="default" w:ascii="Times New Roman" w:hAnsi="Times New Roman" w:eastAsia="宋体" w:cs="Times New Roman"/>
          <w:b/>
          <w:color w:val="auto"/>
          <w:sz w:val="28"/>
          <w:szCs w:val="28"/>
        </w:rPr>
      </w:pPr>
    </w:p>
    <w:p w14:paraId="55D933AD">
      <w:pPr>
        <w:spacing w:line="360" w:lineRule="auto"/>
        <w:ind w:firstLine="281" w:firstLineChars="100"/>
        <w:outlineLvl w:val="0"/>
        <w:rPr>
          <w:rFonts w:hint="default" w:ascii="Times New Roman" w:hAnsi="Times New Roman" w:eastAsia="宋体" w:cs="Times New Roman"/>
          <w:b/>
          <w:color w:val="auto"/>
          <w:sz w:val="28"/>
          <w:szCs w:val="28"/>
        </w:rPr>
      </w:pPr>
    </w:p>
    <w:p w14:paraId="357FB5A7">
      <w:pPr>
        <w:spacing w:line="360" w:lineRule="auto"/>
        <w:ind w:firstLine="281" w:firstLineChars="100"/>
        <w:outlineLvl w:val="0"/>
        <w:rPr>
          <w:rFonts w:hint="default" w:ascii="Times New Roman" w:hAnsi="Times New Roman" w:eastAsia="宋体" w:cs="Times New Roman"/>
          <w:b/>
          <w:color w:val="auto"/>
          <w:sz w:val="28"/>
          <w:szCs w:val="28"/>
        </w:rPr>
      </w:pPr>
    </w:p>
    <w:p w14:paraId="1397EB52">
      <w:pPr>
        <w:spacing w:line="360" w:lineRule="auto"/>
        <w:ind w:firstLine="281" w:firstLineChars="100"/>
        <w:outlineLvl w:val="0"/>
        <w:rPr>
          <w:rFonts w:hint="default" w:ascii="Times New Roman" w:hAnsi="Times New Roman" w:eastAsia="宋体" w:cs="Times New Roman"/>
          <w:b/>
          <w:color w:val="auto"/>
          <w:sz w:val="28"/>
          <w:szCs w:val="28"/>
        </w:rPr>
      </w:pPr>
    </w:p>
    <w:p w14:paraId="1B672F47">
      <w:pPr>
        <w:spacing w:line="360" w:lineRule="auto"/>
        <w:ind w:firstLine="281" w:firstLineChars="100"/>
        <w:outlineLvl w:val="0"/>
        <w:rPr>
          <w:rFonts w:hint="default" w:ascii="Times New Roman" w:hAnsi="Times New Roman" w:eastAsia="宋体" w:cs="Times New Roman"/>
          <w:b/>
          <w:color w:val="auto"/>
          <w:sz w:val="28"/>
          <w:szCs w:val="28"/>
        </w:rPr>
      </w:pPr>
    </w:p>
    <w:p w14:paraId="6DF119E3">
      <w:pPr>
        <w:spacing w:line="360" w:lineRule="auto"/>
        <w:ind w:firstLine="281" w:firstLineChars="100"/>
        <w:outlineLvl w:val="0"/>
        <w:rPr>
          <w:rFonts w:hint="default" w:ascii="Times New Roman" w:hAnsi="Times New Roman" w:eastAsia="宋体" w:cs="Times New Roman"/>
          <w:b/>
          <w:color w:val="auto"/>
          <w:sz w:val="28"/>
          <w:szCs w:val="28"/>
        </w:rPr>
      </w:pPr>
    </w:p>
    <w:p w14:paraId="7AAE8754">
      <w:pPr>
        <w:spacing w:line="360" w:lineRule="auto"/>
        <w:ind w:firstLine="281" w:firstLineChars="100"/>
        <w:outlineLvl w:val="0"/>
        <w:rPr>
          <w:rFonts w:hint="default" w:ascii="Times New Roman" w:hAnsi="Times New Roman" w:eastAsia="宋体" w:cs="Times New Roman"/>
          <w:b/>
          <w:color w:val="auto"/>
          <w:sz w:val="28"/>
          <w:szCs w:val="28"/>
        </w:rPr>
      </w:pPr>
    </w:p>
    <w:p w14:paraId="37A12743">
      <w:pPr>
        <w:spacing w:line="360" w:lineRule="auto"/>
        <w:ind w:firstLine="281" w:firstLineChars="100"/>
        <w:outlineLvl w:val="0"/>
        <w:rPr>
          <w:rFonts w:hint="default" w:ascii="Times New Roman" w:hAnsi="Times New Roman" w:eastAsia="宋体" w:cs="Times New Roman"/>
          <w:b/>
          <w:color w:val="auto"/>
          <w:sz w:val="28"/>
          <w:szCs w:val="28"/>
        </w:rPr>
      </w:pPr>
    </w:p>
    <w:p w14:paraId="3367F3B9">
      <w:pPr>
        <w:spacing w:line="360" w:lineRule="auto"/>
        <w:ind w:firstLine="281" w:firstLineChars="100"/>
        <w:outlineLvl w:val="0"/>
        <w:rPr>
          <w:rFonts w:hint="default" w:ascii="Times New Roman" w:hAnsi="Times New Roman" w:eastAsia="宋体" w:cs="Times New Roman"/>
          <w:b/>
          <w:color w:val="auto"/>
          <w:sz w:val="28"/>
          <w:szCs w:val="28"/>
        </w:rPr>
      </w:pPr>
    </w:p>
    <w:p w14:paraId="3650F060">
      <w:pPr>
        <w:spacing w:line="360" w:lineRule="auto"/>
        <w:ind w:firstLine="281" w:firstLineChars="100"/>
        <w:outlineLvl w:val="0"/>
        <w:rPr>
          <w:rFonts w:hint="default" w:ascii="Times New Roman" w:hAnsi="Times New Roman" w:eastAsia="宋体" w:cs="Times New Roman"/>
          <w:b/>
          <w:color w:val="auto"/>
          <w:sz w:val="28"/>
          <w:szCs w:val="28"/>
        </w:rPr>
      </w:pPr>
    </w:p>
    <w:p w14:paraId="7F0613E9">
      <w:pPr>
        <w:spacing w:line="360" w:lineRule="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8"/>
          <w:szCs w:val="28"/>
        </w:rPr>
        <w:t xml:space="preserve">结论与建议                                                 </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（表九）</w:t>
      </w:r>
    </w:p>
    <w:tbl>
      <w:tblPr>
        <w:tblStyle w:val="22"/>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4"/>
      </w:tblGrid>
      <w:tr w14:paraId="3AD3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94" w:type="dxa"/>
            <w:shd w:val="clear" w:color="auto" w:fill="auto"/>
          </w:tcPr>
          <w:p w14:paraId="377088ED">
            <w:pPr>
              <w:spacing w:line="360" w:lineRule="auto"/>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一、结论</w:t>
            </w:r>
          </w:p>
          <w:p w14:paraId="4DAB89DD">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蓬溪县蓬南镇新豪杰养殖设备厂</w:t>
            </w:r>
            <w:r>
              <w:rPr>
                <w:rFonts w:hint="default" w:ascii="Times New Roman" w:hAnsi="Times New Roman" w:cs="Times New Roman"/>
                <w:color w:val="auto"/>
                <w:sz w:val="24"/>
                <w:szCs w:val="24"/>
                <w:lang w:val="en-US" w:eastAsia="zh-CN"/>
              </w:rPr>
              <w:t>经营的</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畜禽养殖专用水泥制品及不锈钢制品项目</w:t>
            </w:r>
            <w:r>
              <w:rPr>
                <w:rFonts w:hint="default" w:ascii="Times New Roman" w:hAnsi="Times New Roman" w:eastAsia="宋体" w:cs="Times New Roman"/>
                <w:color w:val="auto"/>
                <w:sz w:val="24"/>
                <w:szCs w:val="24"/>
              </w:rPr>
              <w:t>”位于</w:t>
            </w:r>
            <w:r>
              <w:rPr>
                <w:rFonts w:hint="eastAsia" w:cs="Times New Roman"/>
                <w:color w:val="auto"/>
                <w:sz w:val="24"/>
                <w:szCs w:val="24"/>
                <w:lang w:val="en-US" w:eastAsia="zh-CN"/>
              </w:rPr>
              <w:t xml:space="preserve">四川省遂宁市蓬溪县蓬南镇长石村3社 </w:t>
            </w:r>
            <w:r>
              <w:rPr>
                <w:rFonts w:hint="default" w:ascii="Times New Roman" w:hAnsi="Times New Roman" w:eastAsia="宋体" w:cs="Times New Roman"/>
                <w:color w:val="auto"/>
                <w:sz w:val="24"/>
                <w:szCs w:val="24"/>
              </w:rPr>
              <w:t>，主要建设内容包括：</w:t>
            </w:r>
            <w:r>
              <w:rPr>
                <w:rFonts w:hint="default" w:ascii="Times New Roman" w:hAnsi="Times New Roman" w:cs="Times New Roman"/>
                <w:color w:val="auto"/>
                <w:sz w:val="24"/>
                <w:szCs w:val="24"/>
                <w:lang w:val="en-US" w:eastAsia="zh-CN"/>
              </w:rPr>
              <w:t>项目</w:t>
            </w:r>
            <w:r>
              <w:rPr>
                <w:rFonts w:hint="default" w:ascii="Times New Roman" w:hAnsi="Times New Roman" w:eastAsia="宋体" w:cs="Times New Roman"/>
                <w:color w:val="auto"/>
                <w:sz w:val="24"/>
                <w:szCs w:val="24"/>
              </w:rPr>
              <w:t>建设</w:t>
            </w:r>
            <w:r>
              <w:rPr>
                <w:rFonts w:hint="eastAsia" w:cs="Times New Roman"/>
                <w:color w:val="auto"/>
                <w:sz w:val="24"/>
                <w:szCs w:val="24"/>
                <w:lang w:val="en-US" w:eastAsia="zh-CN"/>
              </w:rPr>
              <w:t>水泥制品</w:t>
            </w:r>
            <w:r>
              <w:rPr>
                <w:rFonts w:hint="default" w:ascii="Times New Roman" w:hAnsi="Times New Roman" w:eastAsia="宋体" w:cs="Times New Roman"/>
                <w:color w:val="auto"/>
                <w:sz w:val="24"/>
                <w:szCs w:val="24"/>
              </w:rPr>
              <w:t>生产线1条，年产4万</w:t>
            </w:r>
            <w:r>
              <w:rPr>
                <w:rFonts w:hint="eastAsia" w:cs="Times New Roman"/>
                <w:color w:val="auto"/>
                <w:sz w:val="24"/>
                <w:szCs w:val="24"/>
                <w:lang w:val="en-US" w:eastAsia="zh-CN"/>
              </w:rPr>
              <w:t>块混凝土漏粪板和5000个水泥料槽，金属制品生产线1条，年产5万个不锈钢料槽。项目</w:t>
            </w:r>
            <w:r>
              <w:rPr>
                <w:rFonts w:hint="default" w:ascii="Times New Roman" w:hAnsi="Times New Roman" w:cs="Times New Roman"/>
                <w:color w:val="auto"/>
                <w:sz w:val="24"/>
                <w:szCs w:val="24"/>
                <w:lang w:val="en-US" w:eastAsia="zh-CN"/>
              </w:rPr>
              <w:t>占地面积2454.84m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vertAlign w:val="baseline"/>
                <w:lang w:val="en-US" w:eastAsia="zh-CN"/>
              </w:rPr>
              <w:t>，分别设置原料堆场、生产车间、成品堆场及办公区。本项目由主体工程、公用辅助工程、仓储工程及环保工程组成。本项目不设置食堂及宿舍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项目总投资</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rPr>
              <w:t>万元，环保投资</w:t>
            </w:r>
            <w:r>
              <w:rPr>
                <w:rFonts w:hint="eastAsia" w:cs="Times New Roman"/>
                <w:color w:val="auto"/>
                <w:sz w:val="24"/>
                <w:szCs w:val="24"/>
                <w:lang w:val="en-US" w:eastAsia="zh-CN"/>
              </w:rPr>
              <w:t>19.3</w:t>
            </w:r>
            <w:r>
              <w:rPr>
                <w:rFonts w:hint="default" w:ascii="Times New Roman" w:hAnsi="Times New Roman" w:eastAsia="宋体" w:cs="Times New Roman"/>
                <w:color w:val="auto"/>
                <w:sz w:val="24"/>
                <w:szCs w:val="24"/>
              </w:rPr>
              <w:t>万元，占总投资的</w:t>
            </w:r>
            <w:r>
              <w:rPr>
                <w:rFonts w:hint="eastAsia" w:cs="Times New Roman"/>
                <w:color w:val="auto"/>
                <w:sz w:val="24"/>
                <w:szCs w:val="24"/>
                <w:lang w:val="en-US" w:eastAsia="zh-CN"/>
              </w:rPr>
              <w:t>38.6</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w:t>
            </w:r>
          </w:p>
          <w:p w14:paraId="65317848">
            <w:pPr>
              <w:spacing w:line="360" w:lineRule="auto"/>
              <w:ind w:firstLine="48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1、产业政策符合性</w:t>
            </w:r>
          </w:p>
          <w:p w14:paraId="0A5FF654">
            <w:pPr>
              <w:spacing w:line="360" w:lineRule="auto"/>
              <w:ind w:firstLine="480" w:firstLineChars="200"/>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根据《国民经济行业分类》（GB/T4754-2017），本项目产品主要为</w:t>
            </w:r>
            <w:r>
              <w:rPr>
                <w:rFonts w:hint="eastAsia" w:ascii="Times New Roman" w:hAnsi="Times New Roman" w:eastAsia="宋体" w:cs="Times New Roman"/>
                <w:color w:val="auto"/>
                <w:sz w:val="24"/>
                <w:szCs w:val="24"/>
                <w:shd w:val="clear" w:color="auto" w:fill="auto"/>
                <w:lang w:val="en-US" w:eastAsia="zh-CN"/>
              </w:rPr>
              <w:t>不锈钢制品和</w:t>
            </w:r>
            <w:r>
              <w:rPr>
                <w:rFonts w:hint="eastAsia" w:ascii="Times New Roman" w:hAnsi="Times New Roman" w:eastAsia="宋体" w:cs="Times New Roman"/>
                <w:color w:val="auto"/>
                <w:sz w:val="24"/>
                <w:szCs w:val="24"/>
                <w:shd w:val="clear" w:color="auto" w:fill="auto"/>
                <w:lang w:eastAsia="zh-CN"/>
              </w:rPr>
              <w:t>畜禽养殖专用水泥制品</w:t>
            </w:r>
            <w:r>
              <w:rPr>
                <w:rFonts w:hint="default" w:ascii="Times New Roman" w:hAnsi="Times New Roman" w:eastAsia="宋体" w:cs="Times New Roman"/>
                <w:color w:val="auto"/>
                <w:sz w:val="24"/>
                <w:szCs w:val="24"/>
                <w:shd w:val="clear" w:color="auto" w:fill="auto"/>
              </w:rPr>
              <w:t>等，属于</w:t>
            </w:r>
            <w:r>
              <w:rPr>
                <w:rFonts w:hint="eastAsia" w:ascii="Times New Roman" w:hAnsi="Times New Roman" w:eastAsia="宋体" w:cs="Times New Roman"/>
                <w:color w:val="auto"/>
                <w:sz w:val="24"/>
                <w:szCs w:val="24"/>
                <w:shd w:val="clear" w:color="auto" w:fill="auto"/>
                <w:lang w:val="en-US" w:eastAsia="zh-CN"/>
              </w:rPr>
              <w:t>砼结构构件制造</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C3022</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和金属结构制造</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eastAsia="宋体" w:cs="Times New Roman"/>
                <w:color w:val="auto"/>
                <w:sz w:val="24"/>
                <w:szCs w:val="24"/>
                <w:shd w:val="clear" w:color="auto" w:fill="auto"/>
                <w:lang w:val="en-US" w:eastAsia="zh-CN"/>
              </w:rPr>
              <w:t>C3311</w:t>
            </w:r>
            <w:r>
              <w:rPr>
                <w:rFonts w:hint="eastAsia" w:ascii="Times New Roman" w:hAnsi="Times New Roman"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shd w:val="clear" w:color="auto" w:fill="auto"/>
              </w:rPr>
              <w:t>。</w:t>
            </w:r>
            <w:r>
              <w:rPr>
                <w:rFonts w:hint="default" w:ascii="Times New Roman" w:hAnsi="Times New Roman" w:eastAsia="宋体" w:cs="Times New Roman"/>
                <w:color w:val="auto"/>
                <w:sz w:val="24"/>
                <w:szCs w:val="24"/>
                <w:shd w:val="clear" w:color="auto" w:fill="auto"/>
                <w:lang w:eastAsia="zh-CN"/>
              </w:rPr>
              <w:t>按照《产业结构调整指导目录（</w:t>
            </w:r>
            <w:r>
              <w:rPr>
                <w:rFonts w:hint="default" w:ascii="Times New Roman" w:hAnsi="Times New Roman" w:eastAsia="宋体" w:cs="Times New Roman"/>
                <w:color w:val="auto"/>
                <w:sz w:val="24"/>
                <w:szCs w:val="24"/>
                <w:shd w:val="clear" w:color="auto" w:fill="auto"/>
                <w:lang w:val="en-US" w:eastAsia="zh-CN"/>
              </w:rPr>
              <w:t>2019</w:t>
            </w:r>
            <w:r>
              <w:rPr>
                <w:rFonts w:hint="default" w:ascii="Times New Roman" w:hAnsi="Times New Roman" w:eastAsia="宋体" w:cs="Times New Roman"/>
                <w:color w:val="auto"/>
                <w:sz w:val="24"/>
                <w:szCs w:val="24"/>
                <w:shd w:val="clear" w:color="auto" w:fill="auto"/>
                <w:lang w:eastAsia="zh-CN"/>
              </w:rPr>
              <w:t>年本）》（中华人民共和国国家发展和改革委员会令第29号）</w:t>
            </w:r>
            <w:r>
              <w:rPr>
                <w:rFonts w:hint="default" w:ascii="Times New Roman" w:hAnsi="Times New Roman" w:eastAsia="宋体" w:cs="Times New Roman"/>
                <w:color w:val="auto"/>
                <w:sz w:val="24"/>
                <w:szCs w:val="24"/>
                <w:shd w:val="clear" w:color="auto" w:fill="auto"/>
                <w:lang w:val="en-US" w:eastAsia="zh-CN"/>
              </w:rPr>
              <w:t>的要求</w:t>
            </w:r>
            <w:r>
              <w:rPr>
                <w:rFonts w:hint="default" w:ascii="Times New Roman" w:hAnsi="Times New Roman" w:eastAsia="宋体" w:cs="Times New Roman"/>
                <w:color w:val="auto"/>
                <w:sz w:val="24"/>
                <w:szCs w:val="24"/>
                <w:shd w:val="clear" w:color="auto" w:fill="auto"/>
                <w:lang w:eastAsia="zh-CN"/>
              </w:rPr>
              <w:t>，本项目不属于</w:t>
            </w:r>
            <w:r>
              <w:rPr>
                <w:rFonts w:hint="default" w:ascii="Times New Roman" w:hAnsi="Times New Roman" w:eastAsia="宋体" w:cs="Times New Roman"/>
                <w:color w:val="auto"/>
                <w:sz w:val="24"/>
                <w:szCs w:val="24"/>
                <w:shd w:val="clear" w:color="auto" w:fill="auto"/>
                <w:lang w:val="en-US" w:eastAsia="zh-CN"/>
              </w:rPr>
              <w:t>其中的</w:t>
            </w:r>
            <w:r>
              <w:rPr>
                <w:rFonts w:hint="default" w:ascii="Times New Roman" w:hAnsi="Times New Roman" w:eastAsia="宋体" w:cs="Times New Roman"/>
                <w:color w:val="auto"/>
                <w:sz w:val="24"/>
                <w:szCs w:val="24"/>
                <w:shd w:val="clear" w:color="auto" w:fill="auto"/>
                <w:lang w:eastAsia="zh-CN"/>
              </w:rPr>
              <w:t>鼓励类、限制类和淘汰类，</w:t>
            </w:r>
            <w:r>
              <w:rPr>
                <w:rFonts w:hint="default" w:ascii="Times New Roman" w:hAnsi="Times New Roman" w:eastAsia="宋体" w:cs="Times New Roman"/>
                <w:color w:val="auto"/>
                <w:sz w:val="24"/>
                <w:szCs w:val="24"/>
                <w:shd w:val="clear" w:color="auto" w:fill="auto"/>
                <w:lang w:val="en-US" w:eastAsia="zh-CN"/>
              </w:rPr>
              <w:t>另</w:t>
            </w:r>
            <w:r>
              <w:rPr>
                <w:rFonts w:hint="default" w:ascii="Times New Roman" w:hAnsi="Times New Roman" w:eastAsia="宋体" w:cs="Times New Roman"/>
                <w:color w:val="auto"/>
                <w:sz w:val="24"/>
                <w:szCs w:val="24"/>
                <w:shd w:val="clear" w:color="auto" w:fill="auto"/>
                <w:lang w:eastAsia="zh-CN"/>
              </w:rPr>
              <w:t>根据国务院发布实施的《促进产业结构调整暂行规定》（国发[2005]40号）第十三条规定：“不属于鼓励类、限制类和淘汰类，且符合国家有关法律、法规和政策规定的为允许类。”故本项目属于允许类。</w:t>
            </w:r>
            <w:r>
              <w:rPr>
                <w:rFonts w:hint="default" w:ascii="Times New Roman" w:hAnsi="Times New Roman" w:eastAsia="宋体" w:cs="Times New Roman"/>
                <w:color w:val="auto"/>
                <w:sz w:val="24"/>
                <w:szCs w:val="24"/>
                <w:shd w:val="clear" w:color="auto" w:fill="auto"/>
              </w:rPr>
              <w:t>根据</w:t>
            </w:r>
            <w:r>
              <w:rPr>
                <w:rFonts w:hint="eastAsia" w:cs="Times New Roman"/>
                <w:color w:val="auto"/>
                <w:sz w:val="24"/>
                <w:szCs w:val="24"/>
                <w:shd w:val="clear" w:color="auto" w:fill="auto"/>
                <w:lang w:val="en-US" w:eastAsia="zh-CN"/>
              </w:rPr>
              <w:t>自然资源部</w:t>
            </w:r>
            <w:r>
              <w:rPr>
                <w:rFonts w:hint="default" w:ascii="Times New Roman" w:hAnsi="Times New Roman" w:eastAsia="宋体" w:cs="Times New Roman"/>
                <w:color w:val="auto"/>
                <w:sz w:val="24"/>
                <w:szCs w:val="24"/>
                <w:shd w:val="clear" w:color="auto" w:fill="auto"/>
              </w:rPr>
              <w:t>“关于发布实施《限制用地项目目录（2012年本）》和《禁止用地项目目录（2012年本）》的通知”，本项目的建设用地不属于限制用地和禁止用地范围。</w:t>
            </w:r>
          </w:p>
          <w:p w14:paraId="0375BA34">
            <w:pPr>
              <w:spacing w:line="360" w:lineRule="auto"/>
              <w:ind w:firstLine="480" w:firstLineChars="200"/>
              <w:rPr>
                <w:rFonts w:hint="default" w:ascii="Times New Roman" w:hAnsi="Times New Roman" w:eastAsia="宋体" w:cs="Times New Roman"/>
                <w:color w:val="C00000"/>
                <w:sz w:val="24"/>
                <w:szCs w:val="24"/>
                <w:shd w:val="clear" w:color="auto" w:fill="auto"/>
              </w:rPr>
            </w:pPr>
            <w:r>
              <w:rPr>
                <w:rFonts w:hint="default" w:ascii="Times New Roman" w:hAnsi="Times New Roman" w:eastAsia="宋体" w:cs="Times New Roman"/>
                <w:color w:val="auto"/>
                <w:sz w:val="24"/>
                <w:szCs w:val="24"/>
                <w:shd w:val="clear" w:color="auto" w:fill="auto"/>
              </w:rPr>
              <w:t>同时，根据</w:t>
            </w:r>
            <w:r>
              <w:rPr>
                <w:rFonts w:hint="eastAsia" w:ascii="Times New Roman" w:hAnsi="Times New Roman" w:cs="Times New Roman"/>
                <w:color w:val="auto"/>
                <w:sz w:val="24"/>
                <w:szCs w:val="24"/>
                <w:shd w:val="clear" w:color="auto" w:fill="auto"/>
                <w:lang w:val="en-US" w:eastAsia="zh-CN"/>
              </w:rPr>
              <w:t>蓬溪县</w:t>
            </w:r>
            <w:r>
              <w:rPr>
                <w:rFonts w:hint="default" w:ascii="Times New Roman" w:hAnsi="Times New Roman" w:eastAsia="宋体" w:cs="Times New Roman"/>
                <w:color w:val="auto"/>
                <w:sz w:val="24"/>
                <w:szCs w:val="24"/>
                <w:shd w:val="clear" w:color="auto" w:fill="auto"/>
                <w:lang w:val="en-US" w:eastAsia="zh-CN"/>
              </w:rPr>
              <w:t>发展和改造局</w:t>
            </w:r>
            <w:r>
              <w:rPr>
                <w:rFonts w:hint="default" w:ascii="Times New Roman" w:hAnsi="Times New Roman" w:eastAsia="宋体" w:cs="Times New Roman"/>
                <w:color w:val="auto"/>
                <w:sz w:val="24"/>
                <w:szCs w:val="24"/>
                <w:shd w:val="clear" w:color="auto" w:fill="auto"/>
              </w:rPr>
              <w:t>出具的《</w:t>
            </w:r>
            <w:r>
              <w:rPr>
                <w:rFonts w:hint="default" w:ascii="Times New Roman" w:hAnsi="Times New Roman" w:eastAsia="宋体" w:cs="Times New Roman"/>
                <w:color w:val="auto"/>
                <w:sz w:val="24"/>
                <w:szCs w:val="24"/>
                <w:shd w:val="clear" w:color="auto" w:fill="auto"/>
                <w:lang w:eastAsia="zh-CN"/>
              </w:rPr>
              <w:t>四川省固定资产投资备案表</w:t>
            </w:r>
            <w:r>
              <w:rPr>
                <w:rFonts w:hint="default" w:ascii="Times New Roman" w:hAnsi="Times New Roman" w:eastAsia="宋体" w:cs="Times New Roman"/>
                <w:color w:val="auto"/>
                <w:sz w:val="24"/>
                <w:szCs w:val="24"/>
                <w:shd w:val="clear" w:color="auto" w:fill="auto"/>
              </w:rPr>
              <w:t>》，项目备案号为：</w:t>
            </w:r>
            <w:r>
              <w:rPr>
                <w:rFonts w:hint="default" w:ascii="Times New Roman" w:hAnsi="Times New Roman" w:eastAsia="宋体" w:cs="Times New Roman"/>
                <w:color w:val="auto"/>
                <w:sz w:val="24"/>
                <w:szCs w:val="24"/>
                <w:shd w:val="clear" w:color="auto" w:fill="auto"/>
                <w:lang w:eastAsia="zh-CN"/>
              </w:rPr>
              <w:t>川投资备</w:t>
            </w:r>
            <w:r>
              <w:rPr>
                <w:rFonts w:hint="eastAsia" w:cs="Times New Roman"/>
                <w:color w:val="auto"/>
                <w:sz w:val="24"/>
                <w:szCs w:val="24"/>
                <w:shd w:val="clear" w:color="auto" w:fill="auto"/>
                <w:lang w:eastAsia="zh-CN"/>
              </w:rPr>
              <w:t>【2102-510921-04-01-481071】FGQB-0023号</w:t>
            </w:r>
            <w:r>
              <w:rPr>
                <w:rFonts w:hint="default" w:ascii="Times New Roman" w:hAnsi="Times New Roman" w:eastAsia="宋体" w:cs="Times New Roman"/>
                <w:color w:val="auto"/>
                <w:sz w:val="24"/>
                <w:szCs w:val="24"/>
                <w:shd w:val="clear" w:color="auto" w:fill="auto"/>
              </w:rPr>
              <w:t>，明确项目已完成备案。</w:t>
            </w:r>
          </w:p>
          <w:p w14:paraId="6653B767">
            <w:pPr>
              <w:spacing w:line="360" w:lineRule="auto"/>
              <w:ind w:firstLine="480" w:firstLineChars="200"/>
              <w:rPr>
                <w:rFonts w:hint="default" w:ascii="Times New Roman" w:hAnsi="Times New Roman" w:eastAsia="宋体" w:cs="Times New Roman"/>
                <w:b/>
                <w:bCs/>
                <w:color w:val="C00000"/>
                <w:sz w:val="24"/>
                <w:szCs w:val="24"/>
                <w:u w:val="none"/>
                <w:shd w:val="clear" w:color="auto" w:fill="auto"/>
              </w:rPr>
            </w:pPr>
            <w:r>
              <w:rPr>
                <w:rFonts w:hint="default" w:ascii="Times New Roman" w:hAnsi="Times New Roman" w:eastAsia="宋体" w:cs="Times New Roman"/>
                <w:color w:val="auto"/>
                <w:sz w:val="24"/>
                <w:szCs w:val="24"/>
                <w:shd w:val="clear" w:color="auto" w:fill="auto"/>
              </w:rPr>
              <w:t>综上所述，本项目建设符合国家现行相关产业政策。</w:t>
            </w:r>
          </w:p>
          <w:p w14:paraId="2C30B23E">
            <w:pPr>
              <w:spacing w:line="360" w:lineRule="auto"/>
              <w:ind w:firstLine="482"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规划符合性</w:t>
            </w:r>
          </w:p>
          <w:p w14:paraId="5E57357A">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rPr>
              <w:t>1、</w:t>
            </w:r>
            <w:r>
              <w:rPr>
                <w:rFonts w:hint="default" w:ascii="Times New Roman" w:hAnsi="Times New Roman" w:cs="Times New Roman"/>
                <w:b/>
                <w:color w:val="auto"/>
                <w:sz w:val="24"/>
                <w:szCs w:val="24"/>
                <w:lang w:val="en-US" w:eastAsia="zh-CN"/>
              </w:rPr>
              <w:t>区域</w:t>
            </w:r>
            <w:r>
              <w:rPr>
                <w:rFonts w:hint="default" w:ascii="Times New Roman" w:hAnsi="Times New Roman" w:eastAsia="宋体" w:cs="Times New Roman"/>
                <w:b/>
                <w:color w:val="auto"/>
                <w:sz w:val="24"/>
                <w:szCs w:val="24"/>
              </w:rPr>
              <w:t>用地规划符合性</w:t>
            </w:r>
          </w:p>
          <w:p w14:paraId="2FD4A5DC">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bCs/>
                <w:color w:val="auto"/>
                <w:sz w:val="24"/>
                <w:szCs w:val="24"/>
              </w:rPr>
              <w:t>选址于</w:t>
            </w:r>
            <w:r>
              <w:rPr>
                <w:rFonts w:hint="eastAsia" w:cs="Times New Roman"/>
                <w:bCs/>
                <w:color w:val="auto"/>
                <w:sz w:val="24"/>
                <w:szCs w:val="24"/>
                <w:lang w:val="en-US" w:eastAsia="zh-CN"/>
              </w:rPr>
              <w:t xml:space="preserve">四川省遂宁市蓬溪县蓬南镇长石村3社 </w:t>
            </w:r>
            <w:r>
              <w:rPr>
                <w:rFonts w:hint="default" w:ascii="Times New Roman" w:hAnsi="Times New Roman" w:eastAsia="宋体" w:cs="Times New Roman"/>
                <w:bCs/>
                <w:color w:val="auto"/>
                <w:sz w:val="24"/>
                <w:szCs w:val="24"/>
              </w:rPr>
              <w:t>，根据业主提供的</w:t>
            </w:r>
            <w:r>
              <w:rPr>
                <w:rFonts w:hint="eastAsia" w:cs="Times New Roman"/>
                <w:bCs/>
                <w:color w:val="auto"/>
                <w:sz w:val="24"/>
                <w:szCs w:val="24"/>
                <w:lang w:eastAsia="zh-CN"/>
              </w:rPr>
              <w:t>《</w:t>
            </w:r>
            <w:r>
              <w:rPr>
                <w:rFonts w:hint="eastAsia" w:cs="Times New Roman"/>
                <w:bCs/>
                <w:color w:val="auto"/>
                <w:sz w:val="24"/>
                <w:szCs w:val="24"/>
                <w:lang w:val="en-US" w:eastAsia="zh-CN"/>
              </w:rPr>
              <w:t>不动产证》（川（2020）蓬溪县不动产权0009046号）</w:t>
            </w:r>
            <w:r>
              <w:rPr>
                <w:rFonts w:hint="default" w:ascii="Times New Roman" w:hAnsi="Times New Roman" w:eastAsia="宋体" w:cs="Times New Roman"/>
                <w:bCs/>
                <w:color w:val="auto"/>
                <w:sz w:val="24"/>
                <w:szCs w:val="24"/>
              </w:rPr>
              <w:t>，项目用地属于</w:t>
            </w:r>
            <w:r>
              <w:rPr>
                <w:rFonts w:hint="eastAsia" w:cs="Times New Roman"/>
                <w:bCs/>
                <w:color w:val="auto"/>
                <w:sz w:val="24"/>
                <w:szCs w:val="24"/>
                <w:lang w:val="en-US" w:eastAsia="zh-CN"/>
              </w:rPr>
              <w:t>工业用地</w:t>
            </w:r>
            <w:r>
              <w:rPr>
                <w:rFonts w:hint="default" w:ascii="Times New Roman" w:hAnsi="Times New Roman" w:eastAsia="宋体" w:cs="Times New Roman"/>
                <w:bCs/>
                <w:color w:val="auto"/>
                <w:sz w:val="24"/>
                <w:szCs w:val="24"/>
              </w:rPr>
              <w:t>，</w:t>
            </w:r>
            <w:r>
              <w:rPr>
                <w:rFonts w:hint="default" w:ascii="Times New Roman" w:hAnsi="Times New Roman" w:cs="Times New Roman"/>
                <w:bCs/>
                <w:color w:val="auto"/>
                <w:sz w:val="24"/>
                <w:szCs w:val="24"/>
                <w:lang w:val="en-US" w:eastAsia="zh-CN"/>
              </w:rPr>
              <w:t>另</w:t>
            </w:r>
            <w:r>
              <w:rPr>
                <w:rFonts w:hint="default" w:ascii="Times New Roman" w:hAnsi="Times New Roman" w:eastAsia="宋体" w:cs="Times New Roman"/>
                <w:bCs/>
                <w:color w:val="auto"/>
                <w:sz w:val="24"/>
                <w:szCs w:val="24"/>
              </w:rPr>
              <w:t>根据</w:t>
            </w:r>
            <w:r>
              <w:rPr>
                <w:rFonts w:hint="eastAsia" w:cs="Times New Roman"/>
                <w:bCs/>
                <w:color w:val="auto"/>
                <w:sz w:val="24"/>
                <w:szCs w:val="24"/>
                <w:lang w:val="en-US" w:eastAsia="zh-CN"/>
              </w:rPr>
              <w:t>蓬南</w:t>
            </w:r>
            <w:r>
              <w:rPr>
                <w:rFonts w:hint="default" w:ascii="Times New Roman" w:hAnsi="Times New Roman" w:cs="Times New Roman"/>
                <w:bCs/>
                <w:color w:val="auto"/>
                <w:sz w:val="24"/>
                <w:szCs w:val="24"/>
                <w:lang w:val="en-US" w:eastAsia="zh-CN"/>
              </w:rPr>
              <w:t>镇人民政府出具的证明（详见附件）</w:t>
            </w:r>
            <w:r>
              <w:rPr>
                <w:rFonts w:hint="default" w:ascii="Times New Roman" w:hAnsi="Times New Roman" w:eastAsia="宋体" w:cs="Times New Roman"/>
                <w:bCs/>
                <w:color w:val="auto"/>
                <w:sz w:val="24"/>
                <w:szCs w:val="24"/>
              </w:rPr>
              <w:t>，</w:t>
            </w:r>
            <w:r>
              <w:rPr>
                <w:rFonts w:hint="default" w:ascii="Times New Roman" w:hAnsi="Times New Roman" w:cs="Times New Roman"/>
                <w:bCs/>
                <w:color w:val="auto"/>
                <w:sz w:val="24"/>
                <w:szCs w:val="24"/>
                <w:lang w:val="en-US" w:eastAsia="zh-CN"/>
              </w:rPr>
              <w:t>证明中明确本项目的建设符合</w:t>
            </w:r>
            <w:r>
              <w:rPr>
                <w:rFonts w:hint="eastAsia" w:cs="Times New Roman"/>
                <w:bCs/>
                <w:color w:val="auto"/>
                <w:sz w:val="24"/>
                <w:szCs w:val="24"/>
                <w:lang w:val="en-US" w:eastAsia="zh-CN"/>
              </w:rPr>
              <w:t>蓬南</w:t>
            </w:r>
            <w:r>
              <w:rPr>
                <w:rFonts w:hint="default" w:ascii="Times New Roman" w:hAnsi="Times New Roman" w:cs="Times New Roman"/>
                <w:bCs/>
                <w:color w:val="auto"/>
                <w:sz w:val="24"/>
                <w:szCs w:val="24"/>
                <w:lang w:val="en-US" w:eastAsia="zh-CN"/>
              </w:rPr>
              <w:t>镇的总体规划</w:t>
            </w:r>
            <w:r>
              <w:rPr>
                <w:rFonts w:hint="default" w:ascii="Times New Roman" w:hAnsi="Times New Roman" w:eastAsia="宋体" w:cs="Times New Roman"/>
                <w:bCs/>
                <w:color w:val="auto"/>
                <w:sz w:val="24"/>
                <w:szCs w:val="24"/>
              </w:rPr>
              <w:t>。</w:t>
            </w:r>
          </w:p>
          <w:p w14:paraId="0434384D">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综上，项目用地合法，与当地规划相符。</w:t>
            </w:r>
          </w:p>
          <w:p w14:paraId="4AF13B0B">
            <w:pPr>
              <w:pStyle w:val="18"/>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482" w:firstLineChars="200"/>
              <w:jc w:val="left"/>
              <w:rPr>
                <w:rFonts w:hint="default" w:ascii="Times New Roman" w:hAnsi="Times New Roman" w:cs="Times New Roman"/>
                <w:b/>
                <w:color w:val="auto"/>
                <w:sz w:val="24"/>
                <w:szCs w:val="24"/>
                <w:lang w:val="en-US" w:eastAsia="zh-CN"/>
              </w:rPr>
            </w:pPr>
            <w:r>
              <w:rPr>
                <w:rFonts w:hint="default" w:ascii="Times New Roman" w:hAnsi="Times New Roman" w:cs="Times New Roman"/>
                <w:b/>
                <w:color w:val="auto"/>
                <w:sz w:val="24"/>
                <w:szCs w:val="24"/>
                <w:lang w:val="en-US" w:eastAsia="zh-CN"/>
              </w:rPr>
              <w:t>2</w:t>
            </w:r>
            <w:r>
              <w:rPr>
                <w:rFonts w:hint="eastAsia"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lang w:val="en-US" w:eastAsia="zh-CN"/>
              </w:rPr>
              <w:t>、</w:t>
            </w:r>
            <w:r>
              <w:rPr>
                <w:rFonts w:hint="default" w:ascii="Times New Roman" w:hAnsi="Times New Roman" w:eastAsia="宋体" w:cs="Times New Roman"/>
                <w:b/>
                <w:color w:val="auto"/>
                <w:sz w:val="24"/>
                <w:szCs w:val="24"/>
              </w:rPr>
              <w:t>与</w:t>
            </w:r>
            <w:r>
              <w:rPr>
                <w:rFonts w:hint="default" w:ascii="Times New Roman" w:hAnsi="Times New Roman" w:cs="Times New Roman"/>
                <w:b/>
                <w:color w:val="auto"/>
                <w:sz w:val="24"/>
                <w:szCs w:val="24"/>
                <w:lang w:val="en-US" w:eastAsia="zh-CN"/>
              </w:rPr>
              <w:t>相关政策的符合性分析</w:t>
            </w:r>
          </w:p>
          <w:p w14:paraId="26D3BC01">
            <w:pPr>
              <w:pStyle w:val="18"/>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本项目建设与四川省大气污染控制要求符合性和满足性分析。</w:t>
            </w:r>
          </w:p>
          <w:p w14:paraId="3353EC6B">
            <w:pPr>
              <w:pStyle w:val="18"/>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422" w:firstLineChars="200"/>
              <w:jc w:val="center"/>
              <w:rPr>
                <w:rFonts w:hint="default" w:ascii="Times New Roman" w:hAnsi="Times New Roman" w:eastAsia="宋体" w:cs="Times New Roman"/>
                <w:bCs/>
                <w:color w:val="auto"/>
                <w:sz w:val="24"/>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9</w:t>
            </w:r>
            <w:r>
              <w:rPr>
                <w:rFonts w:hint="default" w:ascii="Times New Roman" w:hAnsi="Times New Roman" w:cs="Times New Roman"/>
                <w:b/>
                <w:color w:val="auto"/>
                <w:sz w:val="21"/>
                <w:szCs w:val="21"/>
                <w:lang w:val="en-US" w:eastAsia="zh-CN"/>
              </w:rPr>
              <w:t>-</w:t>
            </w: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lang w:val="en-US" w:eastAsia="zh-CN"/>
              </w:rPr>
              <w:tab/>
            </w:r>
            <w:r>
              <w:rPr>
                <w:rFonts w:hint="default" w:ascii="Times New Roman" w:hAnsi="Times New Roman" w:cs="Times New Roman"/>
                <w:b/>
                <w:color w:val="auto"/>
                <w:sz w:val="21"/>
                <w:szCs w:val="21"/>
                <w:lang w:val="en-US" w:eastAsia="zh-CN"/>
              </w:rPr>
              <w:t>项目与相关规范的符合性分析</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3592"/>
              <w:gridCol w:w="3563"/>
              <w:gridCol w:w="925"/>
            </w:tblGrid>
            <w:tr w14:paraId="7DA1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Align w:val="center"/>
                </w:tcPr>
                <w:p w14:paraId="56904A0C">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大气污染相关规范文件</w:t>
                  </w:r>
                </w:p>
              </w:tc>
              <w:tc>
                <w:tcPr>
                  <w:tcW w:w="3592" w:type="dxa"/>
                  <w:vAlign w:val="center"/>
                </w:tcPr>
                <w:p w14:paraId="33DC012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规范建设要求</w:t>
                  </w:r>
                </w:p>
              </w:tc>
              <w:tc>
                <w:tcPr>
                  <w:tcW w:w="3563" w:type="dxa"/>
                  <w:vAlign w:val="center"/>
                </w:tcPr>
                <w:p w14:paraId="52323AD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本项目建设情况</w:t>
                  </w:r>
                </w:p>
              </w:tc>
              <w:tc>
                <w:tcPr>
                  <w:tcW w:w="925" w:type="dxa"/>
                  <w:vAlign w:val="center"/>
                </w:tcPr>
                <w:p w14:paraId="424508B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符合性分析</w:t>
                  </w:r>
                </w:p>
              </w:tc>
            </w:tr>
            <w:tr w14:paraId="76AE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686D424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《四川省灰霾污染防治办法》</w:t>
                  </w:r>
                </w:p>
              </w:tc>
              <w:tc>
                <w:tcPr>
                  <w:tcW w:w="3592" w:type="dxa"/>
                  <w:vAlign w:val="center"/>
                </w:tcPr>
                <w:p w14:paraId="1C1AC1DA">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第十六条规定：运输矿石（粉）、煤炭、肥料、垃圾、渣土、砂石、土方、灰浆等散装、粉状、流体物料的，应当使用符合条件的车辆，密闭运输。</w:t>
                  </w:r>
                </w:p>
              </w:tc>
              <w:tc>
                <w:tcPr>
                  <w:tcW w:w="3563" w:type="dxa"/>
                  <w:vAlign w:val="center"/>
                </w:tcPr>
                <w:p w14:paraId="2450DF44">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本项目原料运输车辆以及成品运输车辆均使用符合条件的车辆，密闭运输。</w:t>
                  </w:r>
                </w:p>
              </w:tc>
              <w:tc>
                <w:tcPr>
                  <w:tcW w:w="925" w:type="dxa"/>
                  <w:vAlign w:val="center"/>
                </w:tcPr>
                <w:p w14:paraId="69D88EAD">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67FF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038C0E13">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74B0AC2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第十八条规定煤炭、水泥、石灰、石膏、砂土、矿石（粉）等易产生扬尘的物料应当密闭贮存；不具备密闭贮存条件的，应当在其周围设置不低于堆放物高度的围挡，防止产生扬尘。</w:t>
                  </w:r>
                </w:p>
              </w:tc>
              <w:tc>
                <w:tcPr>
                  <w:tcW w:w="3563" w:type="dxa"/>
                  <w:vAlign w:val="center"/>
                </w:tcPr>
                <w:p w14:paraId="41F20121">
                  <w:pPr>
                    <w:spacing w:line="240" w:lineRule="auto"/>
                    <w:jc w:val="center"/>
                    <w:rPr>
                      <w:rFonts w:hint="default" w:ascii="Times New Roman" w:hAnsi="Times New Roman" w:cs="Times New Roman"/>
                      <w:color w:val="auto"/>
                      <w:szCs w:val="21"/>
                      <w:lang w:val="en-US" w:eastAsia="zh-CN"/>
                    </w:rPr>
                  </w:pPr>
                  <w:r>
                    <w:rPr>
                      <w:rFonts w:hint="eastAsia" w:cs="Times New Roman"/>
                      <w:b/>
                      <w:bCs/>
                      <w:color w:val="auto"/>
                      <w:szCs w:val="21"/>
                      <w:lang w:val="en-US" w:eastAsia="zh-CN"/>
                    </w:rPr>
                    <w:t>本项目</w:t>
                  </w:r>
                  <w:r>
                    <w:rPr>
                      <w:rFonts w:hint="default" w:ascii="Times New Roman" w:hAnsi="Times New Roman" w:cs="Times New Roman"/>
                      <w:b/>
                      <w:bCs/>
                      <w:color w:val="auto"/>
                      <w:szCs w:val="21"/>
                    </w:rPr>
                    <w:t>设置封闭式的</w:t>
                  </w:r>
                  <w:r>
                    <w:rPr>
                      <w:rFonts w:hint="default" w:ascii="Times New Roman" w:hAnsi="Times New Roman" w:cs="Times New Roman"/>
                      <w:b/>
                      <w:bCs/>
                      <w:color w:val="auto"/>
                      <w:szCs w:val="21"/>
                      <w:lang w:val="en-US" w:eastAsia="zh-CN"/>
                    </w:rPr>
                    <w:t>原料</w:t>
                  </w:r>
                  <w:r>
                    <w:rPr>
                      <w:rFonts w:hint="default" w:ascii="Times New Roman" w:hAnsi="Times New Roman" w:cs="Times New Roman"/>
                      <w:b/>
                      <w:bCs/>
                      <w:color w:val="auto"/>
                      <w:szCs w:val="21"/>
                    </w:rPr>
                    <w:t>堆场，</w:t>
                  </w:r>
                  <w:r>
                    <w:rPr>
                      <w:rFonts w:hint="default" w:ascii="Times New Roman" w:hAnsi="Times New Roman" w:cs="Times New Roman"/>
                      <w:color w:val="auto"/>
                      <w:szCs w:val="21"/>
                      <w:lang w:val="en-US" w:eastAsia="zh-CN"/>
                    </w:rPr>
                    <w:t>并设置喷淋降尘装置</w:t>
                  </w:r>
                  <w:r>
                    <w:rPr>
                      <w:rFonts w:hint="default" w:ascii="Times New Roman" w:hAnsi="Times New Roman" w:cs="Times New Roman"/>
                      <w:color w:val="auto"/>
                      <w:szCs w:val="21"/>
                    </w:rPr>
                    <w:t>，防治产生扬尘。</w:t>
                  </w:r>
                </w:p>
              </w:tc>
              <w:tc>
                <w:tcPr>
                  <w:tcW w:w="925" w:type="dxa"/>
                  <w:vAlign w:val="center"/>
                </w:tcPr>
                <w:p w14:paraId="1F757FE5">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1D6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1DB5F19F">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《四川省打赢蓝天保卫战实施方案》相关要求</w:t>
                  </w:r>
                </w:p>
              </w:tc>
              <w:tc>
                <w:tcPr>
                  <w:tcW w:w="3592" w:type="dxa"/>
                  <w:vAlign w:val="center"/>
                </w:tcPr>
                <w:p w14:paraId="7D8783BE">
                  <w:pPr>
                    <w:spacing w:line="240" w:lineRule="auto"/>
                    <w:jc w:val="center"/>
                    <w:rPr>
                      <w:rFonts w:hint="default" w:ascii="Times New Roman" w:hAnsi="Times New Roman" w:cs="Times New Roman"/>
                      <w:color w:val="auto"/>
                      <w:szCs w:val="21"/>
                    </w:rPr>
                  </w:pPr>
                </w:p>
                <w:p w14:paraId="0757CC90">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易产生扬尘的物料堆场采用封闭式库仓，不具备封闭式库仓改造的，应设置不低于料堆高度的严密围挡，并采取覆盖措施有效制扬尘污染；</w:t>
                  </w:r>
                </w:p>
              </w:tc>
              <w:tc>
                <w:tcPr>
                  <w:tcW w:w="3563" w:type="dxa"/>
                  <w:vAlign w:val="center"/>
                </w:tcPr>
                <w:p w14:paraId="6BBEA37F">
                  <w:pPr>
                    <w:spacing w:line="240" w:lineRule="auto"/>
                    <w:jc w:val="center"/>
                    <w:rPr>
                      <w:rFonts w:hint="default" w:ascii="Times New Roman" w:hAnsi="Times New Roman" w:cs="Times New Roman"/>
                      <w:color w:val="auto"/>
                      <w:szCs w:val="21"/>
                      <w:lang w:val="en-US" w:eastAsia="zh-CN"/>
                    </w:rPr>
                  </w:pPr>
                  <w:r>
                    <w:rPr>
                      <w:rFonts w:hint="eastAsia" w:cs="Times New Roman"/>
                      <w:b/>
                      <w:bCs/>
                      <w:color w:val="auto"/>
                      <w:szCs w:val="21"/>
                      <w:lang w:val="en-US" w:eastAsia="zh-CN"/>
                    </w:rPr>
                    <w:t>本项目</w:t>
                  </w:r>
                  <w:r>
                    <w:rPr>
                      <w:rFonts w:hint="default" w:ascii="Times New Roman" w:hAnsi="Times New Roman" w:cs="Times New Roman"/>
                      <w:b/>
                      <w:bCs/>
                      <w:color w:val="auto"/>
                      <w:szCs w:val="21"/>
                    </w:rPr>
                    <w:t>设置封闭式的</w:t>
                  </w:r>
                  <w:r>
                    <w:rPr>
                      <w:rFonts w:hint="default" w:ascii="Times New Roman" w:hAnsi="Times New Roman" w:cs="Times New Roman"/>
                      <w:b/>
                      <w:bCs/>
                      <w:color w:val="auto"/>
                      <w:szCs w:val="21"/>
                      <w:lang w:val="en-US" w:eastAsia="zh-CN"/>
                    </w:rPr>
                    <w:t>原料</w:t>
                  </w:r>
                  <w:r>
                    <w:rPr>
                      <w:rFonts w:hint="default" w:ascii="Times New Roman" w:hAnsi="Times New Roman" w:cs="Times New Roman"/>
                      <w:b/>
                      <w:bCs/>
                      <w:color w:val="auto"/>
                      <w:szCs w:val="21"/>
                    </w:rPr>
                    <w:t>堆场</w:t>
                  </w:r>
                  <w:r>
                    <w:rPr>
                      <w:rFonts w:hint="eastAsia" w:ascii="Times New Roman" w:hAnsi="Times New Roman" w:cs="Times New Roman"/>
                      <w:b/>
                      <w:bCs/>
                      <w:color w:val="auto"/>
                      <w:szCs w:val="21"/>
                      <w:lang w:eastAsia="zh-CN"/>
                    </w:rPr>
                    <w:t>，</w:t>
                  </w:r>
                  <w:r>
                    <w:rPr>
                      <w:rFonts w:hint="default" w:ascii="Times New Roman" w:hAnsi="Times New Roman" w:cs="Times New Roman"/>
                      <w:color w:val="auto"/>
                      <w:szCs w:val="21"/>
                      <w:lang w:val="en-US" w:eastAsia="zh-CN"/>
                    </w:rPr>
                    <w:t>并设置喷淋降尘装置</w:t>
                  </w:r>
                  <w:r>
                    <w:rPr>
                      <w:rFonts w:hint="default" w:ascii="Times New Roman" w:hAnsi="Times New Roman" w:cs="Times New Roman"/>
                      <w:color w:val="auto"/>
                      <w:szCs w:val="21"/>
                    </w:rPr>
                    <w:t>，防治产生扬尘。</w:t>
                  </w:r>
                </w:p>
              </w:tc>
              <w:tc>
                <w:tcPr>
                  <w:tcW w:w="925" w:type="dxa"/>
                  <w:vAlign w:val="center"/>
                </w:tcPr>
                <w:p w14:paraId="1C3C106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4F71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72D6F931">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6970A7F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堆场内进行搅拌、粉碎、筛分等作业时应喷水抑尘，重污染天气时禁止进行产生扬尘的作业。</w:t>
                  </w:r>
                </w:p>
              </w:tc>
              <w:tc>
                <w:tcPr>
                  <w:tcW w:w="3563" w:type="dxa"/>
                  <w:vAlign w:val="center"/>
                </w:tcPr>
                <w:p w14:paraId="27DF890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w:t>
                  </w:r>
                  <w:r>
                    <w:rPr>
                      <w:rFonts w:hint="eastAsia" w:cs="Times New Roman"/>
                      <w:color w:val="auto"/>
                      <w:szCs w:val="21"/>
                      <w:lang w:val="en-US" w:eastAsia="zh-CN"/>
                    </w:rPr>
                    <w:t>搅拌工序</w:t>
                  </w:r>
                  <w:r>
                    <w:rPr>
                      <w:rFonts w:hint="default" w:ascii="Times New Roman" w:hAnsi="Times New Roman" w:cs="Times New Roman"/>
                      <w:color w:val="auto"/>
                      <w:szCs w:val="21"/>
                    </w:rPr>
                    <w:t>在密闭生产车间内进行，生产车间屋顶设置喷淋装置，要求在重污染天气停止产生扬尘作业</w:t>
                  </w:r>
                </w:p>
              </w:tc>
              <w:tc>
                <w:tcPr>
                  <w:tcW w:w="925" w:type="dxa"/>
                  <w:vAlign w:val="center"/>
                </w:tcPr>
                <w:p w14:paraId="759B39F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6D0B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500865D8">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57517D1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物料装卸配备喷淋等尘设施，转运物料尽量采取封闭式皮带输送。</w:t>
                  </w:r>
                </w:p>
              </w:tc>
              <w:tc>
                <w:tcPr>
                  <w:tcW w:w="3563" w:type="dxa"/>
                  <w:vAlign w:val="center"/>
                </w:tcPr>
                <w:p w14:paraId="0E37FF0B">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项目厂界设置</w:t>
                  </w:r>
                  <w:r>
                    <w:rPr>
                      <w:rFonts w:hint="default" w:ascii="Times New Roman" w:hAnsi="Times New Roman" w:cs="Times New Roman"/>
                      <w:color w:val="auto"/>
                      <w:szCs w:val="21"/>
                      <w:lang w:val="en-US" w:eastAsia="zh-CN"/>
                    </w:rPr>
                    <w:t>围墙</w:t>
                  </w:r>
                  <w:r>
                    <w:rPr>
                      <w:rFonts w:hint="default" w:ascii="Times New Roman" w:hAnsi="Times New Roman" w:cs="Times New Roman"/>
                      <w:color w:val="auto"/>
                      <w:szCs w:val="21"/>
                    </w:rPr>
                    <w:t>、装卸作业过程采用喷雾除尘、洒水降尘等措施，项目物料</w:t>
                  </w:r>
                  <w:r>
                    <w:rPr>
                      <w:rFonts w:hint="eastAsia" w:cs="Times New Roman"/>
                      <w:color w:val="auto"/>
                      <w:szCs w:val="21"/>
                      <w:lang w:val="en-US" w:eastAsia="zh-CN"/>
                    </w:rPr>
                    <w:t>输送、运转均设置在密闭车间内</w:t>
                  </w:r>
                  <w:r>
                    <w:rPr>
                      <w:rFonts w:hint="default" w:ascii="Times New Roman" w:hAnsi="Times New Roman" w:cs="Times New Roman"/>
                      <w:color w:val="auto"/>
                      <w:szCs w:val="21"/>
                    </w:rPr>
                    <w:t>，且车间上方安装喷雾</w:t>
                  </w:r>
                  <w:r>
                    <w:rPr>
                      <w:rFonts w:hint="eastAsia" w:cs="Times New Roman"/>
                      <w:color w:val="auto"/>
                      <w:szCs w:val="21"/>
                      <w:lang w:val="en-US" w:eastAsia="zh-CN"/>
                    </w:rPr>
                    <w:t>和</w:t>
                  </w:r>
                  <w:r>
                    <w:rPr>
                      <w:rFonts w:hint="default" w:ascii="Times New Roman" w:hAnsi="Times New Roman" w:cs="Times New Roman"/>
                      <w:color w:val="auto"/>
                      <w:szCs w:val="21"/>
                    </w:rPr>
                    <w:t>除尘装置</w:t>
                  </w:r>
                </w:p>
              </w:tc>
              <w:tc>
                <w:tcPr>
                  <w:tcW w:w="925" w:type="dxa"/>
                  <w:vAlign w:val="center"/>
                </w:tcPr>
                <w:p w14:paraId="0AF72814">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r w14:paraId="7410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59C9C795">
                  <w:pPr>
                    <w:spacing w:line="240" w:lineRule="auto"/>
                    <w:jc w:val="center"/>
                    <w:rPr>
                      <w:rFonts w:hint="default" w:ascii="Times New Roman" w:hAnsi="Times New Roman" w:cs="Times New Roman"/>
                      <w:color w:val="auto"/>
                      <w:szCs w:val="21"/>
                      <w:lang w:val="en-US" w:eastAsia="zh-CN"/>
                    </w:rPr>
                  </w:pPr>
                </w:p>
              </w:tc>
              <w:tc>
                <w:tcPr>
                  <w:tcW w:w="3592" w:type="dxa"/>
                  <w:vAlign w:val="center"/>
                </w:tcPr>
                <w:p w14:paraId="27F7B487">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厂区主要运输通道实施硬化并定期冲洗或湿式清扫，堆场进出口设置车辆冲洗设运输车辆实施密闭或全覆盖，及时收集清理堆场外道路上撒落物料。</w:t>
                  </w:r>
                </w:p>
              </w:tc>
              <w:tc>
                <w:tcPr>
                  <w:tcW w:w="3563" w:type="dxa"/>
                  <w:vAlign w:val="center"/>
                </w:tcPr>
                <w:p w14:paraId="36949113">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厂区</w:t>
                  </w:r>
                  <w:r>
                    <w:rPr>
                      <w:rFonts w:hint="default" w:ascii="Times New Roman" w:hAnsi="Times New Roman" w:cs="Times New Roman"/>
                      <w:color w:val="auto"/>
                      <w:szCs w:val="21"/>
                    </w:rPr>
                    <w:t>道路地面进行硬化；设置</w:t>
                  </w:r>
                  <w:r>
                    <w:rPr>
                      <w:rFonts w:hint="eastAsia" w:cs="Times New Roman"/>
                      <w:color w:val="auto"/>
                      <w:szCs w:val="21"/>
                      <w:lang w:val="en-US" w:eastAsia="zh-CN"/>
                    </w:rPr>
                    <w:t>喷淋装置</w:t>
                  </w:r>
                  <w:r>
                    <w:rPr>
                      <w:rFonts w:hint="default" w:ascii="Times New Roman" w:hAnsi="Times New Roman" w:cs="Times New Roman"/>
                      <w:color w:val="auto"/>
                      <w:szCs w:val="21"/>
                    </w:rPr>
                    <w:t>，定时对汽车和行使路面进行喷雾降尘；</w:t>
                  </w:r>
                  <w:r>
                    <w:rPr>
                      <w:rFonts w:hint="default" w:ascii="Times New Roman" w:hAnsi="Times New Roman" w:cs="Times New Roman"/>
                      <w:b/>
                      <w:bCs/>
                      <w:color w:val="auto"/>
                      <w:szCs w:val="21"/>
                      <w:lang w:val="en-US" w:eastAsia="zh-CN"/>
                    </w:rPr>
                    <w:t>在</w:t>
                  </w:r>
                  <w:r>
                    <w:rPr>
                      <w:rFonts w:hint="default" w:ascii="Times New Roman" w:hAnsi="Times New Roman" w:cs="Times New Roman"/>
                      <w:b/>
                      <w:bCs/>
                      <w:color w:val="auto"/>
                      <w:szCs w:val="21"/>
                    </w:rPr>
                    <w:t>厂区大门出入口设置</w:t>
                  </w:r>
                  <w:r>
                    <w:rPr>
                      <w:rFonts w:hint="eastAsia" w:cs="Times New Roman"/>
                      <w:b/>
                      <w:bCs/>
                      <w:color w:val="auto"/>
                      <w:szCs w:val="21"/>
                      <w:lang w:val="en-US" w:eastAsia="zh-CN"/>
                    </w:rPr>
                    <w:t>洗车平台</w:t>
                  </w:r>
                  <w:r>
                    <w:rPr>
                      <w:rFonts w:hint="default" w:ascii="Times New Roman" w:hAnsi="Times New Roman" w:cs="Times New Roman"/>
                      <w:b/>
                      <w:bCs/>
                      <w:color w:val="auto"/>
                      <w:szCs w:val="21"/>
                    </w:rPr>
                    <w:t>，</w:t>
                  </w:r>
                  <w:r>
                    <w:rPr>
                      <w:rFonts w:hint="default" w:ascii="Times New Roman" w:hAnsi="Times New Roman" w:cs="Times New Roman"/>
                      <w:color w:val="auto"/>
                      <w:szCs w:val="21"/>
                    </w:rPr>
                    <w:t>清洗车轮泥土；车辆原辅材料、成品运输过程，车辆加盖防尘帆布，不得超重、超载</w:t>
                  </w:r>
                </w:p>
              </w:tc>
              <w:tc>
                <w:tcPr>
                  <w:tcW w:w="925" w:type="dxa"/>
                  <w:vAlign w:val="center"/>
                </w:tcPr>
                <w:p w14:paraId="428E2DC5">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符合</w:t>
                  </w:r>
                </w:p>
              </w:tc>
            </w:tr>
          </w:tbl>
          <w:p w14:paraId="7475F476">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、选址合理性及外环境相容性</w:t>
            </w:r>
          </w:p>
          <w:p w14:paraId="401AE88E">
            <w:pPr>
              <w:snapToGrid w:val="0"/>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选址合理性分析</w:t>
            </w:r>
          </w:p>
          <w:p w14:paraId="75549C5E">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本项目位于</w:t>
            </w:r>
            <w:r>
              <w:rPr>
                <w:rFonts w:hint="eastAsia" w:cs="Times New Roman"/>
                <w:color w:val="auto"/>
                <w:sz w:val="24"/>
                <w:szCs w:val="24"/>
                <w:lang w:val="en-US" w:eastAsia="zh-CN"/>
              </w:rPr>
              <w:t xml:space="preserve">四川省遂宁市蓬溪县蓬南镇长石村3社 </w:t>
            </w:r>
            <w:r>
              <w:rPr>
                <w:rFonts w:hint="default" w:ascii="Times New Roman" w:hAnsi="Times New Roman" w:eastAsia="宋体" w:cs="Times New Roman"/>
                <w:color w:val="auto"/>
                <w:sz w:val="24"/>
                <w:szCs w:val="24"/>
              </w:rPr>
              <w:t>，</w:t>
            </w:r>
            <w:r>
              <w:rPr>
                <w:rFonts w:hint="eastAsia" w:ascii="宋体" w:hAnsi="宋体" w:eastAsia="宋体" w:cs="宋体"/>
                <w:sz w:val="24"/>
                <w:szCs w:val="24"/>
              </w:rPr>
              <w:t>根据项目外环境关系图（附图</w:t>
            </w:r>
            <w:r>
              <w:rPr>
                <w:rFonts w:hint="eastAsia" w:ascii="宋体" w:hAnsi="宋体" w:eastAsia="宋体" w:cs="宋体"/>
                <w:sz w:val="24"/>
                <w:szCs w:val="24"/>
                <w:lang w:val="en-US" w:eastAsia="zh-CN"/>
              </w:rPr>
              <w:t>3</w:t>
            </w:r>
            <w:r>
              <w:rPr>
                <w:rFonts w:hint="eastAsia" w:ascii="宋体" w:hAnsi="宋体" w:eastAsia="宋体" w:cs="宋体"/>
                <w:sz w:val="24"/>
                <w:szCs w:val="24"/>
              </w:rPr>
              <w:t>）可知，本项目外环境关系如下：</w:t>
            </w:r>
            <w:r>
              <w:rPr>
                <w:rFonts w:hint="default" w:ascii="Times New Roman" w:hAnsi="Times New Roman" w:eastAsia="宋体" w:cs="Times New Roman"/>
                <w:color w:val="auto"/>
                <w:sz w:val="24"/>
                <w:szCs w:val="24"/>
              </w:rPr>
              <w:t>根据现场踏勘</w:t>
            </w:r>
            <w:r>
              <w:rPr>
                <w:rFonts w:hint="default" w:ascii="Times New Roman" w:hAnsi="Times New Roman" w:cs="Times New Roman"/>
                <w:color w:val="auto"/>
                <w:sz w:val="24"/>
                <w:szCs w:val="24"/>
                <w:lang w:eastAsia="zh-CN"/>
              </w:rPr>
              <w:t>：</w:t>
            </w:r>
          </w:p>
          <w:p w14:paraId="43705914">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rPr>
              <w:t>-</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rPr>
              <w:t xml:space="preserve">  项目外环境关系一览表</w:t>
            </w:r>
          </w:p>
          <w:tbl>
            <w:tblPr>
              <w:tblStyle w:val="22"/>
              <w:tblW w:w="4996" w:type="pct"/>
              <w:jc w:val="center"/>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2"/>
              <w:gridCol w:w="4576"/>
              <w:gridCol w:w="1348"/>
              <w:gridCol w:w="1712"/>
              <w:gridCol w:w="1592"/>
            </w:tblGrid>
            <w:tr w14:paraId="3F89CDFB">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372" w:type="pct"/>
                  <w:tcBorders>
                    <w:tl2br w:val="nil"/>
                    <w:tr2bl w:val="nil"/>
                  </w:tcBorders>
                  <w:noWrap w:val="0"/>
                  <w:vAlign w:val="center"/>
                </w:tcPr>
                <w:p w14:paraId="2586846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294" w:type="pct"/>
                  <w:tcBorders>
                    <w:tl2br w:val="nil"/>
                    <w:tr2bl w:val="nil"/>
                  </w:tcBorders>
                  <w:noWrap w:val="0"/>
                  <w:vAlign w:val="center"/>
                </w:tcPr>
                <w:p w14:paraId="5887904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保护目标</w:t>
                  </w:r>
                </w:p>
              </w:tc>
              <w:tc>
                <w:tcPr>
                  <w:tcW w:w="676" w:type="pct"/>
                  <w:tcBorders>
                    <w:tl2br w:val="nil"/>
                    <w:tr2bl w:val="nil"/>
                  </w:tcBorders>
                  <w:noWrap w:val="0"/>
                  <w:vAlign w:val="center"/>
                </w:tcPr>
                <w:p w14:paraId="184ED3C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方位</w:t>
                  </w:r>
                </w:p>
              </w:tc>
              <w:tc>
                <w:tcPr>
                  <w:tcW w:w="858" w:type="pct"/>
                  <w:tcBorders>
                    <w:tl2br w:val="nil"/>
                    <w:tr2bl w:val="nil"/>
                  </w:tcBorders>
                  <w:noWrap w:val="0"/>
                  <w:vAlign w:val="center"/>
                </w:tcPr>
                <w:p w14:paraId="203B8FF8">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与厂界最近距离</w:t>
                  </w:r>
                </w:p>
              </w:tc>
              <w:tc>
                <w:tcPr>
                  <w:tcW w:w="798" w:type="pct"/>
                  <w:tcBorders>
                    <w:tl2br w:val="nil"/>
                    <w:tr2bl w:val="nil"/>
                  </w:tcBorders>
                  <w:noWrap w:val="0"/>
                  <w:vAlign w:val="center"/>
                </w:tcPr>
                <w:p w14:paraId="569CD53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性质</w:t>
                  </w:r>
                </w:p>
              </w:tc>
            </w:tr>
            <w:tr w14:paraId="1B9C7014">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20DF18F">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294" w:type="pct"/>
                  <w:tcBorders>
                    <w:tl2br w:val="nil"/>
                    <w:tr2bl w:val="nil"/>
                  </w:tcBorders>
                  <w:noWrap w:val="0"/>
                  <w:vAlign w:val="center"/>
                </w:tcPr>
                <w:p w14:paraId="5150AD1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default" w:cs="宋体"/>
                      <w:color w:val="auto"/>
                      <w:sz w:val="21"/>
                      <w:szCs w:val="21"/>
                      <w:lang w:val="en-US" w:eastAsia="zh-CN"/>
                    </w:rPr>
                    <w:t>居民</w:t>
                  </w:r>
                  <w:r>
                    <w:rPr>
                      <w:rFonts w:hint="eastAsia" w:cs="宋体"/>
                      <w:color w:val="auto"/>
                      <w:sz w:val="21"/>
                      <w:szCs w:val="21"/>
                      <w:lang w:val="en-US" w:eastAsia="zh-CN"/>
                    </w:rPr>
                    <w:t>1户</w:t>
                  </w:r>
                </w:p>
              </w:tc>
              <w:tc>
                <w:tcPr>
                  <w:tcW w:w="676" w:type="pct"/>
                  <w:tcBorders>
                    <w:tl2br w:val="nil"/>
                    <w:tr2bl w:val="nil"/>
                  </w:tcBorders>
                  <w:noWrap w:val="0"/>
                  <w:vAlign w:val="center"/>
                </w:tcPr>
                <w:p w14:paraId="437A8D78">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858" w:type="pct"/>
                  <w:tcBorders>
                    <w:tl2br w:val="nil"/>
                    <w:tr2bl w:val="nil"/>
                  </w:tcBorders>
                  <w:noWrap w:val="0"/>
                  <w:vAlign w:val="center"/>
                </w:tcPr>
                <w:p w14:paraId="6C1FD59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282m</w:t>
                  </w:r>
                </w:p>
              </w:tc>
              <w:tc>
                <w:tcPr>
                  <w:tcW w:w="798" w:type="pct"/>
                  <w:tcBorders>
                    <w:tl2br w:val="nil"/>
                    <w:tr2bl w:val="nil"/>
                  </w:tcBorders>
                  <w:noWrap w:val="0"/>
                  <w:vAlign w:val="center"/>
                </w:tcPr>
                <w:p w14:paraId="0DE8801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居民点</w:t>
                  </w:r>
                </w:p>
              </w:tc>
            </w:tr>
            <w:tr w14:paraId="5166D27D">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790D92A">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294" w:type="pct"/>
                  <w:tcBorders>
                    <w:tl2br w:val="nil"/>
                    <w:tr2bl w:val="nil"/>
                  </w:tcBorders>
                  <w:noWrap w:val="0"/>
                  <w:vAlign w:val="center"/>
                </w:tcPr>
                <w:p w14:paraId="4EFBEE1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长宁村居民9户</w:t>
                  </w:r>
                </w:p>
              </w:tc>
              <w:tc>
                <w:tcPr>
                  <w:tcW w:w="676" w:type="pct"/>
                  <w:tcBorders>
                    <w:tl2br w:val="nil"/>
                    <w:tr2bl w:val="nil"/>
                  </w:tcBorders>
                  <w:noWrap w:val="0"/>
                  <w:vAlign w:val="center"/>
                </w:tcPr>
                <w:p w14:paraId="2BF5538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东侧</w:t>
                  </w:r>
                </w:p>
              </w:tc>
              <w:tc>
                <w:tcPr>
                  <w:tcW w:w="858" w:type="pct"/>
                  <w:tcBorders>
                    <w:tl2br w:val="nil"/>
                    <w:tr2bl w:val="nil"/>
                  </w:tcBorders>
                  <w:noWrap w:val="0"/>
                  <w:vAlign w:val="center"/>
                </w:tcPr>
                <w:p w14:paraId="60436EE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375m~606m</w:t>
                  </w:r>
                </w:p>
              </w:tc>
              <w:tc>
                <w:tcPr>
                  <w:tcW w:w="798" w:type="pct"/>
                  <w:tcBorders>
                    <w:tl2br w:val="nil"/>
                    <w:tr2bl w:val="nil"/>
                  </w:tcBorders>
                  <w:noWrap w:val="0"/>
                  <w:vAlign w:val="center"/>
                </w:tcPr>
                <w:p w14:paraId="694A096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3B164451">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60EDFAC2">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294" w:type="pct"/>
                  <w:tcBorders>
                    <w:tl2br w:val="nil"/>
                    <w:tr2bl w:val="nil"/>
                  </w:tcBorders>
                  <w:noWrap w:val="0"/>
                  <w:vAlign w:val="center"/>
                </w:tcPr>
                <w:p w14:paraId="545ADE1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蓬溪县蓬南镇惠民小学</w:t>
                  </w:r>
                </w:p>
              </w:tc>
              <w:tc>
                <w:tcPr>
                  <w:tcW w:w="676" w:type="pct"/>
                  <w:tcBorders>
                    <w:tl2br w:val="nil"/>
                    <w:tr2bl w:val="nil"/>
                  </w:tcBorders>
                  <w:noWrap w:val="0"/>
                  <w:vAlign w:val="center"/>
                </w:tcPr>
                <w:p w14:paraId="5A892E1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东</w:t>
                  </w:r>
                  <w:r>
                    <w:rPr>
                      <w:rFonts w:hint="eastAsia" w:ascii="宋体" w:hAnsi="宋体" w:eastAsia="宋体" w:cs="宋体"/>
                      <w:color w:val="auto"/>
                      <w:sz w:val="21"/>
                      <w:szCs w:val="21"/>
                      <w:lang w:val="en-US" w:eastAsia="zh-CN"/>
                    </w:rPr>
                    <w:t>侧</w:t>
                  </w:r>
                </w:p>
              </w:tc>
              <w:tc>
                <w:tcPr>
                  <w:tcW w:w="858" w:type="pct"/>
                  <w:tcBorders>
                    <w:tl2br w:val="nil"/>
                    <w:tr2bl w:val="nil"/>
                  </w:tcBorders>
                  <w:noWrap w:val="0"/>
                  <w:vAlign w:val="center"/>
                </w:tcPr>
                <w:p w14:paraId="25EA70A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420m</w:t>
                  </w:r>
                </w:p>
              </w:tc>
              <w:tc>
                <w:tcPr>
                  <w:tcW w:w="798" w:type="pct"/>
                  <w:tcBorders>
                    <w:tl2br w:val="nil"/>
                    <w:tr2bl w:val="nil"/>
                  </w:tcBorders>
                  <w:noWrap w:val="0"/>
                  <w:vAlign w:val="center"/>
                </w:tcPr>
                <w:p w14:paraId="35501D8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学校</w:t>
                  </w:r>
                </w:p>
              </w:tc>
            </w:tr>
            <w:tr w14:paraId="037A05E1">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248F11B8">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294" w:type="pct"/>
                  <w:tcBorders>
                    <w:tl2br w:val="nil"/>
                    <w:tr2bl w:val="nil"/>
                  </w:tcBorders>
                  <w:noWrap w:val="0"/>
                  <w:vAlign w:val="center"/>
                </w:tcPr>
                <w:p w14:paraId="031EA5EA">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居民6户</w:t>
                  </w:r>
                </w:p>
              </w:tc>
              <w:tc>
                <w:tcPr>
                  <w:tcW w:w="676" w:type="pct"/>
                  <w:tcBorders>
                    <w:tl2br w:val="nil"/>
                    <w:tr2bl w:val="nil"/>
                  </w:tcBorders>
                  <w:noWrap w:val="0"/>
                  <w:vAlign w:val="center"/>
                </w:tcPr>
                <w:p w14:paraId="7A5DD12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南侧</w:t>
                  </w:r>
                </w:p>
              </w:tc>
              <w:tc>
                <w:tcPr>
                  <w:tcW w:w="858" w:type="pct"/>
                  <w:tcBorders>
                    <w:tl2br w:val="nil"/>
                    <w:tr2bl w:val="nil"/>
                  </w:tcBorders>
                  <w:noWrap w:val="0"/>
                  <w:vAlign w:val="center"/>
                </w:tcPr>
                <w:p w14:paraId="545B969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15m-72m</w:t>
                  </w:r>
                </w:p>
              </w:tc>
              <w:tc>
                <w:tcPr>
                  <w:tcW w:w="798" w:type="pct"/>
                  <w:tcBorders>
                    <w:tl2br w:val="nil"/>
                    <w:tr2bl w:val="nil"/>
                  </w:tcBorders>
                  <w:noWrap w:val="0"/>
                  <w:vAlign w:val="center"/>
                </w:tcPr>
                <w:p w14:paraId="6D473F2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3E717046">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4302E0B7">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5</w:t>
                  </w:r>
                </w:p>
              </w:tc>
              <w:tc>
                <w:tcPr>
                  <w:tcW w:w="2294" w:type="pct"/>
                  <w:tcBorders>
                    <w:tl2br w:val="nil"/>
                    <w:tr2bl w:val="nil"/>
                  </w:tcBorders>
                  <w:noWrap w:val="0"/>
                  <w:vAlign w:val="center"/>
                </w:tcPr>
                <w:p w14:paraId="5021EA4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居民8户</w:t>
                  </w:r>
                </w:p>
              </w:tc>
              <w:tc>
                <w:tcPr>
                  <w:tcW w:w="676" w:type="pct"/>
                  <w:tcBorders>
                    <w:tl2br w:val="nil"/>
                    <w:tr2bl w:val="nil"/>
                  </w:tcBorders>
                  <w:noWrap w:val="0"/>
                  <w:vAlign w:val="center"/>
                </w:tcPr>
                <w:p w14:paraId="647781B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东南侧</w:t>
                  </w:r>
                </w:p>
              </w:tc>
              <w:tc>
                <w:tcPr>
                  <w:tcW w:w="858" w:type="pct"/>
                  <w:tcBorders>
                    <w:tl2br w:val="nil"/>
                    <w:tr2bl w:val="nil"/>
                  </w:tcBorders>
                  <w:noWrap w:val="0"/>
                  <w:vAlign w:val="center"/>
                </w:tcPr>
                <w:p w14:paraId="16738F4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33m~260m</w:t>
                  </w:r>
                </w:p>
              </w:tc>
              <w:tc>
                <w:tcPr>
                  <w:tcW w:w="798" w:type="pct"/>
                  <w:tcBorders>
                    <w:tl2br w:val="nil"/>
                    <w:tr2bl w:val="nil"/>
                  </w:tcBorders>
                  <w:noWrap w:val="0"/>
                  <w:vAlign w:val="center"/>
                </w:tcPr>
                <w:p w14:paraId="476212B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居民点</w:t>
                  </w:r>
                </w:p>
              </w:tc>
            </w:tr>
            <w:tr w14:paraId="1031C461">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3621A4A0">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6</w:t>
                  </w:r>
                </w:p>
              </w:tc>
              <w:tc>
                <w:tcPr>
                  <w:tcW w:w="2294" w:type="pct"/>
                  <w:tcBorders>
                    <w:tl2br w:val="nil"/>
                    <w:tr2bl w:val="nil"/>
                  </w:tcBorders>
                  <w:noWrap w:val="0"/>
                  <w:vAlign w:val="center"/>
                </w:tcPr>
                <w:p w14:paraId="26CCA863">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废弃</w:t>
                  </w:r>
                  <w:r>
                    <w:rPr>
                      <w:rFonts w:hint="eastAsia" w:ascii="宋体" w:hAnsi="宋体" w:eastAsia="宋体" w:cs="宋体"/>
                      <w:color w:val="auto"/>
                      <w:sz w:val="21"/>
                      <w:szCs w:val="21"/>
                      <w:lang w:val="en-US" w:eastAsia="zh-CN"/>
                    </w:rPr>
                    <w:t>养殖场</w:t>
                  </w:r>
                </w:p>
              </w:tc>
              <w:tc>
                <w:tcPr>
                  <w:tcW w:w="676" w:type="pct"/>
                  <w:tcBorders>
                    <w:tl2br w:val="nil"/>
                    <w:tr2bl w:val="nil"/>
                  </w:tcBorders>
                  <w:noWrap w:val="0"/>
                  <w:vAlign w:val="center"/>
                </w:tcPr>
                <w:p w14:paraId="12B5B208">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西侧</w:t>
                  </w:r>
                </w:p>
              </w:tc>
              <w:tc>
                <w:tcPr>
                  <w:tcW w:w="858" w:type="pct"/>
                  <w:tcBorders>
                    <w:tl2br w:val="nil"/>
                    <w:tr2bl w:val="nil"/>
                  </w:tcBorders>
                  <w:noWrap w:val="0"/>
                  <w:vAlign w:val="center"/>
                </w:tcPr>
                <w:p w14:paraId="3BC9B85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15</w:t>
                  </w:r>
                  <w:r>
                    <w:rPr>
                      <w:rFonts w:hint="eastAsia" w:ascii="宋体" w:hAnsi="宋体" w:eastAsia="宋体" w:cs="宋体"/>
                      <w:color w:val="auto"/>
                      <w:sz w:val="21"/>
                      <w:szCs w:val="21"/>
                      <w:lang w:eastAsia="zh-CN"/>
                    </w:rPr>
                    <w:t>m</w:t>
                  </w:r>
                </w:p>
              </w:tc>
              <w:tc>
                <w:tcPr>
                  <w:tcW w:w="798" w:type="pct"/>
                  <w:tcBorders>
                    <w:tl2br w:val="nil"/>
                    <w:tr2bl w:val="nil"/>
                  </w:tcBorders>
                  <w:noWrap w:val="0"/>
                  <w:vAlign w:val="center"/>
                </w:tcPr>
                <w:p w14:paraId="6C3D284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废弃企业</w:t>
                  </w:r>
                </w:p>
              </w:tc>
            </w:tr>
            <w:tr w14:paraId="0D4C929E">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77206012">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7</w:t>
                  </w:r>
                </w:p>
              </w:tc>
              <w:tc>
                <w:tcPr>
                  <w:tcW w:w="2294" w:type="pct"/>
                  <w:tcBorders>
                    <w:tl2br w:val="nil"/>
                    <w:tr2bl w:val="nil"/>
                  </w:tcBorders>
                  <w:noWrap w:val="0"/>
                  <w:vAlign w:val="center"/>
                </w:tcPr>
                <w:p w14:paraId="121C0F75">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居民15户</w:t>
                  </w:r>
                </w:p>
              </w:tc>
              <w:tc>
                <w:tcPr>
                  <w:tcW w:w="676" w:type="pct"/>
                  <w:tcBorders>
                    <w:tl2br w:val="nil"/>
                    <w:tr2bl w:val="nil"/>
                  </w:tcBorders>
                  <w:noWrap w:val="0"/>
                  <w:vAlign w:val="center"/>
                </w:tcPr>
                <w:p w14:paraId="375BBEAA">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09B7224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150m~322m</w:t>
                  </w:r>
                </w:p>
              </w:tc>
              <w:tc>
                <w:tcPr>
                  <w:tcW w:w="798" w:type="pct"/>
                  <w:tcBorders>
                    <w:tl2br w:val="nil"/>
                    <w:tr2bl w:val="nil"/>
                  </w:tcBorders>
                  <w:noWrap w:val="0"/>
                  <w:vAlign w:val="center"/>
                </w:tcPr>
                <w:p w14:paraId="2AAF5EC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1EE29290">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372" w:type="pct"/>
                  <w:tcBorders>
                    <w:tl2br w:val="nil"/>
                    <w:tr2bl w:val="nil"/>
                  </w:tcBorders>
                  <w:noWrap w:val="0"/>
                  <w:vAlign w:val="center"/>
                </w:tcPr>
                <w:p w14:paraId="3F1BBB78">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8</w:t>
                  </w:r>
                </w:p>
              </w:tc>
              <w:tc>
                <w:tcPr>
                  <w:tcW w:w="2294" w:type="pct"/>
                  <w:tcBorders>
                    <w:tl2br w:val="nil"/>
                    <w:tr2bl w:val="nil"/>
                  </w:tcBorders>
                  <w:noWrap w:val="0"/>
                  <w:vAlign w:val="center"/>
                </w:tcPr>
                <w:p w14:paraId="122B50B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居民2户</w:t>
                  </w:r>
                </w:p>
              </w:tc>
              <w:tc>
                <w:tcPr>
                  <w:tcW w:w="676" w:type="pct"/>
                  <w:tcBorders>
                    <w:tl2br w:val="nil"/>
                    <w:tr2bl w:val="nil"/>
                  </w:tcBorders>
                  <w:noWrap w:val="0"/>
                  <w:vAlign w:val="center"/>
                </w:tcPr>
                <w:p w14:paraId="38907F40">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7A1B080D">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352m</w:t>
                  </w:r>
                </w:p>
              </w:tc>
              <w:tc>
                <w:tcPr>
                  <w:tcW w:w="798" w:type="pct"/>
                  <w:tcBorders>
                    <w:tl2br w:val="nil"/>
                    <w:tr2bl w:val="nil"/>
                  </w:tcBorders>
                  <w:noWrap w:val="0"/>
                  <w:vAlign w:val="center"/>
                </w:tcPr>
                <w:p w14:paraId="791CC9D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19B427FD">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39C9F6D5">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9</w:t>
                  </w:r>
                </w:p>
              </w:tc>
              <w:tc>
                <w:tcPr>
                  <w:tcW w:w="2294" w:type="pct"/>
                  <w:tcBorders>
                    <w:tl2br w:val="nil"/>
                    <w:tr2bl w:val="nil"/>
                  </w:tcBorders>
                  <w:noWrap w:val="0"/>
                  <w:vAlign w:val="center"/>
                </w:tcPr>
                <w:p w14:paraId="15C7A9C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长石村村委会</w:t>
                  </w:r>
                </w:p>
              </w:tc>
              <w:tc>
                <w:tcPr>
                  <w:tcW w:w="676" w:type="pct"/>
                  <w:tcBorders>
                    <w:tl2br w:val="nil"/>
                    <w:tr2bl w:val="nil"/>
                  </w:tcBorders>
                  <w:noWrap w:val="0"/>
                  <w:vAlign w:val="center"/>
                </w:tcPr>
                <w:p w14:paraId="71EF5BD4">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西南侧</w:t>
                  </w:r>
                </w:p>
              </w:tc>
              <w:tc>
                <w:tcPr>
                  <w:tcW w:w="858" w:type="pct"/>
                  <w:tcBorders>
                    <w:tl2br w:val="nil"/>
                    <w:tr2bl w:val="nil"/>
                  </w:tcBorders>
                  <w:noWrap w:val="0"/>
                  <w:vAlign w:val="center"/>
                </w:tcPr>
                <w:p w14:paraId="54448C2A">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35m</w:t>
                  </w:r>
                </w:p>
              </w:tc>
              <w:tc>
                <w:tcPr>
                  <w:tcW w:w="798" w:type="pct"/>
                  <w:tcBorders>
                    <w:tl2br w:val="nil"/>
                    <w:tr2bl w:val="nil"/>
                  </w:tcBorders>
                  <w:noWrap w:val="0"/>
                  <w:vAlign w:val="center"/>
                </w:tcPr>
                <w:p w14:paraId="1F80EC48">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行政单位</w:t>
                  </w:r>
                </w:p>
              </w:tc>
            </w:tr>
            <w:tr w14:paraId="0AF7A6F8">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2AA310F6">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10</w:t>
                  </w:r>
                </w:p>
              </w:tc>
              <w:tc>
                <w:tcPr>
                  <w:tcW w:w="2294" w:type="pct"/>
                  <w:tcBorders>
                    <w:tl2br w:val="nil"/>
                    <w:tr2bl w:val="nil"/>
                  </w:tcBorders>
                  <w:noWrap w:val="0"/>
                  <w:vAlign w:val="center"/>
                </w:tcPr>
                <w:p w14:paraId="275E9B99">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居民2户</w:t>
                  </w:r>
                </w:p>
              </w:tc>
              <w:tc>
                <w:tcPr>
                  <w:tcW w:w="676" w:type="pct"/>
                  <w:tcBorders>
                    <w:tl2br w:val="nil"/>
                    <w:tr2bl w:val="nil"/>
                  </w:tcBorders>
                  <w:noWrap w:val="0"/>
                  <w:vAlign w:val="center"/>
                </w:tcPr>
                <w:p w14:paraId="3B551CEC">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北侧</w:t>
                  </w:r>
                </w:p>
              </w:tc>
              <w:tc>
                <w:tcPr>
                  <w:tcW w:w="858" w:type="pct"/>
                  <w:tcBorders>
                    <w:tl2br w:val="nil"/>
                    <w:tr2bl w:val="nil"/>
                  </w:tcBorders>
                  <w:noWrap w:val="0"/>
                  <w:vAlign w:val="center"/>
                </w:tcPr>
                <w:p w14:paraId="50AC377F">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97m</w:t>
                  </w:r>
                </w:p>
              </w:tc>
              <w:tc>
                <w:tcPr>
                  <w:tcW w:w="798" w:type="pct"/>
                  <w:tcBorders>
                    <w:tl2br w:val="nil"/>
                    <w:tr2bl w:val="nil"/>
                  </w:tcBorders>
                  <w:noWrap w:val="0"/>
                  <w:vAlign w:val="center"/>
                </w:tcPr>
                <w:p w14:paraId="253581B6">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r w14:paraId="069BC115">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2" w:type="pct"/>
                  <w:tcBorders>
                    <w:tl2br w:val="nil"/>
                    <w:tr2bl w:val="nil"/>
                  </w:tcBorders>
                  <w:noWrap w:val="0"/>
                  <w:vAlign w:val="center"/>
                </w:tcPr>
                <w:p w14:paraId="78A2A0C6">
                  <w:pPr>
                    <w:pStyle w:val="6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宋体"/>
                      <w:color w:val="auto"/>
                      <w:sz w:val="21"/>
                      <w:szCs w:val="21"/>
                      <w:lang w:val="en-US" w:eastAsia="zh-CN"/>
                    </w:rPr>
                  </w:pPr>
                  <w:r>
                    <w:rPr>
                      <w:rFonts w:hint="eastAsia" w:cs="宋体"/>
                      <w:color w:val="auto"/>
                      <w:sz w:val="21"/>
                      <w:szCs w:val="21"/>
                      <w:lang w:val="en-US" w:eastAsia="zh-CN"/>
                    </w:rPr>
                    <w:t>11</w:t>
                  </w:r>
                </w:p>
              </w:tc>
              <w:tc>
                <w:tcPr>
                  <w:tcW w:w="2294" w:type="pct"/>
                  <w:tcBorders>
                    <w:tl2br w:val="nil"/>
                    <w:tr2bl w:val="nil"/>
                  </w:tcBorders>
                  <w:noWrap w:val="0"/>
                  <w:vAlign w:val="center"/>
                </w:tcPr>
                <w:p w14:paraId="4B197EE1">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居民13户</w:t>
                  </w:r>
                </w:p>
              </w:tc>
              <w:tc>
                <w:tcPr>
                  <w:tcW w:w="676" w:type="pct"/>
                  <w:tcBorders>
                    <w:tl2br w:val="nil"/>
                    <w:tr2bl w:val="nil"/>
                  </w:tcBorders>
                  <w:noWrap w:val="0"/>
                  <w:vAlign w:val="center"/>
                </w:tcPr>
                <w:p w14:paraId="2B0BFCA2">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北侧偏东</w:t>
                  </w:r>
                </w:p>
              </w:tc>
              <w:tc>
                <w:tcPr>
                  <w:tcW w:w="858" w:type="pct"/>
                  <w:tcBorders>
                    <w:tl2br w:val="nil"/>
                    <w:tr2bl w:val="nil"/>
                  </w:tcBorders>
                  <w:noWrap w:val="0"/>
                  <w:vAlign w:val="center"/>
                </w:tcPr>
                <w:p w14:paraId="36ACEFCE">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212m~300m</w:t>
                  </w:r>
                </w:p>
              </w:tc>
              <w:tc>
                <w:tcPr>
                  <w:tcW w:w="798" w:type="pct"/>
                  <w:tcBorders>
                    <w:tl2br w:val="nil"/>
                    <w:tr2bl w:val="nil"/>
                  </w:tcBorders>
                  <w:noWrap w:val="0"/>
                  <w:vAlign w:val="center"/>
                </w:tcPr>
                <w:p w14:paraId="1EA8696B">
                  <w:pPr>
                    <w:pStyle w:val="6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color w:val="auto"/>
                      <w:sz w:val="21"/>
                      <w:szCs w:val="21"/>
                      <w:lang w:val="en-US" w:eastAsia="zh-CN"/>
                    </w:rPr>
                  </w:pPr>
                  <w:r>
                    <w:rPr>
                      <w:rFonts w:hint="eastAsia" w:cs="宋体"/>
                      <w:color w:val="auto"/>
                      <w:sz w:val="21"/>
                      <w:szCs w:val="21"/>
                      <w:lang w:val="en-US" w:eastAsia="zh-CN"/>
                    </w:rPr>
                    <w:t>居民点</w:t>
                  </w:r>
                </w:p>
              </w:tc>
            </w:tr>
          </w:tbl>
          <w:p w14:paraId="247CE80C">
            <w:pPr>
              <w:snapToGrid w:val="0"/>
              <w:spacing w:line="360" w:lineRule="auto"/>
              <w:ind w:firstLine="482" w:firstLineChars="200"/>
              <w:rPr>
                <w:rFonts w:hint="default" w:ascii="Times New Roman" w:hAnsi="Times New Roman" w:eastAsia="宋体" w:cs="Times New Roman"/>
                <w:b/>
                <w:bCs/>
                <w:color w:val="C00000"/>
                <w:sz w:val="24"/>
                <w:szCs w:val="24"/>
              </w:rPr>
            </w:pPr>
          </w:p>
          <w:p w14:paraId="40357D95">
            <w:pPr>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项目</w:t>
            </w:r>
            <w:r>
              <w:rPr>
                <w:rFonts w:hint="default" w:ascii="Times New Roman" w:hAnsi="Times New Roman" w:cs="Times New Roman"/>
                <w:b/>
                <w:bCs/>
                <w:color w:val="auto"/>
                <w:sz w:val="24"/>
                <w:szCs w:val="24"/>
                <w:lang w:eastAsia="zh-CN"/>
              </w:rPr>
              <w:t>东</w:t>
            </w:r>
            <w:r>
              <w:rPr>
                <w:rFonts w:hint="default" w:ascii="Times New Roman" w:hAnsi="Times New Roman" w:eastAsia="宋体" w:cs="Times New Roman"/>
                <w:b/>
                <w:bCs/>
                <w:color w:val="auto"/>
                <w:sz w:val="24"/>
                <w:szCs w:val="24"/>
              </w:rPr>
              <w:t>侧</w:t>
            </w:r>
            <w:r>
              <w:rPr>
                <w:rFonts w:hint="default" w:ascii="Times New Roman" w:hAnsi="Times New Roman" w:cs="Times New Roman"/>
                <w:color w:val="auto"/>
                <w:sz w:val="24"/>
                <w:szCs w:val="24"/>
                <w:lang w:val="en-US" w:eastAsia="zh-CN"/>
              </w:rPr>
              <w:t>紧邻为林地或荒地，</w:t>
            </w:r>
            <w:r>
              <w:rPr>
                <w:rFonts w:hint="eastAsia" w:cs="Times New Roman"/>
                <w:color w:val="auto"/>
                <w:sz w:val="24"/>
                <w:szCs w:val="24"/>
                <w:lang w:val="en-US" w:eastAsia="zh-CN"/>
              </w:rPr>
              <w:t>282</w:t>
            </w:r>
            <w:r>
              <w:rPr>
                <w:rFonts w:hint="default" w:ascii="Times New Roman" w:hAnsi="Times New Roman" w:cs="Times New Roman"/>
                <w:color w:val="auto"/>
                <w:sz w:val="24"/>
                <w:szCs w:val="24"/>
                <w:lang w:val="en-US" w:eastAsia="zh-CN"/>
              </w:rPr>
              <w:t>m处有1户农户，</w:t>
            </w:r>
            <w:r>
              <w:rPr>
                <w:rFonts w:hint="eastAsia" w:cs="Times New Roman"/>
                <w:color w:val="auto"/>
                <w:sz w:val="24"/>
                <w:szCs w:val="24"/>
                <w:lang w:val="en-US" w:eastAsia="zh-CN"/>
              </w:rPr>
              <w:t>375</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606</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9</w:t>
            </w:r>
            <w:r>
              <w:rPr>
                <w:rFonts w:hint="default" w:ascii="Times New Roman" w:hAnsi="Times New Roman" w:cs="Times New Roman"/>
                <w:color w:val="auto"/>
                <w:sz w:val="24"/>
                <w:szCs w:val="24"/>
                <w:lang w:val="en-US" w:eastAsia="zh-CN"/>
              </w:rPr>
              <w:t>户</w:t>
            </w:r>
            <w:r>
              <w:rPr>
                <w:rFonts w:hint="eastAsia" w:cs="Times New Roman"/>
                <w:color w:val="auto"/>
                <w:sz w:val="24"/>
                <w:szCs w:val="24"/>
                <w:lang w:val="en-US" w:eastAsia="zh-CN"/>
              </w:rPr>
              <w:t>居民和1所学校（蓬溪县蓬南镇惠民小学）</w:t>
            </w:r>
            <w:r>
              <w:rPr>
                <w:rFonts w:hint="default" w:ascii="Times New Roman" w:hAnsi="Times New Roman" w:cs="Times New Roman"/>
                <w:color w:val="auto"/>
                <w:sz w:val="24"/>
                <w:szCs w:val="24"/>
                <w:lang w:val="en-US" w:eastAsia="zh-CN"/>
              </w:rPr>
              <w:t>；</w:t>
            </w:r>
          </w:p>
          <w:p w14:paraId="0D788A03">
            <w:pPr>
              <w:snapToGrid w:val="0"/>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cs="Times New Roman"/>
                <w:b/>
                <w:bCs/>
                <w:color w:val="auto"/>
                <w:sz w:val="24"/>
                <w:szCs w:val="24"/>
                <w:lang w:eastAsia="zh-CN"/>
              </w:rPr>
              <w:t>项目南</w:t>
            </w:r>
            <w:r>
              <w:rPr>
                <w:rFonts w:hint="default" w:ascii="Times New Roman" w:hAnsi="Times New Roman" w:eastAsia="宋体" w:cs="Times New Roman"/>
                <w:b/>
                <w:bCs/>
                <w:color w:val="auto"/>
                <w:sz w:val="24"/>
                <w:szCs w:val="24"/>
              </w:rPr>
              <w:t>侧</w:t>
            </w:r>
            <w:r>
              <w:rPr>
                <w:rFonts w:hint="eastAsia" w:cs="Times New Roman"/>
                <w:b w:val="0"/>
                <w:bCs w:val="0"/>
                <w:color w:val="auto"/>
                <w:sz w:val="24"/>
                <w:szCs w:val="24"/>
                <w:lang w:val="en-US" w:eastAsia="zh-CN"/>
              </w:rPr>
              <w:t>约15m-72m有6</w:t>
            </w:r>
            <w:r>
              <w:rPr>
                <w:rFonts w:hint="default" w:ascii="Times New Roman" w:hAnsi="Times New Roman" w:cs="Times New Roman"/>
                <w:color w:val="auto"/>
                <w:sz w:val="24"/>
                <w:szCs w:val="24"/>
                <w:lang w:val="en-US" w:eastAsia="zh-CN"/>
              </w:rPr>
              <w:t>户农户，项目已将</w:t>
            </w:r>
            <w:r>
              <w:rPr>
                <w:rFonts w:hint="eastAsia" w:ascii="Times New Roman" w:hAnsi="Times New Roman" w:cs="Times New Roman"/>
                <w:color w:val="auto"/>
                <w:sz w:val="24"/>
                <w:szCs w:val="24"/>
                <w:lang w:val="en-US" w:eastAsia="zh-CN"/>
              </w:rPr>
              <w:t>临近的</w:t>
            </w:r>
            <w:r>
              <w:rPr>
                <w:rFonts w:hint="default" w:ascii="Times New Roman" w:hAnsi="Times New Roman" w:cs="Times New Roman"/>
                <w:color w:val="auto"/>
                <w:sz w:val="24"/>
                <w:szCs w:val="24"/>
                <w:lang w:val="en-US" w:eastAsia="zh-CN"/>
              </w:rPr>
              <w:t>农户</w:t>
            </w:r>
            <w:r>
              <w:rPr>
                <w:rFonts w:hint="eastAsia" w:ascii="Times New Roman" w:hAnsi="Times New Roman" w:cs="Times New Roman"/>
                <w:color w:val="auto"/>
                <w:sz w:val="24"/>
                <w:szCs w:val="24"/>
                <w:lang w:val="en-US" w:eastAsia="zh-CN"/>
              </w:rPr>
              <w:t>房屋</w:t>
            </w:r>
            <w:r>
              <w:rPr>
                <w:rFonts w:hint="default" w:ascii="Times New Roman" w:hAnsi="Times New Roman" w:cs="Times New Roman"/>
                <w:color w:val="auto"/>
                <w:sz w:val="24"/>
                <w:szCs w:val="24"/>
                <w:lang w:val="en-US" w:eastAsia="zh-CN"/>
              </w:rPr>
              <w:t>租用为项目办公用房</w:t>
            </w:r>
            <w:r>
              <w:rPr>
                <w:rFonts w:hint="eastAsia" w:ascii="Times New Roman" w:hAnsi="Times New Roman" w:cs="Times New Roman"/>
                <w:color w:val="auto"/>
                <w:sz w:val="24"/>
                <w:szCs w:val="24"/>
                <w:lang w:val="en-US" w:eastAsia="zh-CN"/>
              </w:rPr>
              <w:t>，72m向南为</w:t>
            </w:r>
            <w:r>
              <w:rPr>
                <w:rFonts w:hint="default" w:ascii="Times New Roman" w:hAnsi="Times New Roman" w:cs="Times New Roman"/>
                <w:color w:val="auto"/>
                <w:sz w:val="24"/>
                <w:szCs w:val="24"/>
                <w:lang w:val="en-US" w:eastAsia="zh-CN"/>
              </w:rPr>
              <w:t>林地或荒地</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东南侧33</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260</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8</w:t>
            </w:r>
            <w:r>
              <w:rPr>
                <w:rFonts w:hint="default" w:ascii="Times New Roman" w:hAnsi="Times New Roman" w:cs="Times New Roman"/>
                <w:color w:val="auto"/>
                <w:sz w:val="24"/>
                <w:szCs w:val="24"/>
                <w:lang w:val="en-US" w:eastAsia="zh-CN"/>
              </w:rPr>
              <w:t>户农户；</w:t>
            </w:r>
          </w:p>
          <w:p w14:paraId="462D08AF">
            <w:pPr>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eastAsia="zh-CN"/>
              </w:rPr>
              <w:t>项目西侧</w:t>
            </w:r>
            <w:r>
              <w:rPr>
                <w:rFonts w:hint="default" w:ascii="Times New Roman" w:hAnsi="Times New Roman" w:cs="Times New Roman"/>
                <w:color w:val="auto"/>
                <w:sz w:val="24"/>
                <w:szCs w:val="24"/>
                <w:lang w:val="en-US" w:eastAsia="zh-CN"/>
              </w:rPr>
              <w:t>紧邻村道</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隔村道以西</w:t>
            </w:r>
            <w:r>
              <w:rPr>
                <w:rFonts w:hint="eastAsia" w:cs="Times New Roman"/>
                <w:color w:val="auto"/>
                <w:sz w:val="24"/>
                <w:szCs w:val="24"/>
                <w:lang w:val="en-US" w:eastAsia="zh-CN"/>
              </w:rPr>
              <w:t>为</w:t>
            </w:r>
            <w:r>
              <w:rPr>
                <w:rFonts w:hint="default" w:ascii="Times New Roman" w:hAnsi="Times New Roman" w:cs="Times New Roman"/>
                <w:color w:val="auto"/>
                <w:sz w:val="24"/>
                <w:szCs w:val="24"/>
                <w:lang w:val="en-US" w:eastAsia="zh-CN"/>
              </w:rPr>
              <w:t>养殖场，现状已废弃，隔该养殖场以北和</w:t>
            </w:r>
            <w:r>
              <w:rPr>
                <w:rFonts w:hint="eastAsia" w:ascii="Times New Roman" w:hAnsi="Times New Roman" w:cs="Times New Roman"/>
                <w:color w:val="auto"/>
                <w:sz w:val="24"/>
                <w:szCs w:val="24"/>
                <w:lang w:val="en-US" w:eastAsia="zh-CN"/>
              </w:rPr>
              <w:t>西</w:t>
            </w:r>
            <w:r>
              <w:rPr>
                <w:rFonts w:hint="default" w:ascii="Times New Roman" w:hAnsi="Times New Roman" w:cs="Times New Roman"/>
                <w:color w:val="auto"/>
                <w:sz w:val="24"/>
                <w:szCs w:val="24"/>
                <w:lang w:val="en-US" w:eastAsia="zh-CN"/>
              </w:rPr>
              <w:t>面均为大片耕地或荒地</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150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322</w:t>
            </w:r>
            <w:r>
              <w:rPr>
                <w:rFonts w:hint="default" w:ascii="Times New Roman" w:hAnsi="Times New Roman" w:cs="Times New Roman"/>
                <w:color w:val="auto"/>
                <w:sz w:val="24"/>
                <w:szCs w:val="24"/>
                <w:lang w:val="en-US" w:eastAsia="zh-CN"/>
              </w:rPr>
              <w:t>m处有约15户农户在此居住；西南侧</w:t>
            </w:r>
            <w:r>
              <w:rPr>
                <w:rFonts w:hint="eastAsia" w:cs="Times New Roman"/>
                <w:color w:val="auto"/>
                <w:sz w:val="24"/>
                <w:szCs w:val="24"/>
                <w:lang w:val="en-US" w:eastAsia="zh-CN"/>
              </w:rPr>
              <w:t>352</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户农户；</w:t>
            </w:r>
            <w:r>
              <w:rPr>
                <w:rFonts w:hint="eastAsia" w:cs="Times New Roman"/>
                <w:color w:val="auto"/>
                <w:sz w:val="24"/>
                <w:szCs w:val="24"/>
                <w:lang w:val="en-US" w:eastAsia="zh-CN"/>
              </w:rPr>
              <w:t>西南侧约35m为长石村村委会；</w:t>
            </w:r>
          </w:p>
          <w:p w14:paraId="4EB31719">
            <w:pPr>
              <w:snapToGrid w:val="0"/>
              <w:spacing w:line="360" w:lineRule="auto"/>
              <w:ind w:firstLine="482" w:firstLineChars="200"/>
              <w:rPr>
                <w:rFonts w:hint="default" w:ascii="Times New Roman" w:hAnsi="Times New Roman" w:eastAsia="宋体" w:cs="Times New Roman"/>
                <w:color w:val="C00000"/>
                <w:sz w:val="24"/>
                <w:szCs w:val="24"/>
              </w:rPr>
            </w:pPr>
            <w:r>
              <w:rPr>
                <w:rFonts w:hint="default" w:ascii="Times New Roman" w:hAnsi="Times New Roman" w:cs="Times New Roman"/>
                <w:b/>
                <w:bCs/>
                <w:color w:val="auto"/>
                <w:sz w:val="24"/>
                <w:szCs w:val="24"/>
                <w:lang w:eastAsia="zh-CN"/>
              </w:rPr>
              <w:t>项目北侧</w:t>
            </w:r>
            <w:r>
              <w:rPr>
                <w:rFonts w:hint="default" w:ascii="Times New Roman" w:hAnsi="Times New Roman" w:cs="Times New Roman"/>
                <w:color w:val="auto"/>
                <w:sz w:val="24"/>
                <w:szCs w:val="24"/>
                <w:lang w:eastAsia="zh-CN"/>
              </w:rPr>
              <w:t>紧邻</w:t>
            </w:r>
            <w:r>
              <w:rPr>
                <w:rFonts w:hint="eastAsia" w:cs="Times New Roman"/>
                <w:color w:val="auto"/>
                <w:sz w:val="24"/>
                <w:szCs w:val="24"/>
                <w:lang w:val="en-US" w:eastAsia="zh-CN"/>
              </w:rPr>
              <w:t>农田</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97</w:t>
            </w:r>
            <w:r>
              <w:rPr>
                <w:rFonts w:hint="default" w:ascii="Times New Roman" w:hAnsi="Times New Roman" w:cs="Times New Roman"/>
                <w:color w:val="auto"/>
                <w:sz w:val="24"/>
                <w:szCs w:val="24"/>
                <w:lang w:val="en-US" w:eastAsia="zh-CN"/>
              </w:rPr>
              <w:t>m处有</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户农户</w:t>
            </w:r>
            <w:r>
              <w:rPr>
                <w:rFonts w:hint="eastAsia" w:ascii="Times New Roman" w:hAnsi="Times New Roman" w:cs="Times New Roman"/>
                <w:color w:val="auto"/>
                <w:sz w:val="24"/>
                <w:szCs w:val="24"/>
                <w:lang w:val="en-US" w:eastAsia="zh-CN"/>
              </w:rPr>
              <w:t>，北侧偏东</w:t>
            </w:r>
            <w:r>
              <w:rPr>
                <w:rFonts w:hint="eastAsia" w:cs="Times New Roman"/>
                <w:color w:val="auto"/>
                <w:sz w:val="24"/>
                <w:szCs w:val="24"/>
                <w:lang w:val="en-US" w:eastAsia="zh-CN"/>
              </w:rPr>
              <w:t>212</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300</w:t>
            </w:r>
            <w:r>
              <w:rPr>
                <w:rFonts w:hint="default" w:ascii="Times New Roman" w:hAnsi="Times New Roman" w:cs="Times New Roman"/>
                <w:color w:val="auto"/>
                <w:sz w:val="24"/>
                <w:szCs w:val="24"/>
                <w:lang w:val="en-US" w:eastAsia="zh-CN"/>
              </w:rPr>
              <w:t>m处有</w:t>
            </w:r>
            <w:r>
              <w:rPr>
                <w:rFonts w:hint="eastAsia" w:cs="Times New Roman"/>
                <w:color w:val="auto"/>
                <w:sz w:val="24"/>
                <w:szCs w:val="24"/>
                <w:lang w:val="en-US" w:eastAsia="zh-CN"/>
              </w:rPr>
              <w:t>13</w:t>
            </w:r>
            <w:r>
              <w:rPr>
                <w:rFonts w:hint="default" w:ascii="Times New Roman" w:hAnsi="Times New Roman" w:cs="Times New Roman"/>
                <w:color w:val="auto"/>
                <w:sz w:val="24"/>
                <w:szCs w:val="24"/>
                <w:lang w:val="en-US" w:eastAsia="zh-CN"/>
              </w:rPr>
              <w:t>户</w:t>
            </w:r>
            <w:r>
              <w:rPr>
                <w:rFonts w:hint="eastAsia" w:cs="Times New Roman"/>
                <w:color w:val="auto"/>
                <w:sz w:val="24"/>
                <w:szCs w:val="24"/>
                <w:lang w:val="en-US" w:eastAsia="zh-CN"/>
              </w:rPr>
              <w:t>居民</w:t>
            </w:r>
            <w:r>
              <w:rPr>
                <w:rFonts w:hint="default" w:ascii="Times New Roman" w:hAnsi="Times New Roman" w:eastAsia="宋体" w:cs="Times New Roman"/>
                <w:color w:val="auto"/>
                <w:sz w:val="24"/>
                <w:szCs w:val="24"/>
                <w:lang w:eastAsia="zh-CN"/>
              </w:rPr>
              <w:t>。</w:t>
            </w:r>
          </w:p>
          <w:p w14:paraId="0F9077BA">
            <w:pPr>
              <w:pStyle w:val="52"/>
              <w:snapToGrid w:val="0"/>
              <w:spacing w:line="360" w:lineRule="auto"/>
              <w:ind w:left="0" w:leftChars="0" w:firstLine="48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szCs w:val="24"/>
              </w:rPr>
              <w:t>由上可知，本项目厂址周边主要为农村环境，200m范围内无医院、幼儿园、学校、敬老院、社会福利机构等环境敏感点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本项目为不锈钢制品和</w:t>
            </w:r>
            <w:r>
              <w:rPr>
                <w:rFonts w:hint="default" w:ascii="Times New Roman" w:hAnsi="Times New Roman" w:cs="Times New Roman"/>
                <w:color w:val="auto"/>
                <w:lang w:eastAsia="zh-CN"/>
              </w:rPr>
              <w:t>畜禽养殖专用水泥制品等，属于</w:t>
            </w:r>
            <w:r>
              <w:rPr>
                <w:rFonts w:hint="default" w:ascii="Times New Roman" w:hAnsi="Times New Roman" w:cs="Times New Roman"/>
                <w:color w:val="auto"/>
                <w:lang w:val="en-US" w:eastAsia="zh-CN"/>
              </w:rPr>
              <w:t>砼结构构件制造（C3022）和金属结构制造（C3311），</w:t>
            </w:r>
            <w:r>
              <w:rPr>
                <w:rFonts w:hint="default" w:ascii="Times New Roman" w:hAnsi="Times New Roman" w:cs="Times New Roman"/>
                <w:color w:val="auto"/>
                <w:lang w:eastAsia="zh-CN"/>
              </w:rPr>
              <w:t>污染物主要为粉尘和噪声。本项目以</w:t>
            </w:r>
            <w:r>
              <w:rPr>
                <w:rFonts w:hint="eastAsia" w:ascii="Times New Roman" w:hAnsi="Times New Roman" w:cs="Times New Roman"/>
                <w:color w:val="auto"/>
                <w:lang w:val="en-US" w:eastAsia="zh-CN"/>
              </w:rPr>
              <w:t>生产</w:t>
            </w:r>
            <w:r>
              <w:rPr>
                <w:rFonts w:hint="default" w:ascii="Times New Roman" w:hAnsi="Times New Roman" w:cs="Times New Roman"/>
                <w:color w:val="auto"/>
                <w:lang w:val="en-US" w:eastAsia="zh-CN"/>
              </w:rPr>
              <w:t>厂房边</w:t>
            </w:r>
            <w:r>
              <w:rPr>
                <w:rFonts w:hint="default" w:ascii="Times New Roman" w:hAnsi="Times New Roman" w:cs="Times New Roman"/>
                <w:color w:val="auto"/>
                <w:lang w:eastAsia="zh-CN"/>
              </w:rPr>
              <w:t>界为起点，设置50m卫生防护距离。其中在50m卫生防护距离范围内</w:t>
            </w:r>
            <w:r>
              <w:rPr>
                <w:rFonts w:hint="default" w:ascii="Times New Roman" w:hAnsi="Times New Roman" w:cs="Times New Roman"/>
                <w:color w:val="auto"/>
                <w:lang w:val="en-US" w:eastAsia="zh-CN"/>
              </w:rPr>
              <w:t>有</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户农户，业主单位已将此户农户用房租用为项目</w:t>
            </w:r>
            <w:r>
              <w:rPr>
                <w:rFonts w:hint="eastAsia" w:ascii="Times New Roman" w:hAnsi="Times New Roman" w:cs="Times New Roman"/>
                <w:color w:val="auto"/>
                <w:lang w:val="en-US" w:eastAsia="zh-CN"/>
              </w:rPr>
              <w:t>库房使用</w:t>
            </w:r>
            <w:r>
              <w:rPr>
                <w:rFonts w:hint="default" w:ascii="Times New Roman" w:hAnsi="Times New Roman" w:cs="Times New Roman"/>
                <w:color w:val="auto"/>
                <w:lang w:eastAsia="zh-CN"/>
              </w:rPr>
              <w:t>。根据现场调查，本项目50m卫生防护距离范围内主要为</w:t>
            </w:r>
            <w:r>
              <w:rPr>
                <w:rFonts w:hint="default" w:ascii="Times New Roman" w:hAnsi="Times New Roman" w:cs="Times New Roman"/>
                <w:color w:val="auto"/>
                <w:lang w:val="en-US" w:eastAsia="zh-CN"/>
              </w:rPr>
              <w:t>空地或荒地，无其他环境敏感点</w:t>
            </w:r>
            <w:r>
              <w:rPr>
                <w:rFonts w:hint="default" w:ascii="Times New Roman" w:hAnsi="Times New Roman" w:cs="Times New Roman"/>
                <w:color w:val="auto"/>
                <w:lang w:eastAsia="zh-CN"/>
              </w:rPr>
              <w:t>。本项目生产实行单班制，夜间不生产，产噪设备主要是给</w:t>
            </w:r>
            <w:r>
              <w:rPr>
                <w:rFonts w:ascii="宋体" w:hAnsi="宋体"/>
                <w:color w:val="auto"/>
                <w:spacing w:val="4"/>
                <w:sz w:val="24"/>
                <w:szCs w:val="24"/>
              </w:rPr>
              <w:t>切割机、焊机、搅拌机、</w:t>
            </w:r>
            <w:r>
              <w:rPr>
                <w:rFonts w:hint="eastAsia" w:ascii="宋体" w:hAnsi="宋体"/>
                <w:color w:val="auto"/>
                <w:spacing w:val="4"/>
                <w:sz w:val="24"/>
                <w:szCs w:val="24"/>
                <w:lang w:val="en-US" w:eastAsia="zh-CN"/>
              </w:rPr>
              <w:t>水泥制品生产线</w:t>
            </w:r>
            <w:r>
              <w:rPr>
                <w:rFonts w:ascii="宋体" w:hAnsi="宋体"/>
                <w:color w:val="auto"/>
                <w:spacing w:val="4"/>
                <w:sz w:val="24"/>
                <w:szCs w:val="24"/>
              </w:rPr>
              <w:t>、</w:t>
            </w:r>
            <w:r>
              <w:rPr>
                <w:rFonts w:hint="eastAsia" w:ascii="宋体" w:hAnsi="宋体"/>
                <w:color w:val="auto"/>
                <w:spacing w:val="4"/>
                <w:sz w:val="24"/>
                <w:szCs w:val="24"/>
                <w:lang w:val="en-US" w:eastAsia="zh-CN"/>
              </w:rPr>
              <w:t>剪板机、空压机</w:t>
            </w:r>
            <w:r>
              <w:rPr>
                <w:rFonts w:hint="default" w:ascii="Times New Roman" w:hAnsi="Times New Roman" w:cs="Times New Roman"/>
                <w:color w:val="auto"/>
                <w:lang w:eastAsia="zh-CN"/>
              </w:rPr>
              <w:t>等。项目在采取隔声、减震等措施后，利用距离衰减、建筑阻隔作用，经预测可知本项目</w:t>
            </w:r>
            <w:r>
              <w:rPr>
                <w:rFonts w:hint="default" w:ascii="Times New Roman" w:hAnsi="Times New Roman" w:cs="Times New Roman"/>
                <w:color w:val="auto"/>
                <w:lang w:val="en-US" w:eastAsia="zh-CN"/>
              </w:rPr>
              <w:t>噪声排放对周边农户处</w:t>
            </w:r>
            <w:r>
              <w:rPr>
                <w:rFonts w:hint="default" w:ascii="Times New Roman" w:hAnsi="Times New Roman" w:cs="Times New Roman"/>
                <w:color w:val="auto"/>
                <w:lang w:eastAsia="zh-CN"/>
              </w:rPr>
              <w:t>噪声</w:t>
            </w:r>
            <w:r>
              <w:rPr>
                <w:rFonts w:hint="default" w:ascii="Times New Roman" w:hAnsi="Times New Roman" w:cs="Times New Roman"/>
                <w:color w:val="auto"/>
                <w:lang w:val="en-US" w:eastAsia="zh-CN"/>
              </w:rPr>
              <w:t>贡献值叠加背景值后</w:t>
            </w:r>
            <w:r>
              <w:rPr>
                <w:rFonts w:hint="default" w:ascii="Times New Roman" w:hAnsi="Times New Roman" w:cs="Times New Roman"/>
                <w:color w:val="auto"/>
                <w:lang w:eastAsia="zh-CN"/>
              </w:rPr>
              <w:t>可满足《</w:t>
            </w:r>
            <w:r>
              <w:rPr>
                <w:rFonts w:hint="default" w:ascii="Times New Roman" w:hAnsi="Times New Roman" w:cs="Times New Roman"/>
                <w:color w:val="auto"/>
                <w:lang w:val="en-US" w:eastAsia="zh-CN"/>
              </w:rPr>
              <w:t>声环境质量标准</w:t>
            </w:r>
            <w:r>
              <w:rPr>
                <w:rFonts w:hint="default" w:ascii="Times New Roman" w:hAnsi="Times New Roman" w:cs="Times New Roman"/>
                <w:color w:val="auto"/>
                <w:lang w:eastAsia="zh-CN"/>
              </w:rPr>
              <w:t>》（GB</w:t>
            </w:r>
            <w:r>
              <w:rPr>
                <w:rFonts w:hint="default" w:ascii="Times New Roman" w:hAnsi="Times New Roman" w:cs="Times New Roman"/>
                <w:color w:val="auto"/>
                <w:lang w:val="en-US" w:eastAsia="zh-CN"/>
              </w:rPr>
              <w:t>3096</w:t>
            </w:r>
            <w:r>
              <w:rPr>
                <w:rFonts w:hint="default" w:ascii="Times New Roman" w:hAnsi="Times New Roman" w:cs="Times New Roman"/>
                <w:color w:val="auto"/>
                <w:lang w:eastAsia="zh-CN"/>
              </w:rPr>
              <w:t>-2008）2类标准（昼间≤60dB（A）），厂界噪声可满足《工业企业厂界环境噪声排放标准》（GB 12348-2008）</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类标准（昼间≤6</w:t>
            </w:r>
            <w:r>
              <w:rPr>
                <w:rFonts w:hint="default" w:ascii="Times New Roman" w:hAnsi="Times New Roman" w:cs="Times New Roman"/>
                <w:color w:val="auto"/>
                <w:lang w:val="en-US" w:eastAsia="zh-CN"/>
              </w:rPr>
              <w:t>0</w:t>
            </w:r>
            <w:r>
              <w:rPr>
                <w:rFonts w:hint="default" w:ascii="Times New Roman" w:hAnsi="Times New Roman" w:cs="Times New Roman"/>
                <w:color w:val="auto"/>
                <w:lang w:eastAsia="zh-CN"/>
              </w:rPr>
              <w:t>dB（A））要求。</w:t>
            </w:r>
          </w:p>
          <w:p w14:paraId="5A45A75D">
            <w:pPr>
              <w:pStyle w:val="52"/>
              <w:snapToGrid w:val="0"/>
              <w:spacing w:line="360" w:lineRule="auto"/>
              <w:ind w:left="0" w:leftChars="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综上所述，本项目评价范围内无特殊保护文物古迹、自然保护区和特殊环境制约因素。本项目在采取严格的环保措施后，本项目污染物的排放不会降低区域环境质量。</w:t>
            </w:r>
          </w:p>
          <w:p w14:paraId="4B4A1256">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综上所述，本项目选址合理，与外环境相容。</w:t>
            </w:r>
          </w:p>
          <w:p w14:paraId="61A8AA89">
            <w:pPr>
              <w:snapToGrid w:val="0"/>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选线合理性分析</w:t>
            </w:r>
          </w:p>
          <w:p w14:paraId="6DE23B04">
            <w:pPr>
              <w:snapToGrid w:val="0"/>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经勘查，本项目原料运进与产品运出线路唯一，由南侧乡道向</w:t>
            </w:r>
            <w:r>
              <w:rPr>
                <w:rFonts w:hint="eastAsia" w:cs="Times New Roman"/>
                <w:b w:val="0"/>
                <w:bCs w:val="0"/>
                <w:color w:val="auto"/>
                <w:sz w:val="24"/>
                <w:szCs w:val="24"/>
                <w:lang w:val="en-US" w:eastAsia="zh-CN"/>
              </w:rPr>
              <w:t>东</w:t>
            </w:r>
            <w:r>
              <w:rPr>
                <w:rFonts w:hint="default" w:ascii="Times New Roman" w:hAnsi="Times New Roman" w:cs="Times New Roman"/>
                <w:b w:val="0"/>
                <w:bCs w:val="0"/>
                <w:color w:val="auto"/>
                <w:sz w:val="24"/>
                <w:szCs w:val="24"/>
                <w:lang w:val="en-US" w:eastAsia="zh-CN"/>
              </w:rPr>
              <w:t>进入S</w:t>
            </w:r>
            <w:r>
              <w:rPr>
                <w:rFonts w:hint="eastAsia" w:cs="Times New Roman"/>
                <w:b w:val="0"/>
                <w:bCs w:val="0"/>
                <w:color w:val="auto"/>
                <w:sz w:val="24"/>
                <w:szCs w:val="24"/>
                <w:lang w:val="en-US" w:eastAsia="zh-CN"/>
              </w:rPr>
              <w:t>304</w:t>
            </w:r>
            <w:r>
              <w:rPr>
                <w:rFonts w:hint="default" w:ascii="Times New Roman" w:hAnsi="Times New Roman" w:cs="Times New Roman"/>
                <w:b w:val="0"/>
                <w:bCs w:val="0"/>
                <w:color w:val="auto"/>
                <w:sz w:val="24"/>
                <w:szCs w:val="24"/>
                <w:lang w:val="en-US" w:eastAsia="zh-CN"/>
              </w:rPr>
              <w:t>，本次评价不再对运输线路进行对比评价，仅对运输过程车辆管理提出要求。</w:t>
            </w:r>
          </w:p>
          <w:p w14:paraId="6BCFD355">
            <w:pPr>
              <w:numPr>
                <w:ilvl w:val="0"/>
                <w:numId w:val="0"/>
              </w:num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 1 \* GB3 \* MERGEFORMAT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b w:val="0"/>
                <w:bCs w:val="0"/>
                <w:color w:val="auto"/>
                <w:sz w:val="24"/>
                <w:szCs w:val="24"/>
                <w:lang w:val="en-US" w:eastAsia="zh-CN"/>
              </w:rPr>
              <w:fldChar w:fldCharType="end"/>
            </w:r>
            <w:r>
              <w:rPr>
                <w:rFonts w:hint="default" w:ascii="Times New Roman" w:hAnsi="Times New Roman" w:cs="Times New Roman"/>
                <w:b w:val="0"/>
                <w:bCs w:val="0"/>
                <w:color w:val="auto"/>
                <w:sz w:val="24"/>
                <w:szCs w:val="24"/>
                <w:lang w:val="en-US" w:eastAsia="zh-CN"/>
              </w:rPr>
              <w:t>运输车辆应用篷布遮盖，密闭运输；</w:t>
            </w:r>
          </w:p>
          <w:p w14:paraId="1FE7EC15">
            <w:pPr>
              <w:numPr>
                <w:ilvl w:val="0"/>
                <w:numId w:val="0"/>
              </w:num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 2 \* GB3 \* MERGEFORMAT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b w:val="0"/>
                <w:bCs w:val="0"/>
                <w:color w:val="auto"/>
                <w:sz w:val="24"/>
                <w:szCs w:val="24"/>
                <w:lang w:val="en-US" w:eastAsia="zh-CN"/>
              </w:rPr>
              <w:fldChar w:fldCharType="end"/>
            </w:r>
            <w:r>
              <w:rPr>
                <w:rFonts w:hint="default" w:ascii="Times New Roman" w:hAnsi="Times New Roman" w:cs="Times New Roman"/>
                <w:b w:val="0"/>
                <w:bCs w:val="0"/>
                <w:color w:val="auto"/>
                <w:sz w:val="24"/>
                <w:szCs w:val="24"/>
                <w:lang w:val="en-US" w:eastAsia="zh-CN"/>
              </w:rPr>
              <w:t>运输车辆应控制时速，途径农户处时禁止鸣笛；</w:t>
            </w:r>
          </w:p>
          <w:p w14:paraId="1549B9C9">
            <w:pPr>
              <w:numPr>
                <w:ilvl w:val="0"/>
                <w:numId w:val="0"/>
              </w:numPr>
              <w:snapToGrid w:val="0"/>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 3 \* GB3 \* MERGEFORMAT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b w:val="0"/>
                <w:bCs w:val="0"/>
                <w:color w:val="auto"/>
                <w:sz w:val="24"/>
                <w:szCs w:val="24"/>
                <w:lang w:val="en-US" w:eastAsia="zh-CN"/>
              </w:rPr>
              <w:fldChar w:fldCharType="end"/>
            </w:r>
            <w:r>
              <w:rPr>
                <w:rFonts w:hint="default" w:ascii="Times New Roman" w:hAnsi="Times New Roman" w:cs="Times New Roman"/>
                <w:b w:val="0"/>
                <w:bCs w:val="0"/>
                <w:color w:val="auto"/>
                <w:sz w:val="24"/>
                <w:szCs w:val="24"/>
                <w:lang w:val="en-US" w:eastAsia="zh-CN"/>
              </w:rPr>
              <w:t>对离场车辆轮胎进行清洗，厂区内道路和大门处应定时洒水降尘；</w:t>
            </w:r>
          </w:p>
          <w:p w14:paraId="46E35999">
            <w:pPr>
              <w:numPr>
                <w:ilvl w:val="0"/>
                <w:numId w:val="0"/>
              </w:num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t>采取上述措施后，运输车辆对周边环境敏感点的影响能够降到最小。</w:t>
            </w:r>
          </w:p>
          <w:p w14:paraId="07897502">
            <w:pPr>
              <w:pStyle w:val="52"/>
              <w:snapToGrid w:val="0"/>
              <w:spacing w:line="360" w:lineRule="auto"/>
              <w:ind w:left="0" w:leftChars="0"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4、环境质量现状结论</w:t>
            </w:r>
          </w:p>
          <w:p w14:paraId="771C1759">
            <w:pPr>
              <w:pStyle w:val="52"/>
              <w:snapToGrid w:val="0"/>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（1）大气环境质量</w:t>
            </w:r>
          </w:p>
          <w:p w14:paraId="5AC18B76">
            <w:pPr>
              <w:pStyle w:val="52"/>
              <w:snapToGrid w:val="0"/>
              <w:spacing w:line="360" w:lineRule="auto"/>
              <w:ind w:left="0" w:leftChars="0" w:firstLine="480" w:firstLineChars="20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rPr>
              <w:t>根据《201</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年度</w:t>
            </w:r>
            <w:r>
              <w:rPr>
                <w:rFonts w:hint="default" w:ascii="Times New Roman" w:hAnsi="Times New Roman" w:cs="Times New Roman"/>
                <w:color w:val="auto"/>
                <w:sz w:val="24"/>
                <w:szCs w:val="24"/>
                <w:lang w:val="en-US" w:eastAsia="zh-CN"/>
              </w:rPr>
              <w:t>遂宁</w:t>
            </w:r>
            <w:r>
              <w:rPr>
                <w:rFonts w:hint="default" w:ascii="Times New Roman" w:hAnsi="Times New Roman" w:eastAsia="宋体" w:cs="Times New Roman"/>
                <w:color w:val="auto"/>
                <w:sz w:val="24"/>
                <w:szCs w:val="24"/>
              </w:rPr>
              <w:t>市环境质量状况公报》，</w:t>
            </w:r>
            <w:r>
              <w:rPr>
                <w:rFonts w:hint="eastAsia" w:ascii="Times New Roman" w:hAnsi="Times New Roman" w:cs="Times New Roman"/>
                <w:color w:val="auto"/>
                <w:sz w:val="24"/>
                <w:szCs w:val="24"/>
                <w:lang w:val="en-US" w:eastAsia="zh-CN"/>
              </w:rPr>
              <w:t>蓬溪县为达标区域；同时根据此次评价委托四川甲乙环境检测有限公司对项目所在区域环境空气质量现状的监测数据表明，项目所在区域环境空气质量现状良好</w:t>
            </w:r>
            <w:r>
              <w:rPr>
                <w:rFonts w:hint="default" w:ascii="Times New Roman" w:hAnsi="Times New Roman" w:cs="Times New Roman"/>
                <w:color w:val="auto"/>
                <w:sz w:val="24"/>
                <w:szCs w:val="24"/>
                <w:lang w:eastAsia="zh-CN"/>
              </w:rPr>
              <w:t>。</w:t>
            </w:r>
          </w:p>
          <w:p w14:paraId="7FDCAF74">
            <w:pPr>
              <w:pStyle w:val="52"/>
              <w:snapToGrid w:val="0"/>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（2）地表水环境质量</w:t>
            </w:r>
          </w:p>
          <w:p w14:paraId="05D4A94B">
            <w:pPr>
              <w:pStyle w:val="2"/>
              <w:spacing w:line="360" w:lineRule="auto"/>
              <w:ind w:firstLine="480" w:firstLineChars="200"/>
              <w:rPr>
                <w:rFonts w:hint="default" w:ascii="Times New Roman" w:hAnsi="Times New Roman" w:eastAsia="宋体" w:cs="Times New Roman"/>
                <w:color w:val="C00000"/>
                <w:sz w:val="24"/>
                <w:szCs w:val="24"/>
              </w:rPr>
            </w:pPr>
            <w:r>
              <w:rPr>
                <w:rFonts w:hint="default" w:ascii="Times New Roman" w:hAnsi="Times New Roman"/>
                <w:color w:val="auto"/>
                <w:kern w:val="0"/>
                <w:sz w:val="24"/>
                <w:szCs w:val="24"/>
              </w:rPr>
              <w:t>为掌握项目所在区域地表水环境质量现状情况，本项目</w:t>
            </w:r>
            <w:r>
              <w:rPr>
                <w:rFonts w:hint="eastAsia" w:ascii="Times New Roman" w:hAnsi="Times New Roman"/>
                <w:color w:val="auto"/>
                <w:kern w:val="0"/>
                <w:sz w:val="24"/>
                <w:szCs w:val="24"/>
                <w:lang w:val="en-US" w:eastAsia="zh-CN"/>
              </w:rPr>
              <w:t>引用《遂宁市城镇污水处理设施全市统一打包建设运营PPP项目》（蓬溪县污水处理厂（站）提标改造项目）中</w:t>
            </w:r>
            <w:r>
              <w:rPr>
                <w:rFonts w:hint="default" w:ascii="Times New Roman" w:hAnsi="Times New Roman"/>
                <w:color w:val="auto"/>
                <w:kern w:val="0"/>
                <w:sz w:val="24"/>
                <w:szCs w:val="24"/>
              </w:rPr>
              <w:t>委托四川中环环境检测技术有限公司于2019年</w:t>
            </w:r>
            <w:r>
              <w:rPr>
                <w:rFonts w:ascii="Times New Roman" w:hAnsi="Times New Roman"/>
                <w:color w:val="auto"/>
                <w:kern w:val="0"/>
                <w:sz w:val="24"/>
                <w:szCs w:val="24"/>
              </w:rPr>
              <w:t>10</w:t>
            </w:r>
            <w:r>
              <w:rPr>
                <w:rFonts w:hint="default" w:ascii="Times New Roman" w:hAnsi="Times New Roman"/>
                <w:color w:val="auto"/>
                <w:kern w:val="0"/>
                <w:sz w:val="24"/>
                <w:szCs w:val="24"/>
              </w:rPr>
              <w:t>月</w:t>
            </w:r>
            <w:r>
              <w:rPr>
                <w:rFonts w:ascii="Times New Roman" w:hAnsi="Times New Roman"/>
                <w:color w:val="auto"/>
                <w:kern w:val="0"/>
                <w:sz w:val="24"/>
                <w:szCs w:val="24"/>
              </w:rPr>
              <w:t>23</w:t>
            </w:r>
            <w:r>
              <w:rPr>
                <w:rFonts w:hint="default" w:ascii="Times New Roman" w:hAnsi="Times New Roman"/>
                <w:color w:val="auto"/>
                <w:kern w:val="0"/>
                <w:sz w:val="24"/>
                <w:szCs w:val="24"/>
              </w:rPr>
              <w:t>日-</w:t>
            </w:r>
            <w:r>
              <w:rPr>
                <w:rFonts w:ascii="Times New Roman" w:hAnsi="Times New Roman"/>
                <w:color w:val="auto"/>
                <w:kern w:val="0"/>
                <w:sz w:val="24"/>
                <w:szCs w:val="24"/>
              </w:rPr>
              <w:t>10</w:t>
            </w:r>
            <w:r>
              <w:rPr>
                <w:rFonts w:hint="default" w:ascii="Times New Roman" w:hAnsi="Times New Roman"/>
                <w:color w:val="auto"/>
                <w:kern w:val="0"/>
                <w:sz w:val="24"/>
                <w:szCs w:val="24"/>
              </w:rPr>
              <w:t>月</w:t>
            </w:r>
            <w:r>
              <w:rPr>
                <w:rFonts w:ascii="Times New Roman" w:hAnsi="Times New Roman"/>
                <w:color w:val="auto"/>
                <w:kern w:val="0"/>
                <w:sz w:val="24"/>
                <w:szCs w:val="24"/>
              </w:rPr>
              <w:t>25</w:t>
            </w:r>
            <w:r>
              <w:rPr>
                <w:rFonts w:hint="default" w:ascii="Times New Roman" w:hAnsi="Times New Roman"/>
                <w:color w:val="auto"/>
                <w:kern w:val="0"/>
                <w:sz w:val="24"/>
                <w:szCs w:val="24"/>
              </w:rPr>
              <w:t>日对</w:t>
            </w:r>
            <w:r>
              <w:rPr>
                <w:rFonts w:hint="eastAsia" w:ascii="Times New Roman" w:hAnsi="Times New Roman"/>
                <w:color w:val="auto"/>
                <w:kern w:val="0"/>
                <w:sz w:val="24"/>
                <w:szCs w:val="24"/>
                <w:lang w:val="en-US" w:eastAsia="zh-CN"/>
              </w:rPr>
              <w:t>该</w:t>
            </w:r>
            <w:r>
              <w:rPr>
                <w:rFonts w:hint="default" w:ascii="Times New Roman" w:hAnsi="Times New Roman"/>
                <w:color w:val="auto"/>
                <w:kern w:val="0"/>
                <w:sz w:val="24"/>
                <w:szCs w:val="24"/>
              </w:rPr>
              <w:t>项目所含</w:t>
            </w:r>
            <w:r>
              <w:rPr>
                <w:rFonts w:hint="eastAsia" w:ascii="Times New Roman" w:hAnsi="Times New Roman"/>
                <w:color w:val="auto"/>
                <w:kern w:val="0"/>
                <w:sz w:val="24"/>
                <w:szCs w:val="24"/>
                <w:lang w:val="en-US" w:eastAsia="zh-CN"/>
              </w:rPr>
              <w:t>蓬南镇</w:t>
            </w:r>
            <w:r>
              <w:rPr>
                <w:rFonts w:hint="default" w:ascii="Times New Roman" w:hAnsi="Times New Roman"/>
                <w:color w:val="auto"/>
                <w:kern w:val="0"/>
                <w:sz w:val="24"/>
                <w:szCs w:val="24"/>
              </w:rPr>
              <w:t>污水处理厂所处地表水均监测断面水环境质量现状</w:t>
            </w:r>
            <w:r>
              <w:rPr>
                <w:rFonts w:hint="eastAsia" w:ascii="Times New Roman" w:hAnsi="Times New Roman"/>
                <w:color w:val="auto"/>
                <w:kern w:val="0"/>
                <w:sz w:val="24"/>
                <w:szCs w:val="24"/>
                <w:lang w:val="en-US" w:eastAsia="zh-CN"/>
              </w:rPr>
              <w:t>监测数据，</w:t>
            </w:r>
            <w:r>
              <w:rPr>
                <w:rFonts w:hint="default" w:ascii="Times New Roman" w:hAnsi="Times New Roman"/>
                <w:color w:val="auto"/>
                <w:sz w:val="24"/>
                <w:szCs w:val="24"/>
              </w:rPr>
              <w:t>从评价结果可知，本项目</w:t>
            </w:r>
            <w:r>
              <w:rPr>
                <w:rFonts w:ascii="Times New Roman" w:hAnsi="Times New Roman"/>
                <w:color w:val="auto"/>
                <w:sz w:val="24"/>
                <w:szCs w:val="24"/>
              </w:rPr>
              <w:t>蓬南镇污水处理厂</w:t>
            </w:r>
            <w:r>
              <w:rPr>
                <w:rFonts w:hint="eastAsia" w:ascii="Times New Roman" w:hAnsi="Times New Roman"/>
                <w:color w:val="auto"/>
                <w:sz w:val="24"/>
                <w:szCs w:val="24"/>
                <w:lang w:eastAsia="zh-CN"/>
              </w:rPr>
              <w:t>华兴河</w:t>
            </w:r>
            <w:r>
              <w:rPr>
                <w:rFonts w:hint="default" w:ascii="Times New Roman" w:hAnsi="Times New Roman"/>
                <w:color w:val="auto"/>
                <w:sz w:val="24"/>
                <w:szCs w:val="24"/>
              </w:rPr>
              <w:t>监测断面化学需氧量超出《地表水环境质量标准》（GB3838-2002）Ⅲ类水域标准。故项目所在区域评价河段水质污染因子不能满足《地表水环境质量标准》（GB3838-2002）Ⅲ类水域标准要求。超标原因分析：</w:t>
            </w:r>
            <w:r>
              <w:rPr>
                <w:rFonts w:hint="eastAsia" w:ascii="Times New Roman" w:hAnsi="Times New Roman"/>
                <w:color w:val="auto"/>
                <w:sz w:val="24"/>
                <w:szCs w:val="24"/>
                <w:lang w:val="en-US" w:eastAsia="zh-CN"/>
              </w:rPr>
              <w:t>由于蓬南场镇截污管网已建设完成，但配套污水收集管网部分还未竣工，故</w:t>
            </w:r>
            <w:r>
              <w:rPr>
                <w:rFonts w:hint="default" w:ascii="Times New Roman" w:hAnsi="Times New Roman"/>
                <w:color w:val="auto"/>
                <w:sz w:val="24"/>
                <w:szCs w:val="24"/>
              </w:rPr>
              <w:t>评价河段有大量农村散户生活污水未经处理直接排入河道，在</w:t>
            </w:r>
            <w:r>
              <w:rPr>
                <w:rFonts w:hint="eastAsia" w:ascii="Times New Roman" w:hAnsi="Times New Roman"/>
                <w:color w:val="auto"/>
                <w:sz w:val="24"/>
                <w:szCs w:val="24"/>
                <w:lang w:val="en-US" w:eastAsia="zh-CN"/>
              </w:rPr>
              <w:t>蓬南镇</w:t>
            </w:r>
            <w:r>
              <w:rPr>
                <w:rFonts w:hint="default" w:ascii="Times New Roman" w:hAnsi="Times New Roman"/>
                <w:color w:val="auto"/>
                <w:sz w:val="24"/>
                <w:szCs w:val="24"/>
              </w:rPr>
              <w:t>污水处理厂提标改造完成后及后续周边管网建设完善后，河道水质将会得到很大改善</w:t>
            </w:r>
            <w:r>
              <w:rPr>
                <w:rFonts w:hint="eastAsia"/>
                <w:color w:val="auto"/>
                <w:sz w:val="24"/>
                <w:szCs w:val="24"/>
                <w:lang w:eastAsia="zh-CN"/>
              </w:rPr>
              <w:t>。</w:t>
            </w:r>
            <w:r>
              <w:rPr>
                <w:rFonts w:hint="eastAsia"/>
                <w:color w:val="auto"/>
                <w:sz w:val="24"/>
                <w:szCs w:val="24"/>
                <w:lang w:val="en-US" w:eastAsia="zh-CN"/>
              </w:rPr>
              <w:t>此外本项目废水均不外排，因此，</w:t>
            </w:r>
            <w:r>
              <w:rPr>
                <w:rFonts w:hint="default" w:ascii="Times New Roman" w:hAnsi="Times New Roman" w:cs="Times New Roman"/>
                <w:color w:val="auto"/>
                <w:sz w:val="24"/>
                <w:szCs w:val="24"/>
              </w:rPr>
              <w:t>本项目污水对周围地表水环境</w:t>
            </w:r>
            <w:r>
              <w:rPr>
                <w:rFonts w:hint="eastAsia"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影响</w:t>
            </w:r>
            <w:r>
              <w:rPr>
                <w:rFonts w:hint="eastAsia" w:ascii="Times New Roman" w:cs="Times New Roman"/>
                <w:color w:val="auto"/>
                <w:sz w:val="24"/>
                <w:szCs w:val="24"/>
                <w:lang w:val="en-US" w:eastAsia="zh-CN"/>
              </w:rPr>
              <w:t>。</w:t>
            </w:r>
          </w:p>
          <w:p w14:paraId="7DD326CB">
            <w:pPr>
              <w:pStyle w:val="52"/>
              <w:snapToGrid w:val="0"/>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（3）声环境质量</w:t>
            </w:r>
          </w:p>
          <w:p w14:paraId="038B3307">
            <w:pPr>
              <w:numPr>
                <w:ilvl w:val="0"/>
                <w:numId w:val="0"/>
              </w:numPr>
              <w:adjustRightInd w:val="0"/>
              <w:snapToGrid w:val="0"/>
              <w:spacing w:line="360" w:lineRule="auto"/>
              <w:ind w:firstLine="480" w:firstLineChars="200"/>
              <w:rPr>
                <w:rFonts w:hint="default" w:ascii="Times New Roman" w:hAnsi="Times New Roman" w:eastAsia="宋体" w:cs="Times New Roman"/>
                <w:color w:val="C00000"/>
                <w:sz w:val="24"/>
                <w:szCs w:val="24"/>
              </w:rPr>
            </w:pPr>
            <w:r>
              <w:rPr>
                <w:rFonts w:hint="default" w:ascii="Times New Roman" w:hAnsi="Times New Roman" w:eastAsia="宋体" w:cs="Times New Roman"/>
                <w:b w:val="0"/>
                <w:bCs w:val="0"/>
                <w:color w:val="auto"/>
                <w:sz w:val="24"/>
                <w:lang w:val="zh-CN"/>
              </w:rPr>
              <w:t>为了解本项目区域声环境质量现状，</w:t>
            </w:r>
            <w:r>
              <w:rPr>
                <w:rFonts w:hint="default" w:ascii="Times New Roman" w:hAnsi="Times New Roman" w:cs="Times New Roman"/>
                <w:b w:val="0"/>
                <w:bCs w:val="0"/>
                <w:color w:val="auto"/>
                <w:sz w:val="24"/>
                <w:szCs w:val="24"/>
                <w:lang w:eastAsia="zh-CN"/>
              </w:rPr>
              <w:t>四川甲乙环境检测有限公司</w:t>
            </w:r>
            <w:r>
              <w:rPr>
                <w:rFonts w:hint="default" w:ascii="Times New Roman" w:hAnsi="Times New Roman" w:eastAsia="宋体" w:cs="Times New Roman"/>
                <w:b w:val="0"/>
                <w:bCs w:val="0"/>
                <w:color w:val="auto"/>
                <w:sz w:val="24"/>
                <w:szCs w:val="24"/>
              </w:rPr>
              <w:t>于</w:t>
            </w:r>
            <w:r>
              <w:rPr>
                <w:rFonts w:hint="eastAsia"/>
                <w:color w:val="auto"/>
                <w:sz w:val="24"/>
                <w:szCs w:val="24"/>
              </w:rPr>
              <w:t>20</w:t>
            </w:r>
            <w:r>
              <w:rPr>
                <w:rFonts w:hint="eastAsia"/>
                <w:color w:val="auto"/>
                <w:sz w:val="24"/>
                <w:szCs w:val="24"/>
                <w:lang w:val="en-US" w:eastAsia="zh-CN"/>
              </w:rPr>
              <w:t>21</w:t>
            </w:r>
            <w:r>
              <w:rPr>
                <w:rFonts w:hint="eastAsia"/>
                <w:color w:val="auto"/>
                <w:sz w:val="24"/>
                <w:szCs w:val="24"/>
              </w:rPr>
              <w:t>年</w:t>
            </w:r>
            <w:r>
              <w:rPr>
                <w:rFonts w:hint="eastAsia"/>
                <w:color w:val="auto"/>
                <w:sz w:val="24"/>
                <w:szCs w:val="24"/>
                <w:lang w:val="en-US" w:eastAsia="zh-CN"/>
              </w:rPr>
              <w:t>1</w:t>
            </w:r>
            <w:r>
              <w:rPr>
                <w:rFonts w:hint="eastAsia"/>
                <w:color w:val="auto"/>
                <w:sz w:val="24"/>
                <w:szCs w:val="24"/>
              </w:rPr>
              <w:t>月</w:t>
            </w:r>
            <w:r>
              <w:rPr>
                <w:rFonts w:hint="eastAsia"/>
                <w:color w:val="auto"/>
                <w:sz w:val="24"/>
                <w:szCs w:val="24"/>
                <w:lang w:val="en-US" w:eastAsia="zh-CN"/>
              </w:rPr>
              <w:t>6</w:t>
            </w:r>
            <w:r>
              <w:rPr>
                <w:rFonts w:hint="eastAsia"/>
                <w:color w:val="auto"/>
                <w:sz w:val="24"/>
                <w:szCs w:val="24"/>
              </w:rPr>
              <w:t>日~</w:t>
            </w:r>
            <w:r>
              <w:rPr>
                <w:rFonts w:hint="eastAsia"/>
                <w:color w:val="auto"/>
                <w:sz w:val="24"/>
                <w:szCs w:val="24"/>
                <w:lang w:val="en-US" w:eastAsia="zh-CN"/>
              </w:rPr>
              <w:t>1</w:t>
            </w:r>
            <w:r>
              <w:rPr>
                <w:rFonts w:hint="eastAsia"/>
                <w:color w:val="auto"/>
                <w:sz w:val="24"/>
                <w:szCs w:val="24"/>
              </w:rPr>
              <w:t>月</w:t>
            </w:r>
            <w:r>
              <w:rPr>
                <w:rFonts w:hint="eastAsia"/>
                <w:color w:val="auto"/>
                <w:sz w:val="24"/>
                <w:szCs w:val="24"/>
                <w:lang w:val="en-US" w:eastAsia="zh-CN"/>
              </w:rPr>
              <w:t>12</w:t>
            </w:r>
            <w:r>
              <w:rPr>
                <w:rFonts w:hint="eastAsia"/>
                <w:color w:val="auto"/>
                <w:sz w:val="24"/>
                <w:szCs w:val="24"/>
              </w:rPr>
              <w:t>日</w:t>
            </w:r>
            <w:r>
              <w:rPr>
                <w:rFonts w:hint="default" w:ascii="Times New Roman" w:hAnsi="Times New Roman" w:eastAsia="宋体" w:cs="Times New Roman"/>
                <w:b w:val="0"/>
                <w:bCs w:val="0"/>
                <w:color w:val="auto"/>
                <w:sz w:val="24"/>
                <w:szCs w:val="24"/>
              </w:rPr>
              <w:t>对项目所在地</w:t>
            </w:r>
            <w:r>
              <w:rPr>
                <w:rFonts w:hint="default" w:ascii="Times New Roman" w:hAnsi="Times New Roman" w:eastAsia="宋体" w:cs="Times New Roman"/>
                <w:b w:val="0"/>
                <w:bCs w:val="0"/>
                <w:color w:val="auto"/>
                <w:sz w:val="24"/>
                <w:lang w:val="zh-CN"/>
              </w:rPr>
              <w:t>厂界噪声进行了监测</w:t>
            </w:r>
            <w:r>
              <w:rPr>
                <w:rFonts w:hint="default" w:ascii="Times New Roman" w:hAnsi="Times New Roman" w:cs="Times New Roman"/>
                <w:b w:val="0"/>
                <w:bCs w:val="0"/>
                <w:color w:val="auto"/>
                <w:sz w:val="24"/>
                <w:lang w:val="zh-CN"/>
              </w:rPr>
              <w:t>，</w:t>
            </w:r>
            <w:r>
              <w:rPr>
                <w:rFonts w:hint="default" w:ascii="Times New Roman" w:hAnsi="Times New Roman" w:eastAsia="宋体" w:cs="Times New Roman"/>
                <w:color w:val="auto"/>
                <w:sz w:val="24"/>
                <w:szCs w:val="24"/>
              </w:rPr>
              <w:t>由噪声监测及评价结果可知，</w:t>
            </w:r>
            <w:r>
              <w:rPr>
                <w:rFonts w:hint="default" w:ascii="Times New Roman" w:hAnsi="Times New Roman" w:cs="Times New Roman"/>
                <w:color w:val="auto"/>
                <w:sz w:val="24"/>
                <w:szCs w:val="24"/>
                <w:lang w:val="en-US" w:eastAsia="zh-CN"/>
              </w:rPr>
              <w:t>敏感点处</w:t>
            </w:r>
            <w:r>
              <w:rPr>
                <w:rFonts w:hint="default" w:ascii="Times New Roman" w:hAnsi="Times New Roman" w:eastAsia="宋体" w:cs="Times New Roman"/>
                <w:color w:val="auto"/>
                <w:sz w:val="24"/>
                <w:szCs w:val="24"/>
              </w:rPr>
              <w:t>声环境满足《声环境质量标准》（GB 3096-2008）中2类标准，厂界声环境满足《声环境质量标准》（GB 3096-2008）中</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类标准，项目所在地区域声环境质量较好。</w:t>
            </w:r>
          </w:p>
          <w:p w14:paraId="3D1D5715">
            <w:pPr>
              <w:numPr>
                <w:ilvl w:val="0"/>
                <w:numId w:val="0"/>
              </w:numPr>
              <w:adjustRightInd w:val="0"/>
              <w:snapToGrid w:val="0"/>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4</w:t>
            </w:r>
            <w:r>
              <w:rPr>
                <w:rFonts w:hint="eastAsia" w:ascii="Times New Roman" w:hAnsi="Times New Roman" w:cs="Times New Roman"/>
                <w:b w:val="0"/>
                <w:bCs w:val="0"/>
                <w:color w:val="auto"/>
                <w:sz w:val="24"/>
                <w:szCs w:val="24"/>
                <w:lang w:val="en-US" w:eastAsia="zh-CN"/>
              </w:rPr>
              <w:t>）土壤环境质量现状监测及评价</w:t>
            </w:r>
          </w:p>
          <w:p w14:paraId="6CEC51CD">
            <w:pPr>
              <w:numPr>
                <w:ilvl w:val="0"/>
                <w:numId w:val="0"/>
              </w:numPr>
              <w:adjustRightInd w:val="0"/>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依据《环境影响评价技术导则 土壤环境（试行）》（HJ 964-2018）本项目应在</w:t>
            </w:r>
            <w:r>
              <w:rPr>
                <w:color w:val="auto"/>
                <w:spacing w:val="-4"/>
                <w:sz w:val="24"/>
              </w:rPr>
              <w:t xml:space="preserve">占地范围内取 </w:t>
            </w:r>
            <w:r>
              <w:rPr>
                <w:rFonts w:ascii="Times New Roman" w:eastAsia="Times New Roman"/>
                <w:color w:val="auto"/>
                <w:sz w:val="24"/>
              </w:rPr>
              <w:t xml:space="preserve">3 </w:t>
            </w:r>
            <w:r>
              <w:rPr>
                <w:color w:val="auto"/>
                <w:spacing w:val="-1"/>
                <w:sz w:val="24"/>
              </w:rPr>
              <w:t>个表层样点</w:t>
            </w:r>
            <w:r>
              <w:rPr>
                <w:rFonts w:hint="eastAsia"/>
                <w:color w:val="auto"/>
                <w:spacing w:val="-1"/>
                <w:sz w:val="24"/>
                <w:lang w:eastAsia="zh-CN"/>
              </w:rPr>
              <w:t>，</w:t>
            </w:r>
            <w:r>
              <w:rPr>
                <w:color w:val="auto"/>
                <w:spacing w:val="-1"/>
                <w:sz w:val="24"/>
              </w:rPr>
              <w:t>在实际采样过程中，因</w:t>
            </w:r>
            <w:r>
              <w:rPr>
                <w:b/>
                <w:bCs/>
                <w:color w:val="auto"/>
                <w:spacing w:val="-1"/>
                <w:sz w:val="24"/>
              </w:rPr>
              <w:t>本项目厂房及厂区四周已全部进行场地硬化，不宜进行破土取样</w:t>
            </w:r>
            <w:r>
              <w:rPr>
                <w:rFonts w:hint="eastAsia"/>
                <w:color w:val="auto"/>
                <w:spacing w:val="-1"/>
                <w:sz w:val="24"/>
                <w:lang w:eastAsia="zh-CN"/>
              </w:rPr>
              <w:t>。</w:t>
            </w:r>
            <w:r>
              <w:rPr>
                <w:rFonts w:hint="eastAsia"/>
                <w:color w:val="auto"/>
                <w:spacing w:val="-1"/>
                <w:sz w:val="24"/>
                <w:lang w:val="en-US" w:eastAsia="zh-CN"/>
              </w:rPr>
              <w:t>根据生态环境部部长信箱中“</w:t>
            </w:r>
            <w:r>
              <w:rPr>
                <w:rFonts w:hint="eastAsia" w:hAnsi="Times New Roman"/>
                <w:color w:val="auto"/>
                <w:spacing w:val="-1"/>
                <w:sz w:val="24"/>
                <w:lang w:val="en-US" w:eastAsia="zh-CN"/>
              </w:rPr>
              <w:t>关于土壤现状监测点位如何选择的回复”，回复内容为：</w:t>
            </w:r>
            <w:r>
              <w:rPr>
                <w:rFonts w:hint="eastAsia" w:hAnsi="Times New Roman"/>
                <w:b/>
                <w:bCs/>
                <w:color w:val="auto"/>
                <w:spacing w:val="-1"/>
                <w:sz w:val="24"/>
                <w:lang w:val="en-US" w:eastAsia="zh-CN"/>
              </w:rPr>
              <w:t>“</w:t>
            </w:r>
            <w:r>
              <w:rPr>
                <w:rFonts w:ascii="Helvetica" w:hAnsi="Helvetica" w:eastAsia="Helvetica" w:cs="Helvetica"/>
                <w:b/>
                <w:bCs/>
                <w:i w:val="0"/>
                <w:caps w:val="0"/>
                <w:color w:val="auto"/>
                <w:spacing w:val="0"/>
                <w:sz w:val="24"/>
                <w:szCs w:val="24"/>
                <w:shd w:val="clear" w:fill="FAFAFA"/>
              </w:rPr>
              <w:t>根据建设项目实际情况，如果项目场地已经做了防腐防渗（包括硬化）处理无法取样，可不取样监测，但需要详细说明无法取样原因</w:t>
            </w:r>
            <w:r>
              <w:rPr>
                <w:rFonts w:hint="eastAsia" w:ascii="Helvetica" w:hAnsi="Helvetica" w:eastAsia="宋体" w:cs="Helvetica"/>
                <w:b/>
                <w:bCs/>
                <w:i w:val="0"/>
                <w:caps w:val="0"/>
                <w:color w:val="auto"/>
                <w:spacing w:val="0"/>
                <w:sz w:val="24"/>
                <w:szCs w:val="24"/>
                <w:shd w:val="clear" w:fill="FAFAFA"/>
                <w:lang w:eastAsia="zh-CN"/>
              </w:rPr>
              <w:t>”</w:t>
            </w:r>
            <w:r>
              <w:rPr>
                <w:rFonts w:ascii="Helvetica" w:hAnsi="Helvetica" w:eastAsia="Helvetica" w:cs="Helvetica"/>
                <w:i w:val="0"/>
                <w:caps w:val="0"/>
                <w:color w:val="auto"/>
                <w:spacing w:val="0"/>
                <w:sz w:val="24"/>
                <w:szCs w:val="24"/>
                <w:shd w:val="clear" w:fill="FAFAFA"/>
              </w:rPr>
              <w:t>。</w:t>
            </w:r>
            <w:r>
              <w:rPr>
                <w:color w:val="auto"/>
                <w:spacing w:val="-1"/>
                <w:sz w:val="24"/>
              </w:rPr>
              <w:t>因此本项目</w:t>
            </w:r>
            <w:r>
              <w:rPr>
                <w:rFonts w:hint="eastAsia"/>
                <w:color w:val="auto"/>
                <w:spacing w:val="-1"/>
                <w:sz w:val="24"/>
                <w:lang w:val="en-US" w:eastAsia="zh-CN"/>
              </w:rPr>
              <w:t>未对项目占地范围内</w:t>
            </w:r>
            <w:r>
              <w:rPr>
                <w:color w:val="auto"/>
                <w:sz w:val="24"/>
              </w:rPr>
              <w:t>表层土监测点进行采样</w:t>
            </w:r>
            <w:r>
              <w:rPr>
                <w:rFonts w:hint="eastAsia" w:ascii="Times New Roman" w:hAnsi="Times New Roman" w:cs="Times New Roman"/>
                <w:color w:val="auto"/>
                <w:sz w:val="24"/>
                <w:szCs w:val="24"/>
                <w:lang w:val="en-US" w:eastAsia="zh-CN"/>
              </w:rPr>
              <w:t>。</w:t>
            </w:r>
          </w:p>
          <w:p w14:paraId="3E5B3A3B">
            <w:pPr>
              <w:numPr>
                <w:ilvl w:val="0"/>
                <w:numId w:val="0"/>
              </w:numPr>
              <w:adjustRightInd w:val="0"/>
              <w:snapToGrid w:val="0"/>
              <w:spacing w:line="360" w:lineRule="auto"/>
              <w:ind w:firstLine="482" w:firstLineChars="200"/>
              <w:rPr>
                <w:rFonts w:hint="default" w:ascii="Times New Roman" w:hAnsi="Times New Roman" w:eastAsia="宋体" w:cs="Times New Roman"/>
                <w:color w:val="C00000"/>
                <w:sz w:val="24"/>
                <w:szCs w:val="24"/>
              </w:rPr>
            </w:pPr>
            <w:r>
              <w:rPr>
                <w:rFonts w:hint="default" w:ascii="Times New Roman" w:hAnsi="Times New Roman" w:eastAsia="宋体" w:cs="Times New Roman"/>
                <w:b/>
                <w:bCs/>
                <w:color w:val="auto"/>
                <w:sz w:val="24"/>
                <w:szCs w:val="24"/>
              </w:rPr>
              <w:t>5、</w:t>
            </w:r>
            <w:r>
              <w:rPr>
                <w:rFonts w:hint="eastAsia" w:hAnsi="宋体"/>
                <w:b/>
                <w:color w:val="auto"/>
                <w:sz w:val="24"/>
              </w:rPr>
              <w:t>环境影响分析</w:t>
            </w:r>
          </w:p>
          <w:p w14:paraId="59E9A7A9">
            <w:pPr>
              <w:spacing w:line="360" w:lineRule="auto"/>
              <w:ind w:firstLine="480" w:firstLineChars="200"/>
              <w:rPr>
                <w:rFonts w:hAnsi="宋体"/>
                <w:bCs/>
                <w:color w:val="auto"/>
                <w:sz w:val="24"/>
              </w:rPr>
            </w:pPr>
            <w:r>
              <w:rPr>
                <w:rFonts w:hint="eastAsia" w:hAnsi="宋体"/>
                <w:bCs/>
                <w:color w:val="auto"/>
                <w:sz w:val="24"/>
              </w:rPr>
              <w:t>1、大气环境影响分析结论</w:t>
            </w:r>
          </w:p>
          <w:p w14:paraId="2ED1F0D5">
            <w:pPr>
              <w:spacing w:line="360" w:lineRule="auto"/>
              <w:ind w:firstLine="480" w:firstLineChars="200"/>
              <w:rPr>
                <w:color w:val="auto"/>
                <w:sz w:val="24"/>
              </w:rPr>
            </w:pPr>
            <w:r>
              <w:rPr>
                <w:color w:val="auto"/>
                <w:sz w:val="24"/>
              </w:rPr>
              <w:t>本项目通过对废气采取相应的治理措施后，均可做到达标排放。根据评价等级判断，本项目最大占标率为</w:t>
            </w:r>
            <w:r>
              <w:rPr>
                <w:rFonts w:hint="eastAsia"/>
                <w:color w:val="auto"/>
                <w:sz w:val="24"/>
              </w:rPr>
              <w:t>TSP</w:t>
            </w:r>
            <w:r>
              <w:rPr>
                <w:color w:val="auto"/>
                <w:sz w:val="24"/>
              </w:rPr>
              <w:t xml:space="preserve"> </w:t>
            </w:r>
            <w:r>
              <w:rPr>
                <w:rFonts w:hint="eastAsia"/>
                <w:color w:val="auto"/>
                <w:sz w:val="24"/>
                <w:lang w:val="en-US" w:eastAsia="zh-CN"/>
              </w:rPr>
              <w:t>2.09</w:t>
            </w:r>
            <w:r>
              <w:rPr>
                <w:color w:val="auto"/>
                <w:sz w:val="24"/>
              </w:rPr>
              <w:t>%（＜</w:t>
            </w:r>
            <w:r>
              <w:rPr>
                <w:rFonts w:hint="eastAsia"/>
                <w:color w:val="auto"/>
                <w:sz w:val="24"/>
                <w:lang w:val="en-US" w:eastAsia="zh-CN"/>
              </w:rPr>
              <w:t>10</w:t>
            </w:r>
            <w:r>
              <w:rPr>
                <w:color w:val="auto"/>
                <w:sz w:val="24"/>
              </w:rPr>
              <w:t>%），项目大气环境影响评价等级为</w:t>
            </w:r>
            <w:r>
              <w:rPr>
                <w:rFonts w:hint="eastAsia"/>
                <w:color w:val="auto"/>
                <w:sz w:val="24"/>
                <w:lang w:val="en-US" w:eastAsia="zh-CN"/>
              </w:rPr>
              <w:t>二级</w:t>
            </w:r>
            <w:r>
              <w:rPr>
                <w:color w:val="auto"/>
                <w:sz w:val="24"/>
              </w:rPr>
              <w:t>级评价。项目不需要设置大气环境防护距离。</w:t>
            </w:r>
            <w:r>
              <w:rPr>
                <w:rFonts w:hint="eastAsia" w:ascii="宋体" w:hAnsi="宋体" w:eastAsia="宋体" w:cs="宋体"/>
                <w:sz w:val="24"/>
              </w:rPr>
              <w:t>本项目以</w:t>
            </w:r>
            <w:r>
              <w:rPr>
                <w:rFonts w:hint="eastAsia" w:ascii="宋体" w:hAnsi="宋体" w:cs="宋体"/>
                <w:sz w:val="24"/>
                <w:lang w:val="en-US" w:eastAsia="zh-CN"/>
              </w:rPr>
              <w:t>骨料库房</w:t>
            </w:r>
            <w:r>
              <w:rPr>
                <w:rFonts w:hint="eastAsia" w:ascii="宋体" w:hAnsi="宋体" w:eastAsia="宋体" w:cs="宋体"/>
                <w:sz w:val="24"/>
                <w:lang w:val="en-US" w:eastAsia="zh-CN"/>
              </w:rPr>
              <w:t>和</w:t>
            </w:r>
            <w:r>
              <w:rPr>
                <w:rFonts w:hint="eastAsia" w:ascii="宋体" w:hAnsi="宋体" w:cs="宋体"/>
                <w:sz w:val="24"/>
                <w:lang w:val="en-US" w:eastAsia="zh-CN"/>
              </w:rPr>
              <w:t>生产车间</w:t>
            </w:r>
            <w:r>
              <w:rPr>
                <w:rFonts w:hint="eastAsia" w:ascii="宋体" w:hAnsi="宋体" w:eastAsia="宋体" w:cs="宋体"/>
                <w:sz w:val="24"/>
                <w:lang w:val="en-US" w:eastAsia="zh-CN"/>
              </w:rPr>
              <w:t>为</w:t>
            </w:r>
            <w:r>
              <w:rPr>
                <w:rFonts w:hint="eastAsia" w:ascii="宋体" w:hAnsi="宋体" w:eastAsia="宋体" w:cs="宋体"/>
                <w:sz w:val="24"/>
              </w:rPr>
              <w:t xml:space="preserve">边界设定 </w:t>
            </w:r>
            <w:r>
              <w:rPr>
                <w:rFonts w:hint="eastAsia" w:ascii="宋体" w:hAnsi="宋体" w:eastAsia="宋体" w:cs="宋体"/>
                <w:sz w:val="24"/>
                <w:lang w:val="en-US" w:eastAsia="zh-CN"/>
              </w:rPr>
              <w:t>50</w:t>
            </w:r>
            <w:r>
              <w:rPr>
                <w:rFonts w:hint="eastAsia" w:ascii="宋体" w:hAnsi="宋体" w:eastAsia="宋体" w:cs="宋体"/>
                <w:sz w:val="24"/>
              </w:rPr>
              <w:t>m 卫生防护距离。经过现场踏勘，本项目划定的卫生防护距离范围包络线内，</w:t>
            </w:r>
            <w:r>
              <w:rPr>
                <w:rFonts w:hint="eastAsia" w:ascii="宋体" w:hAnsi="宋体" w:cs="宋体"/>
                <w:sz w:val="24"/>
                <w:lang w:val="en-US" w:eastAsia="zh-CN"/>
              </w:rPr>
              <w:t>东侧和北侧为农田</w:t>
            </w:r>
            <w:r>
              <w:rPr>
                <w:rFonts w:hint="eastAsia" w:ascii="宋体" w:hAnsi="宋体" w:cs="宋体"/>
                <w:sz w:val="24"/>
                <w:lang w:eastAsia="zh-CN"/>
              </w:rPr>
              <w:t>，</w:t>
            </w:r>
            <w:r>
              <w:rPr>
                <w:rFonts w:hint="eastAsia" w:ascii="宋体" w:hAnsi="宋体" w:cs="宋体"/>
                <w:sz w:val="24"/>
                <w:lang w:val="en-US" w:eastAsia="zh-CN"/>
              </w:rPr>
              <w:t>西侧为废养殖场，南侧有2户居民，西南侧有1户居民，目前建设单位已与这 3 户居民签订了房屋租用协议（见附件），作为临时库房使用。因此，建设单位与卫生防护距离内3户居民签订合同后，</w:t>
            </w:r>
            <w:r>
              <w:rPr>
                <w:rFonts w:hint="eastAsia" w:ascii="宋体" w:hAnsi="宋体" w:eastAsia="宋体" w:cs="宋体"/>
                <w:sz w:val="24"/>
              </w:rPr>
              <w:t>本项目卫生防护距离包络线范围内</w:t>
            </w:r>
            <w:r>
              <w:rPr>
                <w:rFonts w:hint="eastAsia" w:ascii="宋体" w:hAnsi="宋体" w:cs="宋体"/>
                <w:sz w:val="24"/>
                <w:lang w:val="en-US" w:eastAsia="zh-CN"/>
              </w:rPr>
              <w:t>无</w:t>
            </w:r>
            <w:r>
              <w:rPr>
                <w:rFonts w:hint="eastAsia" w:ascii="宋体" w:hAnsi="宋体" w:eastAsia="宋体" w:cs="宋体"/>
                <w:sz w:val="24"/>
              </w:rPr>
              <w:t>敏感保护目标。</w:t>
            </w:r>
            <w:r>
              <w:rPr>
                <w:color w:val="auto"/>
                <w:sz w:val="24"/>
              </w:rPr>
              <w:t xml:space="preserve">环评要求：卫生防护距离范围内不得建设居民集中居住区、医院、学校等环境敏感点，也不得引入对环境较为敏感的食品、医药、乳制品等企业。 </w:t>
            </w:r>
          </w:p>
          <w:p w14:paraId="30E06FB0">
            <w:pPr>
              <w:spacing w:line="360" w:lineRule="auto"/>
              <w:ind w:firstLine="480" w:firstLineChars="200"/>
              <w:rPr>
                <w:rFonts w:hAnsi="宋体"/>
                <w:bCs/>
                <w:color w:val="auto"/>
                <w:sz w:val="24"/>
              </w:rPr>
            </w:pPr>
            <w:r>
              <w:rPr>
                <w:rFonts w:hint="eastAsia" w:hAnsi="宋体"/>
                <w:bCs/>
                <w:color w:val="auto"/>
                <w:sz w:val="24"/>
              </w:rPr>
              <w:t>2、水环境影响分析结论</w:t>
            </w:r>
          </w:p>
          <w:p w14:paraId="664A1688">
            <w:pPr>
              <w:spacing w:line="360" w:lineRule="auto"/>
              <w:ind w:firstLine="480" w:firstLineChars="200"/>
              <w:rPr>
                <w:rFonts w:hint="default" w:ascii="宋体" w:hAnsi="宋体" w:eastAsia="宋体" w:cs="宋体"/>
                <w:sz w:val="24"/>
              </w:rPr>
            </w:pPr>
            <w:r>
              <w:rPr>
                <w:rFonts w:hint="default" w:ascii="宋体" w:hAnsi="宋体" w:eastAsia="宋体" w:cs="宋体"/>
                <w:sz w:val="24"/>
              </w:rPr>
              <w:t>项目</w:t>
            </w:r>
            <w:r>
              <w:rPr>
                <w:rFonts w:hint="default" w:ascii="宋体" w:hAnsi="宋体" w:eastAsia="宋体" w:cs="宋体"/>
                <w:sz w:val="24"/>
                <w:lang w:val="en-US" w:eastAsia="zh-CN"/>
              </w:rPr>
              <w:t>搅拌作业区地面冲洗废水、搅拌机清洗废水、车辆轮胎和车身冲洗废水</w:t>
            </w:r>
            <w:r>
              <w:rPr>
                <w:rFonts w:hint="default" w:ascii="宋体" w:hAnsi="宋体" w:eastAsia="宋体" w:cs="宋体"/>
                <w:sz w:val="24"/>
              </w:rPr>
              <w:t>经处理后回用于生产，不外排；生活废水进入厂区</w:t>
            </w:r>
            <w:r>
              <w:rPr>
                <w:rFonts w:hint="default" w:ascii="宋体" w:hAnsi="宋体" w:eastAsia="宋体" w:cs="宋体"/>
                <w:sz w:val="24"/>
                <w:lang w:val="en-US" w:eastAsia="zh-CN"/>
              </w:rPr>
              <w:t>已建化粪池</w:t>
            </w:r>
            <w:r>
              <w:rPr>
                <w:rFonts w:hint="default" w:ascii="宋体" w:hAnsi="宋体" w:eastAsia="宋体" w:cs="宋体"/>
                <w:sz w:val="24"/>
              </w:rPr>
              <w:t>处理后</w:t>
            </w:r>
            <w:r>
              <w:rPr>
                <w:rFonts w:hint="default" w:ascii="宋体" w:hAnsi="宋体" w:eastAsia="宋体" w:cs="宋体"/>
                <w:sz w:val="24"/>
                <w:lang w:val="en-US" w:eastAsia="zh-CN"/>
              </w:rPr>
              <w:t>由周边农户定期清捞用于农肥</w:t>
            </w:r>
            <w:r>
              <w:rPr>
                <w:rFonts w:hint="default" w:ascii="宋体" w:hAnsi="宋体" w:eastAsia="宋体" w:cs="宋体"/>
                <w:sz w:val="24"/>
              </w:rPr>
              <w:t>。</w:t>
            </w:r>
          </w:p>
          <w:p w14:paraId="05D1368D">
            <w:pPr>
              <w:spacing w:line="360" w:lineRule="auto"/>
              <w:ind w:firstLine="480" w:firstLineChars="200"/>
              <w:rPr>
                <w:rFonts w:hint="eastAsia" w:ascii="宋体" w:hAnsi="宋体" w:eastAsia="宋体" w:cs="宋体"/>
                <w:sz w:val="24"/>
              </w:rPr>
            </w:pPr>
            <w:r>
              <w:rPr>
                <w:rFonts w:hint="default" w:ascii="宋体" w:hAnsi="宋体" w:eastAsia="宋体" w:cs="宋体"/>
                <w:sz w:val="24"/>
              </w:rPr>
              <w:t>因此，项目排放废水不会对当地水环境产生明显影响</w:t>
            </w:r>
            <w:r>
              <w:rPr>
                <w:rFonts w:hint="eastAsia" w:ascii="宋体" w:hAnsi="宋体" w:eastAsia="宋体" w:cs="宋体"/>
                <w:sz w:val="24"/>
              </w:rPr>
              <w:t>。</w:t>
            </w:r>
          </w:p>
          <w:p w14:paraId="4FEDDF2A">
            <w:pPr>
              <w:spacing w:line="360" w:lineRule="auto"/>
              <w:ind w:firstLine="480" w:firstLineChars="200"/>
              <w:rPr>
                <w:rFonts w:hAnsi="宋体"/>
                <w:bCs/>
                <w:color w:val="auto"/>
                <w:sz w:val="24"/>
              </w:rPr>
            </w:pPr>
            <w:r>
              <w:rPr>
                <w:rFonts w:hint="eastAsia" w:hAnsi="宋体"/>
                <w:bCs/>
                <w:color w:val="auto"/>
                <w:sz w:val="24"/>
              </w:rPr>
              <w:t>3、噪声污染防治措施可行性分析结论</w:t>
            </w:r>
          </w:p>
          <w:p w14:paraId="76343D39">
            <w:pPr>
              <w:spacing w:line="360" w:lineRule="auto"/>
              <w:ind w:firstLine="480" w:firstLineChars="200"/>
              <w:rPr>
                <w:rFonts w:hint="default" w:ascii="宋体" w:hAnsi="宋体" w:eastAsia="宋体" w:cs="宋体"/>
                <w:sz w:val="24"/>
              </w:rPr>
            </w:pPr>
            <w:r>
              <w:rPr>
                <w:rFonts w:hint="default" w:ascii="宋体" w:hAnsi="宋体" w:eastAsia="宋体" w:cs="宋体"/>
                <w:sz w:val="24"/>
              </w:rPr>
              <w:t>项目夜间不生产；装载机发动机自带消音装置；合理布置噪声源；所有生产设备都设置于密闭厂房内；选型上使用先进的低噪声设备，安装时底座设置减振垫；加强设备的日常维护保养，防止出现因机器不正常运转造成噪声值异常升高的问题；对进出车辆加强管理，限制车速，禁鸣喇叭；卸料和装车的时间应避开午休时间，车辆减速行驶、禁止鸣笛等措施。项目营运期厂界噪声能实现达标排放</w:t>
            </w:r>
            <w:r>
              <w:rPr>
                <w:rFonts w:hint="eastAsia" w:ascii="宋体" w:hAnsi="宋体" w:eastAsia="宋体" w:cs="宋体"/>
                <w:sz w:val="24"/>
              </w:rPr>
              <w:t>。</w:t>
            </w:r>
          </w:p>
          <w:p w14:paraId="59D587C1">
            <w:pPr>
              <w:spacing w:line="360" w:lineRule="auto"/>
              <w:ind w:firstLine="480" w:firstLineChars="200"/>
              <w:rPr>
                <w:rFonts w:hAnsi="宋体"/>
                <w:bCs/>
                <w:color w:val="auto"/>
                <w:sz w:val="24"/>
              </w:rPr>
            </w:pPr>
            <w:r>
              <w:rPr>
                <w:rFonts w:hint="eastAsia" w:hAnsi="宋体"/>
                <w:bCs/>
                <w:color w:val="auto"/>
                <w:sz w:val="24"/>
              </w:rPr>
              <w:t>4、固体废物污染防治措施可行性分析结论</w:t>
            </w:r>
          </w:p>
          <w:p w14:paraId="5F9E0CEA">
            <w:pPr>
              <w:spacing w:line="360" w:lineRule="auto"/>
              <w:ind w:firstLine="480" w:firstLineChars="200"/>
              <w:rPr>
                <w:rFonts w:hint="default" w:ascii="Times New Roman" w:hAnsi="宋体" w:cs="Times New Roman"/>
                <w:bCs/>
                <w:color w:val="auto"/>
                <w:sz w:val="24"/>
                <w:lang w:eastAsia="zh-CN"/>
              </w:rPr>
            </w:pPr>
            <w:r>
              <w:rPr>
                <w:rFonts w:hint="default" w:ascii="Times New Roman" w:hAnsi="宋体" w:cs="Times New Roman"/>
                <w:bCs/>
                <w:color w:val="auto"/>
                <w:sz w:val="24"/>
              </w:rPr>
              <w:t>本项目产生的固废主要为生产固废及生活固废。职工生活垃圾</w:t>
            </w:r>
            <w:r>
              <w:rPr>
                <w:rFonts w:hint="default" w:ascii="Times New Roman" w:hAnsi="宋体" w:cs="Times New Roman"/>
                <w:bCs/>
                <w:color w:val="auto"/>
                <w:sz w:val="24"/>
                <w:lang w:val="en-US" w:eastAsia="zh-CN"/>
              </w:rPr>
              <w:t>袋装收集后定期交由</w:t>
            </w:r>
            <w:r>
              <w:rPr>
                <w:rFonts w:hint="default" w:ascii="Times New Roman" w:hAnsi="宋体" w:cs="Times New Roman"/>
                <w:bCs/>
                <w:color w:val="auto"/>
                <w:sz w:val="24"/>
              </w:rPr>
              <w:t>环卫部门清运处理</w:t>
            </w:r>
            <w:r>
              <w:rPr>
                <w:rFonts w:hint="default" w:ascii="Times New Roman" w:hAnsi="宋体" w:cs="Times New Roman"/>
                <w:bCs/>
                <w:color w:val="auto"/>
                <w:sz w:val="24"/>
                <w:lang w:eastAsia="zh-CN"/>
              </w:rPr>
              <w:t>；</w:t>
            </w:r>
            <w:r>
              <w:rPr>
                <w:rFonts w:hint="eastAsia" w:ascii="Times New Roman" w:hAnsi="宋体" w:cs="Times New Roman"/>
                <w:bCs/>
                <w:color w:val="auto"/>
                <w:sz w:val="24"/>
                <w:lang w:eastAsia="zh-CN"/>
              </w:rPr>
              <w:t>餐厨垃圾交由资质单位处置；实验室固废回用生产；沉淀池（雨水和二级沉淀池）沉渣经干化场沥水后外运用作铺路材料</w:t>
            </w:r>
            <w:r>
              <w:rPr>
                <w:rFonts w:hint="default" w:ascii="Times New Roman" w:hAnsi="宋体" w:cs="Times New Roman"/>
                <w:bCs/>
                <w:color w:val="auto"/>
                <w:sz w:val="24"/>
              </w:rPr>
              <w:t>。废气处理系统收集粉尘回用生产</w:t>
            </w:r>
            <w:r>
              <w:rPr>
                <w:rFonts w:hint="default" w:ascii="Times New Roman" w:hAnsi="宋体" w:cs="Times New Roman"/>
                <w:bCs/>
                <w:color w:val="auto"/>
                <w:sz w:val="24"/>
                <w:lang w:eastAsia="zh-CN"/>
              </w:rPr>
              <w:t>；</w:t>
            </w:r>
            <w:r>
              <w:rPr>
                <w:rFonts w:hint="default" w:ascii="Times New Roman" w:hAnsi="宋体" w:cs="Times New Roman"/>
                <w:bCs/>
                <w:color w:val="auto"/>
                <w:sz w:val="24"/>
              </w:rPr>
              <w:t>化粪池污泥</w:t>
            </w:r>
            <w:r>
              <w:rPr>
                <w:rFonts w:hint="default" w:ascii="Times New Roman" w:hAnsi="宋体" w:cs="Times New Roman"/>
                <w:bCs/>
                <w:color w:val="auto"/>
                <w:sz w:val="24"/>
                <w:lang w:val="en-US" w:eastAsia="zh-CN"/>
              </w:rPr>
              <w:t>定期由周边农田清捞用于</w:t>
            </w:r>
            <w:r>
              <w:rPr>
                <w:rFonts w:hint="default" w:ascii="Times New Roman" w:hAnsi="宋体" w:cs="Times New Roman"/>
                <w:bCs/>
                <w:color w:val="auto"/>
                <w:sz w:val="24"/>
              </w:rPr>
              <w:t>农田施肥</w:t>
            </w:r>
            <w:r>
              <w:rPr>
                <w:rFonts w:hint="default" w:ascii="Times New Roman" w:hAnsi="宋体" w:cs="Times New Roman"/>
                <w:bCs/>
                <w:color w:val="auto"/>
                <w:sz w:val="24"/>
                <w:lang w:eastAsia="zh-CN"/>
              </w:rPr>
              <w:t>。</w:t>
            </w:r>
          </w:p>
          <w:p w14:paraId="10E3673A">
            <w:pPr>
              <w:spacing w:line="360" w:lineRule="auto"/>
              <w:ind w:firstLine="480" w:firstLineChars="200"/>
              <w:rPr>
                <w:rFonts w:hint="default" w:ascii="Times New Roman" w:hAnsi="宋体" w:cs="Times New Roman"/>
                <w:bCs/>
                <w:color w:val="auto"/>
                <w:sz w:val="24"/>
                <w:lang w:val="en-US" w:eastAsia="zh-CN"/>
              </w:rPr>
            </w:pPr>
            <w:r>
              <w:rPr>
                <w:rFonts w:hint="default" w:ascii="Times New Roman" w:hAnsi="宋体" w:cs="Times New Roman"/>
                <w:bCs/>
                <w:color w:val="auto"/>
                <w:sz w:val="24"/>
                <w:lang w:val="en-US" w:eastAsia="zh-CN"/>
              </w:rPr>
              <w:t>项目危险废物主要包括含油抹布手套、废机油，暂存危废暂存间，定期交由有资质的单位进行处理。</w:t>
            </w:r>
          </w:p>
          <w:p w14:paraId="7BEC30C4">
            <w:pPr>
              <w:spacing w:line="360" w:lineRule="auto"/>
              <w:ind w:firstLine="480" w:firstLineChars="200"/>
              <w:rPr>
                <w:rFonts w:hint="default" w:ascii="Times New Roman" w:hAnsi="Times New Roman" w:eastAsia="宋体" w:cs="Times New Roman"/>
                <w:color w:val="C00000"/>
                <w:sz w:val="24"/>
                <w:szCs w:val="24"/>
              </w:rPr>
            </w:pPr>
            <w:r>
              <w:rPr>
                <w:rFonts w:hint="default" w:ascii="Times New Roman" w:hAnsi="Times New Roman" w:eastAsia="宋体" w:cs="Times New Roman"/>
                <w:color w:val="auto"/>
                <w:sz w:val="24"/>
                <w:szCs w:val="24"/>
              </w:rPr>
              <w:t>本项目各项固体废弃物处置措施可行，只要在工作中，将各项措施严格落到实处认真执行，就能将本项目固废对环境的影响降低到最低程度。</w:t>
            </w:r>
          </w:p>
          <w:p w14:paraId="73C84F5E">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6、环境风险结论</w:t>
            </w:r>
          </w:p>
          <w:p w14:paraId="1FD6F8A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营运期存在一定的环境风险，但是，根据评价分析本项目不构成重大危险源，项目发生风险的类型和几率都很小，通过加强管理、严格遵守各项安全操作规程、制度和落实风险评价要求的防范措施，加强对全体员工防范事故风险能力的培训，健全项目环保规章制度，制定事故应急预案等，可进一步降低风险发生的几率和造成的影响。因此，本项目风险处于完全可接受的水平，其风险管理措施有效、可靠，从防范风险角度分析是可行的。</w:t>
            </w:r>
          </w:p>
          <w:p w14:paraId="13D63B6D">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7、</w:t>
            </w:r>
            <w:r>
              <w:rPr>
                <w:rFonts w:hint="eastAsia" w:cs="Times New Roman"/>
                <w:b/>
                <w:bCs/>
                <w:color w:val="auto"/>
                <w:sz w:val="24"/>
                <w:szCs w:val="24"/>
                <w:lang w:val="en-US" w:eastAsia="zh-CN"/>
              </w:rPr>
              <w:t>总量控制</w:t>
            </w:r>
          </w:p>
          <w:p w14:paraId="40B306B7">
            <w:pPr>
              <w:keepNext w:val="0"/>
              <w:keepLines w:val="0"/>
              <w:suppressLineNumbers w:val="0"/>
              <w:autoSpaceDE w:val="0"/>
              <w:autoSpaceDN w:val="0"/>
              <w:adjustRightInd w:val="0"/>
              <w:spacing w:before="0" w:beforeAutospacing="0" w:after="0" w:afterAutospacing="0" w:line="360" w:lineRule="auto"/>
              <w:ind w:left="0" w:right="0" w:firstLine="475" w:firstLineChars="198"/>
              <w:rPr>
                <w:rFonts w:hint="eastAsia" w:ascii="宋体" w:hAnsi="宋体" w:eastAsia="宋体" w:cs="宋体"/>
                <w:color w:val="auto"/>
                <w:kern w:val="0"/>
                <w:sz w:val="24"/>
              </w:rPr>
            </w:pPr>
            <w:r>
              <w:rPr>
                <w:rFonts w:hint="default" w:hAnsi="宋体"/>
                <w:color w:val="auto"/>
                <w:kern w:val="0"/>
                <w:sz w:val="24"/>
              </w:rPr>
              <w:t>本项目废气污染物总量控制指标汇总如下</w:t>
            </w:r>
            <w:r>
              <w:rPr>
                <w:rFonts w:hint="eastAsia" w:ascii="宋体" w:hAnsi="宋体" w:eastAsia="宋体" w:cs="宋体"/>
                <w:color w:val="auto"/>
                <w:kern w:val="0"/>
                <w:sz w:val="24"/>
              </w:rPr>
              <w:t xml:space="preserve">： </w:t>
            </w:r>
          </w:p>
          <w:p w14:paraId="156CD7A3">
            <w:pPr>
              <w:pStyle w:val="2"/>
              <w:keepNext w:val="0"/>
              <w:keepLines w:val="0"/>
              <w:suppressLineNumbers w:val="0"/>
              <w:spacing w:before="0" w:beforeAutospacing="0" w:after="0" w:afterAutospacing="0" w:line="360" w:lineRule="auto"/>
              <w:ind w:left="0" w:right="0" w:firstLine="422" w:firstLineChars="200"/>
              <w:jc w:val="center"/>
              <w:rPr>
                <w:rFonts w:hint="eastAsia" w:hAnsi="Times New Roman"/>
                <w:b/>
                <w:bCs/>
                <w:color w:val="auto"/>
                <w:sz w:val="21"/>
                <w:szCs w:val="21"/>
                <w:lang w:val="fr-FR"/>
              </w:rPr>
            </w:pPr>
            <w:r>
              <w:rPr>
                <w:rFonts w:hint="eastAsia" w:hAnsi="Times New Roman"/>
                <w:b/>
                <w:bCs/>
                <w:color w:val="auto"/>
                <w:sz w:val="21"/>
                <w:szCs w:val="21"/>
                <w:lang w:val="fr-FR"/>
              </w:rPr>
              <w:t>表</w:t>
            </w:r>
            <w:r>
              <w:rPr>
                <w:rFonts w:hint="eastAsia" w:hAnsi="Times New Roman"/>
                <w:b/>
                <w:bCs/>
                <w:color w:val="auto"/>
                <w:sz w:val="21"/>
                <w:szCs w:val="21"/>
                <w:lang w:val="en-US" w:eastAsia="zh-CN"/>
              </w:rPr>
              <w:t>9</w:t>
            </w:r>
            <w:r>
              <w:rPr>
                <w:rFonts w:hint="eastAsia" w:hAnsi="Times New Roman"/>
                <w:b/>
                <w:bCs/>
                <w:color w:val="auto"/>
                <w:sz w:val="21"/>
                <w:szCs w:val="21"/>
                <w:lang w:val="fr-FR"/>
              </w:rPr>
              <w:t>-</w:t>
            </w:r>
            <w:r>
              <w:rPr>
                <w:rFonts w:hint="eastAsia" w:hAnsi="Times New Roman"/>
                <w:b/>
                <w:bCs/>
                <w:color w:val="auto"/>
                <w:sz w:val="21"/>
                <w:szCs w:val="21"/>
                <w:lang w:val="en-US" w:eastAsia="zh-CN"/>
              </w:rPr>
              <w:t>3</w:t>
            </w:r>
            <w:r>
              <w:rPr>
                <w:rFonts w:hint="eastAsia" w:hAnsi="Times New Roman"/>
                <w:b/>
                <w:bCs/>
                <w:color w:val="auto"/>
                <w:sz w:val="21"/>
                <w:szCs w:val="21"/>
                <w:lang w:val="fr-FR"/>
              </w:rPr>
              <w:t xml:space="preserve">  总量控制指标一览表</w:t>
            </w:r>
          </w:p>
          <w:tbl>
            <w:tblPr>
              <w:tblStyle w:val="22"/>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68"/>
              <w:gridCol w:w="2327"/>
              <w:gridCol w:w="4845"/>
            </w:tblGrid>
            <w:tr w14:paraId="7AEE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0" w:type="dxa"/>
                  <w:shd w:val="clear" w:color="auto" w:fill="auto"/>
                  <w:vAlign w:val="center"/>
                </w:tcPr>
                <w:p w14:paraId="56B8C96B">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序号</w:t>
                  </w:r>
                </w:p>
              </w:tc>
              <w:tc>
                <w:tcPr>
                  <w:tcW w:w="1368" w:type="dxa"/>
                  <w:vAlign w:val="center"/>
                </w:tcPr>
                <w:p w14:paraId="223399FB">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类别</w:t>
                  </w:r>
                </w:p>
              </w:tc>
              <w:tc>
                <w:tcPr>
                  <w:tcW w:w="2327" w:type="dxa"/>
                  <w:vAlign w:val="center"/>
                </w:tcPr>
                <w:p w14:paraId="09A209DC">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控制指标</w:t>
                  </w:r>
                </w:p>
              </w:tc>
              <w:tc>
                <w:tcPr>
                  <w:tcW w:w="4845" w:type="dxa"/>
                  <w:vAlign w:val="center"/>
                </w:tcPr>
                <w:p w14:paraId="2B7CE9DE">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总量控制</w:t>
                  </w:r>
                </w:p>
              </w:tc>
            </w:tr>
            <w:tr w14:paraId="63DE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shd w:val="clear" w:color="auto" w:fill="auto"/>
                  <w:vAlign w:val="center"/>
                </w:tcPr>
                <w:p w14:paraId="452A3B9D">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1</w:t>
                  </w:r>
                </w:p>
              </w:tc>
              <w:tc>
                <w:tcPr>
                  <w:tcW w:w="1368" w:type="dxa"/>
                  <w:vAlign w:val="center"/>
                </w:tcPr>
                <w:p w14:paraId="6ED7D9AD">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大气污染物</w:t>
                  </w:r>
                </w:p>
              </w:tc>
              <w:tc>
                <w:tcPr>
                  <w:tcW w:w="2327" w:type="dxa"/>
                  <w:vAlign w:val="center"/>
                </w:tcPr>
                <w:p w14:paraId="7C461F5D">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颗粒物</w:t>
                  </w:r>
                </w:p>
              </w:tc>
              <w:tc>
                <w:tcPr>
                  <w:tcW w:w="4845" w:type="dxa"/>
                  <w:vAlign w:val="center"/>
                </w:tcPr>
                <w:p w14:paraId="23EE4B5F">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0.011394</w:t>
                  </w:r>
                  <w:r>
                    <w:rPr>
                      <w:rFonts w:hint="eastAsia"/>
                      <w:color w:val="auto"/>
                      <w:szCs w:val="21"/>
                    </w:rPr>
                    <w:t>t</w:t>
                  </w:r>
                  <w:r>
                    <w:rPr>
                      <w:rFonts w:hint="default"/>
                      <w:color w:val="auto"/>
                      <w:szCs w:val="21"/>
                    </w:rPr>
                    <w:t>/a</w:t>
                  </w:r>
                </w:p>
              </w:tc>
            </w:tr>
          </w:tbl>
          <w:p w14:paraId="2C09D160">
            <w:pPr>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8、</w:t>
            </w:r>
            <w:r>
              <w:rPr>
                <w:rFonts w:hint="default" w:ascii="Times New Roman" w:hAnsi="Times New Roman" w:cs="Times New Roman"/>
                <w:b/>
                <w:bCs/>
                <w:color w:val="auto"/>
                <w:sz w:val="24"/>
                <w:szCs w:val="24"/>
                <w:lang w:eastAsia="zh-CN"/>
              </w:rPr>
              <w:t>评价结论</w:t>
            </w:r>
          </w:p>
          <w:p w14:paraId="210D70E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本项目建设符合国家产业发展政策，选址符合当地总体规划，贯彻了“清洁生产、总量控制和达标排放”的原则。项目在施工期和营运期产生的污染物，按本报告表中所提出的措施及方案进行了治理、控制，严格执行了“三同时”制度，并加强内部管理，实现环保设施的稳定运行，确保污染物达标排放的前提下，项目对周围环境不会产生明显影响。本项目的建设提供了部分就业岗位，缓解城市就业压力，增加社会安定因素等，具有良好的社会效益、经济效益、环境效益。因此，从环境保护、经济发展的角度来看，本项目的建设是可行的。</w:t>
            </w:r>
          </w:p>
          <w:p w14:paraId="2C1EE861">
            <w:pPr>
              <w:spacing w:line="360" w:lineRule="auto"/>
              <w:outlineLvl w:val="0"/>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二、要求与建议</w:t>
            </w:r>
          </w:p>
          <w:p w14:paraId="0B009B6C">
            <w:pPr>
              <w:spacing w:line="360" w:lineRule="auto"/>
              <w:ind w:firstLine="480" w:firstLineChars="200"/>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（1）落实噪声、废气、污水、固废的处理，确保达标排放，不污染环境。</w:t>
            </w:r>
          </w:p>
          <w:p w14:paraId="653CC42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（2）建设单位应定期机械设备进行检修和维护，确保其长期、高效、稳定运行，确保设备产生的噪声不会影响周围环境。</w:t>
            </w:r>
          </w:p>
          <w:p w14:paraId="33D860D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强管理，杜绝生产过程中的跑、冒、滴、漏，健全各种生产环保规章制度，严格在岗人员操作管理；操作人员必须培训和定期考核，合格方可上岗；同时，加强设备、管道、各项治污措施的定期检修和维护工作。</w:t>
            </w:r>
          </w:p>
          <w:p w14:paraId="5F045C9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（4）项目应制定严格的环境管理条例和规章制度，加强员工的环境保护意识教育，提高全体职工的环保水平，做到环保工作专人管理、专人负责。</w:t>
            </w:r>
          </w:p>
          <w:p w14:paraId="5A5270D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（5）建设单位应严格按照本环评提出的要求，切实落实本环评中提出的有关废气、固体废物、废水的防治措施，保证“三废”的有效治理，做到达标排放，最大程度减少对环境的影响。</w:t>
            </w:r>
          </w:p>
          <w:p w14:paraId="0F00730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（6）加强职工生产技术及能力培训，制定严格的车间生产操作管理制度，杜绝由生产操作失误造成的环保污染事故发生。</w:t>
            </w:r>
          </w:p>
          <w:p w14:paraId="7671F615">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（7）加强防火安全教育，建设单位应根据《建筑灭火器配置设计规范》的规定，在本项目车间生产区等相应地点配置适量的手提式干粉灭火器及其他消防器材，防止火灾事故发生</w:t>
            </w:r>
            <w:r>
              <w:rPr>
                <w:rFonts w:hint="eastAsia" w:cs="Times New Roman"/>
                <w:color w:val="auto"/>
                <w:sz w:val="24"/>
                <w:szCs w:val="24"/>
                <w:lang w:eastAsia="zh-CN"/>
              </w:rPr>
              <w:t>。</w:t>
            </w:r>
          </w:p>
          <w:p w14:paraId="05F99C3D">
            <w:pPr>
              <w:spacing w:line="360" w:lineRule="auto"/>
              <w:ind w:firstLine="480" w:firstLineChars="200"/>
              <w:rPr>
                <w:rFonts w:hint="default" w:ascii="Times New Roman" w:hAnsi="Times New Roman" w:eastAsia="宋体" w:cs="Times New Roman"/>
                <w:color w:val="auto"/>
                <w:sz w:val="24"/>
                <w:szCs w:val="24"/>
              </w:rPr>
            </w:pPr>
          </w:p>
          <w:p w14:paraId="4DF7801C">
            <w:pPr>
              <w:spacing w:line="360" w:lineRule="auto"/>
              <w:ind w:firstLine="480" w:firstLineChars="200"/>
              <w:rPr>
                <w:rFonts w:hint="default" w:ascii="Times New Roman" w:hAnsi="Times New Roman" w:eastAsia="宋体" w:cs="Times New Roman"/>
                <w:color w:val="auto"/>
                <w:sz w:val="24"/>
                <w:szCs w:val="24"/>
              </w:rPr>
            </w:pPr>
          </w:p>
          <w:p w14:paraId="08C5AE7B">
            <w:pPr>
              <w:spacing w:line="360" w:lineRule="auto"/>
              <w:ind w:firstLine="480" w:firstLineChars="200"/>
              <w:rPr>
                <w:rFonts w:hint="default" w:ascii="Times New Roman" w:hAnsi="Times New Roman" w:eastAsia="宋体" w:cs="Times New Roman"/>
                <w:color w:val="auto"/>
                <w:sz w:val="24"/>
                <w:szCs w:val="24"/>
              </w:rPr>
            </w:pPr>
          </w:p>
          <w:p w14:paraId="741CDE3C">
            <w:pPr>
              <w:spacing w:line="360" w:lineRule="auto"/>
              <w:ind w:firstLine="480" w:firstLineChars="200"/>
              <w:rPr>
                <w:rFonts w:hint="default" w:ascii="Times New Roman" w:hAnsi="Times New Roman" w:eastAsia="宋体" w:cs="Times New Roman"/>
                <w:color w:val="auto"/>
                <w:sz w:val="24"/>
                <w:szCs w:val="24"/>
              </w:rPr>
            </w:pPr>
          </w:p>
          <w:p w14:paraId="5E582470">
            <w:pPr>
              <w:spacing w:line="360" w:lineRule="auto"/>
              <w:ind w:firstLine="480" w:firstLineChars="200"/>
              <w:rPr>
                <w:rFonts w:hint="default" w:ascii="Times New Roman" w:hAnsi="Times New Roman" w:eastAsia="宋体" w:cs="Times New Roman"/>
                <w:color w:val="auto"/>
                <w:sz w:val="24"/>
                <w:szCs w:val="24"/>
              </w:rPr>
            </w:pPr>
          </w:p>
          <w:p w14:paraId="7A56F4D2">
            <w:pPr>
              <w:spacing w:line="360" w:lineRule="auto"/>
              <w:ind w:firstLine="480" w:firstLineChars="200"/>
              <w:rPr>
                <w:rFonts w:hint="default" w:ascii="Times New Roman" w:hAnsi="Times New Roman" w:eastAsia="宋体" w:cs="Times New Roman"/>
                <w:color w:val="auto"/>
                <w:sz w:val="24"/>
                <w:szCs w:val="24"/>
              </w:rPr>
            </w:pPr>
          </w:p>
          <w:p w14:paraId="6B28BBA3">
            <w:pPr>
              <w:spacing w:line="360" w:lineRule="auto"/>
              <w:ind w:firstLine="480" w:firstLineChars="200"/>
              <w:rPr>
                <w:rFonts w:hint="default" w:ascii="Times New Roman" w:hAnsi="Times New Roman" w:eastAsia="宋体" w:cs="Times New Roman"/>
                <w:color w:val="auto"/>
                <w:sz w:val="24"/>
                <w:szCs w:val="24"/>
              </w:rPr>
            </w:pPr>
          </w:p>
          <w:p w14:paraId="09330838">
            <w:pPr>
              <w:spacing w:line="360" w:lineRule="auto"/>
              <w:rPr>
                <w:rFonts w:hint="default" w:ascii="Times New Roman" w:hAnsi="Times New Roman" w:eastAsia="宋体" w:cs="Times New Roman"/>
                <w:color w:val="C00000"/>
                <w:sz w:val="24"/>
                <w:szCs w:val="24"/>
              </w:rPr>
            </w:pPr>
          </w:p>
        </w:tc>
      </w:tr>
      <w:tr w14:paraId="4BF0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4" w:type="dxa"/>
            <w:shd w:val="clear" w:color="auto" w:fill="auto"/>
          </w:tcPr>
          <w:p w14:paraId="77430139">
            <w:pPr>
              <w:spacing w:line="360" w:lineRule="auto"/>
              <w:jc w:val="center"/>
              <w:rPr>
                <w:rFonts w:hint="default" w:ascii="Times New Roman" w:hAnsi="Times New Roman" w:eastAsia="宋体" w:cs="Times New Roman"/>
                <w:color w:val="auto"/>
                <w:sz w:val="32"/>
                <w:szCs w:val="32"/>
              </w:rPr>
            </w:pPr>
            <w:r>
              <w:rPr>
                <w:rFonts w:hint="default" w:ascii="Times New Roman" w:hAnsi="Times New Roman" w:eastAsia="宋体" w:cs="Times New Roman"/>
                <w:b/>
                <w:bCs/>
                <w:color w:val="auto"/>
                <w:sz w:val="32"/>
                <w:szCs w:val="32"/>
              </w:rPr>
              <w:t>注 释</w:t>
            </w:r>
          </w:p>
          <w:p w14:paraId="7317ED6F">
            <w:pPr>
              <w:spacing w:line="360" w:lineRule="auto"/>
              <w:jc w:val="left"/>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4"/>
                <w:szCs w:val="24"/>
              </w:rPr>
              <w:t>一、本报告表应附以下</w:t>
            </w:r>
            <w:r>
              <w:rPr>
                <w:rFonts w:hint="eastAsia" w:cs="Times New Roman"/>
                <w:b/>
                <w:color w:val="auto"/>
                <w:sz w:val="24"/>
                <w:szCs w:val="24"/>
                <w:lang w:val="en-US" w:eastAsia="zh-CN"/>
              </w:rPr>
              <w:t>附表、</w:t>
            </w:r>
            <w:r>
              <w:rPr>
                <w:rFonts w:hint="default" w:ascii="Times New Roman" w:hAnsi="Times New Roman" w:eastAsia="宋体" w:cs="Times New Roman"/>
                <w:b/>
                <w:color w:val="auto"/>
                <w:sz w:val="24"/>
                <w:szCs w:val="24"/>
              </w:rPr>
              <w:t>附图、附件：</w:t>
            </w:r>
          </w:p>
          <w:p w14:paraId="07C5C431">
            <w:pPr>
              <w:spacing w:line="360" w:lineRule="auto"/>
              <w:ind w:firstLine="480"/>
              <w:jc w:val="left"/>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附表：</w:t>
            </w:r>
          </w:p>
          <w:p w14:paraId="6C0333EA">
            <w:pPr>
              <w:spacing w:line="360" w:lineRule="auto"/>
              <w:ind w:firstLine="480"/>
              <w:jc w:val="left"/>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附表1：建设项目大气环境影响评价自查表</w:t>
            </w:r>
          </w:p>
          <w:p w14:paraId="7FA4ECF4">
            <w:pPr>
              <w:spacing w:line="360" w:lineRule="auto"/>
              <w:ind w:firstLine="480"/>
              <w:jc w:val="left"/>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附表2：建设项目地表水环境影响评价自查表</w:t>
            </w:r>
          </w:p>
          <w:p w14:paraId="2326B7AD">
            <w:pPr>
              <w:spacing w:line="360" w:lineRule="auto"/>
              <w:ind w:firstLine="480"/>
              <w:jc w:val="left"/>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附表3：土壤环境影响评价自查表</w:t>
            </w:r>
          </w:p>
          <w:p w14:paraId="6829DDFF">
            <w:pPr>
              <w:spacing w:line="360" w:lineRule="auto"/>
              <w:ind w:firstLine="480"/>
              <w:jc w:val="left"/>
              <w:rPr>
                <w:rFonts w:hint="default" w:ascii="Times New Roman" w:hAnsi="Times New Roman" w:eastAsia="宋体"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附表4：</w:t>
            </w:r>
            <w:r>
              <w:rPr>
                <w:rFonts w:hint="eastAsia" w:ascii="Times New Roman" w:hAnsi="Times New Roman" w:eastAsia="宋体" w:cs="Times New Roman"/>
                <w:b w:val="0"/>
                <w:bCs/>
                <w:color w:val="auto"/>
                <w:sz w:val="24"/>
                <w:szCs w:val="24"/>
                <w:lang w:val="en-US" w:eastAsia="zh-CN"/>
              </w:rPr>
              <w:t>环境风险评价自查表</w:t>
            </w:r>
          </w:p>
          <w:p w14:paraId="4F6DF650">
            <w:pPr>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附图：</w:t>
            </w:r>
          </w:p>
          <w:p w14:paraId="16FF68F5">
            <w:pPr>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附图1  地理位置图</w:t>
            </w:r>
          </w:p>
          <w:p w14:paraId="2594D0BD">
            <w:pPr>
              <w:spacing w:line="360" w:lineRule="auto"/>
              <w:ind w:firstLine="480"/>
              <w:jc w:val="left"/>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 xml:space="preserve">附图2  </w:t>
            </w:r>
            <w:r>
              <w:rPr>
                <w:rFonts w:hint="eastAsia" w:cs="Times New Roman"/>
                <w:color w:val="auto"/>
                <w:sz w:val="24"/>
                <w:szCs w:val="24"/>
                <w:lang w:val="en-US" w:eastAsia="zh-CN"/>
              </w:rPr>
              <w:t>平面布置图及分区防渗图</w:t>
            </w:r>
          </w:p>
          <w:p w14:paraId="1D4EBE5A">
            <w:pPr>
              <w:spacing w:line="360" w:lineRule="auto"/>
              <w:ind w:firstLine="480"/>
              <w:jc w:val="left"/>
              <w:rPr>
                <w:rFonts w:hint="eastAsia" w:cs="Times New Roman"/>
                <w:color w:val="auto"/>
                <w:sz w:val="24"/>
                <w:szCs w:val="24"/>
                <w:lang w:val="en-US" w:eastAsia="zh-CN"/>
              </w:rPr>
            </w:pPr>
            <w:r>
              <w:rPr>
                <w:rFonts w:hint="eastAsia" w:cs="Times New Roman"/>
                <w:color w:val="auto"/>
                <w:sz w:val="24"/>
                <w:szCs w:val="24"/>
                <w:lang w:val="en-US" w:eastAsia="zh-CN"/>
              </w:rPr>
              <w:t>附图3  外环境关系图</w:t>
            </w:r>
          </w:p>
          <w:p w14:paraId="4068B585">
            <w:pPr>
              <w:spacing w:line="360" w:lineRule="auto"/>
              <w:ind w:firstLine="480"/>
              <w:jc w:val="left"/>
              <w:rPr>
                <w:rFonts w:hint="eastAsia" w:cs="Times New Roman"/>
                <w:color w:val="auto"/>
                <w:sz w:val="24"/>
                <w:szCs w:val="24"/>
                <w:lang w:val="en-US" w:eastAsia="zh-CN"/>
              </w:rPr>
            </w:pPr>
            <w:r>
              <w:rPr>
                <w:rFonts w:hint="eastAsia" w:cs="Times New Roman"/>
                <w:color w:val="auto"/>
                <w:sz w:val="24"/>
                <w:szCs w:val="24"/>
                <w:lang w:val="en-US" w:eastAsia="zh-CN"/>
              </w:rPr>
              <w:t>附图4  监测布点图</w:t>
            </w:r>
          </w:p>
          <w:p w14:paraId="2AF27810">
            <w:pPr>
              <w:spacing w:line="360" w:lineRule="auto"/>
              <w:ind w:firstLine="480"/>
              <w:jc w:val="left"/>
              <w:rPr>
                <w:rFonts w:hint="default"/>
                <w:color w:val="auto"/>
                <w:sz w:val="24"/>
                <w:szCs w:val="24"/>
                <w:lang w:val="en-US" w:eastAsia="zh-CN"/>
              </w:rPr>
            </w:pPr>
            <w:r>
              <w:rPr>
                <w:rFonts w:hint="eastAsia" w:cs="Times New Roman"/>
                <w:color w:val="auto"/>
                <w:sz w:val="24"/>
                <w:szCs w:val="24"/>
                <w:lang w:val="en-US" w:eastAsia="zh-CN"/>
              </w:rPr>
              <w:t>附图5  生态红线图</w:t>
            </w:r>
          </w:p>
          <w:p w14:paraId="0F734BBD">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附图6  评价范围图</w:t>
            </w:r>
          </w:p>
          <w:p w14:paraId="264E7036">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附图7  卫生防护距离包络线图</w:t>
            </w:r>
          </w:p>
          <w:p w14:paraId="358416E7">
            <w:pPr>
              <w:spacing w:line="360" w:lineRule="auto"/>
              <w:ind w:firstLine="482"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附件：</w:t>
            </w:r>
          </w:p>
          <w:p w14:paraId="73284672">
            <w:pPr>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附件1  立项文件</w:t>
            </w:r>
          </w:p>
          <w:p w14:paraId="2CC1659E">
            <w:pPr>
              <w:spacing w:line="360" w:lineRule="auto"/>
              <w:ind w:firstLine="480"/>
              <w:jc w:val="left"/>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 xml:space="preserve">附件2  </w:t>
            </w:r>
            <w:r>
              <w:rPr>
                <w:rFonts w:hint="eastAsia" w:cs="Times New Roman"/>
                <w:color w:val="auto"/>
                <w:sz w:val="24"/>
                <w:szCs w:val="24"/>
                <w:lang w:val="en-US" w:eastAsia="zh-CN"/>
              </w:rPr>
              <w:t>委托书</w:t>
            </w:r>
          </w:p>
          <w:p w14:paraId="299FCFBF">
            <w:pPr>
              <w:spacing w:line="360" w:lineRule="auto"/>
              <w:ind w:firstLine="480"/>
              <w:jc w:val="left"/>
              <w:rPr>
                <w:rFonts w:hint="default" w:cs="Times New Roman"/>
                <w:color w:val="auto"/>
                <w:sz w:val="24"/>
                <w:szCs w:val="24"/>
                <w:lang w:val="en-US" w:eastAsia="zh-CN"/>
              </w:rPr>
            </w:pPr>
            <w:r>
              <w:rPr>
                <w:rFonts w:hint="eastAsia" w:cs="Times New Roman"/>
                <w:color w:val="auto"/>
                <w:sz w:val="24"/>
                <w:szCs w:val="24"/>
                <w:lang w:val="en-US" w:eastAsia="zh-CN"/>
              </w:rPr>
              <w:t>附件3  规划证明</w:t>
            </w:r>
          </w:p>
          <w:p w14:paraId="3A56B284">
            <w:pPr>
              <w:spacing w:line="360" w:lineRule="auto"/>
              <w:ind w:firstLine="48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 xml:space="preserve"> 不动产证</w:t>
            </w:r>
          </w:p>
          <w:p w14:paraId="479D7A79">
            <w:pPr>
              <w:spacing w:line="360" w:lineRule="auto"/>
              <w:ind w:firstLine="480"/>
              <w:jc w:val="left"/>
              <w:rPr>
                <w:rFonts w:hint="default"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 xml:space="preserve"> 营业执照</w:t>
            </w:r>
          </w:p>
          <w:p w14:paraId="445C68B2">
            <w:pPr>
              <w:spacing w:line="360" w:lineRule="auto"/>
              <w:ind w:firstLine="480"/>
              <w:jc w:val="lef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附件6  监测报告</w:t>
            </w:r>
          </w:p>
          <w:p w14:paraId="1455B4AE">
            <w:pPr>
              <w:spacing w:line="360" w:lineRule="auto"/>
              <w:ind w:firstLine="480"/>
              <w:jc w:val="left"/>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 xml:space="preserve"> 引用地表水监测报告</w:t>
            </w:r>
          </w:p>
          <w:p w14:paraId="0DAD3022">
            <w:pPr>
              <w:spacing w:line="360" w:lineRule="auto"/>
              <w:ind w:firstLine="48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 xml:space="preserve">8 </w:t>
            </w:r>
            <w:r>
              <w:rPr>
                <w:rFonts w:hint="default" w:ascii="Times New Roman" w:hAnsi="Times New Roman" w:eastAsia="宋体" w:cs="Times New Roman"/>
                <w:color w:val="auto"/>
                <w:sz w:val="24"/>
                <w:szCs w:val="24"/>
              </w:rPr>
              <w:t xml:space="preserve"> </w:t>
            </w:r>
            <w:r>
              <w:rPr>
                <w:rFonts w:hint="eastAsia" w:ascii="Times New Roman" w:hAnsi="Times New Roman" w:cs="Times New Roman"/>
                <w:color w:val="auto"/>
                <w:sz w:val="24"/>
                <w:szCs w:val="24"/>
                <w:lang w:val="en-US" w:eastAsia="zh-CN"/>
              </w:rPr>
              <w:t>污水消纳协议</w:t>
            </w:r>
          </w:p>
          <w:p w14:paraId="4EF93B66">
            <w:pPr>
              <w:spacing w:line="360" w:lineRule="auto"/>
              <w:ind w:firstLine="480"/>
              <w:jc w:val="left"/>
              <w:rPr>
                <w:rFonts w:hint="default"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 xml:space="preserve">9 </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房屋租赁协议</w:t>
            </w:r>
          </w:p>
          <w:p w14:paraId="7950EF0A">
            <w:pPr>
              <w:spacing w:line="360" w:lineRule="auto"/>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二、如果本报告表不能说明项目产生的污染及对环境造成的影响，应进行专项评价。根据建设项目的特点和当地环境特征，应选下列1-2项进行专项评价。</w:t>
            </w:r>
          </w:p>
          <w:p w14:paraId="2D847D82">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1、大气环境影响专项评价</w:t>
            </w:r>
          </w:p>
          <w:p w14:paraId="636C867B">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2、水环境影响专项评价（包括地表水和地下水）</w:t>
            </w:r>
          </w:p>
          <w:p w14:paraId="49C079CB">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3、生态环境影响专项评价</w:t>
            </w:r>
          </w:p>
          <w:p w14:paraId="032F1462">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4、声环境影响专项评价</w:t>
            </w:r>
          </w:p>
          <w:p w14:paraId="2D4E8701">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5、土壤环境影响专项评价</w:t>
            </w:r>
          </w:p>
          <w:p w14:paraId="0E66144C">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6、固体废弃物环境影响专项评价</w:t>
            </w:r>
          </w:p>
          <w:p w14:paraId="7111488B">
            <w:pPr>
              <w:spacing w:line="360" w:lineRule="auto"/>
              <w:ind w:firstLine="480" w:firstLineChars="200"/>
              <w:jc w:val="left"/>
              <w:rPr>
                <w:rFonts w:hint="default" w:ascii="Times New Roman" w:hAnsi="Times New Roman" w:eastAsia="宋体" w:cs="Times New Roman"/>
                <w:color w:val="C00000"/>
                <w:sz w:val="24"/>
                <w:szCs w:val="24"/>
              </w:rPr>
            </w:pPr>
            <w:r>
              <w:rPr>
                <w:rFonts w:hint="default" w:ascii="Times New Roman" w:hAnsi="Times New Roman" w:eastAsia="宋体" w:cs="Times New Roman"/>
                <w:color w:val="auto"/>
                <w:sz w:val="24"/>
                <w:szCs w:val="24"/>
              </w:rPr>
              <w:t>以上专项评价未包括的可另列专项，专项评价按照《环境影响评价技术导则》中的要求进行。</w:t>
            </w:r>
          </w:p>
        </w:tc>
      </w:tr>
    </w:tbl>
    <w:p w14:paraId="7A1361D3">
      <w:pPr>
        <w:spacing w:line="302" w:lineRule="auto"/>
        <w:ind w:right="393"/>
        <w:jc w:val="center"/>
        <w:rPr>
          <w:rFonts w:hint="default" w:ascii="Times New Roman" w:hAnsi="Times New Roman" w:eastAsia="黑体" w:cs="Times New Roman"/>
          <w:snapToGrid w:val="0"/>
          <w:color w:val="auto"/>
          <w:kern w:val="0"/>
          <w:szCs w:val="21"/>
          <w:lang w:val="fr-FR" w:eastAsia="zh-CN"/>
        </w:rPr>
      </w:pPr>
    </w:p>
    <w:p w14:paraId="3435980B">
      <w:pPr>
        <w:spacing w:line="302" w:lineRule="auto"/>
        <w:ind w:right="393"/>
        <w:jc w:val="center"/>
        <w:rPr>
          <w:rFonts w:hint="default" w:ascii="Times New Roman" w:hAnsi="Times New Roman" w:eastAsia="黑体" w:cs="Times New Roman"/>
          <w:snapToGrid w:val="0"/>
          <w:color w:val="auto"/>
          <w:kern w:val="0"/>
          <w:szCs w:val="21"/>
          <w:lang w:val="fr-FR" w:eastAsia="zh-CN"/>
        </w:rPr>
      </w:pPr>
    </w:p>
    <w:p w14:paraId="53391EF0">
      <w:pPr>
        <w:spacing w:line="302" w:lineRule="auto"/>
        <w:ind w:right="393"/>
        <w:jc w:val="center"/>
        <w:rPr>
          <w:rFonts w:hint="default" w:ascii="Times New Roman" w:hAnsi="Times New Roman" w:eastAsia="黑体" w:cs="Times New Roman"/>
          <w:snapToGrid w:val="0"/>
          <w:color w:val="auto"/>
          <w:kern w:val="0"/>
          <w:szCs w:val="21"/>
          <w:lang w:val="fr-FR" w:eastAsia="zh-CN"/>
        </w:rPr>
      </w:pPr>
    </w:p>
    <w:p w14:paraId="00C0A336">
      <w:pPr>
        <w:spacing w:line="302" w:lineRule="auto"/>
        <w:ind w:right="393"/>
        <w:jc w:val="center"/>
        <w:rPr>
          <w:rFonts w:hint="default" w:ascii="Times New Roman" w:hAnsi="Times New Roman" w:eastAsia="黑体" w:cs="Times New Roman"/>
          <w:snapToGrid w:val="0"/>
          <w:color w:val="auto"/>
          <w:kern w:val="0"/>
          <w:szCs w:val="21"/>
          <w:lang w:val="fr-FR" w:eastAsia="zh-CN"/>
        </w:rPr>
      </w:pPr>
    </w:p>
    <w:p w14:paraId="0CEC8151">
      <w:pPr>
        <w:spacing w:line="302" w:lineRule="auto"/>
        <w:ind w:right="393"/>
        <w:jc w:val="center"/>
        <w:rPr>
          <w:rFonts w:hint="eastAsia" w:ascii="Times New Roman" w:hAnsi="Times New Roman" w:eastAsia="黑体" w:cs="Times New Roman"/>
          <w:snapToGrid w:val="0"/>
          <w:color w:val="auto"/>
          <w:kern w:val="0"/>
          <w:szCs w:val="21"/>
          <w:lang w:val="fr-FR"/>
        </w:rPr>
      </w:pPr>
      <w:r>
        <w:rPr>
          <w:rFonts w:hint="default" w:ascii="Times New Roman" w:hAnsi="Times New Roman" w:eastAsia="黑体" w:cs="Times New Roman"/>
          <w:snapToGrid w:val="0"/>
          <w:color w:val="auto"/>
          <w:kern w:val="0"/>
          <w:szCs w:val="21"/>
          <w:lang w:val="fr-FR" w:eastAsia="zh-CN"/>
        </w:rPr>
        <w:t>附表</w:t>
      </w:r>
      <w:r>
        <w:rPr>
          <w:rFonts w:hint="default" w:ascii="Times New Roman" w:hAnsi="Times New Roman" w:eastAsia="黑体" w:cs="Times New Roman"/>
          <w:snapToGrid w:val="0"/>
          <w:color w:val="auto"/>
          <w:kern w:val="0"/>
          <w:szCs w:val="21"/>
          <w:lang w:val="en-US" w:eastAsia="zh-CN"/>
        </w:rPr>
        <w:t>1</w:t>
      </w:r>
      <w:r>
        <w:rPr>
          <w:rFonts w:hint="default" w:ascii="Times New Roman" w:hAnsi="Times New Roman" w:eastAsia="黑体" w:cs="Times New Roman"/>
          <w:snapToGrid w:val="0"/>
          <w:color w:val="auto"/>
          <w:kern w:val="0"/>
          <w:szCs w:val="21"/>
          <w:lang w:val="fr-FR" w:eastAsia="zh-CN"/>
        </w:rPr>
        <w:t xml:space="preserve">  </w:t>
      </w:r>
      <w:r>
        <w:rPr>
          <w:rFonts w:hint="eastAsia" w:ascii="Times New Roman" w:hAnsi="Times New Roman" w:eastAsia="黑体" w:cs="Times New Roman"/>
          <w:snapToGrid w:val="0"/>
          <w:color w:val="auto"/>
          <w:kern w:val="0"/>
          <w:szCs w:val="21"/>
          <w:lang w:val="fr-FR"/>
        </w:rPr>
        <w:t>建设项目大气环境影响评价自查表</w:t>
      </w:r>
    </w:p>
    <w:tbl>
      <w:tblPr>
        <w:tblStyle w:val="23"/>
        <w:tblW w:w="90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338"/>
        <w:gridCol w:w="795"/>
        <w:gridCol w:w="80"/>
        <w:gridCol w:w="186"/>
        <w:gridCol w:w="492"/>
        <w:gridCol w:w="112"/>
        <w:gridCol w:w="11"/>
        <w:gridCol w:w="123"/>
        <w:gridCol w:w="616"/>
        <w:gridCol w:w="246"/>
        <w:gridCol w:w="38"/>
        <w:gridCol w:w="577"/>
        <w:gridCol w:w="370"/>
        <w:gridCol w:w="146"/>
        <w:gridCol w:w="6"/>
        <w:gridCol w:w="115"/>
        <w:gridCol w:w="495"/>
        <w:gridCol w:w="99"/>
        <w:gridCol w:w="403"/>
        <w:gridCol w:w="118"/>
        <w:gridCol w:w="340"/>
        <w:gridCol w:w="502"/>
        <w:gridCol w:w="933"/>
      </w:tblGrid>
      <w:tr w14:paraId="61384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4" w:type="dxa"/>
            <w:gridSpan w:val="2"/>
            <w:noWrap w:val="0"/>
            <w:vAlign w:val="center"/>
          </w:tcPr>
          <w:p w14:paraId="18898F3F">
            <w:pPr>
              <w:jc w:val="center"/>
              <w:rPr>
                <w:color w:val="auto"/>
                <w:sz w:val="15"/>
                <w:szCs w:val="15"/>
              </w:rPr>
            </w:pPr>
            <w:r>
              <w:rPr>
                <w:color w:val="auto"/>
                <w:sz w:val="15"/>
                <w:szCs w:val="15"/>
              </w:rPr>
              <w:t>工作内容</w:t>
            </w:r>
          </w:p>
        </w:tc>
        <w:tc>
          <w:tcPr>
            <w:tcW w:w="6803" w:type="dxa"/>
            <w:gridSpan w:val="22"/>
            <w:noWrap w:val="0"/>
            <w:vAlign w:val="center"/>
          </w:tcPr>
          <w:p w14:paraId="5EA5DFAA">
            <w:pPr>
              <w:jc w:val="center"/>
              <w:rPr>
                <w:color w:val="auto"/>
                <w:sz w:val="15"/>
                <w:szCs w:val="15"/>
              </w:rPr>
            </w:pPr>
            <w:r>
              <w:rPr>
                <w:color w:val="auto"/>
                <w:sz w:val="15"/>
                <w:szCs w:val="15"/>
              </w:rPr>
              <w:t>自查项目</w:t>
            </w:r>
          </w:p>
        </w:tc>
      </w:tr>
      <w:tr w14:paraId="784ED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noWrap w:val="0"/>
            <w:vAlign w:val="center"/>
          </w:tcPr>
          <w:p w14:paraId="64C819BA">
            <w:pPr>
              <w:jc w:val="center"/>
              <w:rPr>
                <w:color w:val="auto"/>
                <w:sz w:val="15"/>
                <w:szCs w:val="15"/>
              </w:rPr>
            </w:pPr>
            <w:r>
              <w:rPr>
                <w:color w:val="auto"/>
                <w:sz w:val="15"/>
                <w:szCs w:val="15"/>
              </w:rPr>
              <w:t>评价等级与范围</w:t>
            </w:r>
          </w:p>
        </w:tc>
        <w:tc>
          <w:tcPr>
            <w:tcW w:w="1338" w:type="dxa"/>
            <w:noWrap w:val="0"/>
            <w:vAlign w:val="center"/>
          </w:tcPr>
          <w:p w14:paraId="08A95A23">
            <w:pPr>
              <w:jc w:val="center"/>
              <w:rPr>
                <w:color w:val="auto"/>
                <w:sz w:val="15"/>
                <w:szCs w:val="15"/>
              </w:rPr>
            </w:pPr>
            <w:r>
              <w:rPr>
                <w:color w:val="auto"/>
                <w:sz w:val="15"/>
                <w:szCs w:val="15"/>
              </w:rPr>
              <w:t>评价等级</w:t>
            </w:r>
          </w:p>
        </w:tc>
        <w:tc>
          <w:tcPr>
            <w:tcW w:w="1676" w:type="dxa"/>
            <w:gridSpan w:val="6"/>
            <w:noWrap w:val="0"/>
            <w:vAlign w:val="center"/>
          </w:tcPr>
          <w:p w14:paraId="71710F65">
            <w:pPr>
              <w:jc w:val="center"/>
              <w:rPr>
                <w:color w:val="auto"/>
                <w:sz w:val="15"/>
                <w:szCs w:val="15"/>
              </w:rPr>
            </w:pPr>
            <w:r>
              <w:rPr>
                <w:color w:val="auto"/>
                <w:sz w:val="15"/>
                <w:szCs w:val="15"/>
              </w:rPr>
              <w:t>一级</w:t>
            </w:r>
            <w:r>
              <w:rPr>
                <w:rFonts w:ascii="宋体" w:hAnsi="宋体"/>
                <w:color w:val="auto"/>
                <w:sz w:val="15"/>
                <w:szCs w:val="15"/>
              </w:rPr>
              <w:t>□</w:t>
            </w:r>
          </w:p>
        </w:tc>
        <w:tc>
          <w:tcPr>
            <w:tcW w:w="2122" w:type="dxa"/>
            <w:gridSpan w:val="8"/>
            <w:noWrap w:val="0"/>
            <w:vAlign w:val="center"/>
          </w:tcPr>
          <w:p w14:paraId="12A7D65D">
            <w:pPr>
              <w:jc w:val="center"/>
              <w:rPr>
                <w:rFonts w:hint="eastAsia" w:eastAsia="宋体"/>
                <w:color w:val="auto"/>
                <w:sz w:val="15"/>
                <w:szCs w:val="15"/>
                <w:lang w:eastAsia="zh-CN"/>
              </w:rPr>
            </w:pPr>
            <w:r>
              <w:rPr>
                <w:color w:val="auto"/>
                <w:sz w:val="15"/>
                <w:szCs w:val="15"/>
              </w:rPr>
              <w:t>二级</w:t>
            </w:r>
            <w:r>
              <w:rPr>
                <w:rFonts w:hint="eastAsia" w:ascii="宋体" w:hAnsi="宋体"/>
                <w:color w:val="auto"/>
                <w:sz w:val="15"/>
                <w:szCs w:val="15"/>
                <w:lang w:eastAsia="zh-CN"/>
              </w:rPr>
              <w:t>☑</w:t>
            </w:r>
          </w:p>
        </w:tc>
        <w:tc>
          <w:tcPr>
            <w:tcW w:w="3005" w:type="dxa"/>
            <w:gridSpan w:val="8"/>
            <w:noWrap w:val="0"/>
            <w:vAlign w:val="center"/>
          </w:tcPr>
          <w:p w14:paraId="6C9B9804">
            <w:pPr>
              <w:jc w:val="center"/>
              <w:rPr>
                <w:rFonts w:hint="eastAsia" w:eastAsia="宋体"/>
                <w:color w:val="auto"/>
                <w:sz w:val="15"/>
                <w:szCs w:val="15"/>
                <w:lang w:eastAsia="zh-CN"/>
              </w:rPr>
            </w:pPr>
            <w:r>
              <w:rPr>
                <w:color w:val="auto"/>
                <w:sz w:val="15"/>
                <w:szCs w:val="15"/>
              </w:rPr>
              <w:t>三级</w:t>
            </w:r>
            <w:r>
              <w:rPr>
                <w:rFonts w:hint="eastAsia" w:ascii="宋体" w:hAnsi="宋体"/>
                <w:color w:val="auto"/>
                <w:sz w:val="15"/>
                <w:szCs w:val="15"/>
                <w:lang w:eastAsia="zh-CN"/>
              </w:rPr>
              <w:t>□</w:t>
            </w:r>
          </w:p>
        </w:tc>
      </w:tr>
      <w:tr w14:paraId="7AB4F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5A69C2A0">
            <w:pPr>
              <w:jc w:val="center"/>
              <w:rPr>
                <w:color w:val="auto"/>
                <w:sz w:val="15"/>
                <w:szCs w:val="15"/>
              </w:rPr>
            </w:pPr>
          </w:p>
        </w:tc>
        <w:tc>
          <w:tcPr>
            <w:tcW w:w="1338" w:type="dxa"/>
            <w:noWrap w:val="0"/>
            <w:vAlign w:val="center"/>
          </w:tcPr>
          <w:p w14:paraId="7515E6AA">
            <w:pPr>
              <w:jc w:val="center"/>
              <w:rPr>
                <w:color w:val="auto"/>
                <w:sz w:val="15"/>
                <w:szCs w:val="15"/>
              </w:rPr>
            </w:pPr>
            <w:r>
              <w:rPr>
                <w:color w:val="auto"/>
                <w:sz w:val="15"/>
                <w:szCs w:val="15"/>
              </w:rPr>
              <w:t>评价范围</w:t>
            </w:r>
          </w:p>
        </w:tc>
        <w:tc>
          <w:tcPr>
            <w:tcW w:w="1676" w:type="dxa"/>
            <w:gridSpan w:val="6"/>
            <w:noWrap w:val="0"/>
            <w:vAlign w:val="center"/>
          </w:tcPr>
          <w:p w14:paraId="1FD4CF9A">
            <w:pPr>
              <w:jc w:val="center"/>
              <w:rPr>
                <w:color w:val="auto"/>
                <w:sz w:val="15"/>
                <w:szCs w:val="15"/>
              </w:rPr>
            </w:pPr>
            <w:r>
              <w:rPr>
                <w:color w:val="auto"/>
                <w:sz w:val="15"/>
                <w:szCs w:val="15"/>
              </w:rPr>
              <w:t>边长=50km</w:t>
            </w:r>
            <w:r>
              <w:rPr>
                <w:rFonts w:ascii="宋体" w:hAnsi="宋体"/>
                <w:color w:val="auto"/>
                <w:sz w:val="15"/>
                <w:szCs w:val="15"/>
              </w:rPr>
              <w:t>□</w:t>
            </w:r>
          </w:p>
        </w:tc>
        <w:tc>
          <w:tcPr>
            <w:tcW w:w="2122" w:type="dxa"/>
            <w:gridSpan w:val="8"/>
            <w:noWrap w:val="0"/>
            <w:vAlign w:val="center"/>
          </w:tcPr>
          <w:p w14:paraId="443AAA8F">
            <w:pPr>
              <w:jc w:val="center"/>
              <w:rPr>
                <w:color w:val="auto"/>
                <w:sz w:val="15"/>
                <w:szCs w:val="15"/>
              </w:rPr>
            </w:pPr>
            <w:r>
              <w:rPr>
                <w:color w:val="auto"/>
                <w:sz w:val="15"/>
                <w:szCs w:val="15"/>
              </w:rPr>
              <w:t>边长5~50km</w:t>
            </w:r>
            <w:r>
              <w:rPr>
                <w:rFonts w:ascii="宋体" w:hAnsi="宋体"/>
                <w:color w:val="auto"/>
                <w:sz w:val="15"/>
                <w:szCs w:val="15"/>
              </w:rPr>
              <w:t>□</w:t>
            </w:r>
          </w:p>
        </w:tc>
        <w:tc>
          <w:tcPr>
            <w:tcW w:w="3005" w:type="dxa"/>
            <w:gridSpan w:val="8"/>
            <w:noWrap w:val="0"/>
            <w:vAlign w:val="center"/>
          </w:tcPr>
          <w:p w14:paraId="05117F75">
            <w:pPr>
              <w:jc w:val="center"/>
              <w:rPr>
                <w:rFonts w:hint="eastAsia" w:eastAsia="宋体"/>
                <w:color w:val="auto"/>
                <w:sz w:val="15"/>
                <w:szCs w:val="15"/>
                <w:lang w:eastAsia="zh-CN"/>
              </w:rPr>
            </w:pPr>
            <w:r>
              <w:rPr>
                <w:color w:val="auto"/>
                <w:sz w:val="15"/>
                <w:szCs w:val="15"/>
              </w:rPr>
              <w:t>边长=5km</w:t>
            </w:r>
            <w:r>
              <w:rPr>
                <w:rFonts w:hint="eastAsia" w:ascii="宋体" w:hAnsi="宋体"/>
                <w:color w:val="auto"/>
                <w:sz w:val="15"/>
                <w:szCs w:val="15"/>
                <w:lang w:eastAsia="zh-CN"/>
              </w:rPr>
              <w:t>☑</w:t>
            </w:r>
          </w:p>
        </w:tc>
      </w:tr>
      <w:tr w14:paraId="4F38E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noWrap w:val="0"/>
            <w:vAlign w:val="center"/>
          </w:tcPr>
          <w:p w14:paraId="04DFB7E6">
            <w:pPr>
              <w:jc w:val="center"/>
              <w:rPr>
                <w:color w:val="auto"/>
                <w:sz w:val="15"/>
                <w:szCs w:val="15"/>
              </w:rPr>
            </w:pPr>
            <w:r>
              <w:rPr>
                <w:color w:val="auto"/>
                <w:sz w:val="15"/>
                <w:szCs w:val="15"/>
              </w:rPr>
              <w:t>评价因子</w:t>
            </w:r>
          </w:p>
        </w:tc>
        <w:tc>
          <w:tcPr>
            <w:tcW w:w="1338" w:type="dxa"/>
            <w:noWrap w:val="0"/>
            <w:vAlign w:val="center"/>
          </w:tcPr>
          <w:p w14:paraId="17850C1F">
            <w:pPr>
              <w:jc w:val="center"/>
              <w:rPr>
                <w:color w:val="auto"/>
                <w:sz w:val="15"/>
                <w:szCs w:val="15"/>
              </w:rPr>
            </w:pPr>
            <w:r>
              <w:rPr>
                <w:color w:val="auto"/>
                <w:sz w:val="15"/>
                <w:szCs w:val="15"/>
              </w:rPr>
              <w:t>SO</w:t>
            </w:r>
            <w:r>
              <w:rPr>
                <w:color w:val="auto"/>
                <w:sz w:val="15"/>
                <w:szCs w:val="15"/>
                <w:vertAlign w:val="subscript"/>
              </w:rPr>
              <w:t>2</w:t>
            </w:r>
            <w:r>
              <w:rPr>
                <w:color w:val="auto"/>
                <w:sz w:val="15"/>
                <w:szCs w:val="15"/>
              </w:rPr>
              <w:t>+NO</w:t>
            </w:r>
            <w:r>
              <w:rPr>
                <w:color w:val="auto"/>
                <w:sz w:val="15"/>
                <w:szCs w:val="15"/>
                <w:vertAlign w:val="subscript"/>
              </w:rPr>
              <w:t>x</w:t>
            </w:r>
            <w:r>
              <w:rPr>
                <w:color w:val="auto"/>
                <w:sz w:val="15"/>
                <w:szCs w:val="15"/>
              </w:rPr>
              <w:t>排放量</w:t>
            </w:r>
          </w:p>
        </w:tc>
        <w:tc>
          <w:tcPr>
            <w:tcW w:w="1676" w:type="dxa"/>
            <w:gridSpan w:val="6"/>
            <w:noWrap w:val="0"/>
            <w:vAlign w:val="center"/>
          </w:tcPr>
          <w:p w14:paraId="17DA3AA5">
            <w:pPr>
              <w:jc w:val="center"/>
              <w:rPr>
                <w:color w:val="auto"/>
                <w:sz w:val="15"/>
                <w:szCs w:val="15"/>
              </w:rPr>
            </w:pPr>
            <w:r>
              <w:rPr>
                <w:color w:val="auto"/>
                <w:sz w:val="15"/>
                <w:szCs w:val="15"/>
              </w:rPr>
              <w:t>≥2000t/a</w:t>
            </w:r>
            <w:r>
              <w:rPr>
                <w:rFonts w:ascii="宋体" w:hAnsi="宋体"/>
                <w:color w:val="auto"/>
                <w:sz w:val="15"/>
                <w:szCs w:val="15"/>
              </w:rPr>
              <w:t>□</w:t>
            </w:r>
          </w:p>
        </w:tc>
        <w:tc>
          <w:tcPr>
            <w:tcW w:w="2122" w:type="dxa"/>
            <w:gridSpan w:val="8"/>
            <w:noWrap w:val="0"/>
            <w:vAlign w:val="center"/>
          </w:tcPr>
          <w:p w14:paraId="750AA38F">
            <w:pPr>
              <w:jc w:val="center"/>
              <w:rPr>
                <w:color w:val="auto"/>
                <w:sz w:val="15"/>
                <w:szCs w:val="15"/>
              </w:rPr>
            </w:pPr>
            <w:r>
              <w:rPr>
                <w:color w:val="auto"/>
                <w:sz w:val="15"/>
                <w:szCs w:val="15"/>
              </w:rPr>
              <w:t>500~2000t/a</w:t>
            </w:r>
            <w:r>
              <w:rPr>
                <w:rFonts w:ascii="宋体" w:hAnsi="宋体"/>
                <w:color w:val="auto"/>
                <w:sz w:val="15"/>
                <w:szCs w:val="15"/>
              </w:rPr>
              <w:t>□</w:t>
            </w:r>
          </w:p>
        </w:tc>
        <w:tc>
          <w:tcPr>
            <w:tcW w:w="3005" w:type="dxa"/>
            <w:gridSpan w:val="8"/>
            <w:noWrap w:val="0"/>
            <w:vAlign w:val="center"/>
          </w:tcPr>
          <w:p w14:paraId="73D265E3">
            <w:pPr>
              <w:jc w:val="center"/>
              <w:rPr>
                <w:rFonts w:hint="eastAsia" w:eastAsia="宋体"/>
                <w:color w:val="auto"/>
                <w:sz w:val="15"/>
                <w:szCs w:val="15"/>
                <w:lang w:eastAsia="zh-CN"/>
              </w:rPr>
            </w:pPr>
            <w:r>
              <w:rPr>
                <w:color w:val="auto"/>
                <w:sz w:val="15"/>
                <w:szCs w:val="15"/>
              </w:rPr>
              <w:t>＜500t/a</w:t>
            </w:r>
            <w:r>
              <w:rPr>
                <w:rFonts w:hint="eastAsia" w:ascii="宋体" w:hAnsi="宋体"/>
                <w:color w:val="auto"/>
                <w:sz w:val="15"/>
                <w:szCs w:val="15"/>
                <w:lang w:eastAsia="zh-CN"/>
              </w:rPr>
              <w:t>□</w:t>
            </w:r>
          </w:p>
        </w:tc>
      </w:tr>
      <w:tr w14:paraId="183C7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1781F5D2">
            <w:pPr>
              <w:jc w:val="center"/>
              <w:rPr>
                <w:color w:val="auto"/>
                <w:sz w:val="15"/>
                <w:szCs w:val="15"/>
              </w:rPr>
            </w:pPr>
          </w:p>
        </w:tc>
        <w:tc>
          <w:tcPr>
            <w:tcW w:w="1338" w:type="dxa"/>
            <w:noWrap w:val="0"/>
            <w:vAlign w:val="center"/>
          </w:tcPr>
          <w:p w14:paraId="12CB795D">
            <w:pPr>
              <w:jc w:val="center"/>
              <w:rPr>
                <w:color w:val="auto"/>
                <w:sz w:val="15"/>
                <w:szCs w:val="15"/>
              </w:rPr>
            </w:pPr>
            <w:r>
              <w:rPr>
                <w:color w:val="auto"/>
                <w:sz w:val="15"/>
                <w:szCs w:val="15"/>
              </w:rPr>
              <w:t>评价因子</w:t>
            </w:r>
          </w:p>
        </w:tc>
        <w:tc>
          <w:tcPr>
            <w:tcW w:w="3646" w:type="dxa"/>
            <w:gridSpan w:val="12"/>
            <w:noWrap w:val="0"/>
            <w:vAlign w:val="center"/>
          </w:tcPr>
          <w:p w14:paraId="499A72C9">
            <w:pPr>
              <w:jc w:val="center"/>
              <w:rPr>
                <w:rFonts w:ascii="Times New Roman" w:hAnsi="Times New Roman" w:cs="Times New Roman"/>
                <w:color w:val="auto"/>
                <w:sz w:val="15"/>
                <w:szCs w:val="15"/>
              </w:rPr>
            </w:pPr>
            <w:r>
              <w:rPr>
                <w:rFonts w:ascii="Times New Roman" w:hAnsi="Times New Roman" w:cs="Times New Roman"/>
                <w:color w:val="auto"/>
                <w:sz w:val="15"/>
                <w:szCs w:val="15"/>
              </w:rPr>
              <w:t>基本污染物（</w:t>
            </w:r>
            <w:r>
              <w:rPr>
                <w:rFonts w:hint="default" w:ascii="Times New Roman" w:hAnsi="Times New Roman" w:cs="Times New Roman"/>
                <w:color w:val="auto"/>
                <w:sz w:val="15"/>
                <w:szCs w:val="15"/>
                <w:lang w:val="en-US" w:eastAsia="zh-CN"/>
              </w:rPr>
              <w:t>SO2、NO2、CO、O3、PM10、PM2.5</w:t>
            </w:r>
            <w:r>
              <w:rPr>
                <w:rFonts w:ascii="Times New Roman" w:hAnsi="Times New Roman" w:cs="Times New Roman"/>
                <w:color w:val="auto"/>
                <w:sz w:val="15"/>
                <w:szCs w:val="15"/>
              </w:rPr>
              <w:t>）</w:t>
            </w:r>
          </w:p>
          <w:p w14:paraId="2287EE77">
            <w:pPr>
              <w:jc w:val="center"/>
              <w:rPr>
                <w:rFonts w:ascii="Times New Roman" w:hAnsi="Times New Roman" w:cs="Times New Roman"/>
                <w:color w:val="auto"/>
                <w:sz w:val="15"/>
                <w:szCs w:val="15"/>
              </w:rPr>
            </w:pPr>
            <w:r>
              <w:rPr>
                <w:rFonts w:ascii="Times New Roman" w:hAnsi="Times New Roman" w:cs="Times New Roman"/>
                <w:color w:val="auto"/>
                <w:sz w:val="15"/>
                <w:szCs w:val="15"/>
              </w:rPr>
              <w:t>其他污染物（</w:t>
            </w:r>
            <w:r>
              <w:rPr>
                <w:rFonts w:hint="eastAsia" w:ascii="Times New Roman" w:hAnsi="Times New Roman" w:cs="Times New Roman"/>
                <w:color w:val="auto"/>
                <w:sz w:val="15"/>
                <w:szCs w:val="15"/>
              </w:rPr>
              <w:t xml:space="preserve">                            </w:t>
            </w:r>
            <w:r>
              <w:rPr>
                <w:rFonts w:ascii="Times New Roman" w:hAnsi="Times New Roman" w:cs="Times New Roman"/>
                <w:color w:val="auto"/>
                <w:sz w:val="15"/>
                <w:szCs w:val="15"/>
              </w:rPr>
              <w:t>）</w:t>
            </w:r>
          </w:p>
        </w:tc>
        <w:tc>
          <w:tcPr>
            <w:tcW w:w="3157" w:type="dxa"/>
            <w:gridSpan w:val="10"/>
            <w:noWrap w:val="0"/>
            <w:vAlign w:val="center"/>
          </w:tcPr>
          <w:p w14:paraId="5ACAB0BF">
            <w:pPr>
              <w:jc w:val="center"/>
              <w:rPr>
                <w:rFonts w:ascii="Times New Roman" w:hAnsi="Times New Roman" w:cs="Times New Roman"/>
                <w:color w:val="auto"/>
                <w:sz w:val="15"/>
                <w:szCs w:val="15"/>
              </w:rPr>
            </w:pPr>
            <w:r>
              <w:rPr>
                <w:rFonts w:hint="eastAsia" w:ascii="Times New Roman" w:hAnsi="Times New Roman" w:cs="Times New Roman"/>
                <w:color w:val="auto"/>
                <w:sz w:val="15"/>
                <w:szCs w:val="15"/>
              </w:rPr>
              <w:t xml:space="preserve">  </w:t>
            </w:r>
            <w:r>
              <w:rPr>
                <w:rFonts w:ascii="Times New Roman" w:hAnsi="Times New Roman" w:cs="Times New Roman"/>
                <w:color w:val="auto"/>
                <w:sz w:val="15"/>
                <w:szCs w:val="15"/>
              </w:rPr>
              <w:t>包括二次PM2.5□</w:t>
            </w:r>
          </w:p>
          <w:p w14:paraId="52A35361">
            <w:pPr>
              <w:jc w:val="center"/>
              <w:rPr>
                <w:rFonts w:hint="eastAsia" w:ascii="Times New Roman" w:hAnsi="Times New Roman" w:eastAsia="宋体" w:cs="Times New Roman"/>
                <w:color w:val="auto"/>
                <w:sz w:val="15"/>
                <w:szCs w:val="15"/>
                <w:lang w:eastAsia="zh-CN"/>
              </w:rPr>
            </w:pPr>
            <w:r>
              <w:rPr>
                <w:rFonts w:ascii="Times New Roman" w:hAnsi="Times New Roman" w:cs="Times New Roman"/>
                <w:color w:val="auto"/>
                <w:sz w:val="15"/>
                <w:szCs w:val="15"/>
              </w:rPr>
              <w:t>不包括二次PM2.5</w:t>
            </w:r>
            <w:r>
              <w:rPr>
                <w:rFonts w:hint="eastAsia" w:ascii="Times New Roman" w:hAnsi="Times New Roman" w:cs="Times New Roman"/>
                <w:color w:val="auto"/>
                <w:sz w:val="15"/>
                <w:szCs w:val="15"/>
                <w:lang w:eastAsia="zh-CN"/>
              </w:rPr>
              <w:t>☑</w:t>
            </w:r>
          </w:p>
        </w:tc>
      </w:tr>
      <w:tr w14:paraId="63189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noWrap w:val="0"/>
            <w:vAlign w:val="center"/>
          </w:tcPr>
          <w:p w14:paraId="73829D9B">
            <w:pPr>
              <w:jc w:val="center"/>
              <w:rPr>
                <w:color w:val="auto"/>
                <w:sz w:val="15"/>
                <w:szCs w:val="15"/>
              </w:rPr>
            </w:pPr>
            <w:r>
              <w:rPr>
                <w:color w:val="auto"/>
                <w:sz w:val="15"/>
                <w:szCs w:val="15"/>
              </w:rPr>
              <w:t>评价标准</w:t>
            </w:r>
          </w:p>
        </w:tc>
        <w:tc>
          <w:tcPr>
            <w:tcW w:w="1338" w:type="dxa"/>
            <w:noWrap w:val="0"/>
            <w:vAlign w:val="center"/>
          </w:tcPr>
          <w:p w14:paraId="780B45D6">
            <w:pPr>
              <w:jc w:val="center"/>
              <w:rPr>
                <w:color w:val="auto"/>
                <w:sz w:val="15"/>
                <w:szCs w:val="15"/>
              </w:rPr>
            </w:pPr>
            <w:r>
              <w:rPr>
                <w:color w:val="auto"/>
                <w:sz w:val="15"/>
                <w:szCs w:val="15"/>
              </w:rPr>
              <w:t>评价标准</w:t>
            </w:r>
          </w:p>
        </w:tc>
        <w:tc>
          <w:tcPr>
            <w:tcW w:w="1061" w:type="dxa"/>
            <w:gridSpan w:val="3"/>
            <w:noWrap w:val="0"/>
            <w:vAlign w:val="center"/>
          </w:tcPr>
          <w:p w14:paraId="622C6A2C">
            <w:pPr>
              <w:jc w:val="center"/>
              <w:rPr>
                <w:color w:val="auto"/>
                <w:sz w:val="15"/>
                <w:szCs w:val="15"/>
              </w:rPr>
            </w:pPr>
            <w:r>
              <w:rPr>
                <w:color w:val="auto"/>
                <w:sz w:val="15"/>
                <w:szCs w:val="15"/>
              </w:rPr>
              <w:t>国家标准</w:t>
            </w:r>
            <w:r>
              <w:rPr>
                <w:rFonts w:hint="eastAsia" w:ascii="宋体" w:hAnsi="宋体"/>
                <w:color w:val="auto"/>
                <w:sz w:val="15"/>
                <w:szCs w:val="15"/>
              </w:rPr>
              <w:t>☑</w:t>
            </w:r>
          </w:p>
        </w:tc>
        <w:tc>
          <w:tcPr>
            <w:tcW w:w="1354" w:type="dxa"/>
            <w:gridSpan w:val="5"/>
            <w:noWrap w:val="0"/>
            <w:vAlign w:val="center"/>
          </w:tcPr>
          <w:p w14:paraId="5D180E76">
            <w:pPr>
              <w:jc w:val="center"/>
              <w:rPr>
                <w:rFonts w:hint="eastAsia" w:eastAsia="宋体"/>
                <w:color w:val="auto"/>
                <w:sz w:val="15"/>
                <w:szCs w:val="15"/>
                <w:lang w:eastAsia="zh-CN"/>
              </w:rPr>
            </w:pPr>
            <w:r>
              <w:rPr>
                <w:color w:val="auto"/>
                <w:sz w:val="15"/>
                <w:szCs w:val="15"/>
              </w:rPr>
              <w:t>地方标准</w:t>
            </w:r>
            <w:r>
              <w:rPr>
                <w:rFonts w:hint="eastAsia" w:ascii="宋体" w:hAnsi="宋体"/>
                <w:color w:val="auto"/>
                <w:sz w:val="15"/>
                <w:szCs w:val="15"/>
                <w:lang w:eastAsia="zh-CN"/>
              </w:rPr>
              <w:t>□</w:t>
            </w:r>
          </w:p>
        </w:tc>
        <w:tc>
          <w:tcPr>
            <w:tcW w:w="1993" w:type="dxa"/>
            <w:gridSpan w:val="8"/>
            <w:noWrap w:val="0"/>
            <w:vAlign w:val="center"/>
          </w:tcPr>
          <w:p w14:paraId="2A0B26B1">
            <w:pPr>
              <w:jc w:val="center"/>
              <w:rPr>
                <w:rFonts w:hint="eastAsia" w:eastAsia="宋体"/>
                <w:color w:val="auto"/>
                <w:sz w:val="15"/>
                <w:szCs w:val="15"/>
                <w:lang w:eastAsia="zh-CN"/>
              </w:rPr>
            </w:pPr>
            <w:r>
              <w:rPr>
                <w:color w:val="auto"/>
                <w:sz w:val="15"/>
                <w:szCs w:val="15"/>
              </w:rPr>
              <w:t>附录D</w:t>
            </w:r>
            <w:r>
              <w:rPr>
                <w:rFonts w:hint="eastAsia" w:ascii="宋体" w:hAnsi="宋体"/>
                <w:color w:val="auto"/>
                <w:sz w:val="15"/>
                <w:szCs w:val="15"/>
                <w:lang w:eastAsia="zh-CN"/>
              </w:rPr>
              <w:t>□</w:t>
            </w:r>
          </w:p>
        </w:tc>
        <w:tc>
          <w:tcPr>
            <w:tcW w:w="2395" w:type="dxa"/>
            <w:gridSpan w:val="6"/>
            <w:noWrap w:val="0"/>
            <w:vAlign w:val="center"/>
          </w:tcPr>
          <w:p w14:paraId="030D0B02">
            <w:pPr>
              <w:jc w:val="center"/>
              <w:rPr>
                <w:color w:val="auto"/>
                <w:sz w:val="15"/>
                <w:szCs w:val="15"/>
              </w:rPr>
            </w:pPr>
            <w:r>
              <w:rPr>
                <w:color w:val="auto"/>
                <w:sz w:val="15"/>
                <w:szCs w:val="15"/>
              </w:rPr>
              <w:t>其他标准</w:t>
            </w:r>
            <w:r>
              <w:rPr>
                <w:rFonts w:ascii="宋体" w:hAnsi="宋体"/>
                <w:color w:val="auto"/>
                <w:sz w:val="15"/>
                <w:szCs w:val="15"/>
              </w:rPr>
              <w:t>□</w:t>
            </w:r>
          </w:p>
        </w:tc>
      </w:tr>
      <w:tr w14:paraId="7685C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noWrap w:val="0"/>
            <w:vAlign w:val="center"/>
          </w:tcPr>
          <w:p w14:paraId="11EDC3F8">
            <w:pPr>
              <w:jc w:val="center"/>
              <w:rPr>
                <w:color w:val="auto"/>
                <w:sz w:val="15"/>
                <w:szCs w:val="15"/>
              </w:rPr>
            </w:pPr>
            <w:r>
              <w:rPr>
                <w:color w:val="auto"/>
                <w:sz w:val="15"/>
                <w:szCs w:val="15"/>
              </w:rPr>
              <w:t>现状评价</w:t>
            </w:r>
          </w:p>
        </w:tc>
        <w:tc>
          <w:tcPr>
            <w:tcW w:w="1338" w:type="dxa"/>
            <w:noWrap w:val="0"/>
            <w:vAlign w:val="center"/>
          </w:tcPr>
          <w:p w14:paraId="7926A373">
            <w:pPr>
              <w:jc w:val="center"/>
              <w:rPr>
                <w:color w:val="auto"/>
                <w:sz w:val="15"/>
                <w:szCs w:val="15"/>
              </w:rPr>
            </w:pPr>
            <w:r>
              <w:rPr>
                <w:color w:val="auto"/>
                <w:sz w:val="15"/>
                <w:szCs w:val="15"/>
              </w:rPr>
              <w:t>环境功能区</w:t>
            </w:r>
          </w:p>
        </w:tc>
        <w:tc>
          <w:tcPr>
            <w:tcW w:w="1665" w:type="dxa"/>
            <w:gridSpan w:val="5"/>
            <w:noWrap w:val="0"/>
            <w:vAlign w:val="center"/>
          </w:tcPr>
          <w:p w14:paraId="65A7C3E5">
            <w:pPr>
              <w:jc w:val="center"/>
              <w:rPr>
                <w:color w:val="auto"/>
                <w:sz w:val="15"/>
                <w:szCs w:val="15"/>
              </w:rPr>
            </w:pPr>
            <w:r>
              <w:rPr>
                <w:color w:val="auto"/>
                <w:sz w:val="15"/>
                <w:szCs w:val="15"/>
              </w:rPr>
              <w:t>一类区</w:t>
            </w:r>
            <w:r>
              <w:rPr>
                <w:rFonts w:ascii="宋体" w:hAnsi="宋体"/>
                <w:color w:val="auto"/>
                <w:sz w:val="15"/>
                <w:szCs w:val="15"/>
              </w:rPr>
              <w:t>□</w:t>
            </w:r>
          </w:p>
        </w:tc>
        <w:tc>
          <w:tcPr>
            <w:tcW w:w="2127" w:type="dxa"/>
            <w:gridSpan w:val="8"/>
            <w:noWrap w:val="0"/>
            <w:vAlign w:val="center"/>
          </w:tcPr>
          <w:p w14:paraId="2C0F3138">
            <w:pPr>
              <w:jc w:val="center"/>
              <w:rPr>
                <w:color w:val="auto"/>
                <w:sz w:val="15"/>
                <w:szCs w:val="15"/>
              </w:rPr>
            </w:pPr>
            <w:r>
              <w:rPr>
                <w:color w:val="auto"/>
                <w:sz w:val="15"/>
                <w:szCs w:val="15"/>
              </w:rPr>
              <w:t>二类区</w:t>
            </w:r>
            <w:r>
              <w:rPr>
                <w:rFonts w:hint="eastAsia" w:ascii="宋体" w:hAnsi="宋体"/>
                <w:color w:val="auto"/>
                <w:sz w:val="15"/>
                <w:szCs w:val="15"/>
              </w:rPr>
              <w:t>☑</w:t>
            </w:r>
          </w:p>
        </w:tc>
        <w:tc>
          <w:tcPr>
            <w:tcW w:w="3011" w:type="dxa"/>
            <w:gridSpan w:val="9"/>
            <w:noWrap w:val="0"/>
            <w:vAlign w:val="center"/>
          </w:tcPr>
          <w:p w14:paraId="33A39972">
            <w:pPr>
              <w:jc w:val="center"/>
              <w:rPr>
                <w:color w:val="auto"/>
                <w:sz w:val="15"/>
                <w:szCs w:val="15"/>
              </w:rPr>
            </w:pPr>
            <w:r>
              <w:rPr>
                <w:color w:val="auto"/>
                <w:sz w:val="15"/>
                <w:szCs w:val="15"/>
              </w:rPr>
              <w:t>一类区和二类区</w:t>
            </w:r>
            <w:r>
              <w:rPr>
                <w:rFonts w:ascii="宋体" w:hAnsi="宋体"/>
                <w:color w:val="auto"/>
                <w:sz w:val="15"/>
                <w:szCs w:val="15"/>
              </w:rPr>
              <w:t>□</w:t>
            </w:r>
          </w:p>
        </w:tc>
      </w:tr>
      <w:tr w14:paraId="5B29B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3B188B09">
            <w:pPr>
              <w:jc w:val="center"/>
              <w:rPr>
                <w:color w:val="auto"/>
                <w:sz w:val="15"/>
                <w:szCs w:val="15"/>
              </w:rPr>
            </w:pPr>
          </w:p>
        </w:tc>
        <w:tc>
          <w:tcPr>
            <w:tcW w:w="1338" w:type="dxa"/>
            <w:noWrap w:val="0"/>
            <w:vAlign w:val="center"/>
          </w:tcPr>
          <w:p w14:paraId="76CA83FB">
            <w:pPr>
              <w:jc w:val="center"/>
              <w:rPr>
                <w:color w:val="auto"/>
                <w:sz w:val="15"/>
                <w:szCs w:val="15"/>
              </w:rPr>
            </w:pPr>
            <w:r>
              <w:rPr>
                <w:color w:val="auto"/>
                <w:sz w:val="15"/>
                <w:szCs w:val="15"/>
              </w:rPr>
              <w:t>评价基准年</w:t>
            </w:r>
          </w:p>
        </w:tc>
        <w:tc>
          <w:tcPr>
            <w:tcW w:w="6803" w:type="dxa"/>
            <w:gridSpan w:val="22"/>
            <w:noWrap w:val="0"/>
            <w:vAlign w:val="center"/>
          </w:tcPr>
          <w:p w14:paraId="42034B18">
            <w:pPr>
              <w:jc w:val="center"/>
              <w:rPr>
                <w:color w:val="auto"/>
                <w:sz w:val="15"/>
                <w:szCs w:val="15"/>
              </w:rPr>
            </w:pPr>
            <w:r>
              <w:rPr>
                <w:color w:val="auto"/>
                <w:sz w:val="15"/>
                <w:szCs w:val="15"/>
              </w:rPr>
              <w:t>（</w:t>
            </w:r>
            <w:r>
              <w:rPr>
                <w:rFonts w:hint="eastAsia"/>
                <w:color w:val="auto"/>
                <w:sz w:val="15"/>
                <w:szCs w:val="15"/>
              </w:rPr>
              <w:t xml:space="preserve">  201</w:t>
            </w:r>
            <w:r>
              <w:rPr>
                <w:rFonts w:hint="eastAsia"/>
                <w:color w:val="auto"/>
                <w:sz w:val="15"/>
                <w:szCs w:val="15"/>
                <w:lang w:val="en-US" w:eastAsia="zh-CN"/>
              </w:rPr>
              <w:t>9</w:t>
            </w:r>
            <w:r>
              <w:rPr>
                <w:rFonts w:hint="eastAsia"/>
                <w:color w:val="auto"/>
                <w:sz w:val="15"/>
                <w:szCs w:val="15"/>
              </w:rPr>
              <w:t xml:space="preserve">  </w:t>
            </w:r>
            <w:r>
              <w:rPr>
                <w:color w:val="auto"/>
                <w:sz w:val="15"/>
                <w:szCs w:val="15"/>
              </w:rPr>
              <w:t>）年</w:t>
            </w:r>
          </w:p>
        </w:tc>
      </w:tr>
      <w:tr w14:paraId="3EEB6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7B22F1B2">
            <w:pPr>
              <w:jc w:val="center"/>
              <w:rPr>
                <w:color w:val="auto"/>
                <w:sz w:val="15"/>
                <w:szCs w:val="15"/>
              </w:rPr>
            </w:pPr>
          </w:p>
        </w:tc>
        <w:tc>
          <w:tcPr>
            <w:tcW w:w="1338" w:type="dxa"/>
            <w:noWrap w:val="0"/>
            <w:vAlign w:val="center"/>
          </w:tcPr>
          <w:p w14:paraId="75D85422">
            <w:pPr>
              <w:jc w:val="center"/>
              <w:rPr>
                <w:color w:val="auto"/>
                <w:sz w:val="15"/>
                <w:szCs w:val="15"/>
              </w:rPr>
            </w:pPr>
            <w:r>
              <w:rPr>
                <w:color w:val="auto"/>
                <w:sz w:val="15"/>
                <w:szCs w:val="15"/>
              </w:rPr>
              <w:t>环境空气质量现状调查数据来源</w:t>
            </w:r>
          </w:p>
        </w:tc>
        <w:tc>
          <w:tcPr>
            <w:tcW w:w="1665" w:type="dxa"/>
            <w:gridSpan w:val="5"/>
            <w:noWrap w:val="0"/>
            <w:vAlign w:val="center"/>
          </w:tcPr>
          <w:p w14:paraId="12CAC9A9">
            <w:pPr>
              <w:jc w:val="center"/>
              <w:rPr>
                <w:color w:val="auto"/>
                <w:sz w:val="15"/>
                <w:szCs w:val="15"/>
              </w:rPr>
            </w:pPr>
            <w:r>
              <w:rPr>
                <w:color w:val="auto"/>
                <w:sz w:val="15"/>
                <w:szCs w:val="15"/>
              </w:rPr>
              <w:t>长期例行监测数据</w:t>
            </w:r>
            <w:r>
              <w:rPr>
                <w:rFonts w:ascii="宋体" w:hAnsi="宋体"/>
                <w:color w:val="auto"/>
                <w:sz w:val="15"/>
                <w:szCs w:val="15"/>
              </w:rPr>
              <w:t>□</w:t>
            </w:r>
          </w:p>
        </w:tc>
        <w:tc>
          <w:tcPr>
            <w:tcW w:w="2127" w:type="dxa"/>
            <w:gridSpan w:val="8"/>
            <w:noWrap w:val="0"/>
            <w:vAlign w:val="center"/>
          </w:tcPr>
          <w:p w14:paraId="0F4A7BC6">
            <w:pPr>
              <w:jc w:val="center"/>
              <w:rPr>
                <w:color w:val="auto"/>
                <w:sz w:val="15"/>
                <w:szCs w:val="15"/>
              </w:rPr>
            </w:pPr>
            <w:r>
              <w:rPr>
                <w:color w:val="auto"/>
                <w:sz w:val="15"/>
                <w:szCs w:val="15"/>
              </w:rPr>
              <w:t>主管部门发布的数据</w:t>
            </w:r>
            <w:r>
              <w:rPr>
                <w:rFonts w:hint="eastAsia" w:ascii="宋体" w:hAnsi="宋体"/>
                <w:color w:val="auto"/>
                <w:sz w:val="15"/>
                <w:szCs w:val="15"/>
              </w:rPr>
              <w:t>☑</w:t>
            </w:r>
          </w:p>
        </w:tc>
        <w:tc>
          <w:tcPr>
            <w:tcW w:w="3011" w:type="dxa"/>
            <w:gridSpan w:val="9"/>
            <w:noWrap w:val="0"/>
            <w:vAlign w:val="center"/>
          </w:tcPr>
          <w:p w14:paraId="2370289C">
            <w:pPr>
              <w:jc w:val="center"/>
              <w:rPr>
                <w:color w:val="auto"/>
                <w:sz w:val="15"/>
                <w:szCs w:val="15"/>
              </w:rPr>
            </w:pPr>
            <w:r>
              <w:rPr>
                <w:color w:val="auto"/>
                <w:sz w:val="15"/>
                <w:szCs w:val="15"/>
              </w:rPr>
              <w:t>现状补充监测</w:t>
            </w:r>
            <w:r>
              <w:rPr>
                <w:rFonts w:ascii="宋体" w:hAnsi="宋体"/>
                <w:color w:val="auto"/>
                <w:sz w:val="15"/>
                <w:szCs w:val="15"/>
              </w:rPr>
              <w:t>□</w:t>
            </w:r>
          </w:p>
        </w:tc>
      </w:tr>
      <w:tr w14:paraId="19514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503B5EBF">
            <w:pPr>
              <w:jc w:val="center"/>
              <w:rPr>
                <w:color w:val="auto"/>
                <w:sz w:val="15"/>
                <w:szCs w:val="15"/>
              </w:rPr>
            </w:pPr>
          </w:p>
        </w:tc>
        <w:tc>
          <w:tcPr>
            <w:tcW w:w="1338" w:type="dxa"/>
            <w:noWrap w:val="0"/>
            <w:vAlign w:val="center"/>
          </w:tcPr>
          <w:p w14:paraId="78305A54">
            <w:pPr>
              <w:jc w:val="center"/>
              <w:rPr>
                <w:color w:val="auto"/>
                <w:sz w:val="15"/>
                <w:szCs w:val="15"/>
              </w:rPr>
            </w:pPr>
            <w:r>
              <w:rPr>
                <w:color w:val="auto"/>
                <w:sz w:val="15"/>
                <w:szCs w:val="15"/>
              </w:rPr>
              <w:t>现状评价</w:t>
            </w:r>
          </w:p>
        </w:tc>
        <w:tc>
          <w:tcPr>
            <w:tcW w:w="3792" w:type="dxa"/>
            <w:gridSpan w:val="13"/>
            <w:noWrap w:val="0"/>
            <w:vAlign w:val="center"/>
          </w:tcPr>
          <w:p w14:paraId="1C8DD3AB">
            <w:pPr>
              <w:jc w:val="center"/>
              <w:rPr>
                <w:rFonts w:hint="eastAsia" w:eastAsia="宋体"/>
                <w:color w:val="auto"/>
                <w:sz w:val="15"/>
                <w:szCs w:val="15"/>
                <w:lang w:eastAsia="zh-CN"/>
              </w:rPr>
            </w:pPr>
            <w:r>
              <w:rPr>
                <w:color w:val="auto"/>
                <w:sz w:val="15"/>
                <w:szCs w:val="15"/>
              </w:rPr>
              <w:t>达标区</w:t>
            </w:r>
            <w:r>
              <w:rPr>
                <w:rFonts w:hint="eastAsia" w:ascii="宋体" w:hAnsi="宋体"/>
                <w:color w:val="auto"/>
                <w:sz w:val="15"/>
                <w:szCs w:val="15"/>
                <w:lang w:eastAsia="zh-CN"/>
              </w:rPr>
              <w:t>☑</w:t>
            </w:r>
          </w:p>
        </w:tc>
        <w:tc>
          <w:tcPr>
            <w:tcW w:w="3011" w:type="dxa"/>
            <w:gridSpan w:val="9"/>
            <w:noWrap w:val="0"/>
            <w:vAlign w:val="center"/>
          </w:tcPr>
          <w:p w14:paraId="35158F29">
            <w:pPr>
              <w:jc w:val="center"/>
              <w:rPr>
                <w:rFonts w:hint="eastAsia" w:eastAsia="宋体"/>
                <w:color w:val="auto"/>
                <w:sz w:val="15"/>
                <w:szCs w:val="15"/>
                <w:lang w:eastAsia="zh-CN"/>
              </w:rPr>
            </w:pPr>
            <w:r>
              <w:rPr>
                <w:color w:val="auto"/>
                <w:sz w:val="15"/>
                <w:szCs w:val="15"/>
              </w:rPr>
              <w:t>不达标区</w:t>
            </w:r>
            <w:r>
              <w:rPr>
                <w:rFonts w:hint="eastAsia" w:ascii="宋体" w:hAnsi="宋体"/>
                <w:color w:val="auto"/>
                <w:sz w:val="15"/>
                <w:szCs w:val="15"/>
                <w:lang w:eastAsia="zh-CN"/>
              </w:rPr>
              <w:t>□</w:t>
            </w:r>
          </w:p>
        </w:tc>
      </w:tr>
      <w:tr w14:paraId="629FC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noWrap w:val="0"/>
            <w:vAlign w:val="center"/>
          </w:tcPr>
          <w:p w14:paraId="42A8D1C7">
            <w:pPr>
              <w:jc w:val="center"/>
              <w:rPr>
                <w:color w:val="auto"/>
                <w:sz w:val="15"/>
                <w:szCs w:val="15"/>
              </w:rPr>
            </w:pPr>
            <w:r>
              <w:rPr>
                <w:color w:val="auto"/>
                <w:sz w:val="15"/>
                <w:szCs w:val="15"/>
              </w:rPr>
              <w:t>污染源</w:t>
            </w:r>
          </w:p>
          <w:p w14:paraId="11CA37AE">
            <w:pPr>
              <w:jc w:val="center"/>
              <w:rPr>
                <w:color w:val="auto"/>
                <w:sz w:val="15"/>
                <w:szCs w:val="15"/>
              </w:rPr>
            </w:pPr>
            <w:r>
              <w:rPr>
                <w:color w:val="auto"/>
                <w:sz w:val="15"/>
                <w:szCs w:val="15"/>
              </w:rPr>
              <w:t>调查</w:t>
            </w:r>
          </w:p>
        </w:tc>
        <w:tc>
          <w:tcPr>
            <w:tcW w:w="1338" w:type="dxa"/>
            <w:noWrap w:val="0"/>
            <w:vAlign w:val="center"/>
          </w:tcPr>
          <w:p w14:paraId="7B5885BB">
            <w:pPr>
              <w:jc w:val="center"/>
              <w:rPr>
                <w:color w:val="auto"/>
                <w:sz w:val="15"/>
                <w:szCs w:val="15"/>
              </w:rPr>
            </w:pPr>
            <w:r>
              <w:rPr>
                <w:color w:val="auto"/>
                <w:sz w:val="15"/>
                <w:szCs w:val="15"/>
              </w:rPr>
              <w:t>调查内容</w:t>
            </w:r>
          </w:p>
        </w:tc>
        <w:tc>
          <w:tcPr>
            <w:tcW w:w="1799" w:type="dxa"/>
            <w:gridSpan w:val="7"/>
            <w:noWrap w:val="0"/>
            <w:vAlign w:val="center"/>
          </w:tcPr>
          <w:p w14:paraId="040B214B">
            <w:pPr>
              <w:jc w:val="right"/>
              <w:rPr>
                <w:rFonts w:hint="eastAsia" w:eastAsia="宋体"/>
                <w:color w:val="auto"/>
                <w:sz w:val="15"/>
                <w:szCs w:val="15"/>
                <w:lang w:eastAsia="zh-CN"/>
              </w:rPr>
            </w:pPr>
            <w:r>
              <w:rPr>
                <w:color w:val="auto"/>
                <w:sz w:val="15"/>
                <w:szCs w:val="15"/>
              </w:rPr>
              <w:t>本项目正常排放源</w:t>
            </w:r>
            <w:r>
              <w:rPr>
                <w:rFonts w:hint="eastAsia" w:ascii="宋体" w:hAnsi="宋体"/>
                <w:color w:val="auto"/>
                <w:sz w:val="15"/>
                <w:szCs w:val="15"/>
                <w:lang w:eastAsia="zh-CN"/>
              </w:rPr>
              <w:t>☑</w:t>
            </w:r>
          </w:p>
          <w:p w14:paraId="576E5D8D">
            <w:pPr>
              <w:jc w:val="right"/>
              <w:rPr>
                <w:rFonts w:hint="eastAsia" w:ascii="宋体" w:hAnsi="宋体" w:eastAsia="宋体"/>
                <w:color w:val="auto"/>
                <w:sz w:val="15"/>
                <w:szCs w:val="15"/>
                <w:lang w:eastAsia="zh-CN"/>
              </w:rPr>
            </w:pPr>
            <w:r>
              <w:rPr>
                <w:color w:val="auto"/>
                <w:sz w:val="15"/>
                <w:szCs w:val="15"/>
              </w:rPr>
              <w:t>本项目非正常排放源</w:t>
            </w:r>
            <w:r>
              <w:rPr>
                <w:rFonts w:hint="eastAsia" w:ascii="宋体" w:hAnsi="宋体"/>
                <w:color w:val="auto"/>
                <w:sz w:val="15"/>
                <w:szCs w:val="15"/>
                <w:lang w:eastAsia="zh-CN"/>
              </w:rPr>
              <w:t>□</w:t>
            </w:r>
          </w:p>
          <w:p w14:paraId="7A700C43">
            <w:pPr>
              <w:jc w:val="right"/>
              <w:rPr>
                <w:color w:val="auto"/>
                <w:sz w:val="15"/>
                <w:szCs w:val="15"/>
              </w:rPr>
            </w:pPr>
            <w:r>
              <w:rPr>
                <w:color w:val="auto"/>
                <w:sz w:val="15"/>
                <w:szCs w:val="15"/>
              </w:rPr>
              <w:t>现有污染源</w:t>
            </w:r>
            <w:r>
              <w:rPr>
                <w:rFonts w:ascii="宋体" w:hAnsi="宋体"/>
                <w:color w:val="auto"/>
                <w:sz w:val="15"/>
                <w:szCs w:val="15"/>
              </w:rPr>
              <w:t>□</w:t>
            </w:r>
          </w:p>
        </w:tc>
        <w:tc>
          <w:tcPr>
            <w:tcW w:w="1477" w:type="dxa"/>
            <w:gridSpan w:val="4"/>
            <w:noWrap w:val="0"/>
            <w:vAlign w:val="center"/>
          </w:tcPr>
          <w:p w14:paraId="57F333A7">
            <w:pPr>
              <w:jc w:val="center"/>
              <w:rPr>
                <w:color w:val="auto"/>
                <w:sz w:val="15"/>
                <w:szCs w:val="15"/>
              </w:rPr>
            </w:pPr>
            <w:r>
              <w:rPr>
                <w:color w:val="auto"/>
                <w:sz w:val="15"/>
                <w:szCs w:val="15"/>
              </w:rPr>
              <w:t>拟替代的污染源</w:t>
            </w:r>
            <w:r>
              <w:rPr>
                <w:rFonts w:ascii="宋体" w:hAnsi="宋体"/>
                <w:color w:val="auto"/>
                <w:sz w:val="15"/>
                <w:szCs w:val="15"/>
              </w:rPr>
              <w:t>□</w:t>
            </w:r>
          </w:p>
        </w:tc>
        <w:tc>
          <w:tcPr>
            <w:tcW w:w="2092" w:type="dxa"/>
            <w:gridSpan w:val="9"/>
            <w:noWrap w:val="0"/>
            <w:vAlign w:val="center"/>
          </w:tcPr>
          <w:p w14:paraId="47C53C6B">
            <w:pPr>
              <w:jc w:val="center"/>
              <w:rPr>
                <w:color w:val="auto"/>
                <w:sz w:val="15"/>
                <w:szCs w:val="15"/>
              </w:rPr>
            </w:pPr>
            <w:r>
              <w:rPr>
                <w:color w:val="auto"/>
                <w:sz w:val="15"/>
                <w:szCs w:val="15"/>
              </w:rPr>
              <w:t>其他在建、拟建项目</w:t>
            </w:r>
          </w:p>
          <w:p w14:paraId="6C1C446B">
            <w:pPr>
              <w:jc w:val="center"/>
              <w:rPr>
                <w:color w:val="auto"/>
                <w:sz w:val="15"/>
                <w:szCs w:val="15"/>
              </w:rPr>
            </w:pPr>
            <w:r>
              <w:rPr>
                <w:color w:val="auto"/>
                <w:sz w:val="15"/>
                <w:szCs w:val="15"/>
              </w:rPr>
              <w:t>污染源</w:t>
            </w:r>
            <w:r>
              <w:rPr>
                <w:rFonts w:ascii="宋体" w:hAnsi="宋体"/>
                <w:color w:val="auto"/>
                <w:sz w:val="15"/>
                <w:szCs w:val="15"/>
              </w:rPr>
              <w:t>□</w:t>
            </w:r>
          </w:p>
        </w:tc>
        <w:tc>
          <w:tcPr>
            <w:tcW w:w="1435" w:type="dxa"/>
            <w:gridSpan w:val="2"/>
            <w:noWrap w:val="0"/>
            <w:vAlign w:val="center"/>
          </w:tcPr>
          <w:p w14:paraId="2EB6BC26">
            <w:pPr>
              <w:jc w:val="center"/>
              <w:rPr>
                <w:color w:val="auto"/>
                <w:sz w:val="15"/>
                <w:szCs w:val="15"/>
              </w:rPr>
            </w:pPr>
            <w:r>
              <w:rPr>
                <w:color w:val="auto"/>
                <w:sz w:val="15"/>
                <w:szCs w:val="15"/>
              </w:rPr>
              <w:t>区域污染源</w:t>
            </w:r>
            <w:r>
              <w:rPr>
                <w:rFonts w:hint="eastAsia" w:ascii="宋体" w:hAnsi="宋体"/>
                <w:color w:val="auto"/>
                <w:sz w:val="15"/>
                <w:szCs w:val="15"/>
              </w:rPr>
              <w:t>□</w:t>
            </w:r>
          </w:p>
        </w:tc>
      </w:tr>
      <w:tr w14:paraId="27C62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noWrap w:val="0"/>
            <w:vAlign w:val="center"/>
          </w:tcPr>
          <w:p w14:paraId="73E882A7">
            <w:pPr>
              <w:jc w:val="center"/>
              <w:rPr>
                <w:color w:val="auto"/>
                <w:sz w:val="15"/>
                <w:szCs w:val="15"/>
              </w:rPr>
            </w:pPr>
            <w:r>
              <w:rPr>
                <w:color w:val="auto"/>
                <w:sz w:val="15"/>
                <w:szCs w:val="15"/>
              </w:rPr>
              <w:t>大气环境影响预测与评价</w:t>
            </w:r>
          </w:p>
        </w:tc>
        <w:tc>
          <w:tcPr>
            <w:tcW w:w="1338" w:type="dxa"/>
            <w:noWrap w:val="0"/>
            <w:vAlign w:val="center"/>
          </w:tcPr>
          <w:p w14:paraId="7831EC56">
            <w:pPr>
              <w:jc w:val="center"/>
              <w:rPr>
                <w:color w:val="auto"/>
                <w:sz w:val="15"/>
                <w:szCs w:val="15"/>
              </w:rPr>
            </w:pPr>
            <w:r>
              <w:rPr>
                <w:color w:val="auto"/>
                <w:sz w:val="15"/>
                <w:szCs w:val="15"/>
              </w:rPr>
              <w:t>预测模型</w:t>
            </w:r>
          </w:p>
        </w:tc>
        <w:tc>
          <w:tcPr>
            <w:tcW w:w="875" w:type="dxa"/>
            <w:gridSpan w:val="2"/>
            <w:noWrap w:val="0"/>
            <w:vAlign w:val="center"/>
          </w:tcPr>
          <w:p w14:paraId="470EAA4B">
            <w:pPr>
              <w:jc w:val="center"/>
              <w:rPr>
                <w:color w:val="auto"/>
                <w:sz w:val="15"/>
                <w:szCs w:val="15"/>
              </w:rPr>
            </w:pPr>
            <w:r>
              <w:rPr>
                <w:color w:val="auto"/>
                <w:sz w:val="15"/>
                <w:szCs w:val="15"/>
              </w:rPr>
              <w:t>AERMOD</w:t>
            </w:r>
            <w:r>
              <w:rPr>
                <w:rFonts w:ascii="宋体" w:hAnsi="宋体"/>
                <w:color w:val="auto"/>
                <w:sz w:val="15"/>
                <w:szCs w:val="15"/>
              </w:rPr>
              <w:t>□</w:t>
            </w:r>
          </w:p>
        </w:tc>
        <w:tc>
          <w:tcPr>
            <w:tcW w:w="678" w:type="dxa"/>
            <w:gridSpan w:val="2"/>
            <w:noWrap w:val="0"/>
            <w:vAlign w:val="center"/>
          </w:tcPr>
          <w:p w14:paraId="287665E6">
            <w:pPr>
              <w:jc w:val="center"/>
              <w:rPr>
                <w:color w:val="auto"/>
                <w:sz w:val="15"/>
                <w:szCs w:val="15"/>
              </w:rPr>
            </w:pPr>
            <w:r>
              <w:rPr>
                <w:color w:val="auto"/>
                <w:sz w:val="15"/>
                <w:szCs w:val="15"/>
              </w:rPr>
              <w:t>ADMS</w:t>
            </w:r>
            <w:r>
              <w:rPr>
                <w:rFonts w:ascii="宋体" w:hAnsi="宋体"/>
                <w:color w:val="auto"/>
                <w:sz w:val="15"/>
                <w:szCs w:val="15"/>
              </w:rPr>
              <w:t>□</w:t>
            </w:r>
          </w:p>
        </w:tc>
        <w:tc>
          <w:tcPr>
            <w:tcW w:w="1146" w:type="dxa"/>
            <w:gridSpan w:val="6"/>
            <w:noWrap w:val="0"/>
            <w:vAlign w:val="center"/>
          </w:tcPr>
          <w:p w14:paraId="1E2F3D03">
            <w:pPr>
              <w:jc w:val="center"/>
              <w:rPr>
                <w:color w:val="auto"/>
                <w:sz w:val="15"/>
                <w:szCs w:val="15"/>
              </w:rPr>
            </w:pPr>
            <w:r>
              <w:rPr>
                <w:color w:val="auto"/>
                <w:sz w:val="15"/>
                <w:szCs w:val="15"/>
              </w:rPr>
              <w:t>AUSTAL2000</w:t>
            </w:r>
            <w:r>
              <w:rPr>
                <w:rFonts w:ascii="宋体" w:hAnsi="宋体"/>
                <w:color w:val="auto"/>
                <w:sz w:val="15"/>
                <w:szCs w:val="15"/>
              </w:rPr>
              <w:t>□</w:t>
            </w:r>
          </w:p>
        </w:tc>
        <w:tc>
          <w:tcPr>
            <w:tcW w:w="1214" w:type="dxa"/>
            <w:gridSpan w:val="5"/>
            <w:noWrap w:val="0"/>
            <w:vAlign w:val="center"/>
          </w:tcPr>
          <w:p w14:paraId="79C54989">
            <w:pPr>
              <w:jc w:val="center"/>
              <w:rPr>
                <w:color w:val="auto"/>
                <w:sz w:val="15"/>
                <w:szCs w:val="15"/>
              </w:rPr>
            </w:pPr>
            <w:r>
              <w:rPr>
                <w:color w:val="auto"/>
                <w:sz w:val="15"/>
                <w:szCs w:val="15"/>
              </w:rPr>
              <w:t>EDMS/AEDT</w:t>
            </w:r>
            <w:r>
              <w:rPr>
                <w:rFonts w:ascii="宋体" w:hAnsi="宋体"/>
                <w:color w:val="auto"/>
                <w:sz w:val="15"/>
                <w:szCs w:val="15"/>
              </w:rPr>
              <w:t>□</w:t>
            </w:r>
          </w:p>
        </w:tc>
        <w:tc>
          <w:tcPr>
            <w:tcW w:w="997" w:type="dxa"/>
            <w:gridSpan w:val="3"/>
            <w:noWrap w:val="0"/>
            <w:vAlign w:val="center"/>
          </w:tcPr>
          <w:p w14:paraId="114A7477">
            <w:pPr>
              <w:jc w:val="center"/>
              <w:rPr>
                <w:color w:val="auto"/>
                <w:sz w:val="15"/>
                <w:szCs w:val="15"/>
              </w:rPr>
            </w:pPr>
            <w:r>
              <w:rPr>
                <w:color w:val="auto"/>
                <w:sz w:val="15"/>
                <w:szCs w:val="15"/>
              </w:rPr>
              <w:t>CALPUFF</w:t>
            </w:r>
            <w:r>
              <w:rPr>
                <w:rFonts w:ascii="宋体" w:hAnsi="宋体"/>
                <w:color w:val="auto"/>
                <w:sz w:val="15"/>
                <w:szCs w:val="15"/>
              </w:rPr>
              <w:t>□</w:t>
            </w:r>
          </w:p>
        </w:tc>
        <w:tc>
          <w:tcPr>
            <w:tcW w:w="960" w:type="dxa"/>
            <w:gridSpan w:val="3"/>
            <w:noWrap w:val="0"/>
            <w:vAlign w:val="center"/>
          </w:tcPr>
          <w:p w14:paraId="4608E12B">
            <w:pPr>
              <w:jc w:val="center"/>
              <w:rPr>
                <w:color w:val="auto"/>
                <w:sz w:val="15"/>
                <w:szCs w:val="15"/>
              </w:rPr>
            </w:pPr>
            <w:r>
              <w:rPr>
                <w:color w:val="auto"/>
                <w:sz w:val="15"/>
                <w:szCs w:val="15"/>
              </w:rPr>
              <w:t>网格模型</w:t>
            </w:r>
            <w:r>
              <w:rPr>
                <w:rFonts w:ascii="宋体" w:hAnsi="宋体"/>
                <w:color w:val="auto"/>
                <w:sz w:val="15"/>
                <w:szCs w:val="15"/>
              </w:rPr>
              <w:t>□</w:t>
            </w:r>
          </w:p>
        </w:tc>
        <w:tc>
          <w:tcPr>
            <w:tcW w:w="933" w:type="dxa"/>
            <w:noWrap w:val="0"/>
            <w:vAlign w:val="center"/>
          </w:tcPr>
          <w:p w14:paraId="1BD20FF7">
            <w:pPr>
              <w:jc w:val="center"/>
              <w:rPr>
                <w:color w:val="auto"/>
                <w:sz w:val="15"/>
                <w:szCs w:val="15"/>
              </w:rPr>
            </w:pPr>
            <w:r>
              <w:rPr>
                <w:color w:val="auto"/>
                <w:sz w:val="15"/>
                <w:szCs w:val="15"/>
              </w:rPr>
              <w:t>其他</w:t>
            </w:r>
            <w:r>
              <w:rPr>
                <w:rFonts w:ascii="宋体" w:hAnsi="宋体"/>
                <w:color w:val="auto"/>
                <w:sz w:val="15"/>
                <w:szCs w:val="15"/>
              </w:rPr>
              <w:t>□</w:t>
            </w:r>
          </w:p>
        </w:tc>
      </w:tr>
      <w:tr w14:paraId="0C6D0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39ACF98A">
            <w:pPr>
              <w:jc w:val="center"/>
              <w:rPr>
                <w:color w:val="auto"/>
                <w:sz w:val="15"/>
                <w:szCs w:val="15"/>
              </w:rPr>
            </w:pPr>
          </w:p>
        </w:tc>
        <w:tc>
          <w:tcPr>
            <w:tcW w:w="1338" w:type="dxa"/>
            <w:noWrap w:val="0"/>
            <w:vAlign w:val="center"/>
          </w:tcPr>
          <w:p w14:paraId="1BDA7258">
            <w:pPr>
              <w:jc w:val="center"/>
              <w:rPr>
                <w:color w:val="auto"/>
                <w:sz w:val="15"/>
                <w:szCs w:val="15"/>
              </w:rPr>
            </w:pPr>
            <w:r>
              <w:rPr>
                <w:color w:val="auto"/>
                <w:sz w:val="15"/>
                <w:szCs w:val="15"/>
              </w:rPr>
              <w:t>预测范围</w:t>
            </w:r>
          </w:p>
        </w:tc>
        <w:tc>
          <w:tcPr>
            <w:tcW w:w="1665" w:type="dxa"/>
            <w:gridSpan w:val="5"/>
            <w:noWrap w:val="0"/>
            <w:vAlign w:val="center"/>
          </w:tcPr>
          <w:p w14:paraId="300F657C">
            <w:pPr>
              <w:jc w:val="center"/>
              <w:rPr>
                <w:color w:val="auto"/>
                <w:sz w:val="15"/>
                <w:szCs w:val="15"/>
              </w:rPr>
            </w:pPr>
            <w:r>
              <w:rPr>
                <w:color w:val="auto"/>
                <w:sz w:val="15"/>
                <w:szCs w:val="15"/>
              </w:rPr>
              <w:t>边长≥50km</w:t>
            </w:r>
            <w:r>
              <w:rPr>
                <w:rFonts w:ascii="宋体" w:hAnsi="宋体"/>
                <w:color w:val="auto"/>
                <w:sz w:val="15"/>
                <w:szCs w:val="15"/>
              </w:rPr>
              <w:t>□</w:t>
            </w:r>
          </w:p>
        </w:tc>
        <w:tc>
          <w:tcPr>
            <w:tcW w:w="2133" w:type="dxa"/>
            <w:gridSpan w:val="9"/>
            <w:noWrap w:val="0"/>
            <w:vAlign w:val="center"/>
          </w:tcPr>
          <w:p w14:paraId="0C0D0080">
            <w:pPr>
              <w:jc w:val="center"/>
              <w:rPr>
                <w:color w:val="auto"/>
                <w:sz w:val="15"/>
                <w:szCs w:val="15"/>
              </w:rPr>
            </w:pPr>
            <w:r>
              <w:rPr>
                <w:color w:val="auto"/>
                <w:sz w:val="15"/>
                <w:szCs w:val="15"/>
              </w:rPr>
              <w:t>边长5~50km</w:t>
            </w:r>
            <w:r>
              <w:rPr>
                <w:rFonts w:ascii="宋体" w:hAnsi="宋体"/>
                <w:color w:val="auto"/>
                <w:sz w:val="15"/>
                <w:szCs w:val="15"/>
              </w:rPr>
              <w:t>□</w:t>
            </w:r>
          </w:p>
        </w:tc>
        <w:tc>
          <w:tcPr>
            <w:tcW w:w="3005" w:type="dxa"/>
            <w:gridSpan w:val="8"/>
            <w:noWrap w:val="0"/>
            <w:vAlign w:val="center"/>
          </w:tcPr>
          <w:p w14:paraId="6B571774">
            <w:pPr>
              <w:jc w:val="center"/>
              <w:rPr>
                <w:rFonts w:hint="eastAsia" w:eastAsia="宋体"/>
                <w:color w:val="auto"/>
                <w:sz w:val="15"/>
                <w:szCs w:val="15"/>
                <w:lang w:eastAsia="zh-CN"/>
              </w:rPr>
            </w:pPr>
            <w:r>
              <w:rPr>
                <w:color w:val="auto"/>
                <w:sz w:val="15"/>
                <w:szCs w:val="15"/>
              </w:rPr>
              <w:t>边长=5km</w:t>
            </w:r>
            <w:r>
              <w:rPr>
                <w:rFonts w:hint="eastAsia" w:ascii="宋体" w:hAnsi="宋体"/>
                <w:color w:val="auto"/>
                <w:sz w:val="15"/>
                <w:szCs w:val="15"/>
                <w:lang w:eastAsia="zh-CN"/>
              </w:rPr>
              <w:t>□</w:t>
            </w:r>
          </w:p>
        </w:tc>
      </w:tr>
      <w:tr w14:paraId="3146B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1A64FB29">
            <w:pPr>
              <w:jc w:val="center"/>
              <w:rPr>
                <w:color w:val="auto"/>
                <w:sz w:val="15"/>
                <w:szCs w:val="15"/>
              </w:rPr>
            </w:pPr>
          </w:p>
        </w:tc>
        <w:tc>
          <w:tcPr>
            <w:tcW w:w="1338" w:type="dxa"/>
            <w:noWrap w:val="0"/>
            <w:vAlign w:val="center"/>
          </w:tcPr>
          <w:p w14:paraId="7E398515">
            <w:pPr>
              <w:jc w:val="center"/>
              <w:rPr>
                <w:color w:val="auto"/>
                <w:sz w:val="15"/>
                <w:szCs w:val="15"/>
              </w:rPr>
            </w:pPr>
            <w:r>
              <w:rPr>
                <w:color w:val="auto"/>
                <w:sz w:val="15"/>
                <w:szCs w:val="15"/>
              </w:rPr>
              <w:t>预测因子</w:t>
            </w:r>
          </w:p>
        </w:tc>
        <w:tc>
          <w:tcPr>
            <w:tcW w:w="3792" w:type="dxa"/>
            <w:gridSpan w:val="13"/>
            <w:noWrap w:val="0"/>
            <w:vAlign w:val="center"/>
          </w:tcPr>
          <w:p w14:paraId="244318CA">
            <w:pPr>
              <w:jc w:val="center"/>
              <w:rPr>
                <w:color w:val="auto"/>
                <w:sz w:val="15"/>
                <w:szCs w:val="15"/>
              </w:rPr>
            </w:pPr>
            <w:r>
              <w:rPr>
                <w:color w:val="auto"/>
                <w:sz w:val="15"/>
                <w:szCs w:val="15"/>
              </w:rPr>
              <w:t>预测因子（</w:t>
            </w:r>
            <w:r>
              <w:rPr>
                <w:rFonts w:hint="eastAsia"/>
                <w:color w:val="auto"/>
                <w:sz w:val="15"/>
                <w:szCs w:val="15"/>
              </w:rPr>
              <w:t xml:space="preserve">                  </w:t>
            </w:r>
            <w:r>
              <w:rPr>
                <w:color w:val="auto"/>
                <w:sz w:val="15"/>
                <w:szCs w:val="15"/>
              </w:rPr>
              <w:t>）</w:t>
            </w:r>
          </w:p>
        </w:tc>
        <w:tc>
          <w:tcPr>
            <w:tcW w:w="3011" w:type="dxa"/>
            <w:gridSpan w:val="9"/>
            <w:noWrap w:val="0"/>
            <w:vAlign w:val="center"/>
          </w:tcPr>
          <w:p w14:paraId="4513AD9C">
            <w:pPr>
              <w:jc w:val="center"/>
              <w:rPr>
                <w:b/>
                <w:color w:val="auto"/>
                <w:sz w:val="15"/>
                <w:szCs w:val="15"/>
              </w:rPr>
            </w:pPr>
            <w:r>
              <w:rPr>
                <w:color w:val="auto"/>
                <w:sz w:val="15"/>
                <w:szCs w:val="15"/>
              </w:rPr>
              <w:t>包括二次PM2.5</w:t>
            </w:r>
            <w:r>
              <w:rPr>
                <w:rFonts w:ascii="宋体" w:hAnsi="宋体"/>
                <w:color w:val="auto"/>
                <w:sz w:val="15"/>
                <w:szCs w:val="15"/>
              </w:rPr>
              <w:t>□</w:t>
            </w:r>
          </w:p>
          <w:p w14:paraId="2B8232CD">
            <w:pPr>
              <w:jc w:val="center"/>
              <w:rPr>
                <w:color w:val="auto"/>
                <w:sz w:val="15"/>
                <w:szCs w:val="15"/>
              </w:rPr>
            </w:pPr>
            <w:r>
              <w:rPr>
                <w:color w:val="auto"/>
                <w:sz w:val="15"/>
                <w:szCs w:val="15"/>
              </w:rPr>
              <w:t>不包括二次PM2.5</w:t>
            </w:r>
            <w:r>
              <w:rPr>
                <w:rFonts w:ascii="宋体" w:hAnsi="宋体"/>
                <w:color w:val="auto"/>
                <w:sz w:val="15"/>
                <w:szCs w:val="15"/>
              </w:rPr>
              <w:t>□</w:t>
            </w:r>
          </w:p>
        </w:tc>
      </w:tr>
      <w:tr w14:paraId="4AB0D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1B3D21DA">
            <w:pPr>
              <w:jc w:val="center"/>
              <w:rPr>
                <w:color w:val="auto"/>
                <w:sz w:val="15"/>
                <w:szCs w:val="15"/>
              </w:rPr>
            </w:pPr>
          </w:p>
        </w:tc>
        <w:tc>
          <w:tcPr>
            <w:tcW w:w="1338" w:type="dxa"/>
            <w:noWrap w:val="0"/>
            <w:vAlign w:val="center"/>
          </w:tcPr>
          <w:p w14:paraId="41D1C428">
            <w:pPr>
              <w:jc w:val="center"/>
              <w:rPr>
                <w:color w:val="auto"/>
                <w:sz w:val="15"/>
                <w:szCs w:val="15"/>
              </w:rPr>
            </w:pPr>
            <w:r>
              <w:rPr>
                <w:color w:val="auto"/>
                <w:sz w:val="15"/>
                <w:szCs w:val="15"/>
              </w:rPr>
              <w:t>正常排放短期浓度贡献值</w:t>
            </w:r>
          </w:p>
        </w:tc>
        <w:tc>
          <w:tcPr>
            <w:tcW w:w="3792" w:type="dxa"/>
            <w:gridSpan w:val="13"/>
            <w:noWrap w:val="0"/>
            <w:vAlign w:val="center"/>
          </w:tcPr>
          <w:p w14:paraId="191CB7D5">
            <w:pPr>
              <w:jc w:val="center"/>
              <w:rPr>
                <w:color w:val="auto"/>
                <w:sz w:val="15"/>
                <w:szCs w:val="15"/>
              </w:rPr>
            </w:pPr>
            <w:r>
              <w:rPr>
                <w:color w:val="auto"/>
                <w:sz w:val="15"/>
                <w:szCs w:val="15"/>
              </w:rPr>
              <w:t>C</w:t>
            </w:r>
            <w:r>
              <w:rPr>
                <w:color w:val="auto"/>
                <w:sz w:val="15"/>
                <w:szCs w:val="15"/>
                <w:vertAlign w:val="subscript"/>
              </w:rPr>
              <w:t>本项目</w:t>
            </w:r>
            <w:r>
              <w:rPr>
                <w:color w:val="auto"/>
                <w:sz w:val="15"/>
                <w:szCs w:val="15"/>
              </w:rPr>
              <w:t>最大占标率≤100%</w:t>
            </w:r>
            <w:r>
              <w:rPr>
                <w:rFonts w:ascii="宋体" w:hAnsi="宋体"/>
                <w:color w:val="auto"/>
                <w:sz w:val="15"/>
                <w:szCs w:val="15"/>
              </w:rPr>
              <w:t>□</w:t>
            </w:r>
          </w:p>
        </w:tc>
        <w:tc>
          <w:tcPr>
            <w:tcW w:w="3011" w:type="dxa"/>
            <w:gridSpan w:val="9"/>
            <w:noWrap w:val="0"/>
            <w:vAlign w:val="center"/>
          </w:tcPr>
          <w:p w14:paraId="268B831B">
            <w:pPr>
              <w:jc w:val="center"/>
              <w:rPr>
                <w:color w:val="auto"/>
                <w:sz w:val="15"/>
                <w:szCs w:val="15"/>
              </w:rPr>
            </w:pPr>
            <w:r>
              <w:rPr>
                <w:color w:val="auto"/>
                <w:sz w:val="15"/>
                <w:szCs w:val="15"/>
              </w:rPr>
              <w:t>C</w:t>
            </w:r>
            <w:r>
              <w:rPr>
                <w:color w:val="auto"/>
                <w:sz w:val="15"/>
                <w:szCs w:val="15"/>
                <w:vertAlign w:val="subscript"/>
              </w:rPr>
              <w:t>本项目</w:t>
            </w:r>
            <w:r>
              <w:rPr>
                <w:color w:val="auto"/>
                <w:sz w:val="15"/>
                <w:szCs w:val="15"/>
              </w:rPr>
              <w:t>最大占标率＞100%</w:t>
            </w:r>
            <w:r>
              <w:rPr>
                <w:rFonts w:ascii="宋体" w:hAnsi="宋体"/>
                <w:color w:val="auto"/>
                <w:sz w:val="15"/>
                <w:szCs w:val="15"/>
              </w:rPr>
              <w:t>□</w:t>
            </w:r>
          </w:p>
        </w:tc>
      </w:tr>
      <w:tr w14:paraId="1C5AD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593A61C0">
            <w:pPr>
              <w:jc w:val="center"/>
              <w:rPr>
                <w:color w:val="auto"/>
                <w:sz w:val="15"/>
                <w:szCs w:val="15"/>
              </w:rPr>
            </w:pPr>
          </w:p>
        </w:tc>
        <w:tc>
          <w:tcPr>
            <w:tcW w:w="1338" w:type="dxa"/>
            <w:vMerge w:val="restart"/>
            <w:noWrap w:val="0"/>
            <w:vAlign w:val="center"/>
          </w:tcPr>
          <w:p w14:paraId="57B63407">
            <w:pPr>
              <w:jc w:val="center"/>
              <w:rPr>
                <w:color w:val="auto"/>
                <w:sz w:val="15"/>
                <w:szCs w:val="15"/>
              </w:rPr>
            </w:pPr>
            <w:r>
              <w:rPr>
                <w:color w:val="auto"/>
                <w:sz w:val="15"/>
                <w:szCs w:val="15"/>
              </w:rPr>
              <w:t>正常排放年均浓度贡献值</w:t>
            </w:r>
          </w:p>
        </w:tc>
        <w:tc>
          <w:tcPr>
            <w:tcW w:w="795" w:type="dxa"/>
            <w:noWrap w:val="0"/>
            <w:vAlign w:val="center"/>
          </w:tcPr>
          <w:p w14:paraId="5CBCFB06">
            <w:pPr>
              <w:jc w:val="center"/>
              <w:rPr>
                <w:color w:val="auto"/>
                <w:sz w:val="15"/>
                <w:szCs w:val="15"/>
              </w:rPr>
            </w:pPr>
            <w:r>
              <w:rPr>
                <w:color w:val="auto"/>
                <w:sz w:val="15"/>
                <w:szCs w:val="15"/>
              </w:rPr>
              <w:t>一类区</w:t>
            </w:r>
          </w:p>
        </w:tc>
        <w:tc>
          <w:tcPr>
            <w:tcW w:w="3003" w:type="dxa"/>
            <w:gridSpan w:val="13"/>
            <w:noWrap w:val="0"/>
            <w:vAlign w:val="center"/>
          </w:tcPr>
          <w:p w14:paraId="3AE2D7A2">
            <w:pPr>
              <w:jc w:val="center"/>
              <w:rPr>
                <w:color w:val="auto"/>
                <w:sz w:val="15"/>
                <w:szCs w:val="15"/>
              </w:rPr>
            </w:pPr>
            <w:r>
              <w:rPr>
                <w:color w:val="auto"/>
                <w:sz w:val="15"/>
                <w:szCs w:val="15"/>
              </w:rPr>
              <w:t>C</w:t>
            </w:r>
            <w:r>
              <w:rPr>
                <w:color w:val="auto"/>
                <w:sz w:val="15"/>
                <w:szCs w:val="15"/>
                <w:vertAlign w:val="subscript"/>
              </w:rPr>
              <w:t>本项目</w:t>
            </w:r>
            <w:r>
              <w:rPr>
                <w:color w:val="auto"/>
                <w:sz w:val="15"/>
                <w:szCs w:val="15"/>
              </w:rPr>
              <w:t>最大占标率≤10%</w:t>
            </w:r>
            <w:r>
              <w:rPr>
                <w:rFonts w:ascii="宋体" w:hAnsi="宋体"/>
                <w:color w:val="auto"/>
                <w:sz w:val="15"/>
                <w:szCs w:val="15"/>
              </w:rPr>
              <w:t>□</w:t>
            </w:r>
          </w:p>
        </w:tc>
        <w:tc>
          <w:tcPr>
            <w:tcW w:w="3005" w:type="dxa"/>
            <w:gridSpan w:val="8"/>
            <w:noWrap w:val="0"/>
            <w:vAlign w:val="center"/>
          </w:tcPr>
          <w:p w14:paraId="4266671F">
            <w:pPr>
              <w:jc w:val="center"/>
              <w:rPr>
                <w:color w:val="auto"/>
                <w:sz w:val="15"/>
                <w:szCs w:val="15"/>
              </w:rPr>
            </w:pPr>
            <w:r>
              <w:rPr>
                <w:color w:val="auto"/>
                <w:sz w:val="15"/>
                <w:szCs w:val="15"/>
              </w:rPr>
              <w:t>C</w:t>
            </w:r>
            <w:r>
              <w:rPr>
                <w:color w:val="auto"/>
                <w:sz w:val="15"/>
                <w:szCs w:val="15"/>
                <w:vertAlign w:val="subscript"/>
              </w:rPr>
              <w:t>本项目</w:t>
            </w:r>
            <w:r>
              <w:rPr>
                <w:color w:val="auto"/>
                <w:sz w:val="15"/>
                <w:szCs w:val="15"/>
              </w:rPr>
              <w:t>最大占标率＞10%</w:t>
            </w:r>
            <w:r>
              <w:rPr>
                <w:rFonts w:ascii="宋体" w:hAnsi="宋体"/>
                <w:color w:val="auto"/>
                <w:sz w:val="15"/>
                <w:szCs w:val="15"/>
              </w:rPr>
              <w:t>□</w:t>
            </w:r>
          </w:p>
        </w:tc>
      </w:tr>
      <w:tr w14:paraId="4BFF4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69FB4F29">
            <w:pPr>
              <w:jc w:val="center"/>
              <w:rPr>
                <w:color w:val="auto"/>
                <w:sz w:val="15"/>
                <w:szCs w:val="15"/>
              </w:rPr>
            </w:pPr>
          </w:p>
        </w:tc>
        <w:tc>
          <w:tcPr>
            <w:tcW w:w="1338" w:type="dxa"/>
            <w:vMerge w:val="continue"/>
            <w:noWrap w:val="0"/>
            <w:vAlign w:val="center"/>
          </w:tcPr>
          <w:p w14:paraId="256196F3">
            <w:pPr>
              <w:jc w:val="center"/>
              <w:rPr>
                <w:color w:val="auto"/>
                <w:sz w:val="15"/>
                <w:szCs w:val="15"/>
              </w:rPr>
            </w:pPr>
          </w:p>
        </w:tc>
        <w:tc>
          <w:tcPr>
            <w:tcW w:w="795" w:type="dxa"/>
            <w:noWrap w:val="0"/>
            <w:vAlign w:val="center"/>
          </w:tcPr>
          <w:p w14:paraId="46E131CA">
            <w:pPr>
              <w:jc w:val="center"/>
              <w:rPr>
                <w:color w:val="auto"/>
                <w:sz w:val="15"/>
                <w:szCs w:val="15"/>
              </w:rPr>
            </w:pPr>
            <w:r>
              <w:rPr>
                <w:color w:val="auto"/>
                <w:sz w:val="15"/>
                <w:szCs w:val="15"/>
              </w:rPr>
              <w:t>二类区</w:t>
            </w:r>
          </w:p>
        </w:tc>
        <w:tc>
          <w:tcPr>
            <w:tcW w:w="3003" w:type="dxa"/>
            <w:gridSpan w:val="13"/>
            <w:noWrap w:val="0"/>
            <w:vAlign w:val="center"/>
          </w:tcPr>
          <w:p w14:paraId="27730443">
            <w:pPr>
              <w:jc w:val="center"/>
              <w:rPr>
                <w:color w:val="auto"/>
                <w:sz w:val="15"/>
                <w:szCs w:val="15"/>
              </w:rPr>
            </w:pPr>
            <w:r>
              <w:rPr>
                <w:color w:val="auto"/>
                <w:sz w:val="15"/>
                <w:szCs w:val="15"/>
              </w:rPr>
              <w:t>C</w:t>
            </w:r>
            <w:r>
              <w:rPr>
                <w:color w:val="auto"/>
                <w:sz w:val="15"/>
                <w:szCs w:val="15"/>
                <w:vertAlign w:val="subscript"/>
              </w:rPr>
              <w:t>本项目</w:t>
            </w:r>
            <w:r>
              <w:rPr>
                <w:color w:val="auto"/>
                <w:sz w:val="15"/>
                <w:szCs w:val="15"/>
              </w:rPr>
              <w:t>最大占标率≤30%</w:t>
            </w:r>
            <w:r>
              <w:rPr>
                <w:rFonts w:ascii="宋体" w:hAnsi="宋体"/>
                <w:color w:val="auto"/>
                <w:sz w:val="15"/>
                <w:szCs w:val="15"/>
              </w:rPr>
              <w:t>□</w:t>
            </w:r>
          </w:p>
        </w:tc>
        <w:tc>
          <w:tcPr>
            <w:tcW w:w="3005" w:type="dxa"/>
            <w:gridSpan w:val="8"/>
            <w:noWrap w:val="0"/>
            <w:vAlign w:val="center"/>
          </w:tcPr>
          <w:p w14:paraId="5900C648">
            <w:pPr>
              <w:jc w:val="center"/>
              <w:rPr>
                <w:color w:val="auto"/>
                <w:sz w:val="15"/>
                <w:szCs w:val="15"/>
              </w:rPr>
            </w:pPr>
            <w:r>
              <w:rPr>
                <w:color w:val="auto"/>
                <w:sz w:val="15"/>
                <w:szCs w:val="15"/>
              </w:rPr>
              <w:t>C</w:t>
            </w:r>
            <w:r>
              <w:rPr>
                <w:color w:val="auto"/>
                <w:sz w:val="15"/>
                <w:szCs w:val="15"/>
                <w:vertAlign w:val="subscript"/>
              </w:rPr>
              <w:t>本项目</w:t>
            </w:r>
            <w:r>
              <w:rPr>
                <w:color w:val="auto"/>
                <w:sz w:val="15"/>
                <w:szCs w:val="15"/>
              </w:rPr>
              <w:t>最大占标率＞30%</w:t>
            </w:r>
            <w:r>
              <w:rPr>
                <w:rFonts w:ascii="宋体" w:hAnsi="宋体"/>
                <w:color w:val="auto"/>
                <w:sz w:val="15"/>
                <w:szCs w:val="15"/>
              </w:rPr>
              <w:t>□</w:t>
            </w:r>
          </w:p>
        </w:tc>
      </w:tr>
      <w:tr w14:paraId="2D7A8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57487F31">
            <w:pPr>
              <w:jc w:val="center"/>
              <w:rPr>
                <w:color w:val="auto"/>
                <w:sz w:val="15"/>
                <w:szCs w:val="15"/>
              </w:rPr>
            </w:pPr>
          </w:p>
        </w:tc>
        <w:tc>
          <w:tcPr>
            <w:tcW w:w="1338" w:type="dxa"/>
            <w:noWrap w:val="0"/>
            <w:vAlign w:val="center"/>
          </w:tcPr>
          <w:p w14:paraId="79CEF9E4">
            <w:pPr>
              <w:jc w:val="center"/>
              <w:rPr>
                <w:color w:val="auto"/>
                <w:sz w:val="15"/>
                <w:szCs w:val="15"/>
              </w:rPr>
            </w:pPr>
            <w:r>
              <w:rPr>
                <w:color w:val="auto"/>
                <w:sz w:val="15"/>
                <w:szCs w:val="15"/>
              </w:rPr>
              <w:t>非正常排放1h浓度贡献值</w:t>
            </w:r>
          </w:p>
        </w:tc>
        <w:tc>
          <w:tcPr>
            <w:tcW w:w="1553" w:type="dxa"/>
            <w:gridSpan w:val="4"/>
            <w:noWrap w:val="0"/>
            <w:vAlign w:val="center"/>
          </w:tcPr>
          <w:p w14:paraId="1839D691">
            <w:pPr>
              <w:jc w:val="center"/>
              <w:rPr>
                <w:color w:val="auto"/>
                <w:sz w:val="15"/>
                <w:szCs w:val="15"/>
              </w:rPr>
            </w:pPr>
            <w:r>
              <w:rPr>
                <w:color w:val="auto"/>
                <w:sz w:val="15"/>
                <w:szCs w:val="15"/>
              </w:rPr>
              <w:t>非正常持续时长</w:t>
            </w:r>
          </w:p>
          <w:p w14:paraId="68BAF54B">
            <w:pPr>
              <w:jc w:val="center"/>
              <w:rPr>
                <w:color w:val="auto"/>
                <w:sz w:val="15"/>
                <w:szCs w:val="15"/>
              </w:rPr>
            </w:pPr>
            <w:r>
              <w:rPr>
                <w:color w:val="auto"/>
                <w:sz w:val="15"/>
                <w:szCs w:val="15"/>
              </w:rPr>
              <w:t>（）h</w:t>
            </w:r>
          </w:p>
        </w:tc>
        <w:tc>
          <w:tcPr>
            <w:tcW w:w="2245" w:type="dxa"/>
            <w:gridSpan w:val="10"/>
            <w:noWrap w:val="0"/>
            <w:vAlign w:val="center"/>
          </w:tcPr>
          <w:p w14:paraId="17653722">
            <w:pPr>
              <w:jc w:val="center"/>
              <w:rPr>
                <w:color w:val="auto"/>
                <w:sz w:val="15"/>
                <w:szCs w:val="15"/>
              </w:rPr>
            </w:pPr>
            <w:r>
              <w:rPr>
                <w:color w:val="auto"/>
                <w:sz w:val="15"/>
                <w:szCs w:val="15"/>
              </w:rPr>
              <w:t>c</w:t>
            </w:r>
            <w:r>
              <w:rPr>
                <w:color w:val="auto"/>
                <w:sz w:val="15"/>
                <w:szCs w:val="15"/>
                <w:vertAlign w:val="subscript"/>
              </w:rPr>
              <w:t>非正常</w:t>
            </w:r>
            <w:r>
              <w:rPr>
                <w:color w:val="auto"/>
                <w:sz w:val="15"/>
                <w:szCs w:val="15"/>
              </w:rPr>
              <w:t>占标率≤100%</w:t>
            </w:r>
            <w:r>
              <w:rPr>
                <w:rFonts w:ascii="宋体" w:hAnsi="宋体"/>
                <w:color w:val="auto"/>
                <w:sz w:val="15"/>
                <w:szCs w:val="15"/>
              </w:rPr>
              <w:t>□</w:t>
            </w:r>
          </w:p>
        </w:tc>
        <w:tc>
          <w:tcPr>
            <w:tcW w:w="3005" w:type="dxa"/>
            <w:gridSpan w:val="8"/>
            <w:noWrap w:val="0"/>
            <w:vAlign w:val="center"/>
          </w:tcPr>
          <w:p w14:paraId="443572D8">
            <w:pPr>
              <w:jc w:val="center"/>
              <w:rPr>
                <w:color w:val="auto"/>
                <w:sz w:val="15"/>
                <w:szCs w:val="15"/>
              </w:rPr>
            </w:pPr>
            <w:r>
              <w:rPr>
                <w:color w:val="auto"/>
                <w:sz w:val="15"/>
                <w:szCs w:val="15"/>
              </w:rPr>
              <w:t>c</w:t>
            </w:r>
            <w:r>
              <w:rPr>
                <w:color w:val="auto"/>
                <w:sz w:val="15"/>
                <w:szCs w:val="15"/>
                <w:vertAlign w:val="subscript"/>
              </w:rPr>
              <w:t>非正常</w:t>
            </w:r>
            <w:r>
              <w:rPr>
                <w:color w:val="auto"/>
                <w:sz w:val="15"/>
                <w:szCs w:val="15"/>
              </w:rPr>
              <w:t>占标率＞100%</w:t>
            </w:r>
            <w:r>
              <w:rPr>
                <w:rFonts w:ascii="宋体" w:hAnsi="宋体"/>
                <w:color w:val="auto"/>
                <w:sz w:val="15"/>
                <w:szCs w:val="15"/>
              </w:rPr>
              <w:t>□</w:t>
            </w:r>
          </w:p>
        </w:tc>
      </w:tr>
      <w:tr w14:paraId="10D61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28EB7173">
            <w:pPr>
              <w:jc w:val="center"/>
              <w:rPr>
                <w:color w:val="auto"/>
                <w:sz w:val="15"/>
                <w:szCs w:val="15"/>
              </w:rPr>
            </w:pPr>
          </w:p>
        </w:tc>
        <w:tc>
          <w:tcPr>
            <w:tcW w:w="1338" w:type="dxa"/>
            <w:noWrap w:val="0"/>
            <w:vAlign w:val="center"/>
          </w:tcPr>
          <w:p w14:paraId="68FC272F">
            <w:pPr>
              <w:jc w:val="center"/>
              <w:rPr>
                <w:color w:val="auto"/>
                <w:sz w:val="15"/>
                <w:szCs w:val="15"/>
              </w:rPr>
            </w:pPr>
            <w:r>
              <w:rPr>
                <w:color w:val="auto"/>
                <w:sz w:val="15"/>
                <w:szCs w:val="15"/>
              </w:rPr>
              <w:t>保证率日平均浓度和年平均浓度叠加值</w:t>
            </w:r>
          </w:p>
        </w:tc>
        <w:tc>
          <w:tcPr>
            <w:tcW w:w="3792" w:type="dxa"/>
            <w:gridSpan w:val="13"/>
            <w:noWrap w:val="0"/>
            <w:vAlign w:val="center"/>
          </w:tcPr>
          <w:p w14:paraId="7F670614">
            <w:pPr>
              <w:jc w:val="center"/>
              <w:rPr>
                <w:color w:val="auto"/>
                <w:sz w:val="15"/>
                <w:szCs w:val="15"/>
              </w:rPr>
            </w:pPr>
            <w:r>
              <w:rPr>
                <w:color w:val="auto"/>
                <w:sz w:val="15"/>
                <w:szCs w:val="15"/>
              </w:rPr>
              <w:t>C</w:t>
            </w:r>
            <w:r>
              <w:rPr>
                <w:color w:val="auto"/>
                <w:sz w:val="15"/>
                <w:szCs w:val="15"/>
                <w:vertAlign w:val="subscript"/>
              </w:rPr>
              <w:t>叠加</w:t>
            </w:r>
            <w:r>
              <w:rPr>
                <w:color w:val="auto"/>
                <w:sz w:val="15"/>
                <w:szCs w:val="15"/>
              </w:rPr>
              <w:t>达标</w:t>
            </w:r>
            <w:r>
              <w:rPr>
                <w:rFonts w:ascii="宋体" w:hAnsi="宋体"/>
                <w:color w:val="auto"/>
                <w:sz w:val="15"/>
                <w:szCs w:val="15"/>
              </w:rPr>
              <w:t>□</w:t>
            </w:r>
          </w:p>
        </w:tc>
        <w:tc>
          <w:tcPr>
            <w:tcW w:w="3011" w:type="dxa"/>
            <w:gridSpan w:val="9"/>
            <w:noWrap w:val="0"/>
            <w:vAlign w:val="center"/>
          </w:tcPr>
          <w:p w14:paraId="27A20201">
            <w:pPr>
              <w:jc w:val="center"/>
              <w:rPr>
                <w:color w:val="auto"/>
                <w:sz w:val="15"/>
                <w:szCs w:val="15"/>
              </w:rPr>
            </w:pPr>
            <w:r>
              <w:rPr>
                <w:color w:val="auto"/>
                <w:sz w:val="15"/>
                <w:szCs w:val="15"/>
              </w:rPr>
              <w:t>C</w:t>
            </w:r>
            <w:r>
              <w:rPr>
                <w:color w:val="auto"/>
                <w:sz w:val="15"/>
                <w:szCs w:val="15"/>
                <w:vertAlign w:val="subscript"/>
              </w:rPr>
              <w:t>叠加</w:t>
            </w:r>
            <w:r>
              <w:rPr>
                <w:color w:val="auto"/>
                <w:sz w:val="15"/>
                <w:szCs w:val="15"/>
              </w:rPr>
              <w:t>不达标</w:t>
            </w:r>
            <w:r>
              <w:rPr>
                <w:rFonts w:ascii="宋体" w:hAnsi="宋体"/>
                <w:color w:val="auto"/>
                <w:sz w:val="15"/>
                <w:szCs w:val="15"/>
              </w:rPr>
              <w:t>□</w:t>
            </w:r>
          </w:p>
        </w:tc>
      </w:tr>
      <w:tr w14:paraId="4C316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2AFA31C7">
            <w:pPr>
              <w:jc w:val="center"/>
              <w:rPr>
                <w:color w:val="auto"/>
                <w:sz w:val="15"/>
                <w:szCs w:val="15"/>
              </w:rPr>
            </w:pPr>
          </w:p>
        </w:tc>
        <w:tc>
          <w:tcPr>
            <w:tcW w:w="1338" w:type="dxa"/>
            <w:noWrap w:val="0"/>
            <w:vAlign w:val="center"/>
          </w:tcPr>
          <w:p w14:paraId="27784E6E">
            <w:pPr>
              <w:jc w:val="center"/>
              <w:rPr>
                <w:color w:val="auto"/>
                <w:sz w:val="15"/>
                <w:szCs w:val="15"/>
              </w:rPr>
            </w:pPr>
            <w:r>
              <w:rPr>
                <w:color w:val="auto"/>
                <w:sz w:val="15"/>
                <w:szCs w:val="15"/>
              </w:rPr>
              <w:t>区域环境质量的整体变化情况</w:t>
            </w:r>
          </w:p>
        </w:tc>
        <w:tc>
          <w:tcPr>
            <w:tcW w:w="3792" w:type="dxa"/>
            <w:gridSpan w:val="13"/>
            <w:noWrap w:val="0"/>
            <w:vAlign w:val="center"/>
          </w:tcPr>
          <w:p w14:paraId="30AC0D28">
            <w:pPr>
              <w:jc w:val="center"/>
              <w:rPr>
                <w:color w:val="auto"/>
                <w:sz w:val="15"/>
                <w:szCs w:val="15"/>
              </w:rPr>
            </w:pPr>
            <w:r>
              <w:rPr>
                <w:color w:val="auto"/>
                <w:sz w:val="15"/>
                <w:szCs w:val="15"/>
              </w:rPr>
              <w:t>k≤-20%</w:t>
            </w:r>
            <w:r>
              <w:rPr>
                <w:rFonts w:ascii="宋体" w:hAnsi="宋体"/>
                <w:color w:val="auto"/>
                <w:sz w:val="15"/>
                <w:szCs w:val="15"/>
              </w:rPr>
              <w:t>□</w:t>
            </w:r>
          </w:p>
        </w:tc>
        <w:tc>
          <w:tcPr>
            <w:tcW w:w="3011" w:type="dxa"/>
            <w:gridSpan w:val="9"/>
            <w:noWrap w:val="0"/>
            <w:vAlign w:val="center"/>
          </w:tcPr>
          <w:p w14:paraId="2F9FD9B7">
            <w:pPr>
              <w:jc w:val="center"/>
              <w:rPr>
                <w:color w:val="auto"/>
                <w:sz w:val="15"/>
                <w:szCs w:val="15"/>
              </w:rPr>
            </w:pPr>
            <w:r>
              <w:rPr>
                <w:color w:val="auto"/>
                <w:sz w:val="15"/>
                <w:szCs w:val="15"/>
              </w:rPr>
              <w:t>k＞-20%</w:t>
            </w:r>
            <w:r>
              <w:rPr>
                <w:rFonts w:ascii="宋体" w:hAnsi="宋体"/>
                <w:color w:val="auto"/>
                <w:sz w:val="15"/>
                <w:szCs w:val="15"/>
              </w:rPr>
              <w:t>□</w:t>
            </w:r>
          </w:p>
        </w:tc>
      </w:tr>
      <w:tr w14:paraId="7F64E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noWrap w:val="0"/>
            <w:vAlign w:val="center"/>
          </w:tcPr>
          <w:p w14:paraId="5A1FE1A6">
            <w:pPr>
              <w:jc w:val="center"/>
              <w:rPr>
                <w:color w:val="auto"/>
                <w:sz w:val="15"/>
                <w:szCs w:val="15"/>
              </w:rPr>
            </w:pPr>
            <w:r>
              <w:rPr>
                <w:color w:val="auto"/>
                <w:sz w:val="15"/>
                <w:szCs w:val="15"/>
              </w:rPr>
              <w:t>环境监测计划</w:t>
            </w:r>
          </w:p>
        </w:tc>
        <w:tc>
          <w:tcPr>
            <w:tcW w:w="1338" w:type="dxa"/>
            <w:noWrap w:val="0"/>
            <w:vAlign w:val="center"/>
          </w:tcPr>
          <w:p w14:paraId="6F63CFF5">
            <w:pPr>
              <w:jc w:val="center"/>
              <w:rPr>
                <w:color w:val="auto"/>
                <w:sz w:val="15"/>
                <w:szCs w:val="15"/>
              </w:rPr>
            </w:pPr>
            <w:r>
              <w:rPr>
                <w:color w:val="auto"/>
                <w:sz w:val="15"/>
                <w:szCs w:val="15"/>
              </w:rPr>
              <w:t>污染源监测</w:t>
            </w:r>
          </w:p>
        </w:tc>
        <w:tc>
          <w:tcPr>
            <w:tcW w:w="2661" w:type="dxa"/>
            <w:gridSpan w:val="9"/>
            <w:noWrap w:val="0"/>
            <w:vAlign w:val="center"/>
          </w:tcPr>
          <w:p w14:paraId="0C389BF9">
            <w:pPr>
              <w:jc w:val="center"/>
              <w:rPr>
                <w:color w:val="auto"/>
                <w:sz w:val="15"/>
                <w:szCs w:val="15"/>
              </w:rPr>
            </w:pPr>
            <w:r>
              <w:rPr>
                <w:color w:val="auto"/>
                <w:sz w:val="15"/>
                <w:szCs w:val="15"/>
              </w:rPr>
              <w:t>监测因子：</w:t>
            </w:r>
            <w:r>
              <w:rPr>
                <w:rFonts w:ascii="Times New Roman" w:hAnsi="Times New Roman" w:cs="Times New Roman"/>
                <w:color w:val="auto"/>
                <w:sz w:val="15"/>
                <w:szCs w:val="15"/>
              </w:rPr>
              <w:t>（</w:t>
            </w:r>
            <w:r>
              <w:rPr>
                <w:rFonts w:hint="default" w:ascii="Times New Roman" w:hAnsi="Times New Roman" w:cs="Times New Roman"/>
                <w:color w:val="auto"/>
                <w:sz w:val="15"/>
                <w:szCs w:val="15"/>
                <w:lang w:val="en-US" w:eastAsia="zh-CN"/>
              </w:rPr>
              <w:t>TSP</w:t>
            </w:r>
            <w:r>
              <w:rPr>
                <w:rFonts w:ascii="Times New Roman" w:hAnsi="Times New Roman" w:cs="Times New Roman"/>
                <w:color w:val="auto"/>
                <w:sz w:val="15"/>
                <w:szCs w:val="15"/>
              </w:rPr>
              <w:t>）</w:t>
            </w:r>
          </w:p>
        </w:tc>
        <w:tc>
          <w:tcPr>
            <w:tcW w:w="1846" w:type="dxa"/>
            <w:gridSpan w:val="8"/>
            <w:noWrap w:val="0"/>
            <w:vAlign w:val="center"/>
          </w:tcPr>
          <w:p w14:paraId="1D40410B">
            <w:pPr>
              <w:jc w:val="center"/>
              <w:rPr>
                <w:rFonts w:hint="eastAsia" w:eastAsia="宋体"/>
                <w:color w:val="auto"/>
                <w:sz w:val="15"/>
                <w:szCs w:val="15"/>
                <w:lang w:eastAsia="zh-CN"/>
              </w:rPr>
            </w:pPr>
            <w:r>
              <w:rPr>
                <w:color w:val="auto"/>
                <w:sz w:val="15"/>
                <w:szCs w:val="15"/>
              </w:rPr>
              <w:t>有组织废气监测</w:t>
            </w:r>
            <w:r>
              <w:rPr>
                <w:rFonts w:hint="eastAsia" w:ascii="宋体" w:hAnsi="宋体"/>
                <w:color w:val="auto"/>
                <w:sz w:val="15"/>
                <w:szCs w:val="15"/>
                <w:lang w:eastAsia="zh-CN"/>
              </w:rPr>
              <w:t>☑</w:t>
            </w:r>
          </w:p>
          <w:p w14:paraId="486BA17B">
            <w:pPr>
              <w:jc w:val="center"/>
              <w:rPr>
                <w:color w:val="auto"/>
                <w:sz w:val="15"/>
                <w:szCs w:val="15"/>
              </w:rPr>
            </w:pPr>
            <w:r>
              <w:rPr>
                <w:color w:val="auto"/>
                <w:sz w:val="15"/>
                <w:szCs w:val="15"/>
              </w:rPr>
              <w:t>无组织废气监测</w:t>
            </w:r>
            <w:r>
              <w:rPr>
                <w:rFonts w:hint="eastAsia" w:ascii="宋体" w:hAnsi="宋体"/>
                <w:color w:val="auto"/>
                <w:sz w:val="15"/>
                <w:szCs w:val="15"/>
              </w:rPr>
              <w:t>☑</w:t>
            </w:r>
          </w:p>
        </w:tc>
        <w:tc>
          <w:tcPr>
            <w:tcW w:w="2296" w:type="dxa"/>
            <w:gridSpan w:val="5"/>
            <w:noWrap w:val="0"/>
            <w:vAlign w:val="center"/>
          </w:tcPr>
          <w:p w14:paraId="05E2F45E">
            <w:pPr>
              <w:jc w:val="center"/>
              <w:rPr>
                <w:color w:val="auto"/>
                <w:sz w:val="15"/>
                <w:szCs w:val="15"/>
              </w:rPr>
            </w:pPr>
            <w:r>
              <w:rPr>
                <w:color w:val="auto"/>
                <w:sz w:val="15"/>
                <w:szCs w:val="15"/>
              </w:rPr>
              <w:t>无监测</w:t>
            </w:r>
            <w:r>
              <w:rPr>
                <w:rFonts w:ascii="宋体" w:hAnsi="宋体"/>
                <w:color w:val="auto"/>
                <w:sz w:val="15"/>
                <w:szCs w:val="15"/>
              </w:rPr>
              <w:t>□</w:t>
            </w:r>
          </w:p>
        </w:tc>
      </w:tr>
      <w:tr w14:paraId="7A20E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4E51FEC2">
            <w:pPr>
              <w:jc w:val="center"/>
              <w:rPr>
                <w:color w:val="auto"/>
                <w:sz w:val="15"/>
                <w:szCs w:val="15"/>
              </w:rPr>
            </w:pPr>
          </w:p>
        </w:tc>
        <w:tc>
          <w:tcPr>
            <w:tcW w:w="1338" w:type="dxa"/>
            <w:noWrap w:val="0"/>
            <w:vAlign w:val="center"/>
          </w:tcPr>
          <w:p w14:paraId="423A0248">
            <w:pPr>
              <w:jc w:val="center"/>
              <w:rPr>
                <w:color w:val="auto"/>
                <w:sz w:val="15"/>
                <w:szCs w:val="15"/>
              </w:rPr>
            </w:pPr>
            <w:r>
              <w:rPr>
                <w:color w:val="auto"/>
                <w:sz w:val="15"/>
                <w:szCs w:val="15"/>
              </w:rPr>
              <w:t>环境质量监测</w:t>
            </w:r>
          </w:p>
        </w:tc>
        <w:tc>
          <w:tcPr>
            <w:tcW w:w="2661" w:type="dxa"/>
            <w:gridSpan w:val="9"/>
            <w:noWrap w:val="0"/>
            <w:vAlign w:val="center"/>
          </w:tcPr>
          <w:p w14:paraId="4786D8B6">
            <w:pPr>
              <w:jc w:val="center"/>
              <w:rPr>
                <w:color w:val="auto"/>
                <w:sz w:val="15"/>
                <w:szCs w:val="15"/>
              </w:rPr>
            </w:pPr>
            <w:r>
              <w:rPr>
                <w:color w:val="auto"/>
                <w:sz w:val="15"/>
                <w:szCs w:val="15"/>
              </w:rPr>
              <w:t>监测因子：（</w:t>
            </w:r>
            <w:r>
              <w:rPr>
                <w:rFonts w:hint="eastAsia"/>
                <w:color w:val="auto"/>
                <w:sz w:val="15"/>
                <w:szCs w:val="15"/>
              </w:rPr>
              <w:t xml:space="preserve">                  </w:t>
            </w:r>
            <w:r>
              <w:rPr>
                <w:color w:val="auto"/>
                <w:sz w:val="15"/>
                <w:szCs w:val="15"/>
              </w:rPr>
              <w:t>）</w:t>
            </w:r>
          </w:p>
        </w:tc>
        <w:tc>
          <w:tcPr>
            <w:tcW w:w="1846" w:type="dxa"/>
            <w:gridSpan w:val="8"/>
            <w:noWrap w:val="0"/>
            <w:vAlign w:val="center"/>
          </w:tcPr>
          <w:p w14:paraId="0BF96D78">
            <w:pPr>
              <w:jc w:val="center"/>
              <w:rPr>
                <w:color w:val="auto"/>
                <w:sz w:val="15"/>
                <w:szCs w:val="15"/>
              </w:rPr>
            </w:pPr>
            <w:r>
              <w:rPr>
                <w:color w:val="auto"/>
                <w:sz w:val="15"/>
                <w:szCs w:val="15"/>
              </w:rPr>
              <w:t>监测点位数（</w:t>
            </w:r>
            <w:r>
              <w:rPr>
                <w:rFonts w:hint="eastAsia"/>
                <w:color w:val="auto"/>
                <w:sz w:val="15"/>
                <w:szCs w:val="15"/>
              </w:rPr>
              <w:t xml:space="preserve">  </w:t>
            </w:r>
            <w:r>
              <w:rPr>
                <w:color w:val="auto"/>
                <w:sz w:val="15"/>
                <w:szCs w:val="15"/>
              </w:rPr>
              <w:t>）</w:t>
            </w:r>
          </w:p>
        </w:tc>
        <w:tc>
          <w:tcPr>
            <w:tcW w:w="2296" w:type="dxa"/>
            <w:gridSpan w:val="5"/>
            <w:noWrap w:val="0"/>
            <w:vAlign w:val="center"/>
          </w:tcPr>
          <w:p w14:paraId="114F71F9">
            <w:pPr>
              <w:jc w:val="center"/>
              <w:rPr>
                <w:rFonts w:hint="eastAsia" w:eastAsia="宋体"/>
                <w:color w:val="auto"/>
                <w:sz w:val="15"/>
                <w:szCs w:val="15"/>
                <w:lang w:eastAsia="zh-CN"/>
              </w:rPr>
            </w:pPr>
            <w:r>
              <w:rPr>
                <w:color w:val="auto"/>
                <w:sz w:val="15"/>
                <w:szCs w:val="15"/>
              </w:rPr>
              <w:t>无监测</w:t>
            </w:r>
            <w:r>
              <w:rPr>
                <w:rFonts w:hint="eastAsia" w:ascii="宋体" w:hAnsi="宋体"/>
                <w:color w:val="auto"/>
                <w:sz w:val="15"/>
                <w:szCs w:val="15"/>
                <w:lang w:eastAsia="zh-CN"/>
              </w:rPr>
              <w:t>□</w:t>
            </w:r>
          </w:p>
        </w:tc>
      </w:tr>
      <w:tr w14:paraId="7FD12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noWrap w:val="0"/>
            <w:vAlign w:val="center"/>
          </w:tcPr>
          <w:p w14:paraId="00774D82">
            <w:pPr>
              <w:jc w:val="center"/>
              <w:rPr>
                <w:color w:val="auto"/>
                <w:sz w:val="15"/>
                <w:szCs w:val="15"/>
              </w:rPr>
            </w:pPr>
            <w:r>
              <w:rPr>
                <w:color w:val="auto"/>
                <w:sz w:val="15"/>
                <w:szCs w:val="15"/>
              </w:rPr>
              <w:t>评价结论</w:t>
            </w:r>
          </w:p>
        </w:tc>
        <w:tc>
          <w:tcPr>
            <w:tcW w:w="1338" w:type="dxa"/>
            <w:noWrap w:val="0"/>
            <w:vAlign w:val="center"/>
          </w:tcPr>
          <w:p w14:paraId="2F216A46">
            <w:pPr>
              <w:jc w:val="center"/>
              <w:rPr>
                <w:color w:val="auto"/>
                <w:sz w:val="15"/>
                <w:szCs w:val="15"/>
              </w:rPr>
            </w:pPr>
            <w:r>
              <w:rPr>
                <w:color w:val="auto"/>
                <w:sz w:val="15"/>
                <w:szCs w:val="15"/>
              </w:rPr>
              <w:t>环境影响</w:t>
            </w:r>
          </w:p>
        </w:tc>
        <w:tc>
          <w:tcPr>
            <w:tcW w:w="6803" w:type="dxa"/>
            <w:gridSpan w:val="22"/>
            <w:noWrap w:val="0"/>
            <w:vAlign w:val="center"/>
          </w:tcPr>
          <w:p w14:paraId="09F45C7F">
            <w:pPr>
              <w:jc w:val="center"/>
              <w:rPr>
                <w:color w:val="auto"/>
                <w:sz w:val="15"/>
                <w:szCs w:val="15"/>
              </w:rPr>
            </w:pPr>
            <w:r>
              <w:rPr>
                <w:color w:val="auto"/>
                <w:sz w:val="15"/>
                <w:szCs w:val="15"/>
              </w:rPr>
              <w:t>可以接受</w:t>
            </w:r>
            <w:r>
              <w:rPr>
                <w:rFonts w:hint="eastAsia" w:ascii="宋体" w:hAnsi="宋体"/>
                <w:color w:val="auto"/>
                <w:sz w:val="15"/>
                <w:szCs w:val="15"/>
              </w:rPr>
              <w:t xml:space="preserve">☑     </w:t>
            </w:r>
            <w:r>
              <w:rPr>
                <w:color w:val="auto"/>
                <w:sz w:val="15"/>
                <w:szCs w:val="15"/>
              </w:rPr>
              <w:t>不可以接受</w:t>
            </w:r>
            <w:r>
              <w:rPr>
                <w:rFonts w:ascii="宋体" w:hAnsi="宋体"/>
                <w:color w:val="auto"/>
                <w:sz w:val="15"/>
                <w:szCs w:val="15"/>
              </w:rPr>
              <w:t>□</w:t>
            </w:r>
          </w:p>
        </w:tc>
      </w:tr>
      <w:tr w14:paraId="6AD49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3D2B84C3">
            <w:pPr>
              <w:jc w:val="center"/>
              <w:rPr>
                <w:color w:val="auto"/>
                <w:sz w:val="15"/>
                <w:szCs w:val="15"/>
              </w:rPr>
            </w:pPr>
          </w:p>
        </w:tc>
        <w:tc>
          <w:tcPr>
            <w:tcW w:w="1338" w:type="dxa"/>
            <w:noWrap w:val="0"/>
            <w:vAlign w:val="center"/>
          </w:tcPr>
          <w:p w14:paraId="7A839674">
            <w:pPr>
              <w:jc w:val="center"/>
              <w:rPr>
                <w:color w:val="auto"/>
                <w:sz w:val="15"/>
                <w:szCs w:val="15"/>
              </w:rPr>
            </w:pPr>
            <w:r>
              <w:rPr>
                <w:color w:val="auto"/>
                <w:sz w:val="15"/>
                <w:szCs w:val="15"/>
              </w:rPr>
              <w:t>大气环境防护距离</w:t>
            </w:r>
          </w:p>
        </w:tc>
        <w:tc>
          <w:tcPr>
            <w:tcW w:w="6803" w:type="dxa"/>
            <w:gridSpan w:val="22"/>
            <w:noWrap w:val="0"/>
            <w:vAlign w:val="center"/>
          </w:tcPr>
          <w:p w14:paraId="6165C39A">
            <w:pPr>
              <w:jc w:val="center"/>
              <w:rPr>
                <w:color w:val="auto"/>
                <w:sz w:val="15"/>
                <w:szCs w:val="15"/>
              </w:rPr>
            </w:pPr>
            <w:r>
              <w:rPr>
                <w:color w:val="auto"/>
                <w:sz w:val="15"/>
                <w:szCs w:val="15"/>
              </w:rPr>
              <w:t>距（）厂界最远（）m</w:t>
            </w:r>
          </w:p>
        </w:tc>
      </w:tr>
      <w:tr w14:paraId="6EABF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noWrap w:val="0"/>
            <w:vAlign w:val="center"/>
          </w:tcPr>
          <w:p w14:paraId="30E65B00">
            <w:pPr>
              <w:jc w:val="center"/>
              <w:rPr>
                <w:color w:val="auto"/>
                <w:sz w:val="15"/>
                <w:szCs w:val="15"/>
              </w:rPr>
            </w:pPr>
          </w:p>
        </w:tc>
        <w:tc>
          <w:tcPr>
            <w:tcW w:w="1338" w:type="dxa"/>
            <w:noWrap w:val="0"/>
            <w:vAlign w:val="center"/>
          </w:tcPr>
          <w:p w14:paraId="10CA7820">
            <w:pPr>
              <w:jc w:val="center"/>
              <w:rPr>
                <w:color w:val="auto"/>
                <w:sz w:val="15"/>
                <w:szCs w:val="15"/>
              </w:rPr>
            </w:pPr>
            <w:r>
              <w:rPr>
                <w:color w:val="auto"/>
                <w:sz w:val="15"/>
                <w:szCs w:val="15"/>
              </w:rPr>
              <w:t>污染源年排放量</w:t>
            </w:r>
          </w:p>
        </w:tc>
        <w:tc>
          <w:tcPr>
            <w:tcW w:w="1553" w:type="dxa"/>
            <w:gridSpan w:val="4"/>
            <w:noWrap w:val="0"/>
            <w:vAlign w:val="center"/>
          </w:tcPr>
          <w:p w14:paraId="6D364781">
            <w:pPr>
              <w:jc w:val="center"/>
              <w:rPr>
                <w:color w:val="auto"/>
                <w:sz w:val="15"/>
                <w:szCs w:val="15"/>
              </w:rPr>
            </w:pPr>
            <w:r>
              <w:rPr>
                <w:color w:val="auto"/>
                <w:sz w:val="15"/>
                <w:szCs w:val="15"/>
              </w:rPr>
              <w:t>SO</w:t>
            </w:r>
            <w:r>
              <w:rPr>
                <w:color w:val="auto"/>
                <w:sz w:val="15"/>
                <w:szCs w:val="15"/>
                <w:vertAlign w:val="subscript"/>
              </w:rPr>
              <w:t>2</w:t>
            </w:r>
            <w:r>
              <w:rPr>
                <w:color w:val="auto"/>
                <w:sz w:val="15"/>
                <w:szCs w:val="15"/>
              </w:rPr>
              <w:t>：（</w:t>
            </w:r>
            <w:r>
              <w:rPr>
                <w:rFonts w:hint="eastAsia"/>
                <w:color w:val="auto"/>
                <w:sz w:val="15"/>
                <w:szCs w:val="15"/>
              </w:rPr>
              <w:t xml:space="preserve">   </w:t>
            </w:r>
            <w:r>
              <w:rPr>
                <w:color w:val="auto"/>
                <w:sz w:val="15"/>
                <w:szCs w:val="15"/>
              </w:rPr>
              <w:t>）t/a</w:t>
            </w:r>
          </w:p>
        </w:tc>
        <w:tc>
          <w:tcPr>
            <w:tcW w:w="1723" w:type="dxa"/>
            <w:gridSpan w:val="7"/>
            <w:noWrap w:val="0"/>
            <w:vAlign w:val="center"/>
          </w:tcPr>
          <w:p w14:paraId="2F5774E0">
            <w:pPr>
              <w:jc w:val="center"/>
              <w:rPr>
                <w:color w:val="auto"/>
                <w:sz w:val="15"/>
                <w:szCs w:val="15"/>
              </w:rPr>
            </w:pPr>
            <w:r>
              <w:rPr>
                <w:color w:val="auto"/>
                <w:sz w:val="15"/>
                <w:szCs w:val="15"/>
              </w:rPr>
              <w:t>NO</w:t>
            </w:r>
            <w:r>
              <w:rPr>
                <w:color w:val="auto"/>
                <w:sz w:val="15"/>
                <w:szCs w:val="15"/>
                <w:vertAlign w:val="subscript"/>
              </w:rPr>
              <w:t>x</w:t>
            </w:r>
            <w:r>
              <w:rPr>
                <w:color w:val="auto"/>
                <w:sz w:val="15"/>
                <w:szCs w:val="15"/>
              </w:rPr>
              <w:t>：（</w:t>
            </w:r>
            <w:r>
              <w:rPr>
                <w:rFonts w:hint="eastAsia"/>
                <w:color w:val="auto"/>
                <w:sz w:val="15"/>
                <w:szCs w:val="15"/>
              </w:rPr>
              <w:t xml:space="preserve">   </w:t>
            </w:r>
            <w:r>
              <w:rPr>
                <w:color w:val="auto"/>
                <w:sz w:val="15"/>
                <w:szCs w:val="15"/>
              </w:rPr>
              <w:t>）t/a</w:t>
            </w:r>
          </w:p>
        </w:tc>
        <w:tc>
          <w:tcPr>
            <w:tcW w:w="1752" w:type="dxa"/>
            <w:gridSpan w:val="8"/>
            <w:noWrap w:val="0"/>
            <w:vAlign w:val="center"/>
          </w:tcPr>
          <w:p w14:paraId="10CD3AB4">
            <w:pPr>
              <w:jc w:val="center"/>
              <w:rPr>
                <w:color w:val="auto"/>
                <w:sz w:val="15"/>
                <w:szCs w:val="15"/>
              </w:rPr>
            </w:pPr>
            <w:r>
              <w:rPr>
                <w:color w:val="auto"/>
                <w:sz w:val="15"/>
                <w:szCs w:val="15"/>
              </w:rPr>
              <w:t>颗粒物：</w:t>
            </w:r>
            <w:r>
              <w:rPr>
                <w:rFonts w:ascii="Times New Roman" w:hAnsi="Times New Roman" w:cs="Times New Roman"/>
                <w:color w:val="auto"/>
                <w:sz w:val="15"/>
                <w:szCs w:val="15"/>
              </w:rPr>
              <w:t>（</w:t>
            </w:r>
            <w:r>
              <w:rPr>
                <w:rFonts w:hint="eastAsia" w:ascii="Times New Roman" w:hAnsi="Times New Roman" w:cs="Times New Roman"/>
                <w:color w:val="auto"/>
                <w:sz w:val="15"/>
                <w:szCs w:val="15"/>
                <w:lang w:val="en-US" w:eastAsia="zh-CN"/>
              </w:rPr>
              <w:t>0.6337</w:t>
            </w:r>
            <w:r>
              <w:rPr>
                <w:rFonts w:ascii="Times New Roman" w:hAnsi="Times New Roman" w:cs="Times New Roman"/>
                <w:color w:val="auto"/>
                <w:sz w:val="15"/>
                <w:szCs w:val="15"/>
              </w:rPr>
              <w:t>）</w:t>
            </w:r>
            <w:r>
              <w:rPr>
                <w:color w:val="auto"/>
                <w:sz w:val="15"/>
                <w:szCs w:val="15"/>
              </w:rPr>
              <w:t>t/a</w:t>
            </w:r>
          </w:p>
        </w:tc>
        <w:tc>
          <w:tcPr>
            <w:tcW w:w="1775" w:type="dxa"/>
            <w:gridSpan w:val="3"/>
            <w:noWrap w:val="0"/>
            <w:vAlign w:val="center"/>
          </w:tcPr>
          <w:p w14:paraId="357410C4">
            <w:pPr>
              <w:jc w:val="center"/>
              <w:rPr>
                <w:color w:val="auto"/>
                <w:sz w:val="15"/>
                <w:szCs w:val="15"/>
              </w:rPr>
            </w:pPr>
            <w:r>
              <w:rPr>
                <w:color w:val="auto"/>
                <w:sz w:val="15"/>
                <w:szCs w:val="15"/>
              </w:rPr>
              <w:t>VOCs：（）t/a</w:t>
            </w:r>
          </w:p>
        </w:tc>
      </w:tr>
      <w:tr w14:paraId="60EE9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7" w:type="dxa"/>
            <w:gridSpan w:val="24"/>
            <w:noWrap w:val="0"/>
            <w:vAlign w:val="center"/>
          </w:tcPr>
          <w:p w14:paraId="17DAB7A8">
            <w:pPr>
              <w:jc w:val="left"/>
              <w:rPr>
                <w:color w:val="auto"/>
                <w:sz w:val="15"/>
                <w:szCs w:val="15"/>
              </w:rPr>
            </w:pPr>
            <w:r>
              <w:rPr>
                <w:color w:val="auto"/>
                <w:sz w:val="15"/>
                <w:szCs w:val="15"/>
              </w:rPr>
              <w:t>注：“</w:t>
            </w:r>
            <w:r>
              <w:rPr>
                <w:rFonts w:ascii="宋体" w:hAnsi="宋体"/>
                <w:color w:val="auto"/>
                <w:sz w:val="15"/>
                <w:szCs w:val="15"/>
              </w:rPr>
              <w:t>□</w:t>
            </w:r>
            <w:r>
              <w:rPr>
                <w:color w:val="auto"/>
                <w:sz w:val="15"/>
                <w:szCs w:val="15"/>
              </w:rPr>
              <w:t>”为勾选项，填“</w:t>
            </w:r>
            <w:r>
              <w:rPr>
                <w:rFonts w:ascii="宋体" w:hAnsi="宋体"/>
                <w:color w:val="auto"/>
                <w:sz w:val="15"/>
                <w:szCs w:val="15"/>
              </w:rPr>
              <w:t>√</w:t>
            </w:r>
            <w:r>
              <w:rPr>
                <w:color w:val="auto"/>
                <w:sz w:val="15"/>
                <w:szCs w:val="15"/>
              </w:rPr>
              <w:t>”；“（）”为内容填写项</w:t>
            </w:r>
          </w:p>
        </w:tc>
      </w:tr>
    </w:tbl>
    <w:p w14:paraId="04C21180">
      <w:pPr>
        <w:spacing w:line="360" w:lineRule="auto"/>
        <w:ind w:firstLine="480" w:firstLineChars="200"/>
        <w:jc w:val="both"/>
        <w:rPr>
          <w:rFonts w:hint="default" w:ascii="Times New Roman" w:hAnsi="Times New Roman" w:eastAsia="宋体" w:cs="Times New Roman"/>
          <w:color w:val="C00000"/>
          <w:sz w:val="24"/>
          <w:szCs w:val="24"/>
        </w:rPr>
      </w:pPr>
    </w:p>
    <w:p w14:paraId="2BDB89D3">
      <w:pPr>
        <w:jc w:val="center"/>
        <w:rPr>
          <w:rFonts w:hint="default" w:ascii="Times New Roman" w:hAnsi="Times New Roman" w:cs="Times New Roman"/>
          <w:b/>
          <w:bCs/>
          <w:color w:val="C00000"/>
          <w:sz w:val="21"/>
          <w:szCs w:val="21"/>
          <w:lang w:eastAsia="zh-CN"/>
        </w:rPr>
      </w:pPr>
    </w:p>
    <w:p w14:paraId="470DD2F0">
      <w:pPr>
        <w:spacing w:line="360" w:lineRule="auto"/>
        <w:jc w:val="center"/>
        <w:rPr>
          <w:rFonts w:hint="default" w:ascii="Times New Roman" w:hAnsi="Times New Roman" w:cs="Times New Roman"/>
          <w:b/>
          <w:bCs/>
          <w:color w:val="C00000"/>
          <w:sz w:val="21"/>
          <w:szCs w:val="21"/>
          <w:lang w:eastAsia="zh-CN"/>
        </w:rPr>
      </w:pPr>
    </w:p>
    <w:p w14:paraId="53FA1024">
      <w:pPr>
        <w:spacing w:line="302" w:lineRule="auto"/>
        <w:ind w:right="393"/>
        <w:jc w:val="center"/>
        <w:rPr>
          <w:rFonts w:hint="default" w:ascii="Times New Roman" w:hAnsi="Times New Roman" w:eastAsia="黑体" w:cs="Times New Roman"/>
          <w:snapToGrid w:val="0"/>
          <w:color w:val="auto"/>
          <w:kern w:val="0"/>
          <w:szCs w:val="21"/>
          <w:lang w:val="en-US" w:eastAsia="zh-CN"/>
        </w:rPr>
      </w:pPr>
    </w:p>
    <w:p w14:paraId="14A34878">
      <w:pPr>
        <w:spacing w:line="302" w:lineRule="auto"/>
        <w:ind w:right="393"/>
        <w:jc w:val="center"/>
        <w:rPr>
          <w:rFonts w:hint="eastAsia" w:ascii="Times New Roman" w:hAnsi="Times New Roman" w:eastAsia="黑体" w:cs="Times New Roman"/>
          <w:snapToGrid w:val="0"/>
          <w:color w:val="auto"/>
          <w:kern w:val="0"/>
          <w:szCs w:val="21"/>
          <w:lang w:val="fr-FR" w:eastAsia="zh-CN"/>
        </w:rPr>
      </w:pPr>
      <w:r>
        <w:rPr>
          <w:rFonts w:hint="default" w:ascii="Times New Roman" w:hAnsi="Times New Roman" w:eastAsia="黑体" w:cs="Times New Roman"/>
          <w:snapToGrid w:val="0"/>
          <w:color w:val="auto"/>
          <w:kern w:val="0"/>
          <w:szCs w:val="21"/>
          <w:lang w:val="en-US" w:eastAsia="zh-CN"/>
        </w:rPr>
        <w:t xml:space="preserve">附表2  </w:t>
      </w:r>
      <w:r>
        <w:rPr>
          <w:rFonts w:hint="eastAsia" w:ascii="Times New Roman" w:hAnsi="Times New Roman" w:eastAsia="黑体" w:cs="Times New Roman"/>
          <w:snapToGrid w:val="0"/>
          <w:color w:val="auto"/>
          <w:kern w:val="0"/>
          <w:szCs w:val="21"/>
          <w:lang w:val="fr-FR" w:eastAsia="zh-CN"/>
        </w:rPr>
        <w:t>地表水环境影响评价自查表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2049"/>
        <w:gridCol w:w="1441"/>
        <w:gridCol w:w="283"/>
        <w:gridCol w:w="595"/>
        <w:gridCol w:w="530"/>
        <w:gridCol w:w="1408"/>
        <w:gridCol w:w="193"/>
        <w:gridCol w:w="818"/>
        <w:gridCol w:w="372"/>
        <w:gridCol w:w="488"/>
        <w:gridCol w:w="1692"/>
      </w:tblGrid>
      <w:tr w14:paraId="727E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trPr>
        <w:tc>
          <w:tcPr>
            <w:tcW w:w="1288" w:type="pct"/>
            <w:gridSpan w:val="2"/>
            <w:noWrap/>
            <w:vAlign w:val="center"/>
          </w:tcPr>
          <w:p w14:paraId="7EF18BDC">
            <w:pPr>
              <w:jc w:val="center"/>
              <w:rPr>
                <w:color w:val="auto"/>
                <w:sz w:val="15"/>
                <w:szCs w:val="15"/>
              </w:rPr>
            </w:pPr>
            <w:r>
              <w:rPr>
                <w:color w:val="auto"/>
                <w:sz w:val="15"/>
                <w:szCs w:val="15"/>
              </w:rPr>
              <w:t>工作内容</w:t>
            </w:r>
          </w:p>
        </w:tc>
        <w:tc>
          <w:tcPr>
            <w:tcW w:w="3711" w:type="pct"/>
            <w:gridSpan w:val="10"/>
            <w:noWrap/>
            <w:vAlign w:val="center"/>
          </w:tcPr>
          <w:p w14:paraId="7D8D2ED4">
            <w:pPr>
              <w:jc w:val="center"/>
              <w:rPr>
                <w:color w:val="auto"/>
                <w:sz w:val="15"/>
                <w:szCs w:val="15"/>
              </w:rPr>
            </w:pPr>
            <w:r>
              <w:rPr>
                <w:color w:val="auto"/>
                <w:sz w:val="15"/>
                <w:szCs w:val="15"/>
              </w:rPr>
              <w:t>自查项目</w:t>
            </w:r>
          </w:p>
        </w:tc>
      </w:tr>
      <w:tr w14:paraId="40E8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restart"/>
            <w:noWrap/>
            <w:textDirection w:val="tbRlV"/>
            <w:vAlign w:val="center"/>
          </w:tcPr>
          <w:p w14:paraId="2386945B">
            <w:pPr>
              <w:jc w:val="center"/>
              <w:rPr>
                <w:color w:val="auto"/>
                <w:sz w:val="15"/>
                <w:szCs w:val="15"/>
              </w:rPr>
            </w:pPr>
            <w:r>
              <w:rPr>
                <w:color w:val="auto"/>
                <w:sz w:val="15"/>
                <w:szCs w:val="15"/>
              </w:rPr>
              <w:t>影响识别</w:t>
            </w:r>
          </w:p>
        </w:tc>
        <w:tc>
          <w:tcPr>
            <w:tcW w:w="1003" w:type="pct"/>
            <w:noWrap w:val="0"/>
            <w:vAlign w:val="center"/>
          </w:tcPr>
          <w:p w14:paraId="05390984">
            <w:pPr>
              <w:jc w:val="center"/>
              <w:rPr>
                <w:color w:val="auto"/>
                <w:sz w:val="15"/>
                <w:szCs w:val="15"/>
              </w:rPr>
            </w:pPr>
            <w:r>
              <w:rPr>
                <w:color w:val="auto"/>
                <w:sz w:val="15"/>
                <w:szCs w:val="15"/>
              </w:rPr>
              <w:t>影响类型</w:t>
            </w:r>
          </w:p>
        </w:tc>
        <w:tc>
          <w:tcPr>
            <w:tcW w:w="3711" w:type="pct"/>
            <w:gridSpan w:val="10"/>
            <w:noWrap/>
            <w:vAlign w:val="center"/>
          </w:tcPr>
          <w:p w14:paraId="634AAF36">
            <w:pPr>
              <w:jc w:val="center"/>
              <w:rPr>
                <w:color w:val="auto"/>
                <w:sz w:val="15"/>
                <w:szCs w:val="15"/>
              </w:rPr>
            </w:pPr>
            <w:r>
              <w:rPr>
                <w:color w:val="auto"/>
                <w:sz w:val="15"/>
                <w:szCs w:val="15"/>
              </w:rPr>
              <w:t xml:space="preserve">水污染影响型 </w:t>
            </w:r>
            <w:r>
              <w:rPr>
                <w:rFonts w:hint="eastAsia"/>
                <w:color w:val="auto"/>
                <w:sz w:val="15"/>
                <w:szCs w:val="15"/>
              </w:rPr>
              <w:t>☑</w:t>
            </w:r>
            <w:r>
              <w:rPr>
                <w:color w:val="auto"/>
                <w:sz w:val="15"/>
                <w:szCs w:val="15"/>
              </w:rPr>
              <w:t xml:space="preserve">；水文要素影响型 </w:t>
            </w:r>
            <w:r>
              <w:rPr>
                <w:rFonts w:hint="eastAsia"/>
                <w:color w:val="auto"/>
                <w:sz w:val="15"/>
                <w:szCs w:val="15"/>
              </w:rPr>
              <w:t>□</w:t>
            </w:r>
          </w:p>
        </w:tc>
      </w:tr>
      <w:tr w14:paraId="544D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098051DF">
            <w:pPr>
              <w:jc w:val="center"/>
              <w:rPr>
                <w:color w:val="auto"/>
                <w:sz w:val="15"/>
                <w:szCs w:val="15"/>
              </w:rPr>
            </w:pPr>
          </w:p>
        </w:tc>
        <w:tc>
          <w:tcPr>
            <w:tcW w:w="1003" w:type="pct"/>
            <w:noWrap w:val="0"/>
            <w:vAlign w:val="center"/>
          </w:tcPr>
          <w:p w14:paraId="76D0838C">
            <w:pPr>
              <w:jc w:val="center"/>
              <w:rPr>
                <w:color w:val="auto"/>
                <w:sz w:val="15"/>
                <w:szCs w:val="15"/>
              </w:rPr>
            </w:pPr>
            <w:r>
              <w:rPr>
                <w:color w:val="auto"/>
                <w:sz w:val="15"/>
                <w:szCs w:val="15"/>
              </w:rPr>
              <w:t>水环境保护目标</w:t>
            </w:r>
          </w:p>
        </w:tc>
        <w:tc>
          <w:tcPr>
            <w:tcW w:w="3711" w:type="pct"/>
            <w:gridSpan w:val="10"/>
            <w:noWrap w:val="0"/>
            <w:vAlign w:val="center"/>
          </w:tcPr>
          <w:p w14:paraId="3DBFBF14">
            <w:pPr>
              <w:rPr>
                <w:rFonts w:hint="eastAsia" w:eastAsia="宋体"/>
                <w:color w:val="auto"/>
                <w:sz w:val="15"/>
                <w:szCs w:val="15"/>
                <w:lang w:eastAsia="zh-CN"/>
              </w:rPr>
            </w:pPr>
            <w:r>
              <w:rPr>
                <w:color w:val="auto"/>
                <w:sz w:val="15"/>
                <w:szCs w:val="15"/>
              </w:rPr>
              <w:t xml:space="preserve">饮用水水源保护区 </w:t>
            </w:r>
            <w:r>
              <w:rPr>
                <w:rFonts w:hint="eastAsia"/>
                <w:color w:val="auto"/>
                <w:sz w:val="15"/>
                <w:szCs w:val="15"/>
              </w:rPr>
              <w:t>□</w:t>
            </w:r>
            <w:r>
              <w:rPr>
                <w:color w:val="auto"/>
                <w:sz w:val="15"/>
                <w:szCs w:val="15"/>
              </w:rPr>
              <w:t xml:space="preserve">；饮用水取水口 </w:t>
            </w:r>
            <w:r>
              <w:rPr>
                <w:rFonts w:hint="eastAsia"/>
                <w:color w:val="auto"/>
                <w:sz w:val="15"/>
                <w:szCs w:val="15"/>
              </w:rPr>
              <w:t>□</w:t>
            </w:r>
            <w:r>
              <w:rPr>
                <w:color w:val="auto"/>
                <w:sz w:val="15"/>
                <w:szCs w:val="15"/>
              </w:rPr>
              <w:t xml:space="preserve">；涉水的自然保护区 </w:t>
            </w:r>
            <w:r>
              <w:rPr>
                <w:rFonts w:hint="eastAsia"/>
                <w:color w:val="auto"/>
                <w:sz w:val="15"/>
                <w:szCs w:val="15"/>
              </w:rPr>
              <w:t>□</w:t>
            </w:r>
            <w:r>
              <w:rPr>
                <w:color w:val="auto"/>
                <w:sz w:val="15"/>
                <w:szCs w:val="15"/>
              </w:rPr>
              <w:t xml:space="preserve">；重要湿地 </w:t>
            </w:r>
            <w:r>
              <w:rPr>
                <w:rFonts w:hint="eastAsia"/>
                <w:color w:val="auto"/>
                <w:sz w:val="15"/>
                <w:szCs w:val="15"/>
              </w:rPr>
              <w:t>□</w:t>
            </w:r>
            <w:r>
              <w:rPr>
                <w:color w:val="auto"/>
                <w:sz w:val="15"/>
                <w:szCs w:val="15"/>
              </w:rPr>
              <w:t>；</w:t>
            </w:r>
          </w:p>
          <w:p w14:paraId="37C5B7B2">
            <w:pPr>
              <w:rPr>
                <w:color w:val="auto"/>
                <w:sz w:val="15"/>
                <w:szCs w:val="15"/>
              </w:rPr>
            </w:pPr>
            <w:r>
              <w:rPr>
                <w:color w:val="auto"/>
                <w:sz w:val="15"/>
                <w:szCs w:val="15"/>
              </w:rPr>
              <w:t xml:space="preserve">重点保护与珍稀水生生物的栖息地 </w:t>
            </w:r>
            <w:r>
              <w:rPr>
                <w:rFonts w:hint="eastAsia"/>
                <w:color w:val="auto"/>
                <w:sz w:val="15"/>
                <w:szCs w:val="15"/>
              </w:rPr>
              <w:t>□</w:t>
            </w:r>
            <w:r>
              <w:rPr>
                <w:color w:val="auto"/>
                <w:sz w:val="15"/>
                <w:szCs w:val="15"/>
              </w:rPr>
              <w:t>；</w:t>
            </w:r>
          </w:p>
          <w:p w14:paraId="66830705">
            <w:pPr>
              <w:rPr>
                <w:color w:val="auto"/>
                <w:sz w:val="15"/>
                <w:szCs w:val="15"/>
              </w:rPr>
            </w:pPr>
            <w:r>
              <w:rPr>
                <w:color w:val="auto"/>
                <w:sz w:val="15"/>
                <w:szCs w:val="15"/>
              </w:rPr>
              <w:t xml:space="preserve">重要水生生物的自然产卵场及索饵场、越冬场和洄游通道、天然渔场等渔业水体 </w:t>
            </w:r>
            <w:r>
              <w:rPr>
                <w:rFonts w:hint="eastAsia"/>
                <w:color w:val="auto"/>
                <w:sz w:val="15"/>
                <w:szCs w:val="15"/>
              </w:rPr>
              <w:t>□</w:t>
            </w:r>
            <w:r>
              <w:rPr>
                <w:color w:val="auto"/>
                <w:sz w:val="15"/>
                <w:szCs w:val="15"/>
              </w:rPr>
              <w:t>；</w:t>
            </w:r>
          </w:p>
          <w:p w14:paraId="2C392A26">
            <w:pPr>
              <w:rPr>
                <w:color w:val="auto"/>
                <w:sz w:val="15"/>
                <w:szCs w:val="15"/>
              </w:rPr>
            </w:pPr>
            <w:r>
              <w:rPr>
                <w:color w:val="auto"/>
                <w:sz w:val="15"/>
                <w:szCs w:val="15"/>
              </w:rPr>
              <w:t xml:space="preserve">涉水的风景名胜区 </w:t>
            </w:r>
            <w:r>
              <w:rPr>
                <w:rFonts w:hint="eastAsia"/>
                <w:color w:val="auto"/>
                <w:sz w:val="15"/>
                <w:szCs w:val="15"/>
              </w:rPr>
              <w:t>□</w:t>
            </w:r>
            <w:r>
              <w:rPr>
                <w:color w:val="auto"/>
                <w:sz w:val="15"/>
                <w:szCs w:val="15"/>
              </w:rPr>
              <w:t xml:space="preserve">；其他 </w:t>
            </w:r>
            <w:r>
              <w:rPr>
                <w:rFonts w:hint="eastAsia"/>
                <w:color w:val="auto"/>
                <w:sz w:val="15"/>
                <w:szCs w:val="15"/>
              </w:rPr>
              <w:t>□</w:t>
            </w:r>
          </w:p>
        </w:tc>
      </w:tr>
      <w:tr w14:paraId="4761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84" w:type="pct"/>
            <w:vMerge w:val="continue"/>
            <w:noWrap w:val="0"/>
            <w:vAlign w:val="center"/>
          </w:tcPr>
          <w:p w14:paraId="4BE7A7A2">
            <w:pPr>
              <w:jc w:val="center"/>
              <w:rPr>
                <w:color w:val="auto"/>
                <w:sz w:val="15"/>
                <w:szCs w:val="15"/>
              </w:rPr>
            </w:pPr>
          </w:p>
        </w:tc>
        <w:tc>
          <w:tcPr>
            <w:tcW w:w="1003" w:type="pct"/>
            <w:vMerge w:val="restart"/>
            <w:noWrap w:val="0"/>
            <w:vAlign w:val="center"/>
          </w:tcPr>
          <w:p w14:paraId="22653582">
            <w:pPr>
              <w:jc w:val="center"/>
              <w:rPr>
                <w:color w:val="auto"/>
                <w:sz w:val="15"/>
                <w:szCs w:val="15"/>
              </w:rPr>
            </w:pPr>
            <w:r>
              <w:rPr>
                <w:color w:val="auto"/>
                <w:sz w:val="15"/>
                <w:szCs w:val="15"/>
              </w:rPr>
              <w:t>影响途径</w:t>
            </w:r>
          </w:p>
        </w:tc>
        <w:tc>
          <w:tcPr>
            <w:tcW w:w="2233" w:type="pct"/>
            <w:gridSpan w:val="6"/>
            <w:noWrap w:val="0"/>
            <w:vAlign w:val="center"/>
          </w:tcPr>
          <w:p w14:paraId="0EC194D8">
            <w:pPr>
              <w:jc w:val="center"/>
              <w:rPr>
                <w:color w:val="auto"/>
                <w:sz w:val="15"/>
                <w:szCs w:val="15"/>
              </w:rPr>
            </w:pPr>
            <w:r>
              <w:rPr>
                <w:color w:val="auto"/>
                <w:sz w:val="15"/>
                <w:szCs w:val="15"/>
              </w:rPr>
              <w:t>水污染影响型</w:t>
            </w:r>
          </w:p>
        </w:tc>
        <w:tc>
          <w:tcPr>
            <w:tcW w:w="1477" w:type="pct"/>
            <w:gridSpan w:val="4"/>
            <w:noWrap w:val="0"/>
            <w:vAlign w:val="center"/>
          </w:tcPr>
          <w:p w14:paraId="4C4946CB">
            <w:pPr>
              <w:jc w:val="center"/>
              <w:rPr>
                <w:color w:val="auto"/>
                <w:sz w:val="15"/>
                <w:szCs w:val="15"/>
              </w:rPr>
            </w:pPr>
            <w:r>
              <w:rPr>
                <w:color w:val="auto"/>
                <w:sz w:val="15"/>
                <w:szCs w:val="15"/>
              </w:rPr>
              <w:t>水文要素影响型</w:t>
            </w:r>
          </w:p>
        </w:tc>
      </w:tr>
      <w:tr w14:paraId="3B6E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84" w:type="pct"/>
            <w:vMerge w:val="continue"/>
            <w:noWrap w:val="0"/>
            <w:vAlign w:val="center"/>
          </w:tcPr>
          <w:p w14:paraId="782EE57D">
            <w:pPr>
              <w:jc w:val="center"/>
              <w:rPr>
                <w:color w:val="auto"/>
                <w:sz w:val="15"/>
                <w:szCs w:val="15"/>
              </w:rPr>
            </w:pPr>
          </w:p>
        </w:tc>
        <w:tc>
          <w:tcPr>
            <w:tcW w:w="1003" w:type="pct"/>
            <w:vMerge w:val="continue"/>
            <w:noWrap w:val="0"/>
            <w:vAlign w:val="center"/>
          </w:tcPr>
          <w:p w14:paraId="1EECCD69">
            <w:pPr>
              <w:jc w:val="center"/>
              <w:rPr>
                <w:color w:val="auto"/>
                <w:sz w:val="15"/>
                <w:szCs w:val="15"/>
              </w:rPr>
            </w:pPr>
          </w:p>
        </w:tc>
        <w:tc>
          <w:tcPr>
            <w:tcW w:w="2233" w:type="pct"/>
            <w:gridSpan w:val="6"/>
            <w:noWrap w:val="0"/>
            <w:vAlign w:val="center"/>
          </w:tcPr>
          <w:p w14:paraId="51513B1A">
            <w:pPr>
              <w:jc w:val="center"/>
              <w:rPr>
                <w:rFonts w:hint="eastAsia" w:eastAsia="宋体"/>
                <w:color w:val="auto"/>
                <w:sz w:val="15"/>
                <w:szCs w:val="15"/>
                <w:lang w:eastAsia="zh-CN"/>
              </w:rPr>
            </w:pPr>
            <w:r>
              <w:rPr>
                <w:color w:val="auto"/>
                <w:sz w:val="15"/>
                <w:szCs w:val="15"/>
              </w:rPr>
              <w:t xml:space="preserve">直接排放 </w:t>
            </w:r>
            <w:r>
              <w:rPr>
                <w:rFonts w:hint="eastAsia"/>
                <w:color w:val="auto"/>
                <w:sz w:val="15"/>
                <w:szCs w:val="15"/>
              </w:rPr>
              <w:t>□</w:t>
            </w:r>
            <w:r>
              <w:rPr>
                <w:color w:val="auto"/>
                <w:sz w:val="15"/>
                <w:szCs w:val="15"/>
              </w:rPr>
              <w:t xml:space="preserve">；间接排放 </w:t>
            </w:r>
            <w:r>
              <w:rPr>
                <w:rFonts w:hint="eastAsia"/>
                <w:color w:val="auto"/>
                <w:sz w:val="15"/>
                <w:szCs w:val="15"/>
                <w:lang w:eastAsia="zh-CN"/>
              </w:rPr>
              <w:t>☑</w:t>
            </w:r>
            <w:r>
              <w:rPr>
                <w:color w:val="auto"/>
                <w:sz w:val="15"/>
                <w:szCs w:val="15"/>
              </w:rPr>
              <w:t>；其他</w:t>
            </w:r>
            <w:r>
              <w:rPr>
                <w:rFonts w:hint="eastAsia"/>
                <w:color w:val="auto"/>
                <w:sz w:val="15"/>
                <w:szCs w:val="15"/>
                <w:lang w:eastAsia="zh-CN"/>
              </w:rPr>
              <w:t>□</w:t>
            </w:r>
          </w:p>
        </w:tc>
        <w:tc>
          <w:tcPr>
            <w:tcW w:w="1477" w:type="pct"/>
            <w:gridSpan w:val="4"/>
            <w:noWrap w:val="0"/>
            <w:vAlign w:val="center"/>
          </w:tcPr>
          <w:p w14:paraId="6A6AE2F4">
            <w:pPr>
              <w:jc w:val="center"/>
              <w:rPr>
                <w:color w:val="auto"/>
                <w:sz w:val="15"/>
                <w:szCs w:val="15"/>
              </w:rPr>
            </w:pPr>
            <w:r>
              <w:rPr>
                <w:color w:val="auto"/>
                <w:sz w:val="15"/>
                <w:szCs w:val="15"/>
              </w:rPr>
              <w:t xml:space="preserve">水温 </w:t>
            </w:r>
            <w:r>
              <w:rPr>
                <w:rFonts w:hint="eastAsia"/>
                <w:color w:val="auto"/>
                <w:sz w:val="15"/>
                <w:szCs w:val="15"/>
              </w:rPr>
              <w:t>□</w:t>
            </w:r>
            <w:r>
              <w:rPr>
                <w:color w:val="auto"/>
                <w:sz w:val="15"/>
                <w:szCs w:val="15"/>
              </w:rPr>
              <w:t xml:space="preserve">；径流 </w:t>
            </w:r>
            <w:r>
              <w:rPr>
                <w:rFonts w:hint="eastAsia"/>
                <w:color w:val="auto"/>
                <w:sz w:val="15"/>
                <w:szCs w:val="15"/>
              </w:rPr>
              <w:t>□</w:t>
            </w:r>
            <w:r>
              <w:rPr>
                <w:color w:val="auto"/>
                <w:sz w:val="15"/>
                <w:szCs w:val="15"/>
              </w:rPr>
              <w:t xml:space="preserve">；水域面积 </w:t>
            </w:r>
            <w:r>
              <w:rPr>
                <w:rFonts w:hint="eastAsia"/>
                <w:color w:val="auto"/>
                <w:sz w:val="15"/>
                <w:szCs w:val="15"/>
              </w:rPr>
              <w:t>□</w:t>
            </w:r>
          </w:p>
        </w:tc>
      </w:tr>
      <w:tr w14:paraId="0E42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7349F6BA">
            <w:pPr>
              <w:jc w:val="center"/>
              <w:rPr>
                <w:color w:val="auto"/>
                <w:sz w:val="15"/>
                <w:szCs w:val="15"/>
              </w:rPr>
            </w:pPr>
          </w:p>
        </w:tc>
        <w:tc>
          <w:tcPr>
            <w:tcW w:w="1003" w:type="pct"/>
            <w:noWrap w:val="0"/>
            <w:vAlign w:val="center"/>
          </w:tcPr>
          <w:p w14:paraId="1D07727B">
            <w:pPr>
              <w:jc w:val="center"/>
              <w:rPr>
                <w:color w:val="auto"/>
                <w:sz w:val="15"/>
                <w:szCs w:val="15"/>
              </w:rPr>
            </w:pPr>
            <w:r>
              <w:rPr>
                <w:color w:val="auto"/>
                <w:sz w:val="15"/>
                <w:szCs w:val="15"/>
              </w:rPr>
              <w:t>影响因子</w:t>
            </w:r>
          </w:p>
        </w:tc>
        <w:tc>
          <w:tcPr>
            <w:tcW w:w="2233" w:type="pct"/>
            <w:gridSpan w:val="6"/>
            <w:noWrap w:val="0"/>
            <w:vAlign w:val="center"/>
          </w:tcPr>
          <w:p w14:paraId="122BAE24">
            <w:pPr>
              <w:jc w:val="center"/>
              <w:rPr>
                <w:color w:val="auto"/>
                <w:sz w:val="15"/>
                <w:szCs w:val="15"/>
              </w:rPr>
            </w:pPr>
            <w:r>
              <w:rPr>
                <w:color w:val="auto"/>
                <w:sz w:val="15"/>
                <w:szCs w:val="15"/>
              </w:rPr>
              <w:t xml:space="preserve">持久性污染物 </w:t>
            </w:r>
            <w:r>
              <w:rPr>
                <w:rFonts w:hint="eastAsia"/>
                <w:color w:val="auto"/>
                <w:sz w:val="15"/>
                <w:szCs w:val="15"/>
              </w:rPr>
              <w:t>□</w:t>
            </w:r>
            <w:r>
              <w:rPr>
                <w:color w:val="auto"/>
                <w:sz w:val="15"/>
                <w:szCs w:val="15"/>
              </w:rPr>
              <w:t xml:space="preserve">；有毒有害污染物 </w:t>
            </w:r>
            <w:r>
              <w:rPr>
                <w:rFonts w:hint="eastAsia"/>
                <w:color w:val="auto"/>
                <w:sz w:val="15"/>
                <w:szCs w:val="15"/>
              </w:rPr>
              <w:t>□</w:t>
            </w:r>
            <w:r>
              <w:rPr>
                <w:color w:val="auto"/>
                <w:sz w:val="15"/>
                <w:szCs w:val="15"/>
              </w:rPr>
              <w:t xml:space="preserve">；非持久性污染物 </w:t>
            </w:r>
            <w:r>
              <w:rPr>
                <w:rFonts w:hint="eastAsia"/>
                <w:color w:val="auto"/>
                <w:sz w:val="15"/>
                <w:szCs w:val="15"/>
              </w:rPr>
              <w:t>□</w:t>
            </w:r>
            <w:r>
              <w:rPr>
                <w:color w:val="auto"/>
                <w:sz w:val="15"/>
                <w:szCs w:val="15"/>
              </w:rPr>
              <w:t xml:space="preserve">；pH值 </w:t>
            </w:r>
            <w:r>
              <w:rPr>
                <w:rFonts w:hint="eastAsia"/>
                <w:color w:val="auto"/>
                <w:sz w:val="15"/>
                <w:szCs w:val="15"/>
              </w:rPr>
              <w:t>□</w:t>
            </w:r>
            <w:r>
              <w:rPr>
                <w:color w:val="auto"/>
                <w:sz w:val="15"/>
                <w:szCs w:val="15"/>
              </w:rPr>
              <w:t xml:space="preserve">；热污染 </w:t>
            </w:r>
            <w:r>
              <w:rPr>
                <w:rFonts w:hint="eastAsia"/>
                <w:color w:val="auto"/>
                <w:sz w:val="15"/>
                <w:szCs w:val="15"/>
              </w:rPr>
              <w:t>□</w:t>
            </w:r>
            <w:r>
              <w:rPr>
                <w:color w:val="auto"/>
                <w:sz w:val="15"/>
                <w:szCs w:val="15"/>
              </w:rPr>
              <w:t xml:space="preserve">；富营养化 </w:t>
            </w:r>
            <w:r>
              <w:rPr>
                <w:rFonts w:hint="eastAsia"/>
                <w:color w:val="auto"/>
                <w:sz w:val="15"/>
                <w:szCs w:val="15"/>
              </w:rPr>
              <w:t>□</w:t>
            </w:r>
            <w:r>
              <w:rPr>
                <w:color w:val="auto"/>
                <w:sz w:val="15"/>
                <w:szCs w:val="15"/>
              </w:rPr>
              <w:t xml:space="preserve">；其他 </w:t>
            </w:r>
            <w:r>
              <w:rPr>
                <w:rFonts w:hint="eastAsia"/>
                <w:color w:val="auto"/>
                <w:sz w:val="15"/>
                <w:szCs w:val="15"/>
              </w:rPr>
              <w:t>□</w:t>
            </w:r>
          </w:p>
        </w:tc>
        <w:tc>
          <w:tcPr>
            <w:tcW w:w="1477" w:type="pct"/>
            <w:gridSpan w:val="4"/>
            <w:noWrap w:val="0"/>
            <w:vAlign w:val="center"/>
          </w:tcPr>
          <w:p w14:paraId="0F9C6EB7">
            <w:pPr>
              <w:rPr>
                <w:color w:val="auto"/>
                <w:sz w:val="15"/>
                <w:szCs w:val="15"/>
              </w:rPr>
            </w:pPr>
            <w:r>
              <w:rPr>
                <w:color w:val="auto"/>
                <w:sz w:val="15"/>
                <w:szCs w:val="15"/>
              </w:rPr>
              <w:t xml:space="preserve">水温 </w:t>
            </w:r>
            <w:r>
              <w:rPr>
                <w:rFonts w:hint="eastAsia"/>
                <w:color w:val="auto"/>
                <w:sz w:val="15"/>
                <w:szCs w:val="15"/>
              </w:rPr>
              <w:t>□</w:t>
            </w:r>
            <w:r>
              <w:rPr>
                <w:color w:val="auto"/>
                <w:sz w:val="15"/>
                <w:szCs w:val="15"/>
              </w:rPr>
              <w:t xml:space="preserve">；水位（水深） </w:t>
            </w:r>
            <w:r>
              <w:rPr>
                <w:rFonts w:hint="eastAsia"/>
                <w:color w:val="auto"/>
                <w:sz w:val="15"/>
                <w:szCs w:val="15"/>
              </w:rPr>
              <w:t>□</w:t>
            </w:r>
            <w:r>
              <w:rPr>
                <w:color w:val="auto"/>
                <w:sz w:val="15"/>
                <w:szCs w:val="15"/>
              </w:rPr>
              <w:t xml:space="preserve">；流速 </w:t>
            </w:r>
            <w:r>
              <w:rPr>
                <w:rFonts w:hint="eastAsia"/>
                <w:color w:val="auto"/>
                <w:sz w:val="15"/>
                <w:szCs w:val="15"/>
              </w:rPr>
              <w:t>□</w:t>
            </w:r>
            <w:r>
              <w:rPr>
                <w:color w:val="auto"/>
                <w:sz w:val="15"/>
                <w:szCs w:val="15"/>
              </w:rPr>
              <w:t xml:space="preserve">；流量 </w:t>
            </w:r>
            <w:r>
              <w:rPr>
                <w:rFonts w:hint="eastAsia"/>
                <w:color w:val="auto"/>
                <w:sz w:val="15"/>
                <w:szCs w:val="15"/>
              </w:rPr>
              <w:t>□</w:t>
            </w:r>
            <w:r>
              <w:rPr>
                <w:color w:val="auto"/>
                <w:sz w:val="15"/>
                <w:szCs w:val="15"/>
              </w:rPr>
              <w:t xml:space="preserve">；其他 </w:t>
            </w:r>
            <w:r>
              <w:rPr>
                <w:rFonts w:hint="eastAsia"/>
                <w:color w:val="auto"/>
                <w:sz w:val="15"/>
                <w:szCs w:val="15"/>
              </w:rPr>
              <w:t>□</w:t>
            </w:r>
          </w:p>
        </w:tc>
      </w:tr>
      <w:tr w14:paraId="029F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88" w:type="pct"/>
            <w:gridSpan w:val="2"/>
            <w:vMerge w:val="restart"/>
            <w:noWrap/>
            <w:vAlign w:val="center"/>
          </w:tcPr>
          <w:p w14:paraId="60A884EF">
            <w:pPr>
              <w:jc w:val="center"/>
              <w:rPr>
                <w:color w:val="auto"/>
                <w:sz w:val="15"/>
                <w:szCs w:val="15"/>
              </w:rPr>
            </w:pPr>
            <w:r>
              <w:rPr>
                <w:color w:val="auto"/>
                <w:sz w:val="15"/>
                <w:szCs w:val="15"/>
              </w:rPr>
              <w:t>评价等级</w:t>
            </w:r>
          </w:p>
        </w:tc>
        <w:tc>
          <w:tcPr>
            <w:tcW w:w="2233" w:type="pct"/>
            <w:gridSpan w:val="6"/>
            <w:noWrap/>
            <w:vAlign w:val="center"/>
          </w:tcPr>
          <w:p w14:paraId="38E6A484">
            <w:pPr>
              <w:jc w:val="center"/>
              <w:rPr>
                <w:color w:val="auto"/>
                <w:sz w:val="15"/>
                <w:szCs w:val="15"/>
              </w:rPr>
            </w:pPr>
            <w:r>
              <w:rPr>
                <w:color w:val="auto"/>
                <w:sz w:val="15"/>
                <w:szCs w:val="15"/>
              </w:rPr>
              <w:t>水污染影响型</w:t>
            </w:r>
          </w:p>
        </w:tc>
        <w:tc>
          <w:tcPr>
            <w:tcW w:w="1477" w:type="pct"/>
            <w:gridSpan w:val="4"/>
            <w:noWrap w:val="0"/>
            <w:vAlign w:val="center"/>
          </w:tcPr>
          <w:p w14:paraId="4E62A6E9">
            <w:pPr>
              <w:jc w:val="center"/>
              <w:rPr>
                <w:color w:val="auto"/>
                <w:sz w:val="15"/>
                <w:szCs w:val="15"/>
              </w:rPr>
            </w:pPr>
            <w:r>
              <w:rPr>
                <w:color w:val="auto"/>
                <w:sz w:val="15"/>
                <w:szCs w:val="15"/>
              </w:rPr>
              <w:t>水文要素影响型</w:t>
            </w:r>
          </w:p>
        </w:tc>
      </w:tr>
      <w:tr w14:paraId="6DCA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88" w:type="pct"/>
            <w:gridSpan w:val="2"/>
            <w:vMerge w:val="continue"/>
            <w:noWrap/>
            <w:vAlign w:val="center"/>
          </w:tcPr>
          <w:p w14:paraId="43F633DE">
            <w:pPr>
              <w:jc w:val="center"/>
              <w:rPr>
                <w:color w:val="auto"/>
                <w:sz w:val="15"/>
                <w:szCs w:val="15"/>
              </w:rPr>
            </w:pPr>
          </w:p>
        </w:tc>
        <w:tc>
          <w:tcPr>
            <w:tcW w:w="2233" w:type="pct"/>
            <w:gridSpan w:val="6"/>
            <w:noWrap/>
            <w:vAlign w:val="center"/>
          </w:tcPr>
          <w:p w14:paraId="69A1451F">
            <w:pPr>
              <w:rPr>
                <w:color w:val="auto"/>
                <w:sz w:val="15"/>
                <w:szCs w:val="15"/>
              </w:rPr>
            </w:pPr>
            <w:r>
              <w:rPr>
                <w:color w:val="auto"/>
                <w:sz w:val="15"/>
                <w:szCs w:val="15"/>
              </w:rPr>
              <w:t xml:space="preserve">一级 </w:t>
            </w:r>
            <w:r>
              <w:rPr>
                <w:rFonts w:hint="eastAsia"/>
                <w:color w:val="auto"/>
                <w:sz w:val="15"/>
                <w:szCs w:val="15"/>
              </w:rPr>
              <w:t>□</w:t>
            </w:r>
            <w:r>
              <w:rPr>
                <w:color w:val="auto"/>
                <w:sz w:val="15"/>
                <w:szCs w:val="15"/>
              </w:rPr>
              <w:t xml:space="preserve">；二级 </w:t>
            </w:r>
            <w:r>
              <w:rPr>
                <w:rFonts w:hint="eastAsia"/>
                <w:color w:val="auto"/>
                <w:sz w:val="15"/>
                <w:szCs w:val="15"/>
              </w:rPr>
              <w:t>□</w:t>
            </w:r>
            <w:r>
              <w:rPr>
                <w:color w:val="auto"/>
                <w:sz w:val="15"/>
                <w:szCs w:val="15"/>
              </w:rPr>
              <w:t xml:space="preserve">；三级A </w:t>
            </w:r>
            <w:r>
              <w:rPr>
                <w:rFonts w:hint="eastAsia"/>
                <w:color w:val="auto"/>
                <w:sz w:val="15"/>
                <w:szCs w:val="15"/>
              </w:rPr>
              <w:t>□</w:t>
            </w:r>
            <w:r>
              <w:rPr>
                <w:color w:val="auto"/>
                <w:sz w:val="15"/>
                <w:szCs w:val="15"/>
              </w:rPr>
              <w:t xml:space="preserve">；三级B </w:t>
            </w:r>
            <w:r>
              <w:rPr>
                <w:rFonts w:hint="eastAsia"/>
                <w:color w:val="auto"/>
                <w:sz w:val="15"/>
                <w:szCs w:val="15"/>
              </w:rPr>
              <w:t>☑</w:t>
            </w:r>
          </w:p>
        </w:tc>
        <w:tc>
          <w:tcPr>
            <w:tcW w:w="1477" w:type="pct"/>
            <w:gridSpan w:val="4"/>
            <w:noWrap w:val="0"/>
            <w:vAlign w:val="center"/>
          </w:tcPr>
          <w:p w14:paraId="67ACD63D">
            <w:pPr>
              <w:jc w:val="center"/>
              <w:rPr>
                <w:color w:val="auto"/>
                <w:sz w:val="15"/>
                <w:szCs w:val="15"/>
              </w:rPr>
            </w:pPr>
            <w:r>
              <w:rPr>
                <w:color w:val="auto"/>
                <w:sz w:val="15"/>
                <w:szCs w:val="15"/>
              </w:rPr>
              <w:t xml:space="preserve">一级 </w:t>
            </w:r>
            <w:r>
              <w:rPr>
                <w:rFonts w:hint="eastAsia"/>
                <w:color w:val="auto"/>
                <w:sz w:val="15"/>
                <w:szCs w:val="15"/>
              </w:rPr>
              <w:t>□</w:t>
            </w:r>
            <w:r>
              <w:rPr>
                <w:color w:val="auto"/>
                <w:sz w:val="15"/>
                <w:szCs w:val="15"/>
              </w:rPr>
              <w:t xml:space="preserve">；二级 </w:t>
            </w:r>
            <w:r>
              <w:rPr>
                <w:rFonts w:hint="eastAsia"/>
                <w:color w:val="auto"/>
                <w:sz w:val="15"/>
                <w:szCs w:val="15"/>
              </w:rPr>
              <w:t>□</w:t>
            </w:r>
            <w:r>
              <w:rPr>
                <w:color w:val="auto"/>
                <w:sz w:val="15"/>
                <w:szCs w:val="15"/>
              </w:rPr>
              <w:t xml:space="preserve">；三级 </w:t>
            </w:r>
            <w:r>
              <w:rPr>
                <w:rFonts w:hint="eastAsia"/>
                <w:color w:val="auto"/>
                <w:sz w:val="15"/>
                <w:szCs w:val="15"/>
              </w:rPr>
              <w:t>□</w:t>
            </w:r>
          </w:p>
        </w:tc>
      </w:tr>
      <w:tr w14:paraId="34EB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84" w:type="pct"/>
            <w:vMerge w:val="restart"/>
            <w:noWrap/>
            <w:textDirection w:val="tbRlV"/>
            <w:vAlign w:val="center"/>
          </w:tcPr>
          <w:p w14:paraId="3394059F">
            <w:pPr>
              <w:jc w:val="center"/>
              <w:rPr>
                <w:color w:val="auto"/>
                <w:sz w:val="15"/>
                <w:szCs w:val="15"/>
              </w:rPr>
            </w:pPr>
            <w:r>
              <w:rPr>
                <w:color w:val="auto"/>
                <w:sz w:val="15"/>
                <w:szCs w:val="15"/>
              </w:rPr>
              <w:t>现状调查</w:t>
            </w:r>
          </w:p>
        </w:tc>
        <w:tc>
          <w:tcPr>
            <w:tcW w:w="1003" w:type="pct"/>
            <w:vMerge w:val="restart"/>
            <w:noWrap w:val="0"/>
            <w:vAlign w:val="center"/>
          </w:tcPr>
          <w:p w14:paraId="4E138D96">
            <w:pPr>
              <w:jc w:val="center"/>
              <w:rPr>
                <w:color w:val="auto"/>
                <w:sz w:val="15"/>
                <w:szCs w:val="15"/>
              </w:rPr>
            </w:pPr>
            <w:r>
              <w:rPr>
                <w:color w:val="auto"/>
                <w:sz w:val="15"/>
                <w:szCs w:val="15"/>
              </w:rPr>
              <w:t>区域污染源</w:t>
            </w:r>
          </w:p>
        </w:tc>
        <w:tc>
          <w:tcPr>
            <w:tcW w:w="2233" w:type="pct"/>
            <w:gridSpan w:val="6"/>
            <w:noWrap/>
            <w:vAlign w:val="center"/>
          </w:tcPr>
          <w:p w14:paraId="716A8699">
            <w:pPr>
              <w:jc w:val="center"/>
              <w:rPr>
                <w:color w:val="auto"/>
                <w:sz w:val="15"/>
                <w:szCs w:val="15"/>
              </w:rPr>
            </w:pPr>
            <w:r>
              <w:rPr>
                <w:color w:val="auto"/>
                <w:sz w:val="15"/>
                <w:szCs w:val="15"/>
              </w:rPr>
              <w:t>调查项目</w:t>
            </w:r>
          </w:p>
        </w:tc>
        <w:tc>
          <w:tcPr>
            <w:tcW w:w="1477" w:type="pct"/>
            <w:gridSpan w:val="4"/>
            <w:noWrap/>
            <w:vAlign w:val="center"/>
          </w:tcPr>
          <w:p w14:paraId="2E90ABAC">
            <w:pPr>
              <w:jc w:val="center"/>
              <w:rPr>
                <w:color w:val="auto"/>
                <w:sz w:val="15"/>
                <w:szCs w:val="15"/>
              </w:rPr>
            </w:pPr>
            <w:r>
              <w:rPr>
                <w:color w:val="auto"/>
                <w:sz w:val="15"/>
                <w:szCs w:val="15"/>
              </w:rPr>
              <w:t>数据来源</w:t>
            </w:r>
          </w:p>
        </w:tc>
      </w:tr>
      <w:tr w14:paraId="2847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84" w:type="pct"/>
            <w:vMerge w:val="continue"/>
            <w:noWrap w:val="0"/>
            <w:vAlign w:val="center"/>
          </w:tcPr>
          <w:p w14:paraId="63FA94A0">
            <w:pPr>
              <w:jc w:val="center"/>
              <w:rPr>
                <w:color w:val="auto"/>
                <w:sz w:val="15"/>
                <w:szCs w:val="15"/>
              </w:rPr>
            </w:pPr>
          </w:p>
        </w:tc>
        <w:tc>
          <w:tcPr>
            <w:tcW w:w="1003" w:type="pct"/>
            <w:vMerge w:val="continue"/>
            <w:noWrap w:val="0"/>
            <w:vAlign w:val="center"/>
          </w:tcPr>
          <w:p w14:paraId="3D21C63F">
            <w:pPr>
              <w:jc w:val="center"/>
              <w:rPr>
                <w:color w:val="auto"/>
                <w:sz w:val="15"/>
                <w:szCs w:val="15"/>
              </w:rPr>
            </w:pPr>
          </w:p>
        </w:tc>
        <w:tc>
          <w:tcPr>
            <w:tcW w:w="855" w:type="pct"/>
            <w:gridSpan w:val="2"/>
            <w:noWrap w:val="0"/>
            <w:vAlign w:val="center"/>
          </w:tcPr>
          <w:p w14:paraId="28DD72A0">
            <w:pPr>
              <w:rPr>
                <w:color w:val="auto"/>
                <w:sz w:val="15"/>
                <w:szCs w:val="15"/>
              </w:rPr>
            </w:pPr>
            <w:r>
              <w:rPr>
                <w:color w:val="auto"/>
                <w:sz w:val="15"/>
                <w:szCs w:val="15"/>
              </w:rPr>
              <w:t>已建</w:t>
            </w:r>
            <w:r>
              <w:rPr>
                <w:rFonts w:hint="eastAsia"/>
                <w:color w:val="auto"/>
                <w:sz w:val="15"/>
                <w:szCs w:val="15"/>
              </w:rPr>
              <w:t>□</w:t>
            </w:r>
            <w:r>
              <w:rPr>
                <w:color w:val="auto"/>
                <w:sz w:val="15"/>
                <w:szCs w:val="15"/>
              </w:rPr>
              <w:t>；在建</w:t>
            </w:r>
            <w:r>
              <w:rPr>
                <w:rFonts w:hint="eastAsia"/>
                <w:color w:val="auto"/>
                <w:sz w:val="15"/>
                <w:szCs w:val="15"/>
              </w:rPr>
              <w:t>□</w:t>
            </w:r>
            <w:r>
              <w:rPr>
                <w:color w:val="auto"/>
                <w:sz w:val="15"/>
                <w:szCs w:val="15"/>
              </w:rPr>
              <w:t>；拟建</w:t>
            </w:r>
            <w:r>
              <w:rPr>
                <w:rFonts w:hint="eastAsia"/>
                <w:color w:val="auto"/>
                <w:sz w:val="15"/>
                <w:szCs w:val="15"/>
              </w:rPr>
              <w:t>☑</w:t>
            </w:r>
            <w:r>
              <w:rPr>
                <w:color w:val="auto"/>
                <w:sz w:val="15"/>
                <w:szCs w:val="15"/>
              </w:rPr>
              <w:t>；其他</w:t>
            </w:r>
            <w:r>
              <w:rPr>
                <w:rFonts w:hint="eastAsia"/>
                <w:color w:val="auto"/>
                <w:sz w:val="15"/>
                <w:szCs w:val="15"/>
              </w:rPr>
              <w:t>□</w:t>
            </w:r>
          </w:p>
        </w:tc>
        <w:tc>
          <w:tcPr>
            <w:tcW w:w="1377" w:type="pct"/>
            <w:gridSpan w:val="4"/>
            <w:noWrap w:val="0"/>
            <w:vAlign w:val="center"/>
          </w:tcPr>
          <w:p w14:paraId="2D66C82A">
            <w:pPr>
              <w:jc w:val="center"/>
              <w:rPr>
                <w:color w:val="auto"/>
                <w:sz w:val="15"/>
                <w:szCs w:val="15"/>
              </w:rPr>
            </w:pPr>
            <w:r>
              <w:rPr>
                <w:color w:val="auto"/>
                <w:sz w:val="15"/>
                <w:szCs w:val="15"/>
              </w:rPr>
              <w:t>拟替代的污染源</w:t>
            </w:r>
            <w:r>
              <w:rPr>
                <w:rFonts w:hint="eastAsia"/>
                <w:color w:val="auto"/>
                <w:sz w:val="15"/>
                <w:szCs w:val="15"/>
              </w:rPr>
              <w:t>□</w:t>
            </w:r>
          </w:p>
        </w:tc>
        <w:tc>
          <w:tcPr>
            <w:tcW w:w="1477" w:type="pct"/>
            <w:gridSpan w:val="4"/>
            <w:noWrap w:val="0"/>
            <w:vAlign w:val="center"/>
          </w:tcPr>
          <w:p w14:paraId="2E37C0CA">
            <w:pPr>
              <w:rPr>
                <w:color w:val="auto"/>
                <w:sz w:val="15"/>
                <w:szCs w:val="15"/>
              </w:rPr>
            </w:pPr>
            <w:r>
              <w:rPr>
                <w:color w:val="auto"/>
                <w:sz w:val="15"/>
                <w:szCs w:val="15"/>
              </w:rPr>
              <w:t>排污许可证</w:t>
            </w:r>
            <w:r>
              <w:rPr>
                <w:rFonts w:hint="eastAsia"/>
                <w:color w:val="auto"/>
                <w:sz w:val="15"/>
                <w:szCs w:val="15"/>
              </w:rPr>
              <w:t>□</w:t>
            </w:r>
            <w:r>
              <w:rPr>
                <w:color w:val="auto"/>
                <w:sz w:val="15"/>
                <w:szCs w:val="15"/>
              </w:rPr>
              <w:t>；环评</w:t>
            </w:r>
            <w:r>
              <w:rPr>
                <w:rFonts w:hint="eastAsia"/>
                <w:color w:val="auto"/>
                <w:sz w:val="15"/>
                <w:szCs w:val="15"/>
              </w:rPr>
              <w:t>□</w:t>
            </w:r>
            <w:r>
              <w:rPr>
                <w:color w:val="auto"/>
                <w:sz w:val="15"/>
                <w:szCs w:val="15"/>
              </w:rPr>
              <w:t>；环保验收</w:t>
            </w:r>
            <w:r>
              <w:rPr>
                <w:rFonts w:hint="eastAsia"/>
                <w:color w:val="auto"/>
                <w:sz w:val="15"/>
                <w:szCs w:val="15"/>
              </w:rPr>
              <w:t>□</w:t>
            </w:r>
            <w:r>
              <w:rPr>
                <w:color w:val="auto"/>
                <w:sz w:val="15"/>
                <w:szCs w:val="15"/>
              </w:rPr>
              <w:t>；既有实测</w:t>
            </w:r>
            <w:r>
              <w:rPr>
                <w:rFonts w:hint="eastAsia"/>
                <w:color w:val="auto"/>
                <w:sz w:val="15"/>
                <w:szCs w:val="15"/>
              </w:rPr>
              <w:t>□</w:t>
            </w:r>
            <w:r>
              <w:rPr>
                <w:color w:val="auto"/>
                <w:sz w:val="15"/>
                <w:szCs w:val="15"/>
              </w:rPr>
              <w:t>；现场监测</w:t>
            </w:r>
            <w:r>
              <w:rPr>
                <w:rFonts w:hint="eastAsia"/>
                <w:color w:val="auto"/>
                <w:sz w:val="15"/>
                <w:szCs w:val="15"/>
                <w:lang w:eastAsia="zh-CN"/>
              </w:rPr>
              <w:t>☑</w:t>
            </w:r>
            <w:r>
              <w:rPr>
                <w:color w:val="auto"/>
                <w:sz w:val="15"/>
                <w:szCs w:val="15"/>
              </w:rPr>
              <w:t>；入河排放口数据</w:t>
            </w:r>
            <w:r>
              <w:rPr>
                <w:rFonts w:hint="eastAsia"/>
                <w:color w:val="auto"/>
                <w:sz w:val="15"/>
                <w:szCs w:val="15"/>
              </w:rPr>
              <w:t>□</w:t>
            </w:r>
            <w:r>
              <w:rPr>
                <w:color w:val="auto"/>
                <w:sz w:val="15"/>
                <w:szCs w:val="15"/>
              </w:rPr>
              <w:t>；其他</w:t>
            </w:r>
            <w:r>
              <w:rPr>
                <w:rFonts w:hint="eastAsia"/>
                <w:color w:val="auto"/>
                <w:sz w:val="15"/>
                <w:szCs w:val="15"/>
              </w:rPr>
              <w:t>□</w:t>
            </w:r>
          </w:p>
        </w:tc>
      </w:tr>
      <w:tr w14:paraId="57F3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84" w:type="pct"/>
            <w:vMerge w:val="continue"/>
            <w:noWrap w:val="0"/>
            <w:vAlign w:val="center"/>
          </w:tcPr>
          <w:p w14:paraId="41890C28">
            <w:pPr>
              <w:jc w:val="center"/>
              <w:rPr>
                <w:color w:val="auto"/>
                <w:sz w:val="15"/>
                <w:szCs w:val="15"/>
              </w:rPr>
            </w:pPr>
          </w:p>
        </w:tc>
        <w:tc>
          <w:tcPr>
            <w:tcW w:w="1003" w:type="pct"/>
            <w:vMerge w:val="restart"/>
            <w:noWrap w:val="0"/>
            <w:vAlign w:val="center"/>
          </w:tcPr>
          <w:p w14:paraId="27496015">
            <w:pPr>
              <w:jc w:val="center"/>
              <w:rPr>
                <w:color w:val="auto"/>
                <w:sz w:val="15"/>
                <w:szCs w:val="15"/>
              </w:rPr>
            </w:pPr>
            <w:r>
              <w:rPr>
                <w:color w:val="auto"/>
                <w:sz w:val="15"/>
                <w:szCs w:val="15"/>
              </w:rPr>
              <w:t>受影响水体水环境质量　</w:t>
            </w:r>
          </w:p>
        </w:tc>
        <w:tc>
          <w:tcPr>
            <w:tcW w:w="2233" w:type="pct"/>
            <w:gridSpan w:val="6"/>
            <w:noWrap/>
            <w:vAlign w:val="center"/>
          </w:tcPr>
          <w:p w14:paraId="4E5D78EF">
            <w:pPr>
              <w:jc w:val="center"/>
              <w:rPr>
                <w:color w:val="auto"/>
                <w:sz w:val="15"/>
                <w:szCs w:val="15"/>
              </w:rPr>
            </w:pPr>
            <w:r>
              <w:rPr>
                <w:color w:val="auto"/>
                <w:sz w:val="15"/>
                <w:szCs w:val="15"/>
              </w:rPr>
              <w:t>调查时期</w:t>
            </w:r>
          </w:p>
        </w:tc>
        <w:tc>
          <w:tcPr>
            <w:tcW w:w="1477" w:type="pct"/>
            <w:gridSpan w:val="4"/>
            <w:noWrap/>
            <w:vAlign w:val="center"/>
          </w:tcPr>
          <w:p w14:paraId="3D763A6D">
            <w:pPr>
              <w:jc w:val="center"/>
              <w:rPr>
                <w:color w:val="auto"/>
                <w:sz w:val="15"/>
                <w:szCs w:val="15"/>
              </w:rPr>
            </w:pPr>
            <w:r>
              <w:rPr>
                <w:color w:val="auto"/>
                <w:sz w:val="15"/>
                <w:szCs w:val="15"/>
              </w:rPr>
              <w:t>数据来源</w:t>
            </w:r>
          </w:p>
        </w:tc>
      </w:tr>
      <w:tr w14:paraId="25EC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84" w:type="pct"/>
            <w:vMerge w:val="continue"/>
            <w:noWrap w:val="0"/>
            <w:vAlign w:val="center"/>
          </w:tcPr>
          <w:p w14:paraId="7777F237">
            <w:pPr>
              <w:jc w:val="center"/>
              <w:rPr>
                <w:color w:val="auto"/>
                <w:sz w:val="15"/>
                <w:szCs w:val="15"/>
              </w:rPr>
            </w:pPr>
          </w:p>
        </w:tc>
        <w:tc>
          <w:tcPr>
            <w:tcW w:w="1003" w:type="pct"/>
            <w:vMerge w:val="continue"/>
            <w:noWrap w:val="0"/>
            <w:vAlign w:val="center"/>
          </w:tcPr>
          <w:p w14:paraId="3C8E400F">
            <w:pPr>
              <w:jc w:val="center"/>
              <w:rPr>
                <w:color w:val="auto"/>
                <w:sz w:val="15"/>
                <w:szCs w:val="15"/>
              </w:rPr>
            </w:pPr>
          </w:p>
        </w:tc>
        <w:tc>
          <w:tcPr>
            <w:tcW w:w="2233" w:type="pct"/>
            <w:gridSpan w:val="6"/>
            <w:noWrap w:val="0"/>
            <w:vAlign w:val="center"/>
          </w:tcPr>
          <w:p w14:paraId="3D87B928">
            <w:pPr>
              <w:jc w:val="left"/>
              <w:rPr>
                <w:rFonts w:hint="eastAsia" w:eastAsia="宋体"/>
                <w:color w:val="auto"/>
                <w:sz w:val="15"/>
                <w:szCs w:val="15"/>
                <w:lang w:eastAsia="zh-CN"/>
              </w:rPr>
            </w:pPr>
            <w:r>
              <w:rPr>
                <w:color w:val="auto"/>
                <w:sz w:val="15"/>
                <w:szCs w:val="15"/>
              </w:rPr>
              <w:t>丰水期</w:t>
            </w:r>
            <w:r>
              <w:rPr>
                <w:rFonts w:hint="eastAsia"/>
                <w:color w:val="auto"/>
                <w:sz w:val="15"/>
                <w:szCs w:val="15"/>
              </w:rPr>
              <w:t>□</w:t>
            </w:r>
            <w:r>
              <w:rPr>
                <w:color w:val="auto"/>
                <w:sz w:val="15"/>
                <w:szCs w:val="15"/>
              </w:rPr>
              <w:t>；平水期</w:t>
            </w:r>
            <w:r>
              <w:rPr>
                <w:rFonts w:hint="eastAsia"/>
                <w:color w:val="auto"/>
                <w:sz w:val="15"/>
                <w:szCs w:val="15"/>
              </w:rPr>
              <w:t>□</w:t>
            </w:r>
            <w:r>
              <w:rPr>
                <w:color w:val="auto"/>
                <w:sz w:val="15"/>
                <w:szCs w:val="15"/>
              </w:rPr>
              <w:t>；枯水期</w:t>
            </w:r>
            <w:r>
              <w:rPr>
                <w:rFonts w:hint="eastAsia"/>
                <w:color w:val="auto"/>
                <w:sz w:val="15"/>
                <w:szCs w:val="15"/>
              </w:rPr>
              <w:t>□</w:t>
            </w:r>
            <w:r>
              <w:rPr>
                <w:color w:val="auto"/>
                <w:sz w:val="15"/>
                <w:szCs w:val="15"/>
              </w:rPr>
              <w:t>；冰封期</w:t>
            </w:r>
            <w:r>
              <w:rPr>
                <w:rFonts w:hint="eastAsia"/>
                <w:color w:val="auto"/>
                <w:sz w:val="15"/>
                <w:szCs w:val="15"/>
              </w:rPr>
              <w:t>□</w:t>
            </w:r>
          </w:p>
          <w:p w14:paraId="40950E20">
            <w:pPr>
              <w:jc w:val="left"/>
              <w:rPr>
                <w:color w:val="auto"/>
                <w:sz w:val="15"/>
                <w:szCs w:val="15"/>
              </w:rPr>
            </w:pPr>
            <w:r>
              <w:rPr>
                <w:color w:val="auto"/>
                <w:sz w:val="15"/>
                <w:szCs w:val="15"/>
              </w:rPr>
              <w:t>春季</w:t>
            </w:r>
            <w:r>
              <w:rPr>
                <w:rFonts w:hint="eastAsia"/>
                <w:color w:val="auto"/>
                <w:sz w:val="15"/>
                <w:szCs w:val="15"/>
              </w:rPr>
              <w:t>□</w:t>
            </w:r>
            <w:r>
              <w:rPr>
                <w:color w:val="auto"/>
                <w:sz w:val="15"/>
                <w:szCs w:val="15"/>
              </w:rPr>
              <w:t>；夏季</w:t>
            </w:r>
            <w:r>
              <w:rPr>
                <w:rFonts w:hint="eastAsia"/>
                <w:color w:val="auto"/>
                <w:sz w:val="15"/>
                <w:szCs w:val="15"/>
              </w:rPr>
              <w:t>□</w:t>
            </w:r>
            <w:r>
              <w:rPr>
                <w:color w:val="auto"/>
                <w:sz w:val="15"/>
                <w:szCs w:val="15"/>
              </w:rPr>
              <w:t>；秋季</w:t>
            </w:r>
            <w:r>
              <w:rPr>
                <w:rFonts w:hint="eastAsia"/>
                <w:color w:val="auto"/>
                <w:sz w:val="15"/>
                <w:szCs w:val="15"/>
              </w:rPr>
              <w:t>□</w:t>
            </w:r>
            <w:r>
              <w:rPr>
                <w:color w:val="auto"/>
                <w:sz w:val="15"/>
                <w:szCs w:val="15"/>
              </w:rPr>
              <w:t>；冬季</w:t>
            </w:r>
            <w:r>
              <w:rPr>
                <w:rFonts w:hint="eastAsia"/>
                <w:color w:val="auto"/>
                <w:sz w:val="15"/>
                <w:szCs w:val="15"/>
              </w:rPr>
              <w:t>□</w:t>
            </w:r>
          </w:p>
        </w:tc>
        <w:tc>
          <w:tcPr>
            <w:tcW w:w="1477" w:type="pct"/>
            <w:gridSpan w:val="4"/>
            <w:noWrap/>
            <w:vAlign w:val="center"/>
          </w:tcPr>
          <w:p w14:paraId="5F8F2BDE">
            <w:pPr>
              <w:jc w:val="center"/>
              <w:rPr>
                <w:color w:val="auto"/>
                <w:sz w:val="15"/>
                <w:szCs w:val="15"/>
              </w:rPr>
            </w:pPr>
            <w:r>
              <w:rPr>
                <w:color w:val="auto"/>
                <w:sz w:val="15"/>
                <w:szCs w:val="15"/>
              </w:rPr>
              <w:t>生态环境保护主管部门</w:t>
            </w:r>
            <w:r>
              <w:rPr>
                <w:rFonts w:hint="eastAsia"/>
                <w:color w:val="auto"/>
                <w:sz w:val="15"/>
                <w:szCs w:val="15"/>
              </w:rPr>
              <w:t>□</w:t>
            </w:r>
            <w:r>
              <w:rPr>
                <w:color w:val="auto"/>
                <w:sz w:val="15"/>
                <w:szCs w:val="15"/>
              </w:rPr>
              <w:t>；补充监测</w:t>
            </w:r>
            <w:r>
              <w:rPr>
                <w:rFonts w:hint="eastAsia"/>
                <w:color w:val="auto"/>
                <w:sz w:val="15"/>
                <w:szCs w:val="15"/>
              </w:rPr>
              <w:t>□</w:t>
            </w:r>
            <w:r>
              <w:rPr>
                <w:color w:val="auto"/>
                <w:sz w:val="15"/>
                <w:szCs w:val="15"/>
              </w:rPr>
              <w:t>；其他</w:t>
            </w:r>
            <w:r>
              <w:rPr>
                <w:rFonts w:hint="eastAsia"/>
                <w:color w:val="auto"/>
                <w:sz w:val="15"/>
                <w:szCs w:val="15"/>
              </w:rPr>
              <w:t>□</w:t>
            </w:r>
          </w:p>
        </w:tc>
      </w:tr>
      <w:tr w14:paraId="2B99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21AA6AC1">
            <w:pPr>
              <w:jc w:val="center"/>
              <w:rPr>
                <w:color w:val="auto"/>
                <w:sz w:val="15"/>
                <w:szCs w:val="15"/>
              </w:rPr>
            </w:pPr>
          </w:p>
        </w:tc>
        <w:tc>
          <w:tcPr>
            <w:tcW w:w="1003" w:type="pct"/>
            <w:noWrap w:val="0"/>
            <w:vAlign w:val="center"/>
          </w:tcPr>
          <w:p w14:paraId="376B40E1">
            <w:pPr>
              <w:jc w:val="center"/>
              <w:rPr>
                <w:color w:val="auto"/>
                <w:sz w:val="15"/>
                <w:szCs w:val="15"/>
              </w:rPr>
            </w:pPr>
            <w:r>
              <w:rPr>
                <w:color w:val="auto"/>
                <w:sz w:val="15"/>
                <w:szCs w:val="15"/>
              </w:rPr>
              <w:t>区域水资源开发利用状况</w:t>
            </w:r>
          </w:p>
        </w:tc>
        <w:tc>
          <w:tcPr>
            <w:tcW w:w="3711" w:type="pct"/>
            <w:gridSpan w:val="10"/>
            <w:noWrap/>
            <w:vAlign w:val="center"/>
          </w:tcPr>
          <w:p w14:paraId="3A0A3338">
            <w:pPr>
              <w:jc w:val="left"/>
              <w:rPr>
                <w:color w:val="auto"/>
                <w:sz w:val="15"/>
                <w:szCs w:val="15"/>
              </w:rPr>
            </w:pPr>
            <w:r>
              <w:rPr>
                <w:color w:val="auto"/>
                <w:sz w:val="15"/>
                <w:szCs w:val="15"/>
              </w:rPr>
              <w:t>未开发</w:t>
            </w:r>
            <w:r>
              <w:rPr>
                <w:rFonts w:hint="eastAsia"/>
                <w:color w:val="auto"/>
                <w:sz w:val="15"/>
                <w:szCs w:val="15"/>
              </w:rPr>
              <w:t>□</w:t>
            </w:r>
            <w:r>
              <w:rPr>
                <w:color w:val="auto"/>
                <w:sz w:val="15"/>
                <w:szCs w:val="15"/>
              </w:rPr>
              <w:t>；开发量40%以下</w:t>
            </w:r>
            <w:r>
              <w:rPr>
                <w:rFonts w:hint="eastAsia"/>
                <w:color w:val="auto"/>
                <w:sz w:val="15"/>
                <w:szCs w:val="15"/>
              </w:rPr>
              <w:t>□</w:t>
            </w:r>
            <w:r>
              <w:rPr>
                <w:color w:val="auto"/>
                <w:sz w:val="15"/>
                <w:szCs w:val="15"/>
              </w:rPr>
              <w:t>；开发量40%以上</w:t>
            </w:r>
            <w:r>
              <w:rPr>
                <w:rFonts w:hint="eastAsia"/>
                <w:color w:val="auto"/>
                <w:sz w:val="15"/>
                <w:szCs w:val="15"/>
              </w:rPr>
              <w:t>□</w:t>
            </w:r>
          </w:p>
        </w:tc>
      </w:tr>
      <w:tr w14:paraId="7DFE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284" w:type="pct"/>
            <w:vMerge w:val="continue"/>
            <w:noWrap w:val="0"/>
            <w:vAlign w:val="center"/>
          </w:tcPr>
          <w:p w14:paraId="71CC3A54">
            <w:pPr>
              <w:jc w:val="center"/>
              <w:rPr>
                <w:color w:val="auto"/>
                <w:sz w:val="15"/>
                <w:szCs w:val="15"/>
              </w:rPr>
            </w:pPr>
          </w:p>
        </w:tc>
        <w:tc>
          <w:tcPr>
            <w:tcW w:w="1003" w:type="pct"/>
            <w:vMerge w:val="restart"/>
            <w:noWrap w:val="0"/>
            <w:vAlign w:val="center"/>
          </w:tcPr>
          <w:p w14:paraId="76FC2470">
            <w:pPr>
              <w:jc w:val="center"/>
              <w:rPr>
                <w:color w:val="auto"/>
                <w:sz w:val="15"/>
                <w:szCs w:val="15"/>
              </w:rPr>
            </w:pPr>
            <w:r>
              <w:rPr>
                <w:color w:val="auto"/>
                <w:sz w:val="15"/>
                <w:szCs w:val="15"/>
              </w:rPr>
              <w:t>水文情势调查　</w:t>
            </w:r>
          </w:p>
        </w:tc>
        <w:tc>
          <w:tcPr>
            <w:tcW w:w="2233" w:type="pct"/>
            <w:gridSpan w:val="6"/>
            <w:noWrap/>
            <w:vAlign w:val="center"/>
          </w:tcPr>
          <w:p w14:paraId="2927C3D6">
            <w:pPr>
              <w:jc w:val="center"/>
              <w:rPr>
                <w:color w:val="auto"/>
                <w:sz w:val="15"/>
                <w:szCs w:val="15"/>
              </w:rPr>
            </w:pPr>
            <w:r>
              <w:rPr>
                <w:color w:val="auto"/>
                <w:sz w:val="15"/>
                <w:szCs w:val="15"/>
              </w:rPr>
              <w:t>调查时期</w:t>
            </w:r>
          </w:p>
        </w:tc>
        <w:tc>
          <w:tcPr>
            <w:tcW w:w="1477" w:type="pct"/>
            <w:gridSpan w:val="4"/>
            <w:noWrap/>
            <w:vAlign w:val="center"/>
          </w:tcPr>
          <w:p w14:paraId="14C16272">
            <w:pPr>
              <w:jc w:val="center"/>
              <w:rPr>
                <w:color w:val="auto"/>
                <w:sz w:val="15"/>
                <w:szCs w:val="15"/>
              </w:rPr>
            </w:pPr>
            <w:r>
              <w:rPr>
                <w:color w:val="auto"/>
                <w:sz w:val="15"/>
                <w:szCs w:val="15"/>
              </w:rPr>
              <w:t>数据来源</w:t>
            </w:r>
          </w:p>
        </w:tc>
      </w:tr>
      <w:tr w14:paraId="3382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84" w:type="pct"/>
            <w:vMerge w:val="continue"/>
            <w:noWrap w:val="0"/>
            <w:vAlign w:val="center"/>
          </w:tcPr>
          <w:p w14:paraId="57539D12">
            <w:pPr>
              <w:jc w:val="center"/>
              <w:rPr>
                <w:color w:val="auto"/>
                <w:sz w:val="15"/>
                <w:szCs w:val="15"/>
              </w:rPr>
            </w:pPr>
          </w:p>
        </w:tc>
        <w:tc>
          <w:tcPr>
            <w:tcW w:w="1003" w:type="pct"/>
            <w:vMerge w:val="continue"/>
            <w:noWrap w:val="0"/>
            <w:vAlign w:val="center"/>
          </w:tcPr>
          <w:p w14:paraId="7CD6EE0F">
            <w:pPr>
              <w:jc w:val="center"/>
              <w:rPr>
                <w:color w:val="auto"/>
                <w:sz w:val="15"/>
                <w:szCs w:val="15"/>
              </w:rPr>
            </w:pPr>
          </w:p>
        </w:tc>
        <w:tc>
          <w:tcPr>
            <w:tcW w:w="2233" w:type="pct"/>
            <w:gridSpan w:val="6"/>
            <w:noWrap w:val="0"/>
            <w:vAlign w:val="center"/>
          </w:tcPr>
          <w:p w14:paraId="03CBA14A">
            <w:pPr>
              <w:rPr>
                <w:rFonts w:hint="eastAsia" w:eastAsia="宋体"/>
                <w:color w:val="auto"/>
                <w:sz w:val="15"/>
                <w:szCs w:val="15"/>
                <w:lang w:eastAsia="zh-CN"/>
              </w:rPr>
            </w:pPr>
            <w:r>
              <w:rPr>
                <w:color w:val="auto"/>
                <w:sz w:val="15"/>
                <w:szCs w:val="15"/>
              </w:rPr>
              <w:t>丰水期</w:t>
            </w:r>
            <w:r>
              <w:rPr>
                <w:rFonts w:hint="eastAsia"/>
                <w:color w:val="auto"/>
                <w:sz w:val="15"/>
                <w:szCs w:val="15"/>
              </w:rPr>
              <w:t>□</w:t>
            </w:r>
            <w:r>
              <w:rPr>
                <w:color w:val="auto"/>
                <w:sz w:val="15"/>
                <w:szCs w:val="15"/>
              </w:rPr>
              <w:t>；平水期</w:t>
            </w:r>
            <w:r>
              <w:rPr>
                <w:rFonts w:hint="eastAsia"/>
                <w:color w:val="auto"/>
                <w:sz w:val="15"/>
                <w:szCs w:val="15"/>
              </w:rPr>
              <w:t>□</w:t>
            </w:r>
            <w:r>
              <w:rPr>
                <w:color w:val="auto"/>
                <w:sz w:val="15"/>
                <w:szCs w:val="15"/>
              </w:rPr>
              <w:t>；枯水期</w:t>
            </w:r>
            <w:r>
              <w:rPr>
                <w:rFonts w:hint="eastAsia"/>
                <w:color w:val="auto"/>
                <w:sz w:val="15"/>
                <w:szCs w:val="15"/>
              </w:rPr>
              <w:t>□</w:t>
            </w:r>
            <w:r>
              <w:rPr>
                <w:color w:val="auto"/>
                <w:sz w:val="15"/>
                <w:szCs w:val="15"/>
              </w:rPr>
              <w:t>；冰封期</w:t>
            </w:r>
            <w:r>
              <w:rPr>
                <w:rFonts w:hint="eastAsia"/>
                <w:color w:val="auto"/>
                <w:sz w:val="15"/>
                <w:szCs w:val="15"/>
              </w:rPr>
              <w:t>□</w:t>
            </w:r>
          </w:p>
          <w:p w14:paraId="5E4B6FC9">
            <w:pPr>
              <w:rPr>
                <w:color w:val="auto"/>
                <w:sz w:val="15"/>
                <w:szCs w:val="15"/>
              </w:rPr>
            </w:pPr>
            <w:r>
              <w:rPr>
                <w:color w:val="auto"/>
                <w:sz w:val="15"/>
                <w:szCs w:val="15"/>
              </w:rPr>
              <w:t>春季</w:t>
            </w:r>
            <w:r>
              <w:rPr>
                <w:rFonts w:hint="eastAsia"/>
                <w:color w:val="auto"/>
                <w:sz w:val="15"/>
                <w:szCs w:val="15"/>
              </w:rPr>
              <w:t>□</w:t>
            </w:r>
            <w:r>
              <w:rPr>
                <w:color w:val="auto"/>
                <w:sz w:val="15"/>
                <w:szCs w:val="15"/>
              </w:rPr>
              <w:t>；夏季</w:t>
            </w:r>
            <w:r>
              <w:rPr>
                <w:rFonts w:hint="eastAsia"/>
                <w:color w:val="auto"/>
                <w:sz w:val="15"/>
                <w:szCs w:val="15"/>
              </w:rPr>
              <w:t>□</w:t>
            </w:r>
            <w:r>
              <w:rPr>
                <w:color w:val="auto"/>
                <w:sz w:val="15"/>
                <w:szCs w:val="15"/>
              </w:rPr>
              <w:t>；秋季</w:t>
            </w:r>
            <w:r>
              <w:rPr>
                <w:rFonts w:hint="eastAsia"/>
                <w:color w:val="auto"/>
                <w:sz w:val="15"/>
                <w:szCs w:val="15"/>
              </w:rPr>
              <w:t>□</w:t>
            </w:r>
            <w:r>
              <w:rPr>
                <w:color w:val="auto"/>
                <w:sz w:val="15"/>
                <w:szCs w:val="15"/>
              </w:rPr>
              <w:t>；冬季</w:t>
            </w:r>
            <w:r>
              <w:rPr>
                <w:rFonts w:hint="eastAsia"/>
                <w:color w:val="auto"/>
                <w:sz w:val="15"/>
                <w:szCs w:val="15"/>
              </w:rPr>
              <w:t>□</w:t>
            </w:r>
          </w:p>
        </w:tc>
        <w:tc>
          <w:tcPr>
            <w:tcW w:w="1477" w:type="pct"/>
            <w:gridSpan w:val="4"/>
            <w:noWrap/>
            <w:vAlign w:val="center"/>
          </w:tcPr>
          <w:p w14:paraId="414C38E3">
            <w:pPr>
              <w:jc w:val="center"/>
              <w:rPr>
                <w:color w:val="auto"/>
                <w:sz w:val="15"/>
                <w:szCs w:val="15"/>
              </w:rPr>
            </w:pPr>
            <w:r>
              <w:rPr>
                <w:color w:val="auto"/>
                <w:sz w:val="15"/>
                <w:szCs w:val="15"/>
              </w:rPr>
              <w:t>水行政主管部门</w:t>
            </w:r>
            <w:r>
              <w:rPr>
                <w:rFonts w:hint="eastAsia"/>
                <w:color w:val="auto"/>
                <w:sz w:val="15"/>
                <w:szCs w:val="15"/>
              </w:rPr>
              <w:t>□</w:t>
            </w:r>
            <w:r>
              <w:rPr>
                <w:color w:val="auto"/>
                <w:sz w:val="15"/>
                <w:szCs w:val="15"/>
              </w:rPr>
              <w:t>；补充监测</w:t>
            </w:r>
            <w:r>
              <w:rPr>
                <w:rFonts w:hint="eastAsia"/>
                <w:color w:val="auto"/>
                <w:sz w:val="15"/>
                <w:szCs w:val="15"/>
              </w:rPr>
              <w:t>□</w:t>
            </w:r>
            <w:r>
              <w:rPr>
                <w:color w:val="auto"/>
                <w:sz w:val="15"/>
                <w:szCs w:val="15"/>
              </w:rPr>
              <w:t>；其他</w:t>
            </w:r>
            <w:r>
              <w:rPr>
                <w:rFonts w:hint="eastAsia"/>
                <w:color w:val="auto"/>
                <w:sz w:val="15"/>
                <w:szCs w:val="15"/>
              </w:rPr>
              <w:t>☑</w:t>
            </w:r>
          </w:p>
        </w:tc>
      </w:tr>
      <w:tr w14:paraId="50D7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84" w:type="pct"/>
            <w:vMerge w:val="continue"/>
            <w:noWrap w:val="0"/>
            <w:vAlign w:val="center"/>
          </w:tcPr>
          <w:p w14:paraId="0F5F07F7">
            <w:pPr>
              <w:jc w:val="center"/>
              <w:rPr>
                <w:color w:val="auto"/>
                <w:sz w:val="15"/>
                <w:szCs w:val="15"/>
              </w:rPr>
            </w:pPr>
          </w:p>
        </w:tc>
        <w:tc>
          <w:tcPr>
            <w:tcW w:w="1003" w:type="pct"/>
            <w:vMerge w:val="restart"/>
            <w:noWrap w:val="0"/>
            <w:vAlign w:val="center"/>
          </w:tcPr>
          <w:p w14:paraId="332681C6">
            <w:pPr>
              <w:jc w:val="center"/>
              <w:rPr>
                <w:color w:val="auto"/>
                <w:sz w:val="15"/>
                <w:szCs w:val="15"/>
              </w:rPr>
            </w:pPr>
            <w:r>
              <w:rPr>
                <w:color w:val="auto"/>
                <w:sz w:val="15"/>
                <w:szCs w:val="15"/>
              </w:rPr>
              <w:t>补充监测</w:t>
            </w:r>
          </w:p>
        </w:tc>
        <w:tc>
          <w:tcPr>
            <w:tcW w:w="2233" w:type="pct"/>
            <w:gridSpan w:val="6"/>
            <w:noWrap w:val="0"/>
            <w:vAlign w:val="center"/>
          </w:tcPr>
          <w:p w14:paraId="6781D30B">
            <w:pPr>
              <w:jc w:val="center"/>
              <w:rPr>
                <w:color w:val="auto"/>
                <w:sz w:val="15"/>
                <w:szCs w:val="15"/>
              </w:rPr>
            </w:pPr>
            <w:r>
              <w:rPr>
                <w:color w:val="auto"/>
                <w:sz w:val="15"/>
                <w:szCs w:val="15"/>
              </w:rPr>
              <w:t>监测时期</w:t>
            </w:r>
          </w:p>
        </w:tc>
        <w:tc>
          <w:tcPr>
            <w:tcW w:w="359" w:type="pct"/>
            <w:noWrap/>
            <w:vAlign w:val="center"/>
          </w:tcPr>
          <w:p w14:paraId="4DAAB5FF">
            <w:pPr>
              <w:jc w:val="center"/>
              <w:rPr>
                <w:color w:val="auto"/>
                <w:sz w:val="15"/>
                <w:szCs w:val="15"/>
              </w:rPr>
            </w:pPr>
            <w:r>
              <w:rPr>
                <w:color w:val="auto"/>
                <w:sz w:val="15"/>
                <w:szCs w:val="15"/>
              </w:rPr>
              <w:t>监测因子</w:t>
            </w:r>
          </w:p>
        </w:tc>
        <w:tc>
          <w:tcPr>
            <w:tcW w:w="1118" w:type="pct"/>
            <w:gridSpan w:val="3"/>
            <w:noWrap/>
            <w:vAlign w:val="center"/>
          </w:tcPr>
          <w:p w14:paraId="4A0009FB">
            <w:pPr>
              <w:jc w:val="center"/>
              <w:rPr>
                <w:color w:val="auto"/>
                <w:sz w:val="15"/>
                <w:szCs w:val="15"/>
              </w:rPr>
            </w:pPr>
            <w:r>
              <w:rPr>
                <w:color w:val="auto"/>
                <w:sz w:val="15"/>
                <w:szCs w:val="15"/>
              </w:rPr>
              <w:t>监测断面或点位</w:t>
            </w:r>
          </w:p>
        </w:tc>
      </w:tr>
      <w:tr w14:paraId="7E17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84" w:type="pct"/>
            <w:vMerge w:val="continue"/>
            <w:noWrap w:val="0"/>
            <w:vAlign w:val="center"/>
          </w:tcPr>
          <w:p w14:paraId="55EC5408">
            <w:pPr>
              <w:jc w:val="center"/>
              <w:rPr>
                <w:color w:val="auto"/>
                <w:sz w:val="15"/>
                <w:szCs w:val="15"/>
              </w:rPr>
            </w:pPr>
          </w:p>
        </w:tc>
        <w:tc>
          <w:tcPr>
            <w:tcW w:w="1003" w:type="pct"/>
            <w:vMerge w:val="continue"/>
            <w:noWrap w:val="0"/>
            <w:vAlign w:val="center"/>
          </w:tcPr>
          <w:p w14:paraId="24C25DE2">
            <w:pPr>
              <w:jc w:val="center"/>
              <w:rPr>
                <w:color w:val="auto"/>
                <w:sz w:val="15"/>
                <w:szCs w:val="15"/>
              </w:rPr>
            </w:pPr>
          </w:p>
        </w:tc>
        <w:tc>
          <w:tcPr>
            <w:tcW w:w="2233" w:type="pct"/>
            <w:gridSpan w:val="6"/>
            <w:noWrap w:val="0"/>
            <w:vAlign w:val="center"/>
          </w:tcPr>
          <w:p w14:paraId="37B983A4">
            <w:pPr>
              <w:rPr>
                <w:rFonts w:hint="eastAsia" w:eastAsia="宋体"/>
                <w:color w:val="auto"/>
                <w:sz w:val="15"/>
                <w:szCs w:val="15"/>
                <w:lang w:eastAsia="zh-CN"/>
              </w:rPr>
            </w:pPr>
            <w:r>
              <w:rPr>
                <w:color w:val="auto"/>
                <w:sz w:val="15"/>
                <w:szCs w:val="15"/>
              </w:rPr>
              <w:t>丰水期</w:t>
            </w:r>
            <w:r>
              <w:rPr>
                <w:rFonts w:hint="eastAsia"/>
                <w:color w:val="auto"/>
                <w:sz w:val="15"/>
                <w:szCs w:val="15"/>
              </w:rPr>
              <w:t>□</w:t>
            </w:r>
            <w:r>
              <w:rPr>
                <w:color w:val="auto"/>
                <w:sz w:val="15"/>
                <w:szCs w:val="15"/>
              </w:rPr>
              <w:t>；平水期</w:t>
            </w:r>
            <w:r>
              <w:rPr>
                <w:rFonts w:hint="eastAsia"/>
                <w:color w:val="auto"/>
                <w:sz w:val="15"/>
                <w:szCs w:val="15"/>
              </w:rPr>
              <w:t>□</w:t>
            </w:r>
            <w:r>
              <w:rPr>
                <w:color w:val="auto"/>
                <w:sz w:val="15"/>
                <w:szCs w:val="15"/>
              </w:rPr>
              <w:t>；枯水期</w:t>
            </w:r>
            <w:r>
              <w:rPr>
                <w:rFonts w:hint="eastAsia"/>
                <w:color w:val="auto"/>
                <w:sz w:val="15"/>
                <w:szCs w:val="15"/>
              </w:rPr>
              <w:t>□</w:t>
            </w:r>
            <w:r>
              <w:rPr>
                <w:color w:val="auto"/>
                <w:sz w:val="15"/>
                <w:szCs w:val="15"/>
              </w:rPr>
              <w:t>；冰封期</w:t>
            </w:r>
            <w:r>
              <w:rPr>
                <w:rFonts w:hint="eastAsia"/>
                <w:color w:val="auto"/>
                <w:sz w:val="15"/>
                <w:szCs w:val="15"/>
              </w:rPr>
              <w:t>□</w:t>
            </w:r>
          </w:p>
          <w:p w14:paraId="5784CCC0">
            <w:pPr>
              <w:rPr>
                <w:color w:val="auto"/>
                <w:sz w:val="15"/>
                <w:szCs w:val="15"/>
              </w:rPr>
            </w:pPr>
            <w:r>
              <w:rPr>
                <w:color w:val="auto"/>
                <w:sz w:val="15"/>
                <w:szCs w:val="15"/>
              </w:rPr>
              <w:t>春季</w:t>
            </w:r>
            <w:r>
              <w:rPr>
                <w:rFonts w:hint="eastAsia"/>
                <w:color w:val="auto"/>
                <w:sz w:val="15"/>
                <w:szCs w:val="15"/>
              </w:rPr>
              <w:t>□</w:t>
            </w:r>
            <w:r>
              <w:rPr>
                <w:color w:val="auto"/>
                <w:sz w:val="15"/>
                <w:szCs w:val="15"/>
              </w:rPr>
              <w:t>；夏季</w:t>
            </w:r>
            <w:r>
              <w:rPr>
                <w:rFonts w:hint="eastAsia"/>
                <w:color w:val="auto"/>
                <w:sz w:val="15"/>
                <w:szCs w:val="15"/>
              </w:rPr>
              <w:t>□</w:t>
            </w:r>
            <w:r>
              <w:rPr>
                <w:color w:val="auto"/>
                <w:sz w:val="15"/>
                <w:szCs w:val="15"/>
              </w:rPr>
              <w:t>；秋季</w:t>
            </w:r>
            <w:r>
              <w:rPr>
                <w:rFonts w:hint="eastAsia"/>
                <w:color w:val="auto"/>
                <w:sz w:val="15"/>
                <w:szCs w:val="15"/>
              </w:rPr>
              <w:t>□</w:t>
            </w:r>
            <w:r>
              <w:rPr>
                <w:color w:val="auto"/>
                <w:sz w:val="15"/>
                <w:szCs w:val="15"/>
              </w:rPr>
              <w:t>；冬季</w:t>
            </w:r>
            <w:r>
              <w:rPr>
                <w:rFonts w:hint="eastAsia"/>
                <w:color w:val="auto"/>
                <w:sz w:val="15"/>
                <w:szCs w:val="15"/>
              </w:rPr>
              <w:t>□</w:t>
            </w:r>
          </w:p>
        </w:tc>
        <w:tc>
          <w:tcPr>
            <w:tcW w:w="359" w:type="pct"/>
            <w:noWrap/>
            <w:vAlign w:val="center"/>
          </w:tcPr>
          <w:p w14:paraId="0AF312A7">
            <w:pPr>
              <w:jc w:val="center"/>
              <w:rPr>
                <w:color w:val="auto"/>
                <w:sz w:val="15"/>
                <w:szCs w:val="15"/>
              </w:rPr>
            </w:pPr>
            <w:r>
              <w:rPr>
                <w:color w:val="auto"/>
                <w:sz w:val="15"/>
                <w:szCs w:val="15"/>
              </w:rPr>
              <w:t>（  ）</w:t>
            </w:r>
          </w:p>
        </w:tc>
        <w:tc>
          <w:tcPr>
            <w:tcW w:w="1118" w:type="pct"/>
            <w:gridSpan w:val="3"/>
            <w:noWrap/>
            <w:vAlign w:val="center"/>
          </w:tcPr>
          <w:p w14:paraId="56B02AAE">
            <w:pPr>
              <w:rPr>
                <w:color w:val="auto"/>
                <w:sz w:val="15"/>
                <w:szCs w:val="15"/>
              </w:rPr>
            </w:pPr>
            <w:r>
              <w:rPr>
                <w:color w:val="auto"/>
                <w:sz w:val="15"/>
                <w:szCs w:val="15"/>
              </w:rPr>
              <w:t>监测断面或点位个数（）个</w:t>
            </w:r>
          </w:p>
        </w:tc>
      </w:tr>
      <w:tr w14:paraId="5E73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84" w:type="pct"/>
            <w:vMerge w:val="restart"/>
            <w:noWrap/>
            <w:textDirection w:val="tbRlV"/>
            <w:vAlign w:val="center"/>
          </w:tcPr>
          <w:p w14:paraId="7EEFDD73">
            <w:pPr>
              <w:jc w:val="center"/>
              <w:rPr>
                <w:color w:val="auto"/>
                <w:sz w:val="15"/>
                <w:szCs w:val="15"/>
              </w:rPr>
            </w:pPr>
            <w:r>
              <w:rPr>
                <w:color w:val="auto"/>
                <w:sz w:val="15"/>
                <w:szCs w:val="15"/>
              </w:rPr>
              <w:t>现状评价</w:t>
            </w:r>
          </w:p>
        </w:tc>
        <w:tc>
          <w:tcPr>
            <w:tcW w:w="1003" w:type="pct"/>
            <w:noWrap w:val="0"/>
            <w:vAlign w:val="center"/>
          </w:tcPr>
          <w:p w14:paraId="174C7A20">
            <w:pPr>
              <w:jc w:val="center"/>
              <w:rPr>
                <w:color w:val="auto"/>
                <w:sz w:val="15"/>
                <w:szCs w:val="15"/>
              </w:rPr>
            </w:pPr>
            <w:r>
              <w:rPr>
                <w:color w:val="auto"/>
                <w:sz w:val="15"/>
                <w:szCs w:val="15"/>
              </w:rPr>
              <w:t>评价范围</w:t>
            </w:r>
          </w:p>
        </w:tc>
        <w:tc>
          <w:tcPr>
            <w:tcW w:w="3711" w:type="pct"/>
            <w:gridSpan w:val="10"/>
            <w:noWrap/>
            <w:vAlign w:val="center"/>
          </w:tcPr>
          <w:p w14:paraId="39A16EDB">
            <w:pPr>
              <w:jc w:val="center"/>
              <w:rPr>
                <w:color w:val="auto"/>
                <w:sz w:val="15"/>
                <w:szCs w:val="15"/>
              </w:rPr>
            </w:pPr>
            <w:r>
              <w:rPr>
                <w:color w:val="auto"/>
                <w:sz w:val="15"/>
                <w:szCs w:val="15"/>
              </w:rPr>
              <w:t xml:space="preserve">河流：长度（ </w:t>
            </w:r>
            <w:r>
              <w:rPr>
                <w:rFonts w:hint="eastAsia"/>
                <w:color w:val="auto"/>
                <w:sz w:val="15"/>
                <w:szCs w:val="15"/>
              </w:rPr>
              <w:t xml:space="preserve"> </w:t>
            </w:r>
            <w:r>
              <w:rPr>
                <w:color w:val="auto"/>
                <w:sz w:val="15"/>
                <w:szCs w:val="15"/>
              </w:rPr>
              <w:t xml:space="preserve"> ）km；湖库、河口及近岸海域：面积（   ）km</w:t>
            </w:r>
            <w:r>
              <w:rPr>
                <w:color w:val="auto"/>
                <w:sz w:val="15"/>
                <w:szCs w:val="15"/>
                <w:vertAlign w:val="superscript"/>
              </w:rPr>
              <w:t>2</w:t>
            </w:r>
            <w:r>
              <w:rPr>
                <w:rFonts w:hint="eastAsia"/>
                <w:color w:val="auto"/>
                <w:sz w:val="15"/>
                <w:szCs w:val="15"/>
                <w:vertAlign w:val="superscript"/>
              </w:rPr>
              <w:t xml:space="preserve"> </w:t>
            </w:r>
          </w:p>
        </w:tc>
      </w:tr>
      <w:tr w14:paraId="1C33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84" w:type="pct"/>
            <w:vMerge w:val="continue"/>
            <w:noWrap w:val="0"/>
            <w:vAlign w:val="center"/>
          </w:tcPr>
          <w:p w14:paraId="2C3915A0">
            <w:pPr>
              <w:jc w:val="center"/>
              <w:rPr>
                <w:color w:val="auto"/>
                <w:sz w:val="15"/>
                <w:szCs w:val="15"/>
              </w:rPr>
            </w:pPr>
          </w:p>
        </w:tc>
        <w:tc>
          <w:tcPr>
            <w:tcW w:w="1003" w:type="pct"/>
            <w:noWrap w:val="0"/>
            <w:vAlign w:val="center"/>
          </w:tcPr>
          <w:p w14:paraId="478E8EE0">
            <w:pPr>
              <w:jc w:val="center"/>
              <w:rPr>
                <w:color w:val="auto"/>
                <w:sz w:val="15"/>
                <w:szCs w:val="15"/>
              </w:rPr>
            </w:pPr>
            <w:r>
              <w:rPr>
                <w:color w:val="auto"/>
                <w:sz w:val="15"/>
                <w:szCs w:val="15"/>
              </w:rPr>
              <w:t>评价因子</w:t>
            </w:r>
          </w:p>
        </w:tc>
        <w:tc>
          <w:tcPr>
            <w:tcW w:w="3711" w:type="pct"/>
            <w:gridSpan w:val="10"/>
            <w:noWrap/>
            <w:vAlign w:val="center"/>
          </w:tcPr>
          <w:p w14:paraId="32A37AB9">
            <w:pPr>
              <w:jc w:val="center"/>
              <w:rPr>
                <w:color w:val="auto"/>
                <w:sz w:val="15"/>
                <w:szCs w:val="15"/>
              </w:rPr>
            </w:pPr>
            <w:r>
              <w:rPr>
                <w:color w:val="auto"/>
                <w:sz w:val="15"/>
                <w:szCs w:val="15"/>
              </w:rPr>
              <w:t>（ ）</w:t>
            </w:r>
          </w:p>
        </w:tc>
      </w:tr>
      <w:tr w14:paraId="5B72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84" w:type="pct"/>
            <w:vMerge w:val="continue"/>
            <w:noWrap w:val="0"/>
            <w:vAlign w:val="center"/>
          </w:tcPr>
          <w:p w14:paraId="7AEE4F9B">
            <w:pPr>
              <w:jc w:val="center"/>
              <w:rPr>
                <w:color w:val="auto"/>
                <w:sz w:val="15"/>
                <w:szCs w:val="15"/>
              </w:rPr>
            </w:pPr>
          </w:p>
        </w:tc>
        <w:tc>
          <w:tcPr>
            <w:tcW w:w="1003" w:type="pct"/>
            <w:noWrap w:val="0"/>
            <w:vAlign w:val="center"/>
          </w:tcPr>
          <w:p w14:paraId="58577940">
            <w:pPr>
              <w:jc w:val="center"/>
              <w:rPr>
                <w:color w:val="auto"/>
                <w:sz w:val="15"/>
                <w:szCs w:val="15"/>
              </w:rPr>
            </w:pPr>
            <w:r>
              <w:rPr>
                <w:color w:val="auto"/>
                <w:sz w:val="15"/>
                <w:szCs w:val="15"/>
              </w:rPr>
              <w:t>评价标准</w:t>
            </w:r>
          </w:p>
        </w:tc>
        <w:tc>
          <w:tcPr>
            <w:tcW w:w="3711" w:type="pct"/>
            <w:gridSpan w:val="10"/>
            <w:noWrap/>
            <w:vAlign w:val="center"/>
          </w:tcPr>
          <w:p w14:paraId="04BA23E5">
            <w:pPr>
              <w:rPr>
                <w:color w:val="auto"/>
                <w:sz w:val="15"/>
                <w:szCs w:val="15"/>
              </w:rPr>
            </w:pPr>
            <w:r>
              <w:rPr>
                <w:color w:val="auto"/>
                <w:sz w:val="15"/>
                <w:szCs w:val="15"/>
              </w:rPr>
              <w:t xml:space="preserve">河流、湖库、河口：Ⅰ类 </w:t>
            </w:r>
            <w:r>
              <w:rPr>
                <w:rFonts w:hint="eastAsia"/>
                <w:color w:val="auto"/>
                <w:sz w:val="15"/>
                <w:szCs w:val="15"/>
              </w:rPr>
              <w:t>□</w:t>
            </w:r>
            <w:r>
              <w:rPr>
                <w:color w:val="auto"/>
                <w:sz w:val="15"/>
                <w:szCs w:val="15"/>
              </w:rPr>
              <w:t xml:space="preserve">；Ⅱ类 </w:t>
            </w:r>
            <w:r>
              <w:rPr>
                <w:rFonts w:hint="eastAsia"/>
                <w:color w:val="auto"/>
                <w:sz w:val="15"/>
                <w:szCs w:val="15"/>
              </w:rPr>
              <w:t>□</w:t>
            </w:r>
            <w:r>
              <w:rPr>
                <w:color w:val="auto"/>
                <w:sz w:val="15"/>
                <w:szCs w:val="15"/>
              </w:rPr>
              <w:t xml:space="preserve">；Ⅲ类 </w:t>
            </w:r>
            <w:r>
              <w:rPr>
                <w:rFonts w:hint="eastAsia"/>
                <w:color w:val="auto"/>
                <w:sz w:val="15"/>
                <w:szCs w:val="15"/>
              </w:rPr>
              <w:t>□</w:t>
            </w:r>
            <w:r>
              <w:rPr>
                <w:color w:val="auto"/>
                <w:sz w:val="15"/>
                <w:szCs w:val="15"/>
              </w:rPr>
              <w:t xml:space="preserve">；Ⅳ类 </w:t>
            </w:r>
            <w:r>
              <w:rPr>
                <w:rFonts w:hint="eastAsia"/>
                <w:color w:val="auto"/>
                <w:sz w:val="15"/>
                <w:szCs w:val="15"/>
              </w:rPr>
              <w:t>□</w:t>
            </w:r>
            <w:r>
              <w:rPr>
                <w:color w:val="auto"/>
                <w:sz w:val="15"/>
                <w:szCs w:val="15"/>
              </w:rPr>
              <w:t xml:space="preserve">；Ⅴ类 </w:t>
            </w:r>
            <w:r>
              <w:rPr>
                <w:rFonts w:hint="eastAsia"/>
                <w:color w:val="auto"/>
                <w:sz w:val="15"/>
                <w:szCs w:val="15"/>
              </w:rPr>
              <w:t>□</w:t>
            </w:r>
          </w:p>
          <w:p w14:paraId="5BB7C25B">
            <w:pPr>
              <w:rPr>
                <w:color w:val="auto"/>
                <w:sz w:val="15"/>
                <w:szCs w:val="15"/>
              </w:rPr>
            </w:pPr>
            <w:r>
              <w:rPr>
                <w:color w:val="auto"/>
                <w:sz w:val="15"/>
                <w:szCs w:val="15"/>
              </w:rPr>
              <w:t xml:space="preserve">近岸海域：第一类 </w:t>
            </w:r>
            <w:r>
              <w:rPr>
                <w:rFonts w:hint="eastAsia"/>
                <w:color w:val="auto"/>
                <w:sz w:val="15"/>
                <w:szCs w:val="15"/>
              </w:rPr>
              <w:t>□</w:t>
            </w:r>
            <w:r>
              <w:rPr>
                <w:color w:val="auto"/>
                <w:sz w:val="15"/>
                <w:szCs w:val="15"/>
              </w:rPr>
              <w:t xml:space="preserve">；第二类 </w:t>
            </w:r>
            <w:r>
              <w:rPr>
                <w:rFonts w:hint="eastAsia"/>
                <w:color w:val="auto"/>
                <w:sz w:val="15"/>
                <w:szCs w:val="15"/>
              </w:rPr>
              <w:t>□</w:t>
            </w:r>
            <w:r>
              <w:rPr>
                <w:color w:val="auto"/>
                <w:sz w:val="15"/>
                <w:szCs w:val="15"/>
              </w:rPr>
              <w:t xml:space="preserve">；第三类 </w:t>
            </w:r>
            <w:r>
              <w:rPr>
                <w:rFonts w:hint="eastAsia"/>
                <w:color w:val="auto"/>
                <w:sz w:val="15"/>
                <w:szCs w:val="15"/>
              </w:rPr>
              <w:t>□</w:t>
            </w:r>
            <w:r>
              <w:rPr>
                <w:color w:val="auto"/>
                <w:sz w:val="15"/>
                <w:szCs w:val="15"/>
              </w:rPr>
              <w:t xml:space="preserve">；第四类 </w:t>
            </w:r>
            <w:r>
              <w:rPr>
                <w:rFonts w:hint="eastAsia"/>
                <w:color w:val="auto"/>
                <w:sz w:val="15"/>
                <w:szCs w:val="15"/>
              </w:rPr>
              <w:t>□</w:t>
            </w:r>
          </w:p>
          <w:p w14:paraId="31CB0D96">
            <w:pPr>
              <w:rPr>
                <w:color w:val="auto"/>
                <w:sz w:val="15"/>
                <w:szCs w:val="15"/>
              </w:rPr>
            </w:pPr>
            <w:r>
              <w:rPr>
                <w:color w:val="auto"/>
                <w:sz w:val="15"/>
                <w:szCs w:val="15"/>
              </w:rPr>
              <w:t>规划年评价标准（   ）</w:t>
            </w:r>
          </w:p>
        </w:tc>
      </w:tr>
      <w:tr w14:paraId="592D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61663C06">
            <w:pPr>
              <w:jc w:val="center"/>
              <w:rPr>
                <w:color w:val="auto"/>
                <w:sz w:val="15"/>
                <w:szCs w:val="15"/>
              </w:rPr>
            </w:pPr>
          </w:p>
        </w:tc>
        <w:tc>
          <w:tcPr>
            <w:tcW w:w="1003" w:type="pct"/>
            <w:noWrap w:val="0"/>
            <w:vAlign w:val="center"/>
          </w:tcPr>
          <w:p w14:paraId="67E34B50">
            <w:pPr>
              <w:jc w:val="center"/>
              <w:rPr>
                <w:color w:val="auto"/>
                <w:sz w:val="15"/>
                <w:szCs w:val="15"/>
              </w:rPr>
            </w:pPr>
            <w:r>
              <w:rPr>
                <w:color w:val="auto"/>
                <w:sz w:val="15"/>
                <w:szCs w:val="15"/>
              </w:rPr>
              <w:t>评价时期</w:t>
            </w:r>
          </w:p>
        </w:tc>
        <w:tc>
          <w:tcPr>
            <w:tcW w:w="3711" w:type="pct"/>
            <w:gridSpan w:val="10"/>
            <w:noWrap w:val="0"/>
            <w:vAlign w:val="center"/>
          </w:tcPr>
          <w:p w14:paraId="604045DE">
            <w:pPr>
              <w:rPr>
                <w:rFonts w:hint="eastAsia" w:eastAsia="宋体"/>
                <w:color w:val="auto"/>
                <w:sz w:val="15"/>
                <w:szCs w:val="15"/>
                <w:lang w:eastAsia="zh-CN"/>
              </w:rPr>
            </w:pPr>
            <w:r>
              <w:rPr>
                <w:color w:val="auto"/>
                <w:sz w:val="15"/>
                <w:szCs w:val="15"/>
              </w:rPr>
              <w:t xml:space="preserve">丰水期 </w:t>
            </w:r>
            <w:r>
              <w:rPr>
                <w:rFonts w:hint="eastAsia"/>
                <w:color w:val="auto"/>
                <w:sz w:val="15"/>
                <w:szCs w:val="15"/>
              </w:rPr>
              <w:t>□</w:t>
            </w:r>
            <w:r>
              <w:rPr>
                <w:color w:val="auto"/>
                <w:sz w:val="15"/>
                <w:szCs w:val="15"/>
              </w:rPr>
              <w:t xml:space="preserve">；平水期 </w:t>
            </w:r>
            <w:r>
              <w:rPr>
                <w:rFonts w:hint="eastAsia"/>
                <w:color w:val="auto"/>
                <w:sz w:val="15"/>
                <w:szCs w:val="15"/>
              </w:rPr>
              <w:t>□</w:t>
            </w:r>
            <w:r>
              <w:rPr>
                <w:color w:val="auto"/>
                <w:sz w:val="15"/>
                <w:szCs w:val="15"/>
              </w:rPr>
              <w:t xml:space="preserve">；枯水期 </w:t>
            </w:r>
            <w:r>
              <w:rPr>
                <w:rFonts w:hint="eastAsia"/>
                <w:color w:val="auto"/>
                <w:sz w:val="15"/>
                <w:szCs w:val="15"/>
              </w:rPr>
              <w:t>□</w:t>
            </w:r>
            <w:r>
              <w:rPr>
                <w:color w:val="auto"/>
                <w:sz w:val="15"/>
                <w:szCs w:val="15"/>
              </w:rPr>
              <w:t xml:space="preserve">；冰封期 </w:t>
            </w:r>
            <w:r>
              <w:rPr>
                <w:rFonts w:hint="eastAsia"/>
                <w:color w:val="auto"/>
                <w:sz w:val="15"/>
                <w:szCs w:val="15"/>
              </w:rPr>
              <w:t>□</w:t>
            </w:r>
          </w:p>
          <w:p w14:paraId="630E1F5A">
            <w:pPr>
              <w:rPr>
                <w:color w:val="auto"/>
                <w:sz w:val="15"/>
                <w:szCs w:val="15"/>
              </w:rPr>
            </w:pPr>
            <w:r>
              <w:rPr>
                <w:color w:val="auto"/>
                <w:sz w:val="15"/>
                <w:szCs w:val="15"/>
              </w:rPr>
              <w:t xml:space="preserve">春季 </w:t>
            </w:r>
            <w:r>
              <w:rPr>
                <w:rFonts w:hint="eastAsia"/>
                <w:color w:val="auto"/>
                <w:sz w:val="15"/>
                <w:szCs w:val="15"/>
              </w:rPr>
              <w:t>□</w:t>
            </w:r>
            <w:r>
              <w:rPr>
                <w:color w:val="auto"/>
                <w:sz w:val="15"/>
                <w:szCs w:val="15"/>
              </w:rPr>
              <w:t xml:space="preserve">；夏季 </w:t>
            </w:r>
            <w:r>
              <w:rPr>
                <w:rFonts w:hint="eastAsia"/>
                <w:color w:val="auto"/>
                <w:sz w:val="15"/>
                <w:szCs w:val="15"/>
              </w:rPr>
              <w:t>□</w:t>
            </w:r>
            <w:r>
              <w:rPr>
                <w:color w:val="auto"/>
                <w:sz w:val="15"/>
                <w:szCs w:val="15"/>
              </w:rPr>
              <w:t xml:space="preserve">；秋季 </w:t>
            </w:r>
            <w:r>
              <w:rPr>
                <w:rFonts w:hint="eastAsia"/>
                <w:color w:val="auto"/>
                <w:sz w:val="15"/>
                <w:szCs w:val="15"/>
              </w:rPr>
              <w:t>□</w:t>
            </w:r>
            <w:r>
              <w:rPr>
                <w:color w:val="auto"/>
                <w:sz w:val="15"/>
                <w:szCs w:val="15"/>
              </w:rPr>
              <w:t xml:space="preserve">；冬季 </w:t>
            </w:r>
            <w:r>
              <w:rPr>
                <w:rFonts w:hint="eastAsia"/>
                <w:color w:val="auto"/>
                <w:sz w:val="15"/>
                <w:szCs w:val="15"/>
              </w:rPr>
              <w:t>□</w:t>
            </w:r>
          </w:p>
        </w:tc>
      </w:tr>
      <w:tr w14:paraId="55A7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284" w:type="pct"/>
            <w:vMerge w:val="continue"/>
            <w:noWrap w:val="0"/>
            <w:vAlign w:val="center"/>
          </w:tcPr>
          <w:p w14:paraId="63BC41DD">
            <w:pPr>
              <w:jc w:val="center"/>
              <w:rPr>
                <w:color w:val="auto"/>
                <w:sz w:val="15"/>
                <w:szCs w:val="15"/>
              </w:rPr>
            </w:pPr>
          </w:p>
        </w:tc>
        <w:tc>
          <w:tcPr>
            <w:tcW w:w="1003" w:type="pct"/>
            <w:noWrap w:val="0"/>
            <w:vAlign w:val="center"/>
          </w:tcPr>
          <w:p w14:paraId="37E9D03A">
            <w:pPr>
              <w:jc w:val="center"/>
              <w:rPr>
                <w:color w:val="auto"/>
                <w:sz w:val="15"/>
                <w:szCs w:val="15"/>
              </w:rPr>
            </w:pPr>
            <w:r>
              <w:rPr>
                <w:color w:val="auto"/>
                <w:sz w:val="15"/>
                <w:szCs w:val="15"/>
              </w:rPr>
              <w:t>评价结论</w:t>
            </w:r>
          </w:p>
        </w:tc>
        <w:tc>
          <w:tcPr>
            <w:tcW w:w="2755" w:type="pct"/>
            <w:gridSpan w:val="8"/>
            <w:noWrap w:val="0"/>
            <w:vAlign w:val="center"/>
          </w:tcPr>
          <w:p w14:paraId="4A1D5CC5">
            <w:pPr>
              <w:rPr>
                <w:rFonts w:hint="eastAsia" w:eastAsia="宋体"/>
                <w:color w:val="auto"/>
                <w:sz w:val="15"/>
                <w:szCs w:val="15"/>
                <w:lang w:eastAsia="zh-CN"/>
              </w:rPr>
            </w:pPr>
            <w:r>
              <w:rPr>
                <w:color w:val="auto"/>
                <w:sz w:val="15"/>
                <w:szCs w:val="15"/>
              </w:rPr>
              <w:t xml:space="preserve">水环境功能区或水功能区、近岸海域环境功能区水质达标状况 </w:t>
            </w:r>
            <w:r>
              <w:rPr>
                <w:rFonts w:hint="eastAsia"/>
                <w:color w:val="auto"/>
                <w:sz w:val="15"/>
                <w:szCs w:val="15"/>
              </w:rPr>
              <w:t>□</w:t>
            </w:r>
            <w:r>
              <w:rPr>
                <w:color w:val="auto"/>
                <w:sz w:val="15"/>
                <w:szCs w:val="15"/>
              </w:rPr>
              <w:t xml:space="preserve">：达标 </w:t>
            </w:r>
            <w:r>
              <w:rPr>
                <w:rFonts w:hint="eastAsia"/>
                <w:color w:val="auto"/>
                <w:sz w:val="15"/>
                <w:szCs w:val="15"/>
              </w:rPr>
              <w:t>□</w:t>
            </w:r>
            <w:r>
              <w:rPr>
                <w:color w:val="auto"/>
                <w:sz w:val="15"/>
                <w:szCs w:val="15"/>
              </w:rPr>
              <w:t xml:space="preserve">；不达标 </w:t>
            </w:r>
            <w:r>
              <w:rPr>
                <w:rFonts w:hint="eastAsia"/>
                <w:color w:val="auto"/>
                <w:sz w:val="15"/>
                <w:szCs w:val="15"/>
              </w:rPr>
              <w:t>□</w:t>
            </w:r>
          </w:p>
          <w:p w14:paraId="613A9FBE">
            <w:pPr>
              <w:rPr>
                <w:rFonts w:hint="eastAsia" w:eastAsia="宋体"/>
                <w:color w:val="auto"/>
                <w:sz w:val="15"/>
                <w:szCs w:val="15"/>
                <w:lang w:eastAsia="zh-CN"/>
              </w:rPr>
            </w:pPr>
            <w:r>
              <w:rPr>
                <w:color w:val="auto"/>
                <w:sz w:val="15"/>
                <w:szCs w:val="15"/>
              </w:rPr>
              <w:t xml:space="preserve">水环境控制单元或断面水质达标状况 </w:t>
            </w:r>
            <w:r>
              <w:rPr>
                <w:rFonts w:hint="eastAsia"/>
                <w:color w:val="auto"/>
                <w:sz w:val="15"/>
                <w:szCs w:val="15"/>
              </w:rPr>
              <w:t>□</w:t>
            </w:r>
            <w:r>
              <w:rPr>
                <w:color w:val="auto"/>
                <w:sz w:val="15"/>
                <w:szCs w:val="15"/>
              </w:rPr>
              <w:t xml:space="preserve">：达标 </w:t>
            </w:r>
            <w:r>
              <w:rPr>
                <w:rFonts w:hint="eastAsia"/>
                <w:color w:val="auto"/>
                <w:sz w:val="15"/>
                <w:szCs w:val="15"/>
                <w:lang w:eastAsia="zh-CN"/>
              </w:rPr>
              <w:t>□</w:t>
            </w:r>
            <w:r>
              <w:rPr>
                <w:color w:val="auto"/>
                <w:sz w:val="15"/>
                <w:szCs w:val="15"/>
              </w:rPr>
              <w:t xml:space="preserve">；不达标 </w:t>
            </w:r>
            <w:r>
              <w:rPr>
                <w:rFonts w:hint="eastAsia"/>
                <w:color w:val="auto"/>
                <w:sz w:val="15"/>
                <w:szCs w:val="15"/>
              </w:rPr>
              <w:t>□</w:t>
            </w:r>
          </w:p>
          <w:p w14:paraId="056B665E">
            <w:pPr>
              <w:rPr>
                <w:rFonts w:hint="eastAsia" w:eastAsia="宋体"/>
                <w:color w:val="auto"/>
                <w:sz w:val="15"/>
                <w:szCs w:val="15"/>
                <w:lang w:eastAsia="zh-CN"/>
              </w:rPr>
            </w:pPr>
            <w:r>
              <w:rPr>
                <w:color w:val="auto"/>
                <w:sz w:val="15"/>
                <w:szCs w:val="15"/>
              </w:rPr>
              <w:t xml:space="preserve">水环境保护目标质量状况 </w:t>
            </w:r>
            <w:r>
              <w:rPr>
                <w:rFonts w:hint="eastAsia"/>
                <w:color w:val="auto"/>
                <w:sz w:val="15"/>
                <w:szCs w:val="15"/>
              </w:rPr>
              <w:t>□</w:t>
            </w:r>
            <w:r>
              <w:rPr>
                <w:color w:val="auto"/>
                <w:sz w:val="15"/>
                <w:szCs w:val="15"/>
              </w:rPr>
              <w:t xml:space="preserve">：达标 </w:t>
            </w:r>
            <w:r>
              <w:rPr>
                <w:rFonts w:hint="eastAsia"/>
                <w:color w:val="auto"/>
                <w:sz w:val="15"/>
                <w:szCs w:val="15"/>
              </w:rPr>
              <w:t>□</w:t>
            </w:r>
            <w:r>
              <w:rPr>
                <w:color w:val="auto"/>
                <w:sz w:val="15"/>
                <w:szCs w:val="15"/>
              </w:rPr>
              <w:t xml:space="preserve">；不达标 </w:t>
            </w:r>
            <w:r>
              <w:rPr>
                <w:rFonts w:hint="eastAsia"/>
                <w:color w:val="auto"/>
                <w:sz w:val="15"/>
                <w:szCs w:val="15"/>
              </w:rPr>
              <w:t>□</w:t>
            </w:r>
          </w:p>
          <w:p w14:paraId="096BB84B">
            <w:pPr>
              <w:rPr>
                <w:color w:val="auto"/>
                <w:sz w:val="15"/>
                <w:szCs w:val="15"/>
              </w:rPr>
            </w:pPr>
            <w:r>
              <w:rPr>
                <w:color w:val="auto"/>
                <w:sz w:val="15"/>
                <w:szCs w:val="15"/>
              </w:rPr>
              <w:t xml:space="preserve">对照断面、控制断面等代表性断面的水质状况 </w:t>
            </w:r>
            <w:r>
              <w:rPr>
                <w:rFonts w:hint="eastAsia"/>
                <w:color w:val="auto"/>
                <w:sz w:val="15"/>
                <w:szCs w:val="15"/>
              </w:rPr>
              <w:t>□</w:t>
            </w:r>
            <w:r>
              <w:rPr>
                <w:color w:val="auto"/>
                <w:sz w:val="15"/>
                <w:szCs w:val="15"/>
              </w:rPr>
              <w:t xml:space="preserve">：达标 </w:t>
            </w:r>
            <w:r>
              <w:rPr>
                <w:rFonts w:hint="eastAsia"/>
                <w:color w:val="auto"/>
                <w:sz w:val="15"/>
                <w:szCs w:val="15"/>
              </w:rPr>
              <w:t>□</w:t>
            </w:r>
            <w:r>
              <w:rPr>
                <w:color w:val="auto"/>
                <w:sz w:val="15"/>
                <w:szCs w:val="15"/>
              </w:rPr>
              <w:t xml:space="preserve">；不达标 </w:t>
            </w:r>
            <w:r>
              <w:rPr>
                <w:rFonts w:hint="eastAsia"/>
                <w:color w:val="auto"/>
                <w:sz w:val="15"/>
                <w:szCs w:val="15"/>
              </w:rPr>
              <w:t>□</w:t>
            </w:r>
          </w:p>
          <w:p w14:paraId="262696BE">
            <w:pPr>
              <w:rPr>
                <w:rFonts w:hint="eastAsia" w:eastAsia="宋体"/>
                <w:color w:val="auto"/>
                <w:sz w:val="15"/>
                <w:szCs w:val="15"/>
                <w:lang w:eastAsia="zh-CN"/>
              </w:rPr>
            </w:pPr>
            <w:r>
              <w:rPr>
                <w:color w:val="auto"/>
                <w:sz w:val="15"/>
                <w:szCs w:val="15"/>
              </w:rPr>
              <w:t xml:space="preserve">底泥污染评价 </w:t>
            </w:r>
            <w:r>
              <w:rPr>
                <w:rFonts w:hint="eastAsia"/>
                <w:color w:val="auto"/>
                <w:sz w:val="15"/>
                <w:szCs w:val="15"/>
              </w:rPr>
              <w:t>□</w:t>
            </w:r>
          </w:p>
          <w:p w14:paraId="1362240B">
            <w:pPr>
              <w:rPr>
                <w:rFonts w:hint="eastAsia" w:eastAsia="宋体"/>
                <w:color w:val="auto"/>
                <w:sz w:val="15"/>
                <w:szCs w:val="15"/>
                <w:lang w:eastAsia="zh-CN"/>
              </w:rPr>
            </w:pPr>
            <w:r>
              <w:rPr>
                <w:color w:val="auto"/>
                <w:sz w:val="15"/>
                <w:szCs w:val="15"/>
              </w:rPr>
              <w:t xml:space="preserve">水资源与开发利用程度及其水文情势评价 </w:t>
            </w:r>
            <w:r>
              <w:rPr>
                <w:rFonts w:hint="eastAsia"/>
                <w:color w:val="auto"/>
                <w:sz w:val="15"/>
                <w:szCs w:val="15"/>
              </w:rPr>
              <w:t>□</w:t>
            </w:r>
          </w:p>
          <w:p w14:paraId="2808E0BC">
            <w:pPr>
              <w:rPr>
                <w:rFonts w:hint="eastAsia" w:eastAsia="宋体"/>
                <w:color w:val="auto"/>
                <w:sz w:val="15"/>
                <w:szCs w:val="15"/>
                <w:lang w:eastAsia="zh-CN"/>
              </w:rPr>
            </w:pPr>
            <w:r>
              <w:rPr>
                <w:color w:val="auto"/>
                <w:sz w:val="15"/>
                <w:szCs w:val="15"/>
              </w:rPr>
              <w:t xml:space="preserve">水环境质量回顾评价 </w:t>
            </w:r>
            <w:r>
              <w:rPr>
                <w:rFonts w:hint="eastAsia"/>
                <w:color w:val="auto"/>
                <w:sz w:val="15"/>
                <w:szCs w:val="15"/>
              </w:rPr>
              <w:t>□</w:t>
            </w:r>
          </w:p>
          <w:p w14:paraId="18A2E5CB">
            <w:pPr>
              <w:rPr>
                <w:color w:val="auto"/>
                <w:sz w:val="15"/>
                <w:szCs w:val="15"/>
              </w:rPr>
            </w:pPr>
            <w:r>
              <w:rPr>
                <w:color w:val="auto"/>
                <w:sz w:val="15"/>
                <w:szCs w:val="15"/>
              </w:rPr>
              <w:t xml:space="preserve">流域（区域）水资源（包括水能资源）与开发利用总体状况、生态流量管理要求与现状满足程度、建设项目占用水域空间的水流状况与河湖演变状况 </w:t>
            </w:r>
            <w:r>
              <w:rPr>
                <w:rFonts w:hint="eastAsia"/>
                <w:color w:val="auto"/>
                <w:sz w:val="15"/>
                <w:szCs w:val="15"/>
              </w:rPr>
              <w:t>□</w:t>
            </w:r>
          </w:p>
        </w:tc>
        <w:tc>
          <w:tcPr>
            <w:tcW w:w="955" w:type="pct"/>
            <w:gridSpan w:val="2"/>
            <w:noWrap w:val="0"/>
            <w:vAlign w:val="center"/>
          </w:tcPr>
          <w:p w14:paraId="442A3E85">
            <w:pPr>
              <w:rPr>
                <w:color w:val="auto"/>
                <w:sz w:val="15"/>
                <w:szCs w:val="15"/>
              </w:rPr>
            </w:pPr>
            <w:r>
              <w:rPr>
                <w:color w:val="auto"/>
                <w:sz w:val="15"/>
                <w:szCs w:val="15"/>
              </w:rPr>
              <w:t xml:space="preserve">达标区 </w:t>
            </w:r>
            <w:r>
              <w:rPr>
                <w:rFonts w:hint="eastAsia"/>
                <w:color w:val="auto"/>
                <w:sz w:val="15"/>
                <w:szCs w:val="15"/>
              </w:rPr>
              <w:t>□</w:t>
            </w:r>
          </w:p>
          <w:p w14:paraId="252C79CA">
            <w:pPr>
              <w:rPr>
                <w:color w:val="auto"/>
                <w:sz w:val="15"/>
                <w:szCs w:val="15"/>
              </w:rPr>
            </w:pPr>
            <w:r>
              <w:rPr>
                <w:color w:val="auto"/>
                <w:sz w:val="15"/>
                <w:szCs w:val="15"/>
              </w:rPr>
              <w:t xml:space="preserve">不达标区 </w:t>
            </w:r>
            <w:r>
              <w:rPr>
                <w:rFonts w:hint="eastAsia"/>
                <w:color w:val="auto"/>
                <w:sz w:val="15"/>
                <w:szCs w:val="15"/>
              </w:rPr>
              <w:t>□</w:t>
            </w:r>
          </w:p>
        </w:tc>
      </w:tr>
      <w:tr w14:paraId="30EC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restart"/>
            <w:noWrap/>
            <w:textDirection w:val="tbRlV"/>
            <w:vAlign w:val="center"/>
          </w:tcPr>
          <w:p w14:paraId="00749F99">
            <w:pPr>
              <w:jc w:val="center"/>
              <w:rPr>
                <w:color w:val="auto"/>
                <w:sz w:val="15"/>
                <w:szCs w:val="15"/>
              </w:rPr>
            </w:pPr>
            <w:r>
              <w:rPr>
                <w:color w:val="auto"/>
                <w:sz w:val="15"/>
                <w:szCs w:val="15"/>
              </w:rPr>
              <w:t>影响预测</w:t>
            </w:r>
          </w:p>
        </w:tc>
        <w:tc>
          <w:tcPr>
            <w:tcW w:w="1003" w:type="pct"/>
            <w:noWrap w:val="0"/>
            <w:vAlign w:val="center"/>
          </w:tcPr>
          <w:p w14:paraId="5BF1B853">
            <w:pPr>
              <w:jc w:val="center"/>
              <w:rPr>
                <w:color w:val="auto"/>
                <w:sz w:val="15"/>
                <w:szCs w:val="15"/>
              </w:rPr>
            </w:pPr>
            <w:r>
              <w:rPr>
                <w:color w:val="auto"/>
                <w:sz w:val="15"/>
                <w:szCs w:val="15"/>
              </w:rPr>
              <w:t>预测范围</w:t>
            </w:r>
          </w:p>
        </w:tc>
        <w:tc>
          <w:tcPr>
            <w:tcW w:w="3711" w:type="pct"/>
            <w:gridSpan w:val="10"/>
            <w:noWrap/>
            <w:vAlign w:val="center"/>
          </w:tcPr>
          <w:p w14:paraId="04C976BA">
            <w:pPr>
              <w:jc w:val="center"/>
              <w:rPr>
                <w:color w:val="auto"/>
                <w:sz w:val="15"/>
                <w:szCs w:val="15"/>
              </w:rPr>
            </w:pPr>
            <w:r>
              <w:rPr>
                <w:color w:val="auto"/>
                <w:sz w:val="15"/>
                <w:szCs w:val="15"/>
              </w:rPr>
              <w:t>河流：长度（   ）km；湖库、河口及近岸海域：面积（   ）km</w:t>
            </w:r>
            <w:r>
              <w:rPr>
                <w:color w:val="auto"/>
                <w:sz w:val="15"/>
                <w:szCs w:val="15"/>
                <w:vertAlign w:val="superscript"/>
              </w:rPr>
              <w:t>2</w:t>
            </w:r>
          </w:p>
        </w:tc>
      </w:tr>
      <w:tr w14:paraId="3441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761EFE1F">
            <w:pPr>
              <w:jc w:val="center"/>
              <w:rPr>
                <w:color w:val="auto"/>
                <w:sz w:val="15"/>
                <w:szCs w:val="15"/>
              </w:rPr>
            </w:pPr>
          </w:p>
        </w:tc>
        <w:tc>
          <w:tcPr>
            <w:tcW w:w="1003" w:type="pct"/>
            <w:noWrap w:val="0"/>
            <w:vAlign w:val="center"/>
          </w:tcPr>
          <w:p w14:paraId="0ACADFAC">
            <w:pPr>
              <w:jc w:val="center"/>
              <w:rPr>
                <w:color w:val="auto"/>
                <w:sz w:val="15"/>
                <w:szCs w:val="15"/>
              </w:rPr>
            </w:pPr>
            <w:r>
              <w:rPr>
                <w:color w:val="auto"/>
                <w:sz w:val="15"/>
                <w:szCs w:val="15"/>
              </w:rPr>
              <w:t>预测因子</w:t>
            </w:r>
          </w:p>
        </w:tc>
        <w:tc>
          <w:tcPr>
            <w:tcW w:w="3711" w:type="pct"/>
            <w:gridSpan w:val="10"/>
            <w:noWrap/>
            <w:vAlign w:val="center"/>
          </w:tcPr>
          <w:p w14:paraId="4CF40BC9">
            <w:pPr>
              <w:jc w:val="center"/>
              <w:rPr>
                <w:color w:val="auto"/>
                <w:sz w:val="15"/>
                <w:szCs w:val="15"/>
              </w:rPr>
            </w:pPr>
            <w:r>
              <w:rPr>
                <w:color w:val="auto"/>
                <w:sz w:val="15"/>
                <w:szCs w:val="15"/>
              </w:rPr>
              <w:t>（   ）</w:t>
            </w:r>
          </w:p>
        </w:tc>
      </w:tr>
      <w:tr w14:paraId="2280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02F1FC15">
            <w:pPr>
              <w:jc w:val="center"/>
              <w:rPr>
                <w:color w:val="auto"/>
                <w:sz w:val="15"/>
                <w:szCs w:val="15"/>
              </w:rPr>
            </w:pPr>
          </w:p>
        </w:tc>
        <w:tc>
          <w:tcPr>
            <w:tcW w:w="1003" w:type="pct"/>
            <w:noWrap w:val="0"/>
            <w:vAlign w:val="center"/>
          </w:tcPr>
          <w:p w14:paraId="3F839301">
            <w:pPr>
              <w:jc w:val="center"/>
              <w:rPr>
                <w:color w:val="auto"/>
                <w:sz w:val="15"/>
                <w:szCs w:val="15"/>
              </w:rPr>
            </w:pPr>
            <w:r>
              <w:rPr>
                <w:color w:val="auto"/>
                <w:sz w:val="15"/>
                <w:szCs w:val="15"/>
              </w:rPr>
              <w:t>预测时期</w:t>
            </w:r>
          </w:p>
        </w:tc>
        <w:tc>
          <w:tcPr>
            <w:tcW w:w="3711" w:type="pct"/>
            <w:gridSpan w:val="10"/>
            <w:noWrap w:val="0"/>
            <w:vAlign w:val="center"/>
          </w:tcPr>
          <w:p w14:paraId="71DC5F62">
            <w:pPr>
              <w:rPr>
                <w:rFonts w:hint="eastAsia" w:eastAsia="宋体"/>
                <w:color w:val="auto"/>
                <w:sz w:val="15"/>
                <w:szCs w:val="15"/>
                <w:lang w:eastAsia="zh-CN"/>
              </w:rPr>
            </w:pPr>
            <w:r>
              <w:rPr>
                <w:color w:val="auto"/>
                <w:sz w:val="15"/>
                <w:szCs w:val="15"/>
              </w:rPr>
              <w:t xml:space="preserve">丰水期 </w:t>
            </w:r>
            <w:r>
              <w:rPr>
                <w:rFonts w:hint="eastAsia"/>
                <w:color w:val="auto"/>
                <w:sz w:val="15"/>
                <w:szCs w:val="15"/>
              </w:rPr>
              <w:t>□</w:t>
            </w:r>
            <w:r>
              <w:rPr>
                <w:color w:val="auto"/>
                <w:sz w:val="15"/>
                <w:szCs w:val="15"/>
              </w:rPr>
              <w:t xml:space="preserve">；平水期 </w:t>
            </w:r>
            <w:r>
              <w:rPr>
                <w:rFonts w:hint="eastAsia"/>
                <w:color w:val="auto"/>
                <w:sz w:val="15"/>
                <w:szCs w:val="15"/>
              </w:rPr>
              <w:t>□</w:t>
            </w:r>
            <w:r>
              <w:rPr>
                <w:color w:val="auto"/>
                <w:sz w:val="15"/>
                <w:szCs w:val="15"/>
              </w:rPr>
              <w:t xml:space="preserve">；枯水期 </w:t>
            </w:r>
            <w:r>
              <w:rPr>
                <w:rFonts w:hint="eastAsia"/>
                <w:color w:val="auto"/>
                <w:sz w:val="15"/>
                <w:szCs w:val="15"/>
              </w:rPr>
              <w:t>□</w:t>
            </w:r>
            <w:r>
              <w:rPr>
                <w:color w:val="auto"/>
                <w:sz w:val="15"/>
                <w:szCs w:val="15"/>
              </w:rPr>
              <w:t xml:space="preserve">；冰封期 </w:t>
            </w:r>
            <w:r>
              <w:rPr>
                <w:rFonts w:hint="eastAsia"/>
                <w:color w:val="auto"/>
                <w:sz w:val="15"/>
                <w:szCs w:val="15"/>
              </w:rPr>
              <w:t>□</w:t>
            </w:r>
          </w:p>
          <w:p w14:paraId="4A65709F">
            <w:pPr>
              <w:rPr>
                <w:rFonts w:hint="eastAsia" w:eastAsia="宋体"/>
                <w:color w:val="auto"/>
                <w:sz w:val="15"/>
                <w:szCs w:val="15"/>
                <w:lang w:eastAsia="zh-CN"/>
              </w:rPr>
            </w:pPr>
            <w:r>
              <w:rPr>
                <w:color w:val="auto"/>
                <w:sz w:val="15"/>
                <w:szCs w:val="15"/>
              </w:rPr>
              <w:t xml:space="preserve">春季 </w:t>
            </w:r>
            <w:r>
              <w:rPr>
                <w:rFonts w:hint="eastAsia"/>
                <w:color w:val="auto"/>
                <w:sz w:val="15"/>
                <w:szCs w:val="15"/>
              </w:rPr>
              <w:t>□</w:t>
            </w:r>
            <w:r>
              <w:rPr>
                <w:color w:val="auto"/>
                <w:sz w:val="15"/>
                <w:szCs w:val="15"/>
              </w:rPr>
              <w:t xml:space="preserve">；夏季 </w:t>
            </w:r>
            <w:r>
              <w:rPr>
                <w:rFonts w:hint="eastAsia"/>
                <w:color w:val="auto"/>
                <w:sz w:val="15"/>
                <w:szCs w:val="15"/>
              </w:rPr>
              <w:t>□</w:t>
            </w:r>
            <w:r>
              <w:rPr>
                <w:color w:val="auto"/>
                <w:sz w:val="15"/>
                <w:szCs w:val="15"/>
              </w:rPr>
              <w:t xml:space="preserve">；秋季 </w:t>
            </w:r>
            <w:r>
              <w:rPr>
                <w:rFonts w:hint="eastAsia"/>
                <w:color w:val="auto"/>
                <w:sz w:val="15"/>
                <w:szCs w:val="15"/>
              </w:rPr>
              <w:t>□</w:t>
            </w:r>
            <w:r>
              <w:rPr>
                <w:color w:val="auto"/>
                <w:sz w:val="15"/>
                <w:szCs w:val="15"/>
              </w:rPr>
              <w:t xml:space="preserve">；冬季 </w:t>
            </w:r>
            <w:r>
              <w:rPr>
                <w:rFonts w:hint="eastAsia"/>
                <w:color w:val="auto"/>
                <w:sz w:val="15"/>
                <w:szCs w:val="15"/>
              </w:rPr>
              <w:t>□</w:t>
            </w:r>
          </w:p>
          <w:p w14:paraId="3FFE3CA9">
            <w:pPr>
              <w:rPr>
                <w:color w:val="auto"/>
                <w:sz w:val="15"/>
                <w:szCs w:val="15"/>
              </w:rPr>
            </w:pPr>
            <w:r>
              <w:rPr>
                <w:color w:val="auto"/>
                <w:sz w:val="15"/>
                <w:szCs w:val="15"/>
              </w:rPr>
              <w:t>设计水文条件 □</w:t>
            </w:r>
          </w:p>
        </w:tc>
      </w:tr>
      <w:tr w14:paraId="380A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43810A7E">
            <w:pPr>
              <w:jc w:val="center"/>
              <w:rPr>
                <w:color w:val="auto"/>
                <w:sz w:val="15"/>
                <w:szCs w:val="15"/>
              </w:rPr>
            </w:pPr>
          </w:p>
        </w:tc>
        <w:tc>
          <w:tcPr>
            <w:tcW w:w="1003" w:type="pct"/>
            <w:noWrap w:val="0"/>
            <w:vAlign w:val="center"/>
          </w:tcPr>
          <w:p w14:paraId="728317E1">
            <w:pPr>
              <w:jc w:val="center"/>
              <w:rPr>
                <w:color w:val="auto"/>
                <w:sz w:val="15"/>
                <w:szCs w:val="15"/>
              </w:rPr>
            </w:pPr>
            <w:r>
              <w:rPr>
                <w:color w:val="auto"/>
                <w:sz w:val="15"/>
                <w:szCs w:val="15"/>
              </w:rPr>
              <w:t>预测情景</w:t>
            </w:r>
          </w:p>
        </w:tc>
        <w:tc>
          <w:tcPr>
            <w:tcW w:w="3711" w:type="pct"/>
            <w:gridSpan w:val="10"/>
            <w:noWrap w:val="0"/>
            <w:vAlign w:val="center"/>
          </w:tcPr>
          <w:p w14:paraId="238529BD">
            <w:pPr>
              <w:rPr>
                <w:rFonts w:hint="eastAsia" w:eastAsia="宋体"/>
                <w:color w:val="auto"/>
                <w:sz w:val="15"/>
                <w:szCs w:val="15"/>
                <w:lang w:eastAsia="zh-CN"/>
              </w:rPr>
            </w:pPr>
            <w:r>
              <w:rPr>
                <w:color w:val="auto"/>
                <w:sz w:val="15"/>
                <w:szCs w:val="15"/>
              </w:rPr>
              <w:t xml:space="preserve">建设期 </w:t>
            </w:r>
            <w:r>
              <w:rPr>
                <w:rFonts w:hint="eastAsia"/>
                <w:color w:val="auto"/>
                <w:sz w:val="15"/>
                <w:szCs w:val="15"/>
              </w:rPr>
              <w:t>□</w:t>
            </w:r>
            <w:r>
              <w:rPr>
                <w:color w:val="auto"/>
                <w:sz w:val="15"/>
                <w:szCs w:val="15"/>
              </w:rPr>
              <w:t xml:space="preserve">；生产运行期 </w:t>
            </w:r>
            <w:r>
              <w:rPr>
                <w:rFonts w:hint="eastAsia"/>
                <w:color w:val="auto"/>
                <w:sz w:val="15"/>
                <w:szCs w:val="15"/>
              </w:rPr>
              <w:t>□</w:t>
            </w:r>
            <w:r>
              <w:rPr>
                <w:color w:val="auto"/>
                <w:sz w:val="15"/>
                <w:szCs w:val="15"/>
              </w:rPr>
              <w:t xml:space="preserve">；服务期满后 </w:t>
            </w:r>
            <w:r>
              <w:rPr>
                <w:rFonts w:hint="eastAsia"/>
                <w:color w:val="auto"/>
                <w:sz w:val="15"/>
                <w:szCs w:val="15"/>
              </w:rPr>
              <w:t>□</w:t>
            </w:r>
          </w:p>
          <w:p w14:paraId="517FD041">
            <w:pPr>
              <w:rPr>
                <w:rFonts w:hint="eastAsia" w:eastAsia="宋体"/>
                <w:color w:val="auto"/>
                <w:sz w:val="15"/>
                <w:szCs w:val="15"/>
                <w:lang w:eastAsia="zh-CN"/>
              </w:rPr>
            </w:pPr>
            <w:r>
              <w:rPr>
                <w:color w:val="auto"/>
                <w:sz w:val="15"/>
                <w:szCs w:val="15"/>
              </w:rPr>
              <w:t xml:space="preserve">正常工况 </w:t>
            </w:r>
            <w:r>
              <w:rPr>
                <w:rFonts w:hint="eastAsia"/>
                <w:color w:val="auto"/>
                <w:sz w:val="15"/>
                <w:szCs w:val="15"/>
              </w:rPr>
              <w:t>□</w:t>
            </w:r>
            <w:r>
              <w:rPr>
                <w:color w:val="auto"/>
                <w:sz w:val="15"/>
                <w:szCs w:val="15"/>
              </w:rPr>
              <w:t xml:space="preserve">；非正常工况 </w:t>
            </w:r>
            <w:r>
              <w:rPr>
                <w:rFonts w:hint="eastAsia"/>
                <w:color w:val="auto"/>
                <w:sz w:val="15"/>
                <w:szCs w:val="15"/>
              </w:rPr>
              <w:t>□</w:t>
            </w:r>
          </w:p>
          <w:p w14:paraId="058B7F19">
            <w:pPr>
              <w:rPr>
                <w:rFonts w:hint="eastAsia" w:eastAsia="宋体"/>
                <w:color w:val="auto"/>
                <w:sz w:val="15"/>
                <w:szCs w:val="15"/>
                <w:lang w:eastAsia="zh-CN"/>
              </w:rPr>
            </w:pPr>
            <w:r>
              <w:rPr>
                <w:color w:val="auto"/>
                <w:sz w:val="15"/>
                <w:szCs w:val="15"/>
              </w:rPr>
              <w:t xml:space="preserve">污染控制和减缓措施方案 </w:t>
            </w:r>
            <w:r>
              <w:rPr>
                <w:rFonts w:hint="eastAsia"/>
                <w:color w:val="auto"/>
                <w:sz w:val="15"/>
                <w:szCs w:val="15"/>
              </w:rPr>
              <w:t>□</w:t>
            </w:r>
          </w:p>
          <w:p w14:paraId="6430628A">
            <w:pPr>
              <w:rPr>
                <w:color w:val="auto"/>
                <w:sz w:val="15"/>
                <w:szCs w:val="15"/>
              </w:rPr>
            </w:pPr>
            <w:r>
              <w:rPr>
                <w:color w:val="auto"/>
                <w:sz w:val="15"/>
                <w:szCs w:val="15"/>
              </w:rPr>
              <w:t xml:space="preserve">区（流）域环境质量改善目标要求情景 </w:t>
            </w:r>
            <w:r>
              <w:rPr>
                <w:rFonts w:hint="eastAsia"/>
                <w:color w:val="auto"/>
                <w:sz w:val="15"/>
                <w:szCs w:val="15"/>
              </w:rPr>
              <w:t>□</w:t>
            </w:r>
          </w:p>
        </w:tc>
      </w:tr>
      <w:tr w14:paraId="47A0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767E7CC7">
            <w:pPr>
              <w:jc w:val="center"/>
              <w:rPr>
                <w:color w:val="auto"/>
                <w:sz w:val="15"/>
                <w:szCs w:val="15"/>
              </w:rPr>
            </w:pPr>
          </w:p>
        </w:tc>
        <w:tc>
          <w:tcPr>
            <w:tcW w:w="1003" w:type="pct"/>
            <w:noWrap w:val="0"/>
            <w:vAlign w:val="center"/>
          </w:tcPr>
          <w:p w14:paraId="3F096A0D">
            <w:pPr>
              <w:jc w:val="center"/>
              <w:rPr>
                <w:color w:val="auto"/>
                <w:sz w:val="15"/>
                <w:szCs w:val="15"/>
              </w:rPr>
            </w:pPr>
            <w:r>
              <w:rPr>
                <w:color w:val="auto"/>
                <w:sz w:val="15"/>
                <w:szCs w:val="15"/>
              </w:rPr>
              <w:t>预测方法</w:t>
            </w:r>
          </w:p>
        </w:tc>
        <w:tc>
          <w:tcPr>
            <w:tcW w:w="3711" w:type="pct"/>
            <w:gridSpan w:val="10"/>
            <w:noWrap/>
            <w:vAlign w:val="center"/>
          </w:tcPr>
          <w:p w14:paraId="05FB3249">
            <w:pPr>
              <w:rPr>
                <w:color w:val="auto"/>
                <w:sz w:val="15"/>
                <w:szCs w:val="15"/>
              </w:rPr>
            </w:pPr>
            <w:r>
              <w:rPr>
                <w:color w:val="auto"/>
                <w:sz w:val="15"/>
                <w:szCs w:val="15"/>
              </w:rPr>
              <w:t xml:space="preserve">数值解 </w:t>
            </w:r>
            <w:r>
              <w:rPr>
                <w:rFonts w:hint="eastAsia"/>
                <w:color w:val="auto"/>
                <w:sz w:val="15"/>
                <w:szCs w:val="15"/>
              </w:rPr>
              <w:t>□</w:t>
            </w:r>
            <w:r>
              <w:rPr>
                <w:color w:val="auto"/>
                <w:sz w:val="15"/>
                <w:szCs w:val="15"/>
              </w:rPr>
              <w:t xml:space="preserve">：解析解 </w:t>
            </w:r>
            <w:r>
              <w:rPr>
                <w:rFonts w:hint="eastAsia"/>
                <w:color w:val="auto"/>
                <w:sz w:val="15"/>
                <w:szCs w:val="15"/>
              </w:rPr>
              <w:t>□</w:t>
            </w:r>
            <w:r>
              <w:rPr>
                <w:color w:val="auto"/>
                <w:sz w:val="15"/>
                <w:szCs w:val="15"/>
              </w:rPr>
              <w:t xml:space="preserve">；其他 </w:t>
            </w:r>
            <w:r>
              <w:rPr>
                <w:rFonts w:hint="eastAsia"/>
                <w:color w:val="auto"/>
                <w:sz w:val="15"/>
                <w:szCs w:val="15"/>
              </w:rPr>
              <w:t>□</w:t>
            </w:r>
          </w:p>
          <w:p w14:paraId="2E935935">
            <w:pPr>
              <w:rPr>
                <w:color w:val="auto"/>
                <w:sz w:val="15"/>
                <w:szCs w:val="15"/>
              </w:rPr>
            </w:pPr>
            <w:r>
              <w:rPr>
                <w:color w:val="auto"/>
                <w:sz w:val="15"/>
                <w:szCs w:val="15"/>
              </w:rPr>
              <w:t xml:space="preserve">导则推荐模式 </w:t>
            </w:r>
            <w:r>
              <w:rPr>
                <w:rFonts w:hint="eastAsia"/>
                <w:color w:val="auto"/>
                <w:sz w:val="15"/>
                <w:szCs w:val="15"/>
              </w:rPr>
              <w:t>□</w:t>
            </w:r>
            <w:r>
              <w:rPr>
                <w:color w:val="auto"/>
                <w:sz w:val="15"/>
                <w:szCs w:val="15"/>
              </w:rPr>
              <w:t xml:space="preserve">：其他 </w:t>
            </w:r>
            <w:r>
              <w:rPr>
                <w:rFonts w:hint="eastAsia"/>
                <w:color w:val="auto"/>
                <w:sz w:val="15"/>
                <w:szCs w:val="15"/>
              </w:rPr>
              <w:t>□</w:t>
            </w:r>
          </w:p>
        </w:tc>
      </w:tr>
      <w:tr w14:paraId="7B69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4" w:type="pct"/>
            <w:vMerge w:val="restart"/>
            <w:noWrap/>
            <w:textDirection w:val="tbRlV"/>
            <w:vAlign w:val="center"/>
          </w:tcPr>
          <w:p w14:paraId="5993D8D2">
            <w:pPr>
              <w:jc w:val="center"/>
              <w:rPr>
                <w:color w:val="auto"/>
                <w:sz w:val="15"/>
                <w:szCs w:val="15"/>
              </w:rPr>
            </w:pPr>
            <w:r>
              <w:rPr>
                <w:color w:val="auto"/>
                <w:sz w:val="15"/>
                <w:szCs w:val="15"/>
              </w:rPr>
              <w:t>影响评价</w:t>
            </w:r>
          </w:p>
        </w:tc>
        <w:tc>
          <w:tcPr>
            <w:tcW w:w="1003" w:type="pct"/>
            <w:noWrap w:val="0"/>
            <w:vAlign w:val="center"/>
          </w:tcPr>
          <w:p w14:paraId="1EC52693">
            <w:pPr>
              <w:jc w:val="center"/>
              <w:rPr>
                <w:color w:val="auto"/>
                <w:sz w:val="15"/>
                <w:szCs w:val="15"/>
              </w:rPr>
            </w:pPr>
            <w:r>
              <w:rPr>
                <w:color w:val="auto"/>
                <w:sz w:val="15"/>
                <w:szCs w:val="15"/>
              </w:rPr>
              <w:t>水污染控制和水环境影响减缓措施有效性评价</w:t>
            </w:r>
          </w:p>
        </w:tc>
        <w:tc>
          <w:tcPr>
            <w:tcW w:w="3711" w:type="pct"/>
            <w:gridSpan w:val="10"/>
            <w:noWrap/>
            <w:vAlign w:val="center"/>
          </w:tcPr>
          <w:p w14:paraId="59566526">
            <w:pPr>
              <w:rPr>
                <w:color w:val="auto"/>
                <w:sz w:val="15"/>
                <w:szCs w:val="15"/>
              </w:rPr>
            </w:pPr>
            <w:r>
              <w:rPr>
                <w:color w:val="auto"/>
                <w:sz w:val="15"/>
                <w:szCs w:val="15"/>
              </w:rPr>
              <w:t xml:space="preserve">区（流）域水环境质量改善目标 </w:t>
            </w:r>
            <w:r>
              <w:rPr>
                <w:rFonts w:hint="eastAsia"/>
                <w:color w:val="auto"/>
                <w:sz w:val="15"/>
                <w:szCs w:val="15"/>
              </w:rPr>
              <w:t>□</w:t>
            </w:r>
            <w:r>
              <w:rPr>
                <w:color w:val="auto"/>
                <w:sz w:val="15"/>
                <w:szCs w:val="15"/>
              </w:rPr>
              <w:t xml:space="preserve">；替代削减源 </w:t>
            </w:r>
            <w:r>
              <w:rPr>
                <w:rFonts w:hint="eastAsia"/>
                <w:color w:val="auto"/>
                <w:sz w:val="15"/>
                <w:szCs w:val="15"/>
              </w:rPr>
              <w:t>□</w:t>
            </w:r>
          </w:p>
        </w:tc>
      </w:tr>
      <w:tr w14:paraId="1A70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284" w:type="pct"/>
            <w:vMerge w:val="continue"/>
            <w:noWrap w:val="0"/>
            <w:vAlign w:val="center"/>
          </w:tcPr>
          <w:p w14:paraId="1BED22C6">
            <w:pPr>
              <w:jc w:val="center"/>
              <w:rPr>
                <w:color w:val="auto"/>
                <w:sz w:val="15"/>
                <w:szCs w:val="15"/>
              </w:rPr>
            </w:pPr>
          </w:p>
        </w:tc>
        <w:tc>
          <w:tcPr>
            <w:tcW w:w="1003" w:type="pct"/>
            <w:noWrap w:val="0"/>
            <w:vAlign w:val="center"/>
          </w:tcPr>
          <w:p w14:paraId="7EA97E78">
            <w:pPr>
              <w:jc w:val="center"/>
              <w:rPr>
                <w:color w:val="auto"/>
                <w:sz w:val="15"/>
                <w:szCs w:val="15"/>
              </w:rPr>
            </w:pPr>
            <w:r>
              <w:rPr>
                <w:color w:val="auto"/>
                <w:sz w:val="15"/>
                <w:szCs w:val="15"/>
              </w:rPr>
              <w:t>水环境影响评价</w:t>
            </w:r>
          </w:p>
        </w:tc>
        <w:tc>
          <w:tcPr>
            <w:tcW w:w="3711" w:type="pct"/>
            <w:gridSpan w:val="10"/>
            <w:noWrap w:val="0"/>
            <w:vAlign w:val="center"/>
          </w:tcPr>
          <w:p w14:paraId="2B792F43">
            <w:pPr>
              <w:rPr>
                <w:rFonts w:hint="eastAsia" w:eastAsia="宋体"/>
                <w:color w:val="auto"/>
                <w:sz w:val="15"/>
                <w:szCs w:val="15"/>
                <w:lang w:eastAsia="zh-CN"/>
              </w:rPr>
            </w:pPr>
            <w:r>
              <w:rPr>
                <w:color w:val="auto"/>
                <w:sz w:val="15"/>
                <w:szCs w:val="15"/>
              </w:rPr>
              <w:t xml:space="preserve">排放口混合区外满足水环境管理要求 </w:t>
            </w:r>
            <w:r>
              <w:rPr>
                <w:rFonts w:hint="eastAsia"/>
                <w:color w:val="auto"/>
                <w:sz w:val="15"/>
                <w:szCs w:val="15"/>
              </w:rPr>
              <w:t>□</w:t>
            </w:r>
          </w:p>
          <w:p w14:paraId="2BDED035">
            <w:pPr>
              <w:rPr>
                <w:rFonts w:hint="eastAsia" w:eastAsia="宋体"/>
                <w:color w:val="auto"/>
                <w:sz w:val="15"/>
                <w:szCs w:val="15"/>
                <w:lang w:eastAsia="zh-CN"/>
              </w:rPr>
            </w:pPr>
            <w:r>
              <w:rPr>
                <w:color w:val="auto"/>
                <w:sz w:val="15"/>
                <w:szCs w:val="15"/>
              </w:rPr>
              <w:t xml:space="preserve">水环境功能区或水功能区、近岸海域环境功能区水质达标 </w:t>
            </w:r>
            <w:r>
              <w:rPr>
                <w:color w:val="auto"/>
                <w:sz w:val="15"/>
                <w:szCs w:val="15"/>
              </w:rPr>
              <w:sym w:font="Wingdings 2" w:char="F052"/>
            </w:r>
          </w:p>
          <w:p w14:paraId="212C09EF">
            <w:pPr>
              <w:rPr>
                <w:rFonts w:hint="eastAsia" w:eastAsia="宋体"/>
                <w:color w:val="auto"/>
                <w:sz w:val="15"/>
                <w:szCs w:val="15"/>
                <w:lang w:eastAsia="zh-CN"/>
              </w:rPr>
            </w:pPr>
            <w:r>
              <w:rPr>
                <w:color w:val="auto"/>
                <w:sz w:val="15"/>
                <w:szCs w:val="15"/>
              </w:rPr>
              <w:t xml:space="preserve">满足水环境保护目标水域水环境质量要求 </w:t>
            </w:r>
            <w:r>
              <w:rPr>
                <w:rFonts w:hint="eastAsia"/>
                <w:color w:val="auto"/>
                <w:sz w:val="15"/>
                <w:szCs w:val="15"/>
              </w:rPr>
              <w:t>□</w:t>
            </w:r>
          </w:p>
          <w:p w14:paraId="2424B01E">
            <w:pPr>
              <w:rPr>
                <w:rFonts w:hint="eastAsia" w:eastAsia="宋体"/>
                <w:color w:val="auto"/>
                <w:sz w:val="15"/>
                <w:szCs w:val="15"/>
                <w:lang w:eastAsia="zh-CN"/>
              </w:rPr>
            </w:pPr>
            <w:r>
              <w:rPr>
                <w:color w:val="auto"/>
                <w:sz w:val="15"/>
                <w:szCs w:val="15"/>
              </w:rPr>
              <w:t xml:space="preserve">水环境控制单元或断面水质达标 </w:t>
            </w:r>
            <w:r>
              <w:rPr>
                <w:rFonts w:hint="eastAsia"/>
                <w:color w:val="auto"/>
                <w:sz w:val="15"/>
                <w:szCs w:val="15"/>
              </w:rPr>
              <w:t>□</w:t>
            </w:r>
          </w:p>
          <w:p w14:paraId="28F90D69">
            <w:pPr>
              <w:rPr>
                <w:color w:val="auto"/>
                <w:sz w:val="15"/>
                <w:szCs w:val="15"/>
              </w:rPr>
            </w:pPr>
            <w:r>
              <w:rPr>
                <w:color w:val="auto"/>
                <w:sz w:val="15"/>
                <w:szCs w:val="15"/>
              </w:rPr>
              <w:t xml:space="preserve">满足重点水污染物排放总量控制指标要求，重点行业建设项目，主要污染物排放满足等量或减量替代要求 </w:t>
            </w:r>
            <w:r>
              <w:rPr>
                <w:rFonts w:hint="eastAsia"/>
                <w:color w:val="auto"/>
                <w:sz w:val="15"/>
                <w:szCs w:val="15"/>
              </w:rPr>
              <w:t>□</w:t>
            </w:r>
          </w:p>
          <w:p w14:paraId="39F3B31C">
            <w:pPr>
              <w:rPr>
                <w:rFonts w:hint="eastAsia" w:eastAsia="宋体"/>
                <w:color w:val="auto"/>
                <w:sz w:val="15"/>
                <w:szCs w:val="15"/>
                <w:lang w:eastAsia="zh-CN"/>
              </w:rPr>
            </w:pPr>
            <w:r>
              <w:rPr>
                <w:color w:val="auto"/>
                <w:sz w:val="15"/>
                <w:szCs w:val="15"/>
              </w:rPr>
              <w:t xml:space="preserve">满足区（流）域水环境质量改善目标要求 </w:t>
            </w:r>
            <w:r>
              <w:rPr>
                <w:rFonts w:hint="eastAsia"/>
                <w:color w:val="auto"/>
                <w:sz w:val="15"/>
                <w:szCs w:val="15"/>
              </w:rPr>
              <w:t>□</w:t>
            </w:r>
          </w:p>
          <w:p w14:paraId="0C2D113B">
            <w:pPr>
              <w:rPr>
                <w:color w:val="auto"/>
                <w:sz w:val="15"/>
                <w:szCs w:val="15"/>
              </w:rPr>
            </w:pPr>
            <w:r>
              <w:rPr>
                <w:color w:val="auto"/>
                <w:sz w:val="15"/>
                <w:szCs w:val="15"/>
              </w:rPr>
              <w:t>水文要素影响型建设项目同时应包括水文情势变化评价、主要水文特征值影响评价、</w:t>
            </w:r>
          </w:p>
          <w:p w14:paraId="7F35EBF6">
            <w:pPr>
              <w:rPr>
                <w:rFonts w:hint="eastAsia" w:eastAsia="宋体"/>
                <w:color w:val="auto"/>
                <w:sz w:val="15"/>
                <w:szCs w:val="15"/>
                <w:lang w:eastAsia="zh-CN"/>
              </w:rPr>
            </w:pPr>
            <w:r>
              <w:rPr>
                <w:color w:val="auto"/>
                <w:sz w:val="15"/>
                <w:szCs w:val="15"/>
              </w:rPr>
              <w:t xml:space="preserve">生态流量符合性评价 </w:t>
            </w:r>
            <w:r>
              <w:rPr>
                <w:rFonts w:hint="eastAsia"/>
                <w:color w:val="auto"/>
                <w:sz w:val="15"/>
                <w:szCs w:val="15"/>
              </w:rPr>
              <w:t>□</w:t>
            </w:r>
          </w:p>
          <w:p w14:paraId="70FEF6EE">
            <w:pPr>
              <w:rPr>
                <w:rFonts w:hint="eastAsia" w:eastAsia="宋体"/>
                <w:color w:val="auto"/>
                <w:sz w:val="15"/>
                <w:szCs w:val="15"/>
                <w:lang w:eastAsia="zh-CN"/>
              </w:rPr>
            </w:pPr>
            <w:r>
              <w:rPr>
                <w:color w:val="auto"/>
                <w:sz w:val="15"/>
                <w:szCs w:val="15"/>
              </w:rPr>
              <w:t xml:space="preserve">对于新设或调整入河（湖库、近岸海域）排放口的建设项目，应包括排放口设置的环境合理性评价 </w:t>
            </w:r>
            <w:r>
              <w:rPr>
                <w:rFonts w:hint="eastAsia"/>
                <w:color w:val="auto"/>
                <w:sz w:val="15"/>
                <w:szCs w:val="15"/>
              </w:rPr>
              <w:t>□</w:t>
            </w:r>
          </w:p>
          <w:p w14:paraId="0FAA15D6">
            <w:pPr>
              <w:rPr>
                <w:rFonts w:hint="eastAsia" w:eastAsia="宋体"/>
                <w:color w:val="auto"/>
                <w:sz w:val="15"/>
                <w:szCs w:val="15"/>
                <w:lang w:eastAsia="zh-CN"/>
              </w:rPr>
            </w:pPr>
            <w:r>
              <w:rPr>
                <w:color w:val="auto"/>
                <w:sz w:val="15"/>
                <w:szCs w:val="15"/>
              </w:rPr>
              <w:t xml:space="preserve">满足生态保护红线、水环境质量底线、资源利用上线和环境准入清单管理要求 </w:t>
            </w:r>
            <w:r>
              <w:rPr>
                <w:rFonts w:hint="eastAsia"/>
                <w:color w:val="auto"/>
                <w:sz w:val="15"/>
                <w:szCs w:val="15"/>
                <w:lang w:eastAsia="zh-CN"/>
              </w:rPr>
              <w:t>☑</w:t>
            </w:r>
          </w:p>
        </w:tc>
      </w:tr>
      <w:tr w14:paraId="3FFE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4A23DFB5">
            <w:pPr>
              <w:jc w:val="center"/>
              <w:rPr>
                <w:color w:val="auto"/>
                <w:sz w:val="15"/>
                <w:szCs w:val="15"/>
              </w:rPr>
            </w:pPr>
          </w:p>
        </w:tc>
        <w:tc>
          <w:tcPr>
            <w:tcW w:w="1003" w:type="pct"/>
            <w:vMerge w:val="restart"/>
            <w:noWrap w:val="0"/>
            <w:vAlign w:val="center"/>
          </w:tcPr>
          <w:p w14:paraId="4170FEBF">
            <w:pPr>
              <w:jc w:val="center"/>
              <w:rPr>
                <w:color w:val="auto"/>
                <w:sz w:val="15"/>
                <w:szCs w:val="15"/>
              </w:rPr>
            </w:pPr>
            <w:r>
              <w:rPr>
                <w:color w:val="auto"/>
                <w:sz w:val="15"/>
                <w:szCs w:val="15"/>
              </w:rPr>
              <w:t>污染源排放量核算</w:t>
            </w:r>
          </w:p>
        </w:tc>
        <w:tc>
          <w:tcPr>
            <w:tcW w:w="1156" w:type="pct"/>
            <w:gridSpan w:val="3"/>
            <w:noWrap/>
            <w:vAlign w:val="center"/>
          </w:tcPr>
          <w:p w14:paraId="6CB0D0FB">
            <w:pPr>
              <w:jc w:val="center"/>
              <w:rPr>
                <w:color w:val="auto"/>
                <w:sz w:val="15"/>
                <w:szCs w:val="15"/>
              </w:rPr>
            </w:pPr>
            <w:r>
              <w:rPr>
                <w:color w:val="auto"/>
                <w:sz w:val="15"/>
                <w:szCs w:val="15"/>
              </w:rPr>
              <w:t>污染物名称</w:t>
            </w:r>
          </w:p>
        </w:tc>
        <w:tc>
          <w:tcPr>
            <w:tcW w:w="1076" w:type="pct"/>
            <w:gridSpan w:val="3"/>
            <w:noWrap w:val="0"/>
            <w:vAlign w:val="center"/>
          </w:tcPr>
          <w:p w14:paraId="319483A5">
            <w:pPr>
              <w:jc w:val="center"/>
              <w:rPr>
                <w:color w:val="auto"/>
                <w:sz w:val="15"/>
                <w:szCs w:val="15"/>
              </w:rPr>
            </w:pPr>
            <w:r>
              <w:rPr>
                <w:color w:val="auto"/>
                <w:sz w:val="15"/>
                <w:szCs w:val="15"/>
              </w:rPr>
              <w:t>排放量/（t/a）</w:t>
            </w:r>
          </w:p>
        </w:tc>
        <w:tc>
          <w:tcPr>
            <w:tcW w:w="1477" w:type="pct"/>
            <w:gridSpan w:val="4"/>
            <w:noWrap w:val="0"/>
            <w:vAlign w:val="center"/>
          </w:tcPr>
          <w:p w14:paraId="13C3ABB5">
            <w:pPr>
              <w:jc w:val="center"/>
              <w:rPr>
                <w:color w:val="auto"/>
                <w:sz w:val="15"/>
                <w:szCs w:val="15"/>
              </w:rPr>
            </w:pPr>
            <w:r>
              <w:rPr>
                <w:color w:val="auto"/>
                <w:sz w:val="15"/>
                <w:szCs w:val="15"/>
              </w:rPr>
              <w:t>排放浓度/（mg/L）</w:t>
            </w:r>
          </w:p>
        </w:tc>
      </w:tr>
      <w:tr w14:paraId="7059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4" w:type="pct"/>
            <w:vMerge w:val="continue"/>
            <w:noWrap w:val="0"/>
            <w:vAlign w:val="center"/>
          </w:tcPr>
          <w:p w14:paraId="4518A3EA">
            <w:pPr>
              <w:jc w:val="center"/>
              <w:rPr>
                <w:color w:val="auto"/>
                <w:sz w:val="15"/>
                <w:szCs w:val="15"/>
              </w:rPr>
            </w:pPr>
          </w:p>
        </w:tc>
        <w:tc>
          <w:tcPr>
            <w:tcW w:w="1003" w:type="pct"/>
            <w:vMerge w:val="continue"/>
            <w:noWrap w:val="0"/>
            <w:vAlign w:val="center"/>
          </w:tcPr>
          <w:p w14:paraId="427D026C">
            <w:pPr>
              <w:jc w:val="center"/>
              <w:rPr>
                <w:color w:val="auto"/>
                <w:sz w:val="15"/>
                <w:szCs w:val="15"/>
              </w:rPr>
            </w:pPr>
          </w:p>
        </w:tc>
        <w:tc>
          <w:tcPr>
            <w:tcW w:w="1156" w:type="pct"/>
            <w:gridSpan w:val="3"/>
            <w:noWrap/>
            <w:vAlign w:val="center"/>
          </w:tcPr>
          <w:p w14:paraId="6C8651BA">
            <w:pPr>
              <w:jc w:val="center"/>
              <w:rPr>
                <w:color w:val="auto"/>
                <w:sz w:val="15"/>
                <w:szCs w:val="15"/>
              </w:rPr>
            </w:pPr>
            <w:r>
              <w:rPr>
                <w:color w:val="auto"/>
                <w:sz w:val="15"/>
                <w:szCs w:val="15"/>
              </w:rPr>
              <w:t>（COD</w:t>
            </w:r>
            <w:r>
              <w:rPr>
                <w:rFonts w:hint="eastAsia"/>
                <w:color w:val="auto"/>
                <w:sz w:val="15"/>
                <w:szCs w:val="15"/>
              </w:rPr>
              <w:t>c</w:t>
            </w:r>
            <w:r>
              <w:rPr>
                <w:color w:val="auto"/>
                <w:sz w:val="15"/>
                <w:szCs w:val="15"/>
              </w:rPr>
              <w:t>r、NH</w:t>
            </w:r>
            <w:r>
              <w:rPr>
                <w:color w:val="auto"/>
                <w:sz w:val="15"/>
                <w:szCs w:val="15"/>
                <w:vertAlign w:val="subscript"/>
              </w:rPr>
              <w:t>3</w:t>
            </w:r>
            <w:r>
              <w:rPr>
                <w:color w:val="auto"/>
                <w:sz w:val="15"/>
                <w:szCs w:val="15"/>
              </w:rPr>
              <w:t>-N）</w:t>
            </w:r>
          </w:p>
        </w:tc>
        <w:tc>
          <w:tcPr>
            <w:tcW w:w="1076" w:type="pct"/>
            <w:gridSpan w:val="3"/>
            <w:noWrap w:val="0"/>
            <w:vAlign w:val="center"/>
          </w:tcPr>
          <w:p w14:paraId="3D236A18">
            <w:pPr>
              <w:jc w:val="center"/>
              <w:rPr>
                <w:color w:val="auto"/>
                <w:sz w:val="15"/>
                <w:szCs w:val="15"/>
              </w:rPr>
            </w:pPr>
            <w:r>
              <w:rPr>
                <w:color w:val="auto"/>
                <w:sz w:val="15"/>
                <w:szCs w:val="15"/>
              </w:rPr>
              <w:t>（COD</w:t>
            </w:r>
            <w:r>
              <w:rPr>
                <w:rFonts w:hint="eastAsia"/>
                <w:color w:val="auto"/>
                <w:sz w:val="15"/>
                <w:szCs w:val="15"/>
              </w:rPr>
              <w:t>c</w:t>
            </w:r>
            <w:r>
              <w:rPr>
                <w:color w:val="auto"/>
                <w:sz w:val="15"/>
                <w:szCs w:val="15"/>
              </w:rPr>
              <w:t>r</w:t>
            </w:r>
            <w:r>
              <w:rPr>
                <w:rFonts w:hint="eastAsia"/>
                <w:color w:val="auto"/>
                <w:sz w:val="15"/>
                <w:szCs w:val="15"/>
              </w:rPr>
              <w:t>：</w:t>
            </w:r>
            <w:r>
              <w:rPr>
                <w:rFonts w:hint="eastAsia"/>
                <w:color w:val="auto"/>
                <w:sz w:val="15"/>
                <w:szCs w:val="15"/>
                <w:lang w:val="en-US" w:eastAsia="zh-CN"/>
              </w:rPr>
              <w:t xml:space="preserve">    </w:t>
            </w:r>
            <w:r>
              <w:rPr>
                <w:color w:val="auto"/>
                <w:sz w:val="15"/>
                <w:szCs w:val="15"/>
              </w:rPr>
              <w:t>NH</w:t>
            </w:r>
            <w:r>
              <w:rPr>
                <w:color w:val="auto"/>
                <w:sz w:val="15"/>
                <w:szCs w:val="15"/>
                <w:vertAlign w:val="subscript"/>
              </w:rPr>
              <w:t>3</w:t>
            </w:r>
            <w:r>
              <w:rPr>
                <w:color w:val="auto"/>
                <w:sz w:val="15"/>
                <w:szCs w:val="15"/>
              </w:rPr>
              <w:t>-N</w:t>
            </w:r>
            <w:r>
              <w:rPr>
                <w:rFonts w:hint="eastAsia"/>
                <w:color w:val="auto"/>
                <w:sz w:val="15"/>
                <w:szCs w:val="15"/>
              </w:rPr>
              <w:t>：</w:t>
            </w:r>
            <w:r>
              <w:rPr>
                <w:rFonts w:hint="eastAsia"/>
                <w:color w:val="auto"/>
                <w:sz w:val="15"/>
                <w:szCs w:val="15"/>
                <w:lang w:val="en-US" w:eastAsia="zh-CN"/>
              </w:rPr>
              <w:t>）</w:t>
            </w:r>
          </w:p>
        </w:tc>
        <w:tc>
          <w:tcPr>
            <w:tcW w:w="1477" w:type="pct"/>
            <w:gridSpan w:val="4"/>
            <w:noWrap w:val="0"/>
            <w:vAlign w:val="center"/>
          </w:tcPr>
          <w:p w14:paraId="4BDE07DE">
            <w:pPr>
              <w:jc w:val="center"/>
              <w:rPr>
                <w:color w:val="auto"/>
                <w:sz w:val="15"/>
                <w:szCs w:val="15"/>
              </w:rPr>
            </w:pPr>
            <w:r>
              <w:rPr>
                <w:color w:val="auto"/>
                <w:sz w:val="15"/>
                <w:szCs w:val="15"/>
              </w:rPr>
              <w:t>（COD</w:t>
            </w:r>
            <w:r>
              <w:rPr>
                <w:rFonts w:hint="eastAsia"/>
                <w:color w:val="auto"/>
                <w:sz w:val="15"/>
                <w:szCs w:val="15"/>
              </w:rPr>
              <w:t>c</w:t>
            </w:r>
            <w:r>
              <w:rPr>
                <w:color w:val="auto"/>
                <w:sz w:val="15"/>
                <w:szCs w:val="15"/>
              </w:rPr>
              <w:t>r</w:t>
            </w:r>
            <w:r>
              <w:rPr>
                <w:rFonts w:hint="eastAsia"/>
                <w:color w:val="auto"/>
                <w:sz w:val="15"/>
                <w:szCs w:val="15"/>
              </w:rPr>
              <w:t xml:space="preserve">：  </w:t>
            </w:r>
            <w:r>
              <w:rPr>
                <w:color w:val="auto"/>
                <w:sz w:val="15"/>
                <w:szCs w:val="15"/>
              </w:rPr>
              <w:t>NH</w:t>
            </w:r>
            <w:r>
              <w:rPr>
                <w:color w:val="auto"/>
                <w:sz w:val="15"/>
                <w:szCs w:val="15"/>
                <w:vertAlign w:val="subscript"/>
              </w:rPr>
              <w:t>3</w:t>
            </w:r>
            <w:r>
              <w:rPr>
                <w:color w:val="auto"/>
                <w:sz w:val="15"/>
                <w:szCs w:val="15"/>
              </w:rPr>
              <w:t>-N</w:t>
            </w:r>
            <w:r>
              <w:rPr>
                <w:rFonts w:hint="eastAsia"/>
                <w:color w:val="auto"/>
                <w:sz w:val="15"/>
                <w:szCs w:val="15"/>
              </w:rPr>
              <w:t>：</w:t>
            </w:r>
            <w:r>
              <w:rPr>
                <w:color w:val="auto"/>
                <w:sz w:val="15"/>
                <w:szCs w:val="15"/>
              </w:rPr>
              <w:t>）</w:t>
            </w:r>
          </w:p>
        </w:tc>
      </w:tr>
      <w:tr w14:paraId="1311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5B93CCCB">
            <w:pPr>
              <w:jc w:val="center"/>
              <w:rPr>
                <w:color w:val="auto"/>
                <w:sz w:val="15"/>
                <w:szCs w:val="15"/>
              </w:rPr>
            </w:pPr>
          </w:p>
        </w:tc>
        <w:tc>
          <w:tcPr>
            <w:tcW w:w="1003" w:type="pct"/>
            <w:vMerge w:val="restart"/>
            <w:noWrap w:val="0"/>
            <w:vAlign w:val="center"/>
          </w:tcPr>
          <w:p w14:paraId="4D39B2AB">
            <w:pPr>
              <w:jc w:val="center"/>
              <w:rPr>
                <w:color w:val="auto"/>
                <w:sz w:val="15"/>
                <w:szCs w:val="15"/>
              </w:rPr>
            </w:pPr>
            <w:r>
              <w:rPr>
                <w:color w:val="auto"/>
                <w:sz w:val="15"/>
                <w:szCs w:val="15"/>
              </w:rPr>
              <w:t>替代源排放情况</w:t>
            </w:r>
          </w:p>
        </w:tc>
        <w:tc>
          <w:tcPr>
            <w:tcW w:w="712" w:type="pct"/>
            <w:noWrap/>
            <w:vAlign w:val="center"/>
          </w:tcPr>
          <w:p w14:paraId="6493466F">
            <w:pPr>
              <w:jc w:val="center"/>
              <w:rPr>
                <w:color w:val="auto"/>
                <w:sz w:val="15"/>
                <w:szCs w:val="15"/>
              </w:rPr>
            </w:pPr>
            <w:r>
              <w:rPr>
                <w:color w:val="auto"/>
                <w:sz w:val="15"/>
                <w:szCs w:val="15"/>
              </w:rPr>
              <w:t>污染源名称</w:t>
            </w:r>
          </w:p>
        </w:tc>
        <w:tc>
          <w:tcPr>
            <w:tcW w:w="712" w:type="pct"/>
            <w:gridSpan w:val="3"/>
            <w:noWrap/>
            <w:vAlign w:val="center"/>
          </w:tcPr>
          <w:p w14:paraId="615745B9">
            <w:pPr>
              <w:jc w:val="center"/>
              <w:rPr>
                <w:color w:val="auto"/>
                <w:sz w:val="15"/>
                <w:szCs w:val="15"/>
              </w:rPr>
            </w:pPr>
            <w:r>
              <w:rPr>
                <w:color w:val="auto"/>
                <w:sz w:val="15"/>
                <w:szCs w:val="15"/>
              </w:rPr>
              <w:t>排污许可证编号</w:t>
            </w:r>
          </w:p>
        </w:tc>
        <w:tc>
          <w:tcPr>
            <w:tcW w:w="712" w:type="pct"/>
            <w:noWrap/>
            <w:vAlign w:val="center"/>
          </w:tcPr>
          <w:p w14:paraId="0F210F15">
            <w:pPr>
              <w:jc w:val="center"/>
              <w:rPr>
                <w:color w:val="auto"/>
                <w:sz w:val="15"/>
                <w:szCs w:val="15"/>
              </w:rPr>
            </w:pPr>
            <w:r>
              <w:rPr>
                <w:color w:val="auto"/>
                <w:sz w:val="15"/>
                <w:szCs w:val="15"/>
              </w:rPr>
              <w:t>污染物名称</w:t>
            </w:r>
          </w:p>
        </w:tc>
        <w:tc>
          <w:tcPr>
            <w:tcW w:w="833" w:type="pct"/>
            <w:gridSpan w:val="4"/>
            <w:noWrap/>
            <w:vAlign w:val="center"/>
          </w:tcPr>
          <w:p w14:paraId="63074596">
            <w:pPr>
              <w:jc w:val="center"/>
              <w:rPr>
                <w:color w:val="auto"/>
                <w:sz w:val="15"/>
                <w:szCs w:val="15"/>
              </w:rPr>
            </w:pPr>
            <w:r>
              <w:rPr>
                <w:color w:val="auto"/>
                <w:sz w:val="15"/>
                <w:szCs w:val="15"/>
              </w:rPr>
              <w:t>排放量/（t/a）</w:t>
            </w:r>
          </w:p>
        </w:tc>
        <w:tc>
          <w:tcPr>
            <w:tcW w:w="740" w:type="pct"/>
            <w:noWrap/>
            <w:vAlign w:val="center"/>
          </w:tcPr>
          <w:p w14:paraId="67F8ED72">
            <w:pPr>
              <w:rPr>
                <w:color w:val="auto"/>
                <w:sz w:val="15"/>
                <w:szCs w:val="15"/>
              </w:rPr>
            </w:pPr>
            <w:r>
              <w:rPr>
                <w:color w:val="auto"/>
                <w:sz w:val="15"/>
                <w:szCs w:val="15"/>
              </w:rPr>
              <w:t>排放浓度/（mg/L）</w:t>
            </w:r>
          </w:p>
        </w:tc>
      </w:tr>
      <w:tr w14:paraId="4A15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7294168F">
            <w:pPr>
              <w:jc w:val="center"/>
              <w:rPr>
                <w:color w:val="auto"/>
                <w:sz w:val="15"/>
                <w:szCs w:val="15"/>
              </w:rPr>
            </w:pPr>
          </w:p>
        </w:tc>
        <w:tc>
          <w:tcPr>
            <w:tcW w:w="1003" w:type="pct"/>
            <w:vMerge w:val="continue"/>
            <w:noWrap w:val="0"/>
            <w:vAlign w:val="center"/>
          </w:tcPr>
          <w:p w14:paraId="2100FD0D">
            <w:pPr>
              <w:jc w:val="center"/>
              <w:rPr>
                <w:color w:val="auto"/>
                <w:sz w:val="15"/>
                <w:szCs w:val="15"/>
              </w:rPr>
            </w:pPr>
          </w:p>
        </w:tc>
        <w:tc>
          <w:tcPr>
            <w:tcW w:w="712" w:type="pct"/>
            <w:noWrap/>
            <w:vAlign w:val="center"/>
          </w:tcPr>
          <w:p w14:paraId="1321CF26">
            <w:pPr>
              <w:jc w:val="center"/>
              <w:rPr>
                <w:color w:val="auto"/>
                <w:sz w:val="15"/>
                <w:szCs w:val="15"/>
              </w:rPr>
            </w:pPr>
            <w:r>
              <w:rPr>
                <w:color w:val="auto"/>
                <w:sz w:val="15"/>
                <w:szCs w:val="15"/>
              </w:rPr>
              <w:t>（   ）</w:t>
            </w:r>
          </w:p>
        </w:tc>
        <w:tc>
          <w:tcPr>
            <w:tcW w:w="712" w:type="pct"/>
            <w:gridSpan w:val="3"/>
            <w:noWrap/>
            <w:vAlign w:val="center"/>
          </w:tcPr>
          <w:p w14:paraId="1C66125C">
            <w:pPr>
              <w:jc w:val="center"/>
              <w:rPr>
                <w:color w:val="auto"/>
                <w:sz w:val="15"/>
                <w:szCs w:val="15"/>
              </w:rPr>
            </w:pPr>
            <w:r>
              <w:rPr>
                <w:color w:val="auto"/>
                <w:sz w:val="15"/>
                <w:szCs w:val="15"/>
              </w:rPr>
              <w:t>（   ）</w:t>
            </w:r>
          </w:p>
        </w:tc>
        <w:tc>
          <w:tcPr>
            <w:tcW w:w="712" w:type="pct"/>
            <w:noWrap/>
            <w:vAlign w:val="center"/>
          </w:tcPr>
          <w:p w14:paraId="28CE972F">
            <w:pPr>
              <w:jc w:val="center"/>
              <w:rPr>
                <w:color w:val="auto"/>
                <w:sz w:val="15"/>
                <w:szCs w:val="15"/>
              </w:rPr>
            </w:pPr>
            <w:r>
              <w:rPr>
                <w:color w:val="auto"/>
                <w:sz w:val="15"/>
                <w:szCs w:val="15"/>
              </w:rPr>
              <w:t>（   ）</w:t>
            </w:r>
          </w:p>
        </w:tc>
        <w:tc>
          <w:tcPr>
            <w:tcW w:w="833" w:type="pct"/>
            <w:gridSpan w:val="4"/>
            <w:noWrap/>
            <w:vAlign w:val="center"/>
          </w:tcPr>
          <w:p w14:paraId="71FFB6F0">
            <w:pPr>
              <w:jc w:val="center"/>
              <w:rPr>
                <w:color w:val="auto"/>
                <w:sz w:val="15"/>
                <w:szCs w:val="15"/>
              </w:rPr>
            </w:pPr>
            <w:r>
              <w:rPr>
                <w:color w:val="auto"/>
                <w:sz w:val="15"/>
                <w:szCs w:val="15"/>
              </w:rPr>
              <w:t>（   ）</w:t>
            </w:r>
          </w:p>
        </w:tc>
        <w:tc>
          <w:tcPr>
            <w:tcW w:w="740" w:type="pct"/>
            <w:noWrap/>
            <w:vAlign w:val="center"/>
          </w:tcPr>
          <w:p w14:paraId="05C476D7">
            <w:pPr>
              <w:jc w:val="center"/>
              <w:rPr>
                <w:color w:val="auto"/>
                <w:sz w:val="15"/>
                <w:szCs w:val="15"/>
              </w:rPr>
            </w:pPr>
            <w:r>
              <w:rPr>
                <w:color w:val="auto"/>
                <w:sz w:val="15"/>
                <w:szCs w:val="15"/>
              </w:rPr>
              <w:t>（   ）</w:t>
            </w:r>
          </w:p>
        </w:tc>
      </w:tr>
      <w:tr w14:paraId="5158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53E2B5D4">
            <w:pPr>
              <w:jc w:val="center"/>
              <w:rPr>
                <w:color w:val="auto"/>
                <w:sz w:val="15"/>
                <w:szCs w:val="15"/>
              </w:rPr>
            </w:pPr>
          </w:p>
        </w:tc>
        <w:tc>
          <w:tcPr>
            <w:tcW w:w="1003" w:type="pct"/>
            <w:noWrap w:val="0"/>
            <w:vAlign w:val="center"/>
          </w:tcPr>
          <w:p w14:paraId="14DD27D1">
            <w:pPr>
              <w:jc w:val="center"/>
              <w:rPr>
                <w:color w:val="auto"/>
                <w:sz w:val="15"/>
                <w:szCs w:val="15"/>
              </w:rPr>
            </w:pPr>
            <w:r>
              <w:rPr>
                <w:color w:val="auto"/>
                <w:sz w:val="15"/>
                <w:szCs w:val="15"/>
              </w:rPr>
              <w:t>生态流量确定</w:t>
            </w:r>
          </w:p>
        </w:tc>
        <w:tc>
          <w:tcPr>
            <w:tcW w:w="3711" w:type="pct"/>
            <w:gridSpan w:val="10"/>
            <w:noWrap/>
            <w:vAlign w:val="center"/>
          </w:tcPr>
          <w:p w14:paraId="23E56B0F">
            <w:pPr>
              <w:rPr>
                <w:color w:val="auto"/>
                <w:sz w:val="15"/>
                <w:szCs w:val="15"/>
              </w:rPr>
            </w:pPr>
            <w:r>
              <w:rPr>
                <w:color w:val="auto"/>
                <w:sz w:val="15"/>
                <w:szCs w:val="15"/>
              </w:rPr>
              <w:t>生态流量：一般水期（   ）m</w:t>
            </w:r>
            <w:r>
              <w:rPr>
                <w:color w:val="auto"/>
                <w:sz w:val="15"/>
                <w:szCs w:val="15"/>
                <w:vertAlign w:val="superscript"/>
              </w:rPr>
              <w:t>3</w:t>
            </w:r>
            <w:r>
              <w:rPr>
                <w:color w:val="auto"/>
                <w:sz w:val="15"/>
                <w:szCs w:val="15"/>
              </w:rPr>
              <w:t>/s；鱼类繁殖期（   ）m</w:t>
            </w:r>
            <w:r>
              <w:rPr>
                <w:color w:val="auto"/>
                <w:sz w:val="15"/>
                <w:szCs w:val="15"/>
                <w:vertAlign w:val="superscript"/>
              </w:rPr>
              <w:t>3</w:t>
            </w:r>
            <w:r>
              <w:rPr>
                <w:color w:val="auto"/>
                <w:sz w:val="15"/>
                <w:szCs w:val="15"/>
              </w:rPr>
              <w:t>/s；其他（   ）m</w:t>
            </w:r>
            <w:r>
              <w:rPr>
                <w:color w:val="auto"/>
                <w:sz w:val="15"/>
                <w:szCs w:val="15"/>
                <w:vertAlign w:val="superscript"/>
              </w:rPr>
              <w:t>3</w:t>
            </w:r>
            <w:r>
              <w:rPr>
                <w:color w:val="auto"/>
                <w:sz w:val="15"/>
                <w:szCs w:val="15"/>
              </w:rPr>
              <w:t>/s</w:t>
            </w:r>
          </w:p>
          <w:p w14:paraId="06A75F74">
            <w:pPr>
              <w:rPr>
                <w:color w:val="auto"/>
                <w:sz w:val="15"/>
                <w:szCs w:val="15"/>
              </w:rPr>
            </w:pPr>
            <w:r>
              <w:rPr>
                <w:color w:val="auto"/>
                <w:sz w:val="15"/>
                <w:szCs w:val="15"/>
              </w:rPr>
              <w:t>生态水位：一般水期（   ）m；鱼类繁殖期（   ）m；其他（   ）m</w:t>
            </w:r>
          </w:p>
        </w:tc>
      </w:tr>
      <w:tr w14:paraId="2551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restart"/>
            <w:noWrap/>
            <w:textDirection w:val="tbRlV"/>
            <w:vAlign w:val="center"/>
          </w:tcPr>
          <w:p w14:paraId="2E0BC705">
            <w:pPr>
              <w:jc w:val="center"/>
              <w:rPr>
                <w:color w:val="auto"/>
                <w:sz w:val="15"/>
                <w:szCs w:val="15"/>
              </w:rPr>
            </w:pPr>
            <w:r>
              <w:rPr>
                <w:color w:val="auto"/>
                <w:sz w:val="15"/>
                <w:szCs w:val="15"/>
              </w:rPr>
              <w:t>防治措施</w:t>
            </w:r>
          </w:p>
        </w:tc>
        <w:tc>
          <w:tcPr>
            <w:tcW w:w="1003" w:type="pct"/>
            <w:noWrap w:val="0"/>
            <w:vAlign w:val="center"/>
          </w:tcPr>
          <w:p w14:paraId="54472158">
            <w:pPr>
              <w:jc w:val="center"/>
              <w:rPr>
                <w:color w:val="auto"/>
                <w:sz w:val="15"/>
                <w:szCs w:val="15"/>
              </w:rPr>
            </w:pPr>
            <w:r>
              <w:rPr>
                <w:color w:val="auto"/>
                <w:sz w:val="15"/>
                <w:szCs w:val="15"/>
              </w:rPr>
              <w:t>环保措施</w:t>
            </w:r>
          </w:p>
        </w:tc>
        <w:tc>
          <w:tcPr>
            <w:tcW w:w="3711" w:type="pct"/>
            <w:gridSpan w:val="10"/>
            <w:noWrap/>
            <w:vAlign w:val="center"/>
          </w:tcPr>
          <w:p w14:paraId="70130D57">
            <w:pPr>
              <w:rPr>
                <w:color w:val="auto"/>
                <w:sz w:val="15"/>
                <w:szCs w:val="15"/>
              </w:rPr>
            </w:pPr>
            <w:r>
              <w:rPr>
                <w:color w:val="auto"/>
                <w:sz w:val="15"/>
                <w:szCs w:val="15"/>
              </w:rPr>
              <w:t xml:space="preserve">污水处理设施 </w:t>
            </w:r>
            <w:r>
              <w:rPr>
                <w:rFonts w:hint="eastAsia"/>
                <w:color w:val="auto"/>
                <w:sz w:val="15"/>
                <w:szCs w:val="15"/>
              </w:rPr>
              <w:t>☑</w:t>
            </w:r>
            <w:r>
              <w:rPr>
                <w:color w:val="auto"/>
                <w:sz w:val="15"/>
                <w:szCs w:val="15"/>
              </w:rPr>
              <w:t xml:space="preserve">；水文减缓设施 </w:t>
            </w:r>
            <w:r>
              <w:rPr>
                <w:rFonts w:hint="eastAsia"/>
                <w:color w:val="auto"/>
                <w:sz w:val="15"/>
                <w:szCs w:val="15"/>
              </w:rPr>
              <w:t>□</w:t>
            </w:r>
            <w:r>
              <w:rPr>
                <w:color w:val="auto"/>
                <w:sz w:val="15"/>
                <w:szCs w:val="15"/>
              </w:rPr>
              <w:t xml:space="preserve">；生态流量保障设施 </w:t>
            </w:r>
            <w:r>
              <w:rPr>
                <w:rFonts w:hint="eastAsia"/>
                <w:color w:val="auto"/>
                <w:sz w:val="15"/>
                <w:szCs w:val="15"/>
              </w:rPr>
              <w:t>□</w:t>
            </w:r>
            <w:r>
              <w:rPr>
                <w:color w:val="auto"/>
                <w:sz w:val="15"/>
                <w:szCs w:val="15"/>
              </w:rPr>
              <w:t xml:space="preserve">；区域削减 </w:t>
            </w:r>
            <w:r>
              <w:rPr>
                <w:rFonts w:hint="eastAsia"/>
                <w:color w:val="auto"/>
                <w:sz w:val="15"/>
                <w:szCs w:val="15"/>
              </w:rPr>
              <w:t>□</w:t>
            </w:r>
            <w:r>
              <w:rPr>
                <w:color w:val="auto"/>
                <w:sz w:val="15"/>
                <w:szCs w:val="15"/>
              </w:rPr>
              <w:t>；依托其他工程措施</w:t>
            </w:r>
            <w:r>
              <w:rPr>
                <w:rFonts w:hint="eastAsia"/>
                <w:color w:val="auto"/>
                <w:sz w:val="15"/>
                <w:szCs w:val="15"/>
              </w:rPr>
              <w:t>□</w:t>
            </w:r>
            <w:r>
              <w:rPr>
                <w:color w:val="auto"/>
                <w:sz w:val="15"/>
                <w:szCs w:val="15"/>
              </w:rPr>
              <w:t xml:space="preserve">；其他 </w:t>
            </w:r>
            <w:r>
              <w:rPr>
                <w:rFonts w:hint="eastAsia"/>
                <w:color w:val="auto"/>
                <w:sz w:val="15"/>
                <w:szCs w:val="15"/>
              </w:rPr>
              <w:t>□</w:t>
            </w:r>
          </w:p>
        </w:tc>
      </w:tr>
      <w:tr w14:paraId="3B65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84" w:type="pct"/>
            <w:vMerge w:val="continue"/>
            <w:noWrap w:val="0"/>
            <w:vAlign w:val="center"/>
          </w:tcPr>
          <w:p w14:paraId="6B00B214">
            <w:pPr>
              <w:jc w:val="center"/>
              <w:rPr>
                <w:color w:val="auto"/>
                <w:sz w:val="15"/>
                <w:szCs w:val="15"/>
              </w:rPr>
            </w:pPr>
          </w:p>
        </w:tc>
        <w:tc>
          <w:tcPr>
            <w:tcW w:w="1003" w:type="pct"/>
            <w:vMerge w:val="restart"/>
            <w:noWrap w:val="0"/>
            <w:vAlign w:val="center"/>
          </w:tcPr>
          <w:p w14:paraId="3DC8F9E2">
            <w:pPr>
              <w:jc w:val="center"/>
              <w:rPr>
                <w:color w:val="auto"/>
                <w:sz w:val="15"/>
                <w:szCs w:val="15"/>
              </w:rPr>
            </w:pPr>
            <w:r>
              <w:rPr>
                <w:color w:val="auto"/>
                <w:sz w:val="15"/>
                <w:szCs w:val="15"/>
              </w:rPr>
              <w:t>监测计划</w:t>
            </w:r>
          </w:p>
        </w:tc>
        <w:tc>
          <w:tcPr>
            <w:tcW w:w="855" w:type="pct"/>
            <w:gridSpan w:val="2"/>
            <w:noWrap/>
            <w:vAlign w:val="center"/>
          </w:tcPr>
          <w:p w14:paraId="4043DD75">
            <w:pPr>
              <w:jc w:val="center"/>
              <w:rPr>
                <w:color w:val="auto"/>
                <w:sz w:val="15"/>
                <w:szCs w:val="15"/>
              </w:rPr>
            </w:pPr>
          </w:p>
        </w:tc>
        <w:tc>
          <w:tcPr>
            <w:tcW w:w="1377" w:type="pct"/>
            <w:gridSpan w:val="4"/>
            <w:noWrap w:val="0"/>
            <w:vAlign w:val="center"/>
          </w:tcPr>
          <w:p w14:paraId="0DD78BC0">
            <w:pPr>
              <w:jc w:val="center"/>
              <w:rPr>
                <w:color w:val="auto"/>
                <w:sz w:val="15"/>
                <w:szCs w:val="15"/>
              </w:rPr>
            </w:pPr>
            <w:r>
              <w:rPr>
                <w:color w:val="auto"/>
                <w:sz w:val="15"/>
                <w:szCs w:val="15"/>
              </w:rPr>
              <w:t>环境质量</w:t>
            </w:r>
          </w:p>
        </w:tc>
        <w:tc>
          <w:tcPr>
            <w:tcW w:w="1477" w:type="pct"/>
            <w:gridSpan w:val="4"/>
            <w:noWrap w:val="0"/>
            <w:vAlign w:val="center"/>
          </w:tcPr>
          <w:p w14:paraId="415D8EE9">
            <w:pPr>
              <w:jc w:val="center"/>
              <w:rPr>
                <w:color w:val="auto"/>
                <w:sz w:val="15"/>
                <w:szCs w:val="15"/>
              </w:rPr>
            </w:pPr>
            <w:r>
              <w:rPr>
                <w:color w:val="auto"/>
                <w:sz w:val="15"/>
                <w:szCs w:val="15"/>
              </w:rPr>
              <w:t>污染源</w:t>
            </w:r>
          </w:p>
        </w:tc>
      </w:tr>
      <w:tr w14:paraId="7C5F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84" w:type="pct"/>
            <w:vMerge w:val="continue"/>
            <w:noWrap w:val="0"/>
            <w:vAlign w:val="center"/>
          </w:tcPr>
          <w:p w14:paraId="2690C2B4">
            <w:pPr>
              <w:jc w:val="center"/>
              <w:rPr>
                <w:color w:val="auto"/>
                <w:sz w:val="15"/>
                <w:szCs w:val="15"/>
              </w:rPr>
            </w:pPr>
          </w:p>
        </w:tc>
        <w:tc>
          <w:tcPr>
            <w:tcW w:w="1003" w:type="pct"/>
            <w:vMerge w:val="continue"/>
            <w:noWrap w:val="0"/>
            <w:vAlign w:val="center"/>
          </w:tcPr>
          <w:p w14:paraId="3FFE2515">
            <w:pPr>
              <w:jc w:val="center"/>
              <w:rPr>
                <w:color w:val="auto"/>
                <w:sz w:val="15"/>
                <w:szCs w:val="15"/>
              </w:rPr>
            </w:pPr>
          </w:p>
        </w:tc>
        <w:tc>
          <w:tcPr>
            <w:tcW w:w="855" w:type="pct"/>
            <w:gridSpan w:val="2"/>
            <w:noWrap/>
            <w:vAlign w:val="center"/>
          </w:tcPr>
          <w:p w14:paraId="6706F02E">
            <w:pPr>
              <w:jc w:val="center"/>
              <w:rPr>
                <w:color w:val="auto"/>
                <w:sz w:val="15"/>
                <w:szCs w:val="15"/>
              </w:rPr>
            </w:pPr>
            <w:r>
              <w:rPr>
                <w:color w:val="auto"/>
                <w:sz w:val="15"/>
                <w:szCs w:val="15"/>
              </w:rPr>
              <w:t>监测方式</w:t>
            </w:r>
          </w:p>
        </w:tc>
        <w:tc>
          <w:tcPr>
            <w:tcW w:w="1377" w:type="pct"/>
            <w:gridSpan w:val="4"/>
            <w:noWrap w:val="0"/>
            <w:vAlign w:val="center"/>
          </w:tcPr>
          <w:p w14:paraId="2FD88204">
            <w:pPr>
              <w:jc w:val="center"/>
              <w:rPr>
                <w:color w:val="auto"/>
                <w:sz w:val="15"/>
                <w:szCs w:val="15"/>
              </w:rPr>
            </w:pPr>
            <w:r>
              <w:rPr>
                <w:color w:val="auto"/>
                <w:sz w:val="15"/>
                <w:szCs w:val="15"/>
              </w:rPr>
              <w:t xml:space="preserve">手动 </w:t>
            </w:r>
            <w:r>
              <w:rPr>
                <w:rFonts w:hint="eastAsia"/>
                <w:color w:val="auto"/>
                <w:sz w:val="15"/>
                <w:szCs w:val="15"/>
              </w:rPr>
              <w:t>□</w:t>
            </w:r>
            <w:r>
              <w:rPr>
                <w:color w:val="auto"/>
                <w:sz w:val="15"/>
                <w:szCs w:val="15"/>
              </w:rPr>
              <w:t xml:space="preserve">；自动 </w:t>
            </w:r>
            <w:r>
              <w:rPr>
                <w:rFonts w:hint="eastAsia"/>
                <w:color w:val="auto"/>
                <w:sz w:val="15"/>
                <w:szCs w:val="15"/>
              </w:rPr>
              <w:t>□</w:t>
            </w:r>
            <w:r>
              <w:rPr>
                <w:color w:val="auto"/>
                <w:sz w:val="15"/>
                <w:szCs w:val="15"/>
              </w:rPr>
              <w:t xml:space="preserve">；无监测 </w:t>
            </w:r>
            <w:r>
              <w:rPr>
                <w:rFonts w:hint="eastAsia"/>
                <w:color w:val="auto"/>
                <w:sz w:val="15"/>
                <w:szCs w:val="15"/>
              </w:rPr>
              <w:t>□</w:t>
            </w:r>
          </w:p>
        </w:tc>
        <w:tc>
          <w:tcPr>
            <w:tcW w:w="1477" w:type="pct"/>
            <w:gridSpan w:val="4"/>
            <w:noWrap w:val="0"/>
            <w:vAlign w:val="center"/>
          </w:tcPr>
          <w:p w14:paraId="74C45029">
            <w:pPr>
              <w:jc w:val="center"/>
              <w:rPr>
                <w:color w:val="auto"/>
                <w:sz w:val="15"/>
                <w:szCs w:val="15"/>
              </w:rPr>
            </w:pPr>
            <w:r>
              <w:rPr>
                <w:color w:val="auto"/>
                <w:sz w:val="15"/>
                <w:szCs w:val="15"/>
              </w:rPr>
              <w:t>手动</w:t>
            </w:r>
            <w:r>
              <w:rPr>
                <w:rFonts w:hint="eastAsia"/>
                <w:color w:val="auto"/>
                <w:sz w:val="15"/>
                <w:szCs w:val="15"/>
                <w:lang w:eastAsia="zh-CN"/>
              </w:rPr>
              <w:t>□</w:t>
            </w:r>
            <w:r>
              <w:rPr>
                <w:color w:val="auto"/>
                <w:sz w:val="15"/>
                <w:szCs w:val="15"/>
              </w:rPr>
              <w:t>；自动</w:t>
            </w:r>
            <w:r>
              <w:rPr>
                <w:rFonts w:hint="eastAsia"/>
                <w:color w:val="auto"/>
                <w:sz w:val="15"/>
                <w:szCs w:val="15"/>
              </w:rPr>
              <w:t>□</w:t>
            </w:r>
            <w:r>
              <w:rPr>
                <w:color w:val="auto"/>
                <w:sz w:val="15"/>
                <w:szCs w:val="15"/>
              </w:rPr>
              <w:t xml:space="preserve">；无监测 </w:t>
            </w:r>
            <w:r>
              <w:rPr>
                <w:rFonts w:hint="eastAsia"/>
                <w:color w:val="auto"/>
                <w:sz w:val="15"/>
                <w:szCs w:val="15"/>
              </w:rPr>
              <w:t>□</w:t>
            </w:r>
          </w:p>
        </w:tc>
      </w:tr>
      <w:tr w14:paraId="1DB9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84" w:type="pct"/>
            <w:vMerge w:val="continue"/>
            <w:noWrap w:val="0"/>
            <w:vAlign w:val="center"/>
          </w:tcPr>
          <w:p w14:paraId="1505300E">
            <w:pPr>
              <w:jc w:val="center"/>
              <w:rPr>
                <w:color w:val="auto"/>
                <w:sz w:val="15"/>
                <w:szCs w:val="15"/>
              </w:rPr>
            </w:pPr>
          </w:p>
        </w:tc>
        <w:tc>
          <w:tcPr>
            <w:tcW w:w="1003" w:type="pct"/>
            <w:vMerge w:val="continue"/>
            <w:noWrap w:val="0"/>
            <w:vAlign w:val="center"/>
          </w:tcPr>
          <w:p w14:paraId="2D6696E0">
            <w:pPr>
              <w:jc w:val="center"/>
              <w:rPr>
                <w:color w:val="auto"/>
                <w:sz w:val="15"/>
                <w:szCs w:val="15"/>
              </w:rPr>
            </w:pPr>
          </w:p>
        </w:tc>
        <w:tc>
          <w:tcPr>
            <w:tcW w:w="855" w:type="pct"/>
            <w:gridSpan w:val="2"/>
            <w:noWrap/>
            <w:vAlign w:val="center"/>
          </w:tcPr>
          <w:p w14:paraId="3FB8C787">
            <w:pPr>
              <w:jc w:val="center"/>
              <w:rPr>
                <w:color w:val="auto"/>
                <w:sz w:val="15"/>
                <w:szCs w:val="15"/>
              </w:rPr>
            </w:pPr>
            <w:r>
              <w:rPr>
                <w:color w:val="auto"/>
                <w:sz w:val="15"/>
                <w:szCs w:val="15"/>
              </w:rPr>
              <w:t>监测点位</w:t>
            </w:r>
          </w:p>
        </w:tc>
        <w:tc>
          <w:tcPr>
            <w:tcW w:w="1377" w:type="pct"/>
            <w:gridSpan w:val="4"/>
            <w:noWrap w:val="0"/>
            <w:vAlign w:val="center"/>
          </w:tcPr>
          <w:p w14:paraId="09BF5B37">
            <w:pPr>
              <w:jc w:val="center"/>
              <w:rPr>
                <w:color w:val="auto"/>
                <w:sz w:val="15"/>
                <w:szCs w:val="15"/>
              </w:rPr>
            </w:pPr>
            <w:r>
              <w:rPr>
                <w:color w:val="auto"/>
                <w:sz w:val="15"/>
                <w:szCs w:val="15"/>
              </w:rPr>
              <w:t>（ ）</w:t>
            </w:r>
          </w:p>
        </w:tc>
        <w:tc>
          <w:tcPr>
            <w:tcW w:w="1477" w:type="pct"/>
            <w:gridSpan w:val="4"/>
            <w:noWrap w:val="0"/>
            <w:vAlign w:val="center"/>
          </w:tcPr>
          <w:p w14:paraId="76C081FE">
            <w:pPr>
              <w:jc w:val="center"/>
              <w:rPr>
                <w:color w:val="auto"/>
                <w:sz w:val="15"/>
                <w:szCs w:val="15"/>
              </w:rPr>
            </w:pPr>
            <w:r>
              <w:rPr>
                <w:color w:val="auto"/>
                <w:sz w:val="15"/>
                <w:szCs w:val="15"/>
              </w:rPr>
              <w:t xml:space="preserve">（ </w:t>
            </w:r>
            <w:r>
              <w:rPr>
                <w:rFonts w:hint="eastAsia"/>
                <w:color w:val="auto"/>
                <w:sz w:val="15"/>
                <w:szCs w:val="15"/>
              </w:rPr>
              <w:t xml:space="preserve"> 总排污口</w:t>
            </w:r>
            <w:r>
              <w:rPr>
                <w:color w:val="auto"/>
                <w:sz w:val="15"/>
                <w:szCs w:val="15"/>
              </w:rPr>
              <w:t xml:space="preserve">  ）</w:t>
            </w:r>
          </w:p>
        </w:tc>
      </w:tr>
      <w:tr w14:paraId="52BE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84" w:type="pct"/>
            <w:vMerge w:val="continue"/>
            <w:noWrap w:val="0"/>
            <w:vAlign w:val="center"/>
          </w:tcPr>
          <w:p w14:paraId="74F2770E">
            <w:pPr>
              <w:jc w:val="center"/>
              <w:rPr>
                <w:color w:val="auto"/>
                <w:sz w:val="15"/>
                <w:szCs w:val="15"/>
              </w:rPr>
            </w:pPr>
          </w:p>
        </w:tc>
        <w:tc>
          <w:tcPr>
            <w:tcW w:w="1003" w:type="pct"/>
            <w:vMerge w:val="continue"/>
            <w:noWrap w:val="0"/>
            <w:vAlign w:val="center"/>
          </w:tcPr>
          <w:p w14:paraId="655D55E5">
            <w:pPr>
              <w:jc w:val="center"/>
              <w:rPr>
                <w:color w:val="auto"/>
                <w:sz w:val="15"/>
                <w:szCs w:val="15"/>
              </w:rPr>
            </w:pPr>
          </w:p>
        </w:tc>
        <w:tc>
          <w:tcPr>
            <w:tcW w:w="855" w:type="pct"/>
            <w:gridSpan w:val="2"/>
            <w:noWrap/>
            <w:vAlign w:val="center"/>
          </w:tcPr>
          <w:p w14:paraId="636DA20F">
            <w:pPr>
              <w:jc w:val="center"/>
              <w:rPr>
                <w:color w:val="auto"/>
                <w:sz w:val="15"/>
                <w:szCs w:val="15"/>
              </w:rPr>
            </w:pPr>
            <w:r>
              <w:rPr>
                <w:color w:val="auto"/>
                <w:sz w:val="15"/>
                <w:szCs w:val="15"/>
              </w:rPr>
              <w:t>监测因子</w:t>
            </w:r>
          </w:p>
        </w:tc>
        <w:tc>
          <w:tcPr>
            <w:tcW w:w="1377" w:type="pct"/>
            <w:gridSpan w:val="4"/>
            <w:noWrap w:val="0"/>
            <w:vAlign w:val="top"/>
          </w:tcPr>
          <w:p w14:paraId="25443177">
            <w:pPr>
              <w:jc w:val="center"/>
              <w:rPr>
                <w:color w:val="auto"/>
                <w:sz w:val="15"/>
                <w:szCs w:val="15"/>
              </w:rPr>
            </w:pPr>
            <w:r>
              <w:rPr>
                <w:color w:val="auto"/>
                <w:sz w:val="15"/>
                <w:szCs w:val="15"/>
              </w:rPr>
              <w:t>（）</w:t>
            </w:r>
          </w:p>
        </w:tc>
        <w:tc>
          <w:tcPr>
            <w:tcW w:w="1477" w:type="pct"/>
            <w:gridSpan w:val="4"/>
            <w:noWrap w:val="0"/>
            <w:vAlign w:val="top"/>
          </w:tcPr>
          <w:p w14:paraId="55905A5E">
            <w:pPr>
              <w:jc w:val="center"/>
              <w:rPr>
                <w:color w:val="auto"/>
                <w:sz w:val="15"/>
                <w:szCs w:val="15"/>
              </w:rPr>
            </w:pPr>
            <w:r>
              <w:rPr>
                <w:color w:val="auto"/>
                <w:sz w:val="15"/>
                <w:szCs w:val="15"/>
              </w:rPr>
              <w:t xml:space="preserve">（ </w:t>
            </w:r>
            <w:r>
              <w:rPr>
                <w:rFonts w:hint="eastAsia"/>
                <w:color w:val="auto"/>
                <w:sz w:val="15"/>
                <w:szCs w:val="15"/>
                <w:lang w:val="en-US" w:eastAsia="zh-CN"/>
              </w:rPr>
              <w:t xml:space="preserve">  </w:t>
            </w:r>
            <w:r>
              <w:rPr>
                <w:color w:val="auto"/>
                <w:sz w:val="15"/>
                <w:szCs w:val="15"/>
              </w:rPr>
              <w:t>）</w:t>
            </w:r>
          </w:p>
        </w:tc>
      </w:tr>
      <w:tr w14:paraId="0D06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4" w:type="pct"/>
            <w:vMerge w:val="continue"/>
            <w:noWrap w:val="0"/>
            <w:vAlign w:val="center"/>
          </w:tcPr>
          <w:p w14:paraId="168E8728">
            <w:pPr>
              <w:jc w:val="center"/>
              <w:rPr>
                <w:color w:val="auto"/>
                <w:sz w:val="15"/>
                <w:szCs w:val="15"/>
              </w:rPr>
            </w:pPr>
          </w:p>
        </w:tc>
        <w:tc>
          <w:tcPr>
            <w:tcW w:w="1003" w:type="pct"/>
            <w:noWrap w:val="0"/>
            <w:vAlign w:val="center"/>
          </w:tcPr>
          <w:p w14:paraId="2AEB5C2C">
            <w:pPr>
              <w:jc w:val="center"/>
              <w:rPr>
                <w:color w:val="auto"/>
                <w:sz w:val="15"/>
                <w:szCs w:val="15"/>
              </w:rPr>
            </w:pPr>
            <w:r>
              <w:rPr>
                <w:color w:val="auto"/>
                <w:sz w:val="15"/>
                <w:szCs w:val="15"/>
              </w:rPr>
              <w:t>污染物排放清单</w:t>
            </w:r>
          </w:p>
        </w:tc>
        <w:tc>
          <w:tcPr>
            <w:tcW w:w="3711" w:type="pct"/>
            <w:gridSpan w:val="10"/>
            <w:noWrap/>
            <w:vAlign w:val="center"/>
          </w:tcPr>
          <w:p w14:paraId="4702F69C">
            <w:pPr>
              <w:rPr>
                <w:color w:val="auto"/>
                <w:sz w:val="15"/>
                <w:szCs w:val="15"/>
              </w:rPr>
            </w:pPr>
            <w:r>
              <w:rPr>
                <w:rFonts w:hint="eastAsia"/>
                <w:color w:val="auto"/>
                <w:sz w:val="15"/>
                <w:szCs w:val="15"/>
              </w:rPr>
              <w:t>□</w:t>
            </w:r>
          </w:p>
        </w:tc>
      </w:tr>
      <w:tr w14:paraId="0D2B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88" w:type="pct"/>
            <w:gridSpan w:val="2"/>
            <w:noWrap/>
            <w:vAlign w:val="center"/>
          </w:tcPr>
          <w:p w14:paraId="7A1D5F7B">
            <w:pPr>
              <w:jc w:val="center"/>
              <w:rPr>
                <w:color w:val="auto"/>
                <w:sz w:val="15"/>
                <w:szCs w:val="15"/>
              </w:rPr>
            </w:pPr>
            <w:r>
              <w:rPr>
                <w:color w:val="auto"/>
                <w:sz w:val="15"/>
                <w:szCs w:val="15"/>
              </w:rPr>
              <w:t>评价结论</w:t>
            </w:r>
          </w:p>
        </w:tc>
        <w:tc>
          <w:tcPr>
            <w:tcW w:w="3711" w:type="pct"/>
            <w:gridSpan w:val="10"/>
            <w:noWrap/>
            <w:vAlign w:val="center"/>
          </w:tcPr>
          <w:p w14:paraId="4CDB1D90">
            <w:pPr>
              <w:jc w:val="center"/>
              <w:rPr>
                <w:color w:val="auto"/>
                <w:sz w:val="15"/>
                <w:szCs w:val="15"/>
              </w:rPr>
            </w:pPr>
            <w:r>
              <w:rPr>
                <w:color w:val="auto"/>
                <w:sz w:val="15"/>
                <w:szCs w:val="15"/>
              </w:rPr>
              <w:t>可以接受</w:t>
            </w:r>
            <w:r>
              <w:rPr>
                <w:rFonts w:hint="eastAsia"/>
                <w:color w:val="auto"/>
                <w:sz w:val="15"/>
                <w:szCs w:val="15"/>
              </w:rPr>
              <w:t>☑</w:t>
            </w:r>
            <w:r>
              <w:rPr>
                <w:color w:val="auto"/>
                <w:sz w:val="15"/>
                <w:szCs w:val="15"/>
              </w:rPr>
              <w:t xml:space="preserve">；不可以接受 </w:t>
            </w:r>
            <w:r>
              <w:rPr>
                <w:rFonts w:hint="eastAsia"/>
                <w:color w:val="auto"/>
                <w:sz w:val="15"/>
                <w:szCs w:val="15"/>
              </w:rPr>
              <w:t>□</w:t>
            </w:r>
          </w:p>
        </w:tc>
      </w:tr>
      <w:tr w14:paraId="22CD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12"/>
            <w:noWrap/>
            <w:vAlign w:val="center"/>
          </w:tcPr>
          <w:p w14:paraId="204776C6">
            <w:pPr>
              <w:jc w:val="center"/>
              <w:rPr>
                <w:color w:val="auto"/>
                <w:sz w:val="15"/>
                <w:szCs w:val="15"/>
              </w:rPr>
            </w:pPr>
            <w:r>
              <w:rPr>
                <w:color w:val="auto"/>
                <w:sz w:val="15"/>
                <w:szCs w:val="15"/>
              </w:rPr>
              <w:t>注：“</w:t>
            </w:r>
            <w:r>
              <w:rPr>
                <w:rFonts w:hint="eastAsia"/>
                <w:color w:val="auto"/>
                <w:sz w:val="15"/>
                <w:szCs w:val="15"/>
              </w:rPr>
              <w:t>□</w:t>
            </w:r>
            <w:r>
              <w:rPr>
                <w:color w:val="auto"/>
                <w:sz w:val="15"/>
                <w:szCs w:val="15"/>
              </w:rPr>
              <w:t>”为勾选项，可√；“（   ）”为内容填写项；“备注”为其他补充内容。</w:t>
            </w:r>
          </w:p>
        </w:tc>
      </w:tr>
    </w:tbl>
    <w:p w14:paraId="21CFC97B">
      <w:pPr>
        <w:jc w:val="center"/>
        <w:rPr>
          <w:rFonts w:hint="default" w:ascii="Times New Roman" w:hAnsi="Times New Roman" w:eastAsia="宋体" w:cs="Times New Roman"/>
          <w:b/>
          <w:bCs/>
          <w:color w:val="C00000"/>
          <w:lang w:val="en-US" w:eastAsia="zh-CN"/>
        </w:rPr>
      </w:pPr>
    </w:p>
    <w:p w14:paraId="61F9A34F">
      <w:pPr>
        <w:spacing w:line="302" w:lineRule="auto"/>
        <w:ind w:right="393"/>
        <w:jc w:val="center"/>
        <w:rPr>
          <w:rFonts w:eastAsia="黑体"/>
          <w:snapToGrid w:val="0"/>
          <w:color w:val="auto"/>
          <w:kern w:val="0"/>
          <w:szCs w:val="21"/>
        </w:rPr>
      </w:pPr>
      <w:r>
        <w:rPr>
          <w:rFonts w:hint="eastAsia" w:eastAsia="黑体"/>
          <w:snapToGrid w:val="0"/>
          <w:color w:val="auto"/>
          <w:kern w:val="0"/>
          <w:szCs w:val="21"/>
          <w:lang w:val="en-US" w:eastAsia="zh-CN"/>
        </w:rPr>
        <w:t xml:space="preserve">附表3   </w:t>
      </w:r>
      <w:r>
        <w:rPr>
          <w:rFonts w:hint="eastAsia" w:eastAsia="黑体"/>
          <w:snapToGrid w:val="0"/>
          <w:color w:val="auto"/>
          <w:kern w:val="0"/>
          <w:szCs w:val="21"/>
        </w:rPr>
        <w:t>土壤环境影响评价自查表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2241"/>
        <w:gridCol w:w="2811"/>
        <w:gridCol w:w="202"/>
        <w:gridCol w:w="603"/>
        <w:gridCol w:w="400"/>
        <w:gridCol w:w="404"/>
        <w:gridCol w:w="1624"/>
        <w:gridCol w:w="963"/>
      </w:tblGrid>
      <w:tr w14:paraId="5BAB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9" w:type="pct"/>
            <w:gridSpan w:val="2"/>
            <w:tcMar>
              <w:left w:w="0" w:type="dxa"/>
              <w:right w:w="0" w:type="dxa"/>
            </w:tcMar>
            <w:vAlign w:val="center"/>
          </w:tcPr>
          <w:p w14:paraId="51C89214">
            <w:pPr>
              <w:adjustRightInd w:val="0"/>
              <w:snapToGrid w:val="0"/>
              <w:jc w:val="center"/>
              <w:rPr>
                <w:bCs/>
                <w:color w:val="auto"/>
                <w:sz w:val="15"/>
                <w:szCs w:val="15"/>
              </w:rPr>
            </w:pPr>
            <w:r>
              <w:rPr>
                <w:bCs/>
                <w:color w:val="auto"/>
                <w:sz w:val="15"/>
                <w:szCs w:val="15"/>
              </w:rPr>
              <w:t>工作内容</w:t>
            </w:r>
          </w:p>
        </w:tc>
        <w:tc>
          <w:tcPr>
            <w:tcW w:w="2958" w:type="pct"/>
            <w:gridSpan w:val="6"/>
            <w:tcMar>
              <w:left w:w="0" w:type="dxa"/>
              <w:right w:w="0" w:type="dxa"/>
            </w:tcMar>
            <w:vAlign w:val="center"/>
          </w:tcPr>
          <w:p w14:paraId="40276296">
            <w:pPr>
              <w:adjustRightInd w:val="0"/>
              <w:snapToGrid w:val="0"/>
              <w:jc w:val="center"/>
              <w:rPr>
                <w:bCs/>
                <w:color w:val="auto"/>
                <w:sz w:val="15"/>
                <w:szCs w:val="15"/>
              </w:rPr>
            </w:pPr>
            <w:r>
              <w:rPr>
                <w:bCs/>
                <w:color w:val="auto"/>
                <w:sz w:val="15"/>
                <w:szCs w:val="15"/>
              </w:rPr>
              <w:t>完成情况</w:t>
            </w:r>
          </w:p>
        </w:tc>
        <w:tc>
          <w:tcPr>
            <w:tcW w:w="472" w:type="pct"/>
            <w:tcMar>
              <w:left w:w="0" w:type="dxa"/>
              <w:right w:w="0" w:type="dxa"/>
            </w:tcMar>
            <w:vAlign w:val="center"/>
          </w:tcPr>
          <w:p w14:paraId="0EE93EB5">
            <w:pPr>
              <w:adjustRightInd w:val="0"/>
              <w:snapToGrid w:val="0"/>
              <w:jc w:val="center"/>
              <w:rPr>
                <w:bCs/>
                <w:color w:val="auto"/>
                <w:sz w:val="15"/>
                <w:szCs w:val="15"/>
              </w:rPr>
            </w:pPr>
            <w:r>
              <w:rPr>
                <w:bCs/>
                <w:color w:val="auto"/>
                <w:sz w:val="15"/>
                <w:szCs w:val="15"/>
              </w:rPr>
              <w:t>备注</w:t>
            </w:r>
          </w:p>
        </w:tc>
      </w:tr>
      <w:tr w14:paraId="5A69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restart"/>
            <w:tcMar>
              <w:left w:w="0" w:type="dxa"/>
              <w:right w:w="0" w:type="dxa"/>
            </w:tcMar>
            <w:vAlign w:val="center"/>
          </w:tcPr>
          <w:p w14:paraId="23204D28">
            <w:pPr>
              <w:adjustRightInd w:val="0"/>
              <w:snapToGrid w:val="0"/>
              <w:jc w:val="center"/>
              <w:rPr>
                <w:color w:val="auto"/>
                <w:sz w:val="15"/>
                <w:szCs w:val="15"/>
              </w:rPr>
            </w:pPr>
            <w:r>
              <w:rPr>
                <w:color w:val="auto"/>
                <w:sz w:val="15"/>
                <w:szCs w:val="15"/>
              </w:rPr>
              <w:t>影响识别</w:t>
            </w:r>
          </w:p>
        </w:tc>
        <w:tc>
          <w:tcPr>
            <w:tcW w:w="1097" w:type="pct"/>
            <w:tcMar>
              <w:left w:w="0" w:type="dxa"/>
              <w:right w:w="0" w:type="dxa"/>
            </w:tcMar>
            <w:vAlign w:val="center"/>
          </w:tcPr>
          <w:p w14:paraId="7F098FF5">
            <w:pPr>
              <w:adjustRightInd w:val="0"/>
              <w:snapToGrid w:val="0"/>
              <w:jc w:val="center"/>
              <w:rPr>
                <w:color w:val="auto"/>
                <w:sz w:val="15"/>
                <w:szCs w:val="15"/>
              </w:rPr>
            </w:pPr>
            <w:r>
              <w:rPr>
                <w:color w:val="auto"/>
                <w:sz w:val="15"/>
                <w:szCs w:val="15"/>
              </w:rPr>
              <w:t>影响类型</w:t>
            </w:r>
          </w:p>
        </w:tc>
        <w:tc>
          <w:tcPr>
            <w:tcW w:w="2958" w:type="pct"/>
            <w:gridSpan w:val="6"/>
            <w:tcMar>
              <w:left w:w="0" w:type="dxa"/>
              <w:right w:w="0" w:type="dxa"/>
            </w:tcMar>
            <w:vAlign w:val="center"/>
          </w:tcPr>
          <w:p w14:paraId="2D2F59C4">
            <w:pPr>
              <w:adjustRightInd w:val="0"/>
              <w:snapToGrid w:val="0"/>
              <w:jc w:val="left"/>
              <w:rPr>
                <w:color w:val="auto"/>
                <w:sz w:val="15"/>
                <w:szCs w:val="15"/>
              </w:rPr>
            </w:pPr>
            <w:r>
              <w:rPr>
                <w:color w:val="auto"/>
                <w:sz w:val="15"/>
                <w:szCs w:val="15"/>
              </w:rPr>
              <w:t>污染影响型</w:t>
            </w:r>
            <w:r>
              <w:rPr>
                <w:rFonts w:hint="eastAsia"/>
                <w:color w:val="auto"/>
                <w:sz w:val="15"/>
                <w:szCs w:val="15"/>
              </w:rPr>
              <w:t>☑</w:t>
            </w:r>
            <w:r>
              <w:rPr>
                <w:color w:val="auto"/>
                <w:kern w:val="0"/>
                <w:sz w:val="15"/>
                <w:szCs w:val="15"/>
              </w:rPr>
              <w:t>；生态影响型</w:t>
            </w:r>
            <w:r>
              <w:rPr>
                <w:rFonts w:hint="eastAsia"/>
                <w:color w:val="auto"/>
                <w:sz w:val="15"/>
                <w:szCs w:val="15"/>
              </w:rPr>
              <w:t>□</w:t>
            </w:r>
            <w:r>
              <w:rPr>
                <w:color w:val="auto"/>
                <w:kern w:val="0"/>
                <w:sz w:val="15"/>
                <w:szCs w:val="15"/>
              </w:rPr>
              <w:t>；两种兼有</w:t>
            </w:r>
            <w:r>
              <w:rPr>
                <w:rFonts w:hint="eastAsia"/>
                <w:color w:val="auto"/>
                <w:sz w:val="15"/>
                <w:szCs w:val="15"/>
              </w:rPr>
              <w:t>□</w:t>
            </w:r>
          </w:p>
        </w:tc>
        <w:tc>
          <w:tcPr>
            <w:tcW w:w="472" w:type="pct"/>
            <w:tcMar>
              <w:left w:w="0" w:type="dxa"/>
              <w:right w:w="0" w:type="dxa"/>
            </w:tcMar>
            <w:vAlign w:val="center"/>
          </w:tcPr>
          <w:p w14:paraId="0C9A105E">
            <w:pPr>
              <w:adjustRightInd w:val="0"/>
              <w:snapToGrid w:val="0"/>
              <w:jc w:val="center"/>
              <w:rPr>
                <w:color w:val="auto"/>
                <w:sz w:val="15"/>
                <w:szCs w:val="15"/>
              </w:rPr>
            </w:pPr>
          </w:p>
        </w:tc>
      </w:tr>
      <w:tr w14:paraId="78A9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794F4101">
            <w:pPr>
              <w:adjustRightInd w:val="0"/>
              <w:snapToGrid w:val="0"/>
              <w:jc w:val="center"/>
              <w:rPr>
                <w:color w:val="auto"/>
                <w:sz w:val="15"/>
                <w:szCs w:val="15"/>
              </w:rPr>
            </w:pPr>
          </w:p>
        </w:tc>
        <w:tc>
          <w:tcPr>
            <w:tcW w:w="1097" w:type="pct"/>
            <w:tcMar>
              <w:left w:w="0" w:type="dxa"/>
              <w:right w:w="0" w:type="dxa"/>
            </w:tcMar>
            <w:vAlign w:val="center"/>
          </w:tcPr>
          <w:p w14:paraId="67B5DF9F">
            <w:pPr>
              <w:adjustRightInd w:val="0"/>
              <w:snapToGrid w:val="0"/>
              <w:jc w:val="center"/>
              <w:rPr>
                <w:color w:val="auto"/>
                <w:sz w:val="15"/>
                <w:szCs w:val="15"/>
              </w:rPr>
            </w:pPr>
            <w:r>
              <w:rPr>
                <w:color w:val="auto"/>
                <w:sz w:val="15"/>
                <w:szCs w:val="15"/>
              </w:rPr>
              <w:t>土地利用类型</w:t>
            </w:r>
          </w:p>
        </w:tc>
        <w:tc>
          <w:tcPr>
            <w:tcW w:w="2958" w:type="pct"/>
            <w:gridSpan w:val="6"/>
            <w:tcMar>
              <w:left w:w="0" w:type="dxa"/>
              <w:right w:w="0" w:type="dxa"/>
            </w:tcMar>
            <w:vAlign w:val="center"/>
          </w:tcPr>
          <w:p w14:paraId="2784AA2F">
            <w:pPr>
              <w:adjustRightInd w:val="0"/>
              <w:snapToGrid w:val="0"/>
              <w:jc w:val="left"/>
              <w:rPr>
                <w:color w:val="auto"/>
                <w:sz w:val="15"/>
                <w:szCs w:val="15"/>
              </w:rPr>
            </w:pPr>
            <w:r>
              <w:rPr>
                <w:color w:val="auto"/>
                <w:sz w:val="15"/>
                <w:szCs w:val="15"/>
              </w:rPr>
              <w:t>建设用地</w:t>
            </w:r>
            <w:r>
              <w:rPr>
                <w:rFonts w:hint="eastAsia"/>
                <w:color w:val="auto"/>
                <w:sz w:val="15"/>
                <w:szCs w:val="15"/>
              </w:rPr>
              <w:t>☑</w:t>
            </w:r>
            <w:r>
              <w:rPr>
                <w:color w:val="auto"/>
                <w:kern w:val="0"/>
                <w:sz w:val="15"/>
                <w:szCs w:val="15"/>
              </w:rPr>
              <w:t>；农用地</w:t>
            </w:r>
            <w:r>
              <w:rPr>
                <w:rFonts w:hint="eastAsia"/>
                <w:color w:val="auto"/>
                <w:sz w:val="15"/>
                <w:szCs w:val="15"/>
              </w:rPr>
              <w:t>□</w:t>
            </w:r>
            <w:r>
              <w:rPr>
                <w:color w:val="auto"/>
                <w:kern w:val="0"/>
                <w:sz w:val="15"/>
                <w:szCs w:val="15"/>
              </w:rPr>
              <w:t>；未利用地</w:t>
            </w:r>
            <w:r>
              <w:rPr>
                <w:rFonts w:hint="eastAsia"/>
                <w:color w:val="auto"/>
                <w:sz w:val="15"/>
                <w:szCs w:val="15"/>
              </w:rPr>
              <w:t>□</w:t>
            </w:r>
          </w:p>
        </w:tc>
        <w:tc>
          <w:tcPr>
            <w:tcW w:w="472" w:type="pct"/>
            <w:tcMar>
              <w:left w:w="0" w:type="dxa"/>
              <w:right w:w="0" w:type="dxa"/>
            </w:tcMar>
            <w:vAlign w:val="center"/>
          </w:tcPr>
          <w:p w14:paraId="700D39FD">
            <w:pPr>
              <w:adjustRightInd w:val="0"/>
              <w:snapToGrid w:val="0"/>
              <w:jc w:val="center"/>
              <w:rPr>
                <w:color w:val="auto"/>
                <w:sz w:val="15"/>
                <w:szCs w:val="15"/>
              </w:rPr>
            </w:pPr>
            <w:r>
              <w:rPr>
                <w:color w:val="auto"/>
                <w:sz w:val="15"/>
                <w:szCs w:val="15"/>
              </w:rPr>
              <w:t>土地利用类型</w:t>
            </w:r>
          </w:p>
        </w:tc>
      </w:tr>
      <w:tr w14:paraId="13F1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625B9678">
            <w:pPr>
              <w:adjustRightInd w:val="0"/>
              <w:snapToGrid w:val="0"/>
              <w:jc w:val="center"/>
              <w:rPr>
                <w:color w:val="auto"/>
                <w:sz w:val="15"/>
                <w:szCs w:val="15"/>
              </w:rPr>
            </w:pPr>
          </w:p>
        </w:tc>
        <w:tc>
          <w:tcPr>
            <w:tcW w:w="1097" w:type="pct"/>
            <w:tcMar>
              <w:left w:w="0" w:type="dxa"/>
              <w:right w:w="0" w:type="dxa"/>
            </w:tcMar>
            <w:vAlign w:val="center"/>
          </w:tcPr>
          <w:p w14:paraId="7BC49582">
            <w:pPr>
              <w:adjustRightInd w:val="0"/>
              <w:snapToGrid w:val="0"/>
              <w:jc w:val="center"/>
              <w:rPr>
                <w:color w:val="auto"/>
                <w:sz w:val="15"/>
                <w:szCs w:val="15"/>
              </w:rPr>
            </w:pPr>
            <w:r>
              <w:rPr>
                <w:color w:val="auto"/>
                <w:sz w:val="15"/>
                <w:szCs w:val="15"/>
              </w:rPr>
              <w:t>占地规模</w:t>
            </w:r>
          </w:p>
        </w:tc>
        <w:tc>
          <w:tcPr>
            <w:tcW w:w="2958" w:type="pct"/>
            <w:gridSpan w:val="6"/>
            <w:tcMar>
              <w:left w:w="0" w:type="dxa"/>
              <w:right w:w="0" w:type="dxa"/>
            </w:tcMar>
            <w:vAlign w:val="center"/>
          </w:tcPr>
          <w:p w14:paraId="6625000C">
            <w:pPr>
              <w:adjustRightInd w:val="0"/>
              <w:snapToGrid w:val="0"/>
              <w:jc w:val="left"/>
              <w:rPr>
                <w:color w:val="auto"/>
                <w:sz w:val="15"/>
                <w:szCs w:val="15"/>
              </w:rPr>
            </w:pPr>
            <w:r>
              <w:rPr>
                <w:color w:val="auto"/>
                <w:sz w:val="15"/>
                <w:szCs w:val="15"/>
              </w:rPr>
              <w:t>（</w:t>
            </w:r>
            <w:r>
              <w:rPr>
                <w:rFonts w:hint="eastAsia"/>
                <w:color w:val="auto"/>
                <w:sz w:val="15"/>
                <w:szCs w:val="15"/>
                <w:lang w:val="en-US" w:eastAsia="zh-CN"/>
              </w:rPr>
              <w:t>0.245</w:t>
            </w:r>
            <w:r>
              <w:rPr>
                <w:color w:val="auto"/>
                <w:sz w:val="15"/>
                <w:szCs w:val="15"/>
              </w:rPr>
              <w:t>）hm</w:t>
            </w:r>
            <w:r>
              <w:rPr>
                <w:color w:val="auto"/>
                <w:sz w:val="15"/>
                <w:szCs w:val="15"/>
                <w:vertAlign w:val="superscript"/>
              </w:rPr>
              <w:t>2</w:t>
            </w:r>
          </w:p>
        </w:tc>
        <w:tc>
          <w:tcPr>
            <w:tcW w:w="472" w:type="pct"/>
            <w:tcMar>
              <w:left w:w="0" w:type="dxa"/>
              <w:right w:w="0" w:type="dxa"/>
            </w:tcMar>
            <w:vAlign w:val="center"/>
          </w:tcPr>
          <w:p w14:paraId="74093081">
            <w:pPr>
              <w:adjustRightInd w:val="0"/>
              <w:snapToGrid w:val="0"/>
              <w:jc w:val="center"/>
              <w:rPr>
                <w:color w:val="auto"/>
                <w:sz w:val="15"/>
                <w:szCs w:val="15"/>
              </w:rPr>
            </w:pPr>
          </w:p>
        </w:tc>
      </w:tr>
      <w:tr w14:paraId="6541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01BB92EA">
            <w:pPr>
              <w:adjustRightInd w:val="0"/>
              <w:snapToGrid w:val="0"/>
              <w:jc w:val="center"/>
              <w:rPr>
                <w:color w:val="auto"/>
                <w:sz w:val="15"/>
                <w:szCs w:val="15"/>
              </w:rPr>
            </w:pPr>
          </w:p>
        </w:tc>
        <w:tc>
          <w:tcPr>
            <w:tcW w:w="1097" w:type="pct"/>
            <w:tcMar>
              <w:left w:w="0" w:type="dxa"/>
              <w:right w:w="0" w:type="dxa"/>
            </w:tcMar>
            <w:vAlign w:val="center"/>
          </w:tcPr>
          <w:p w14:paraId="7D59E310">
            <w:pPr>
              <w:adjustRightInd w:val="0"/>
              <w:snapToGrid w:val="0"/>
              <w:jc w:val="center"/>
              <w:rPr>
                <w:color w:val="auto"/>
                <w:sz w:val="15"/>
                <w:szCs w:val="15"/>
              </w:rPr>
            </w:pPr>
            <w:r>
              <w:rPr>
                <w:color w:val="auto"/>
                <w:sz w:val="15"/>
                <w:szCs w:val="15"/>
              </w:rPr>
              <w:t>敏感目标信息</w:t>
            </w:r>
          </w:p>
        </w:tc>
        <w:tc>
          <w:tcPr>
            <w:tcW w:w="2958" w:type="pct"/>
            <w:gridSpan w:val="6"/>
            <w:tcMar>
              <w:left w:w="0" w:type="dxa"/>
              <w:right w:w="0" w:type="dxa"/>
            </w:tcMar>
            <w:vAlign w:val="center"/>
          </w:tcPr>
          <w:p w14:paraId="72B7E4AD">
            <w:pPr>
              <w:adjustRightInd w:val="0"/>
              <w:snapToGrid w:val="0"/>
              <w:jc w:val="left"/>
              <w:rPr>
                <w:color w:val="auto"/>
                <w:sz w:val="15"/>
                <w:szCs w:val="15"/>
              </w:rPr>
            </w:pPr>
            <w:r>
              <w:rPr>
                <w:color w:val="auto"/>
                <w:sz w:val="15"/>
                <w:szCs w:val="15"/>
              </w:rPr>
              <w:t>敏感目标（）、方位（）、距离（）</w:t>
            </w:r>
          </w:p>
        </w:tc>
        <w:tc>
          <w:tcPr>
            <w:tcW w:w="472" w:type="pct"/>
            <w:tcMar>
              <w:left w:w="0" w:type="dxa"/>
              <w:right w:w="0" w:type="dxa"/>
            </w:tcMar>
            <w:vAlign w:val="center"/>
          </w:tcPr>
          <w:p w14:paraId="6D5D62F1">
            <w:pPr>
              <w:adjustRightInd w:val="0"/>
              <w:snapToGrid w:val="0"/>
              <w:jc w:val="center"/>
              <w:rPr>
                <w:color w:val="auto"/>
                <w:sz w:val="15"/>
                <w:szCs w:val="15"/>
              </w:rPr>
            </w:pPr>
          </w:p>
        </w:tc>
      </w:tr>
      <w:tr w14:paraId="3016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6E3E9D99">
            <w:pPr>
              <w:adjustRightInd w:val="0"/>
              <w:snapToGrid w:val="0"/>
              <w:jc w:val="center"/>
              <w:rPr>
                <w:color w:val="auto"/>
                <w:sz w:val="15"/>
                <w:szCs w:val="15"/>
              </w:rPr>
            </w:pPr>
          </w:p>
        </w:tc>
        <w:tc>
          <w:tcPr>
            <w:tcW w:w="1097" w:type="pct"/>
            <w:tcMar>
              <w:left w:w="0" w:type="dxa"/>
              <w:right w:w="0" w:type="dxa"/>
            </w:tcMar>
            <w:vAlign w:val="center"/>
          </w:tcPr>
          <w:p w14:paraId="3B1C0FAE">
            <w:pPr>
              <w:adjustRightInd w:val="0"/>
              <w:snapToGrid w:val="0"/>
              <w:jc w:val="center"/>
              <w:rPr>
                <w:color w:val="auto"/>
                <w:sz w:val="15"/>
                <w:szCs w:val="15"/>
              </w:rPr>
            </w:pPr>
            <w:r>
              <w:rPr>
                <w:color w:val="auto"/>
                <w:sz w:val="15"/>
                <w:szCs w:val="15"/>
              </w:rPr>
              <w:t>影响途径</w:t>
            </w:r>
          </w:p>
        </w:tc>
        <w:tc>
          <w:tcPr>
            <w:tcW w:w="2958" w:type="pct"/>
            <w:gridSpan w:val="6"/>
            <w:tcMar>
              <w:left w:w="0" w:type="dxa"/>
              <w:right w:w="0" w:type="dxa"/>
            </w:tcMar>
            <w:vAlign w:val="center"/>
          </w:tcPr>
          <w:p w14:paraId="2265A5D1">
            <w:pPr>
              <w:adjustRightInd w:val="0"/>
              <w:snapToGrid w:val="0"/>
              <w:jc w:val="left"/>
              <w:rPr>
                <w:color w:val="auto"/>
                <w:sz w:val="15"/>
                <w:szCs w:val="15"/>
              </w:rPr>
            </w:pPr>
            <w:r>
              <w:rPr>
                <w:color w:val="auto"/>
                <w:sz w:val="15"/>
                <w:szCs w:val="15"/>
              </w:rPr>
              <w:t>大气沉降</w:t>
            </w:r>
            <w:r>
              <w:rPr>
                <w:rFonts w:hint="eastAsia"/>
                <w:color w:val="auto"/>
                <w:sz w:val="15"/>
                <w:szCs w:val="15"/>
              </w:rPr>
              <w:t>□</w:t>
            </w:r>
            <w:r>
              <w:rPr>
                <w:color w:val="auto"/>
                <w:kern w:val="0"/>
                <w:sz w:val="15"/>
                <w:szCs w:val="15"/>
              </w:rPr>
              <w:t>；地面漫流</w:t>
            </w:r>
            <w:r>
              <w:rPr>
                <w:rFonts w:hint="eastAsia"/>
                <w:color w:val="auto"/>
                <w:sz w:val="15"/>
                <w:szCs w:val="15"/>
              </w:rPr>
              <w:t>☑</w:t>
            </w:r>
            <w:r>
              <w:rPr>
                <w:color w:val="auto"/>
                <w:kern w:val="0"/>
                <w:sz w:val="15"/>
                <w:szCs w:val="15"/>
              </w:rPr>
              <w:t>；垂直入渗</w:t>
            </w:r>
            <w:r>
              <w:rPr>
                <w:rFonts w:hint="eastAsia"/>
                <w:color w:val="auto"/>
                <w:sz w:val="15"/>
                <w:szCs w:val="15"/>
              </w:rPr>
              <w:t>☑</w:t>
            </w:r>
            <w:r>
              <w:rPr>
                <w:color w:val="auto"/>
                <w:kern w:val="0"/>
                <w:sz w:val="15"/>
                <w:szCs w:val="15"/>
              </w:rPr>
              <w:t>；地下水位</w:t>
            </w:r>
            <w:r>
              <w:rPr>
                <w:rFonts w:hint="eastAsia"/>
                <w:color w:val="auto"/>
                <w:sz w:val="15"/>
                <w:szCs w:val="15"/>
              </w:rPr>
              <w:t>□</w:t>
            </w:r>
            <w:r>
              <w:rPr>
                <w:color w:val="auto"/>
                <w:kern w:val="0"/>
                <w:sz w:val="15"/>
                <w:szCs w:val="15"/>
              </w:rPr>
              <w:t>；其他(   )</w:t>
            </w:r>
          </w:p>
        </w:tc>
        <w:tc>
          <w:tcPr>
            <w:tcW w:w="472" w:type="pct"/>
            <w:tcMar>
              <w:left w:w="0" w:type="dxa"/>
              <w:right w:w="0" w:type="dxa"/>
            </w:tcMar>
            <w:vAlign w:val="center"/>
          </w:tcPr>
          <w:p w14:paraId="29C3E885">
            <w:pPr>
              <w:adjustRightInd w:val="0"/>
              <w:snapToGrid w:val="0"/>
              <w:jc w:val="center"/>
              <w:rPr>
                <w:color w:val="auto"/>
                <w:sz w:val="15"/>
                <w:szCs w:val="15"/>
              </w:rPr>
            </w:pPr>
          </w:p>
        </w:tc>
      </w:tr>
      <w:tr w14:paraId="1F76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779D1A43">
            <w:pPr>
              <w:adjustRightInd w:val="0"/>
              <w:snapToGrid w:val="0"/>
              <w:jc w:val="center"/>
              <w:rPr>
                <w:color w:val="auto"/>
                <w:sz w:val="15"/>
                <w:szCs w:val="15"/>
              </w:rPr>
            </w:pPr>
          </w:p>
        </w:tc>
        <w:tc>
          <w:tcPr>
            <w:tcW w:w="1097" w:type="pct"/>
            <w:tcMar>
              <w:left w:w="0" w:type="dxa"/>
              <w:right w:w="0" w:type="dxa"/>
            </w:tcMar>
            <w:vAlign w:val="center"/>
          </w:tcPr>
          <w:p w14:paraId="343ED148">
            <w:pPr>
              <w:adjustRightInd w:val="0"/>
              <w:snapToGrid w:val="0"/>
              <w:jc w:val="center"/>
              <w:rPr>
                <w:color w:val="auto"/>
                <w:sz w:val="15"/>
                <w:szCs w:val="15"/>
              </w:rPr>
            </w:pPr>
            <w:r>
              <w:rPr>
                <w:color w:val="auto"/>
                <w:sz w:val="15"/>
                <w:szCs w:val="15"/>
              </w:rPr>
              <w:t>全部污染物</w:t>
            </w:r>
          </w:p>
        </w:tc>
        <w:tc>
          <w:tcPr>
            <w:tcW w:w="2958" w:type="pct"/>
            <w:gridSpan w:val="6"/>
            <w:tcMar>
              <w:left w:w="0" w:type="dxa"/>
              <w:right w:w="0" w:type="dxa"/>
            </w:tcMar>
            <w:vAlign w:val="center"/>
          </w:tcPr>
          <w:p w14:paraId="7CF734A0">
            <w:pPr>
              <w:adjustRightInd w:val="0"/>
              <w:snapToGrid w:val="0"/>
              <w:jc w:val="left"/>
              <w:rPr>
                <w:rFonts w:hint="eastAsia" w:eastAsia="宋体"/>
                <w:color w:val="auto"/>
                <w:sz w:val="15"/>
                <w:szCs w:val="15"/>
                <w:lang w:eastAsia="zh-CN"/>
              </w:rPr>
            </w:pPr>
            <w:r>
              <w:rPr>
                <w:color w:val="auto"/>
                <w:sz w:val="15"/>
                <w:szCs w:val="15"/>
              </w:rPr>
              <w:t>颗粒物</w:t>
            </w:r>
            <w:r>
              <w:rPr>
                <w:rFonts w:hint="eastAsia"/>
                <w:color w:val="auto"/>
                <w:sz w:val="15"/>
                <w:szCs w:val="15"/>
                <w:lang w:eastAsia="zh-CN"/>
              </w:rPr>
              <w:t>、</w:t>
            </w:r>
            <w:r>
              <w:rPr>
                <w:rFonts w:hint="default" w:ascii="Times New Roman" w:hAnsi="Times New Roman" w:cs="Times New Roman"/>
                <w:color w:val="auto"/>
                <w:sz w:val="15"/>
                <w:szCs w:val="15"/>
              </w:rPr>
              <w:t>石油类</w:t>
            </w:r>
          </w:p>
        </w:tc>
        <w:tc>
          <w:tcPr>
            <w:tcW w:w="472" w:type="pct"/>
            <w:tcMar>
              <w:left w:w="0" w:type="dxa"/>
              <w:right w:w="0" w:type="dxa"/>
            </w:tcMar>
            <w:vAlign w:val="center"/>
          </w:tcPr>
          <w:p w14:paraId="5496901E">
            <w:pPr>
              <w:adjustRightInd w:val="0"/>
              <w:snapToGrid w:val="0"/>
              <w:jc w:val="center"/>
              <w:rPr>
                <w:color w:val="auto"/>
                <w:sz w:val="15"/>
                <w:szCs w:val="15"/>
              </w:rPr>
            </w:pPr>
          </w:p>
        </w:tc>
      </w:tr>
      <w:tr w14:paraId="4007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12452A31">
            <w:pPr>
              <w:adjustRightInd w:val="0"/>
              <w:snapToGrid w:val="0"/>
              <w:jc w:val="center"/>
              <w:rPr>
                <w:color w:val="auto"/>
                <w:sz w:val="15"/>
                <w:szCs w:val="15"/>
              </w:rPr>
            </w:pPr>
          </w:p>
        </w:tc>
        <w:tc>
          <w:tcPr>
            <w:tcW w:w="1097" w:type="pct"/>
            <w:tcMar>
              <w:left w:w="0" w:type="dxa"/>
              <w:right w:w="0" w:type="dxa"/>
            </w:tcMar>
            <w:vAlign w:val="center"/>
          </w:tcPr>
          <w:p w14:paraId="4698C010">
            <w:pPr>
              <w:adjustRightInd w:val="0"/>
              <w:snapToGrid w:val="0"/>
              <w:jc w:val="center"/>
              <w:rPr>
                <w:color w:val="auto"/>
                <w:sz w:val="15"/>
                <w:szCs w:val="15"/>
              </w:rPr>
            </w:pPr>
            <w:r>
              <w:rPr>
                <w:color w:val="auto"/>
                <w:sz w:val="15"/>
                <w:szCs w:val="15"/>
              </w:rPr>
              <w:t>特征因子</w:t>
            </w:r>
          </w:p>
        </w:tc>
        <w:tc>
          <w:tcPr>
            <w:tcW w:w="2958" w:type="pct"/>
            <w:gridSpan w:val="6"/>
            <w:tcMar>
              <w:left w:w="0" w:type="dxa"/>
              <w:right w:w="0" w:type="dxa"/>
            </w:tcMar>
            <w:vAlign w:val="center"/>
          </w:tcPr>
          <w:p w14:paraId="7DE7F839">
            <w:pPr>
              <w:adjustRightInd w:val="0"/>
              <w:snapToGrid w:val="0"/>
              <w:jc w:val="left"/>
              <w:rPr>
                <w:rFonts w:hint="eastAsia" w:eastAsia="宋体"/>
                <w:color w:val="auto"/>
                <w:sz w:val="15"/>
                <w:szCs w:val="15"/>
                <w:lang w:eastAsia="zh-CN"/>
              </w:rPr>
            </w:pPr>
            <w:r>
              <w:rPr>
                <w:rFonts w:hint="eastAsia"/>
                <w:color w:val="auto"/>
                <w:sz w:val="15"/>
                <w:szCs w:val="15"/>
                <w:lang w:val="en-US" w:eastAsia="zh-CN"/>
              </w:rPr>
              <w:t>/</w:t>
            </w:r>
          </w:p>
        </w:tc>
        <w:tc>
          <w:tcPr>
            <w:tcW w:w="472" w:type="pct"/>
            <w:tcMar>
              <w:left w:w="0" w:type="dxa"/>
              <w:right w:w="0" w:type="dxa"/>
            </w:tcMar>
            <w:vAlign w:val="center"/>
          </w:tcPr>
          <w:p w14:paraId="5DBA4644">
            <w:pPr>
              <w:adjustRightInd w:val="0"/>
              <w:snapToGrid w:val="0"/>
              <w:jc w:val="center"/>
              <w:rPr>
                <w:color w:val="auto"/>
                <w:sz w:val="15"/>
                <w:szCs w:val="15"/>
              </w:rPr>
            </w:pPr>
          </w:p>
        </w:tc>
      </w:tr>
      <w:tr w14:paraId="2185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17FF6A7F">
            <w:pPr>
              <w:adjustRightInd w:val="0"/>
              <w:snapToGrid w:val="0"/>
              <w:jc w:val="center"/>
              <w:rPr>
                <w:color w:val="auto"/>
                <w:sz w:val="15"/>
                <w:szCs w:val="15"/>
              </w:rPr>
            </w:pPr>
          </w:p>
        </w:tc>
        <w:tc>
          <w:tcPr>
            <w:tcW w:w="1097" w:type="pct"/>
            <w:tcMar>
              <w:left w:w="0" w:type="dxa"/>
              <w:right w:w="0" w:type="dxa"/>
            </w:tcMar>
            <w:vAlign w:val="center"/>
          </w:tcPr>
          <w:p w14:paraId="4E92876F">
            <w:pPr>
              <w:adjustRightInd w:val="0"/>
              <w:snapToGrid w:val="0"/>
              <w:jc w:val="center"/>
              <w:rPr>
                <w:color w:val="auto"/>
                <w:sz w:val="15"/>
                <w:szCs w:val="15"/>
              </w:rPr>
            </w:pPr>
            <w:r>
              <w:rPr>
                <w:color w:val="auto"/>
                <w:sz w:val="15"/>
                <w:szCs w:val="15"/>
              </w:rPr>
              <w:t>所属土壤环境影响评价项目类别</w:t>
            </w:r>
          </w:p>
        </w:tc>
        <w:tc>
          <w:tcPr>
            <w:tcW w:w="2958" w:type="pct"/>
            <w:gridSpan w:val="6"/>
            <w:tcMar>
              <w:left w:w="0" w:type="dxa"/>
              <w:right w:w="0" w:type="dxa"/>
            </w:tcMar>
            <w:vAlign w:val="center"/>
          </w:tcPr>
          <w:p w14:paraId="78A50B30">
            <w:pPr>
              <w:adjustRightInd w:val="0"/>
              <w:snapToGrid w:val="0"/>
              <w:jc w:val="left"/>
              <w:rPr>
                <w:rFonts w:hint="eastAsia" w:eastAsia="宋体"/>
                <w:color w:val="auto"/>
                <w:sz w:val="15"/>
                <w:szCs w:val="15"/>
                <w:lang w:eastAsia="zh-CN"/>
              </w:rPr>
            </w:pPr>
            <w:r>
              <w:rPr>
                <w:color w:val="auto"/>
                <w:sz w:val="15"/>
                <w:szCs w:val="15"/>
              </w:rPr>
              <w:t>I类</w:t>
            </w:r>
            <w:r>
              <w:rPr>
                <w:rFonts w:hint="eastAsia"/>
                <w:color w:val="auto"/>
                <w:sz w:val="15"/>
                <w:szCs w:val="15"/>
                <w:lang w:eastAsia="zh-CN"/>
              </w:rPr>
              <w:t>□</w:t>
            </w:r>
            <w:r>
              <w:rPr>
                <w:color w:val="auto"/>
                <w:sz w:val="15"/>
                <w:szCs w:val="15"/>
              </w:rPr>
              <w:t>；II类</w:t>
            </w:r>
            <w:r>
              <w:rPr>
                <w:rFonts w:hint="eastAsia"/>
                <w:color w:val="auto"/>
                <w:sz w:val="15"/>
                <w:szCs w:val="15"/>
              </w:rPr>
              <w:t>□</w:t>
            </w:r>
            <w:r>
              <w:rPr>
                <w:color w:val="auto"/>
                <w:sz w:val="15"/>
                <w:szCs w:val="15"/>
              </w:rPr>
              <w:t>；III类</w:t>
            </w:r>
            <w:r>
              <w:rPr>
                <w:rFonts w:hint="eastAsia"/>
                <w:color w:val="auto"/>
                <w:sz w:val="15"/>
                <w:szCs w:val="15"/>
                <w:lang w:eastAsia="zh-CN"/>
              </w:rPr>
              <w:t>☑</w:t>
            </w:r>
            <w:r>
              <w:rPr>
                <w:color w:val="auto"/>
                <w:sz w:val="15"/>
                <w:szCs w:val="15"/>
              </w:rPr>
              <w:t>；IV类</w:t>
            </w:r>
            <w:r>
              <w:rPr>
                <w:rFonts w:hint="eastAsia"/>
                <w:color w:val="auto"/>
                <w:sz w:val="15"/>
                <w:szCs w:val="15"/>
                <w:lang w:eastAsia="zh-CN"/>
              </w:rPr>
              <w:t>□</w:t>
            </w:r>
          </w:p>
        </w:tc>
        <w:tc>
          <w:tcPr>
            <w:tcW w:w="472" w:type="pct"/>
            <w:tcMar>
              <w:left w:w="0" w:type="dxa"/>
              <w:right w:w="0" w:type="dxa"/>
            </w:tcMar>
            <w:vAlign w:val="center"/>
          </w:tcPr>
          <w:p w14:paraId="37A77CD1">
            <w:pPr>
              <w:adjustRightInd w:val="0"/>
              <w:snapToGrid w:val="0"/>
              <w:jc w:val="center"/>
              <w:rPr>
                <w:color w:val="auto"/>
                <w:sz w:val="15"/>
                <w:szCs w:val="15"/>
              </w:rPr>
            </w:pPr>
          </w:p>
        </w:tc>
      </w:tr>
      <w:tr w14:paraId="4EEA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44C2C23F">
            <w:pPr>
              <w:adjustRightInd w:val="0"/>
              <w:snapToGrid w:val="0"/>
              <w:jc w:val="center"/>
              <w:rPr>
                <w:color w:val="auto"/>
                <w:sz w:val="15"/>
                <w:szCs w:val="15"/>
              </w:rPr>
            </w:pPr>
          </w:p>
        </w:tc>
        <w:tc>
          <w:tcPr>
            <w:tcW w:w="1097" w:type="pct"/>
            <w:tcMar>
              <w:left w:w="0" w:type="dxa"/>
              <w:right w:w="0" w:type="dxa"/>
            </w:tcMar>
            <w:vAlign w:val="center"/>
          </w:tcPr>
          <w:p w14:paraId="2B2A7C1D">
            <w:pPr>
              <w:adjustRightInd w:val="0"/>
              <w:snapToGrid w:val="0"/>
              <w:jc w:val="center"/>
              <w:rPr>
                <w:color w:val="auto"/>
                <w:sz w:val="15"/>
                <w:szCs w:val="15"/>
              </w:rPr>
            </w:pPr>
            <w:r>
              <w:rPr>
                <w:color w:val="auto"/>
                <w:sz w:val="15"/>
                <w:szCs w:val="15"/>
              </w:rPr>
              <w:t>敏感程度</w:t>
            </w:r>
          </w:p>
        </w:tc>
        <w:tc>
          <w:tcPr>
            <w:tcW w:w="2958" w:type="pct"/>
            <w:gridSpan w:val="6"/>
            <w:tcMar>
              <w:left w:w="0" w:type="dxa"/>
              <w:right w:w="0" w:type="dxa"/>
            </w:tcMar>
            <w:vAlign w:val="center"/>
          </w:tcPr>
          <w:p w14:paraId="02543DCD">
            <w:pPr>
              <w:adjustRightInd w:val="0"/>
              <w:snapToGrid w:val="0"/>
              <w:jc w:val="left"/>
              <w:rPr>
                <w:rFonts w:hint="eastAsia" w:eastAsia="宋体"/>
                <w:color w:val="auto"/>
                <w:sz w:val="15"/>
                <w:szCs w:val="15"/>
                <w:lang w:eastAsia="zh-CN"/>
              </w:rPr>
            </w:pPr>
            <w:r>
              <w:rPr>
                <w:color w:val="auto"/>
                <w:sz w:val="15"/>
                <w:szCs w:val="15"/>
              </w:rPr>
              <w:t>敏感</w:t>
            </w:r>
            <w:r>
              <w:rPr>
                <w:rFonts w:hint="eastAsia"/>
                <w:color w:val="auto"/>
                <w:sz w:val="15"/>
                <w:szCs w:val="15"/>
                <w:lang w:eastAsia="zh-CN"/>
              </w:rPr>
              <w:t>☑</w:t>
            </w:r>
            <w:r>
              <w:rPr>
                <w:color w:val="auto"/>
                <w:kern w:val="0"/>
                <w:sz w:val="15"/>
                <w:szCs w:val="15"/>
              </w:rPr>
              <w:t>；较为敏感</w:t>
            </w:r>
            <w:r>
              <w:rPr>
                <w:rFonts w:hint="eastAsia"/>
                <w:color w:val="auto"/>
                <w:sz w:val="15"/>
                <w:szCs w:val="15"/>
              </w:rPr>
              <w:t>□</w:t>
            </w:r>
            <w:r>
              <w:rPr>
                <w:color w:val="auto"/>
                <w:kern w:val="0"/>
                <w:sz w:val="15"/>
                <w:szCs w:val="15"/>
              </w:rPr>
              <w:t>；不敏感</w:t>
            </w:r>
            <w:r>
              <w:rPr>
                <w:rFonts w:hint="eastAsia"/>
                <w:color w:val="auto"/>
                <w:sz w:val="15"/>
                <w:szCs w:val="15"/>
                <w:lang w:eastAsia="zh-CN"/>
              </w:rPr>
              <w:t>□</w:t>
            </w:r>
          </w:p>
        </w:tc>
        <w:tc>
          <w:tcPr>
            <w:tcW w:w="472" w:type="pct"/>
            <w:tcMar>
              <w:left w:w="0" w:type="dxa"/>
              <w:right w:w="0" w:type="dxa"/>
            </w:tcMar>
            <w:vAlign w:val="center"/>
          </w:tcPr>
          <w:p w14:paraId="1AE8EFAD">
            <w:pPr>
              <w:adjustRightInd w:val="0"/>
              <w:snapToGrid w:val="0"/>
              <w:jc w:val="center"/>
              <w:rPr>
                <w:color w:val="auto"/>
                <w:sz w:val="15"/>
                <w:szCs w:val="15"/>
              </w:rPr>
            </w:pPr>
          </w:p>
        </w:tc>
      </w:tr>
      <w:tr w14:paraId="4902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9" w:type="pct"/>
            <w:gridSpan w:val="2"/>
            <w:tcMar>
              <w:left w:w="0" w:type="dxa"/>
              <w:right w:w="0" w:type="dxa"/>
            </w:tcMar>
            <w:vAlign w:val="center"/>
          </w:tcPr>
          <w:p w14:paraId="0FD106BC">
            <w:pPr>
              <w:adjustRightInd w:val="0"/>
              <w:snapToGrid w:val="0"/>
              <w:jc w:val="center"/>
              <w:rPr>
                <w:color w:val="auto"/>
                <w:sz w:val="15"/>
                <w:szCs w:val="15"/>
              </w:rPr>
            </w:pPr>
            <w:r>
              <w:rPr>
                <w:color w:val="auto"/>
                <w:sz w:val="15"/>
                <w:szCs w:val="15"/>
              </w:rPr>
              <w:t>评价工作等级</w:t>
            </w:r>
          </w:p>
        </w:tc>
        <w:tc>
          <w:tcPr>
            <w:tcW w:w="2958" w:type="pct"/>
            <w:gridSpan w:val="6"/>
            <w:tcMar>
              <w:left w:w="0" w:type="dxa"/>
              <w:right w:w="0" w:type="dxa"/>
            </w:tcMar>
            <w:vAlign w:val="center"/>
          </w:tcPr>
          <w:p w14:paraId="0A1A25BD">
            <w:pPr>
              <w:adjustRightInd w:val="0"/>
              <w:snapToGrid w:val="0"/>
              <w:jc w:val="left"/>
              <w:rPr>
                <w:rFonts w:hint="eastAsia" w:eastAsia="宋体"/>
                <w:color w:val="auto"/>
                <w:sz w:val="15"/>
                <w:szCs w:val="15"/>
                <w:lang w:eastAsia="zh-CN"/>
              </w:rPr>
            </w:pPr>
            <w:r>
              <w:rPr>
                <w:color w:val="auto"/>
                <w:sz w:val="15"/>
                <w:szCs w:val="15"/>
              </w:rPr>
              <w:t>一级</w:t>
            </w:r>
            <w:r>
              <w:rPr>
                <w:rFonts w:hint="eastAsia"/>
                <w:color w:val="auto"/>
                <w:sz w:val="15"/>
                <w:szCs w:val="15"/>
              </w:rPr>
              <w:t>□</w:t>
            </w:r>
            <w:r>
              <w:rPr>
                <w:color w:val="auto"/>
                <w:kern w:val="0"/>
                <w:sz w:val="15"/>
                <w:szCs w:val="15"/>
              </w:rPr>
              <w:t>；二级</w:t>
            </w:r>
            <w:r>
              <w:rPr>
                <w:rFonts w:hint="eastAsia"/>
                <w:color w:val="auto"/>
                <w:sz w:val="15"/>
                <w:szCs w:val="15"/>
                <w:lang w:eastAsia="zh-CN"/>
              </w:rPr>
              <w:t>□</w:t>
            </w:r>
            <w:r>
              <w:rPr>
                <w:color w:val="auto"/>
                <w:kern w:val="0"/>
                <w:sz w:val="15"/>
                <w:szCs w:val="15"/>
              </w:rPr>
              <w:t>；三级</w:t>
            </w:r>
            <w:r>
              <w:rPr>
                <w:rFonts w:hint="eastAsia"/>
                <w:color w:val="auto"/>
                <w:sz w:val="15"/>
                <w:szCs w:val="15"/>
                <w:lang w:eastAsia="zh-CN"/>
              </w:rPr>
              <w:t>☑</w:t>
            </w:r>
          </w:p>
        </w:tc>
        <w:tc>
          <w:tcPr>
            <w:tcW w:w="472" w:type="pct"/>
            <w:tcMar>
              <w:left w:w="0" w:type="dxa"/>
              <w:right w:w="0" w:type="dxa"/>
            </w:tcMar>
            <w:vAlign w:val="center"/>
          </w:tcPr>
          <w:p w14:paraId="787C4A23">
            <w:pPr>
              <w:adjustRightInd w:val="0"/>
              <w:snapToGrid w:val="0"/>
              <w:jc w:val="center"/>
              <w:rPr>
                <w:color w:val="auto"/>
                <w:sz w:val="15"/>
                <w:szCs w:val="15"/>
              </w:rPr>
            </w:pPr>
          </w:p>
        </w:tc>
      </w:tr>
      <w:tr w14:paraId="1C3B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restart"/>
            <w:tcMar>
              <w:left w:w="0" w:type="dxa"/>
              <w:right w:w="0" w:type="dxa"/>
            </w:tcMar>
            <w:vAlign w:val="center"/>
          </w:tcPr>
          <w:p w14:paraId="20AAE0DF">
            <w:pPr>
              <w:adjustRightInd w:val="0"/>
              <w:snapToGrid w:val="0"/>
              <w:jc w:val="center"/>
              <w:rPr>
                <w:color w:val="auto"/>
                <w:sz w:val="15"/>
                <w:szCs w:val="15"/>
              </w:rPr>
            </w:pPr>
            <w:r>
              <w:rPr>
                <w:color w:val="auto"/>
                <w:sz w:val="15"/>
                <w:szCs w:val="15"/>
              </w:rPr>
              <w:t>现状调查内容</w:t>
            </w:r>
          </w:p>
        </w:tc>
        <w:tc>
          <w:tcPr>
            <w:tcW w:w="1097" w:type="pct"/>
            <w:tcMar>
              <w:left w:w="0" w:type="dxa"/>
              <w:right w:w="0" w:type="dxa"/>
            </w:tcMar>
            <w:vAlign w:val="center"/>
          </w:tcPr>
          <w:p w14:paraId="0B96CBAF">
            <w:pPr>
              <w:adjustRightInd w:val="0"/>
              <w:snapToGrid w:val="0"/>
              <w:jc w:val="center"/>
              <w:rPr>
                <w:color w:val="auto"/>
                <w:sz w:val="15"/>
                <w:szCs w:val="15"/>
              </w:rPr>
            </w:pPr>
            <w:r>
              <w:rPr>
                <w:color w:val="auto"/>
                <w:sz w:val="15"/>
                <w:szCs w:val="15"/>
              </w:rPr>
              <w:t>资料收集</w:t>
            </w:r>
          </w:p>
        </w:tc>
        <w:tc>
          <w:tcPr>
            <w:tcW w:w="2958" w:type="pct"/>
            <w:gridSpan w:val="6"/>
            <w:tcMar>
              <w:left w:w="0" w:type="dxa"/>
              <w:right w:w="0" w:type="dxa"/>
            </w:tcMar>
            <w:vAlign w:val="center"/>
          </w:tcPr>
          <w:p w14:paraId="54A0CC1D">
            <w:pPr>
              <w:adjustRightInd w:val="0"/>
              <w:snapToGrid w:val="0"/>
              <w:jc w:val="left"/>
              <w:rPr>
                <w:color w:val="auto"/>
                <w:sz w:val="15"/>
                <w:szCs w:val="15"/>
              </w:rPr>
            </w:pPr>
            <w:r>
              <w:rPr>
                <w:color w:val="auto"/>
                <w:kern w:val="0"/>
                <w:sz w:val="15"/>
                <w:szCs w:val="15"/>
              </w:rPr>
              <w:t>a)</w:t>
            </w:r>
            <w:r>
              <w:rPr>
                <w:rFonts w:hint="eastAsia"/>
                <w:color w:val="auto"/>
                <w:sz w:val="15"/>
                <w:szCs w:val="15"/>
              </w:rPr>
              <w:t>□</w:t>
            </w:r>
            <w:r>
              <w:rPr>
                <w:color w:val="auto"/>
                <w:kern w:val="0"/>
                <w:sz w:val="15"/>
                <w:szCs w:val="15"/>
              </w:rPr>
              <w:t>；b)</w:t>
            </w:r>
            <w:r>
              <w:rPr>
                <w:rFonts w:hint="eastAsia"/>
                <w:color w:val="auto"/>
                <w:sz w:val="15"/>
                <w:szCs w:val="15"/>
              </w:rPr>
              <w:t>□</w:t>
            </w:r>
            <w:r>
              <w:rPr>
                <w:color w:val="auto"/>
                <w:kern w:val="0"/>
                <w:sz w:val="15"/>
                <w:szCs w:val="15"/>
              </w:rPr>
              <w:t>；c)</w:t>
            </w:r>
            <w:r>
              <w:rPr>
                <w:rFonts w:hint="eastAsia"/>
                <w:color w:val="auto"/>
                <w:sz w:val="15"/>
                <w:szCs w:val="15"/>
                <w:lang w:eastAsia="zh-CN"/>
              </w:rPr>
              <w:t>☑</w:t>
            </w:r>
            <w:r>
              <w:rPr>
                <w:color w:val="auto"/>
                <w:kern w:val="0"/>
                <w:sz w:val="15"/>
                <w:szCs w:val="15"/>
              </w:rPr>
              <w:t>；d)</w:t>
            </w:r>
            <w:r>
              <w:rPr>
                <w:rFonts w:hint="eastAsia"/>
                <w:color w:val="auto"/>
                <w:sz w:val="15"/>
                <w:szCs w:val="15"/>
              </w:rPr>
              <w:t>□</w:t>
            </w:r>
          </w:p>
        </w:tc>
        <w:tc>
          <w:tcPr>
            <w:tcW w:w="472" w:type="pct"/>
            <w:tcMar>
              <w:left w:w="0" w:type="dxa"/>
              <w:right w:w="0" w:type="dxa"/>
            </w:tcMar>
            <w:vAlign w:val="center"/>
          </w:tcPr>
          <w:p w14:paraId="40FCF0CB">
            <w:pPr>
              <w:adjustRightInd w:val="0"/>
              <w:snapToGrid w:val="0"/>
              <w:jc w:val="center"/>
              <w:rPr>
                <w:color w:val="auto"/>
                <w:sz w:val="15"/>
                <w:szCs w:val="15"/>
              </w:rPr>
            </w:pPr>
          </w:p>
        </w:tc>
      </w:tr>
      <w:tr w14:paraId="6534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365719BE">
            <w:pPr>
              <w:adjustRightInd w:val="0"/>
              <w:snapToGrid w:val="0"/>
              <w:jc w:val="center"/>
              <w:rPr>
                <w:color w:val="auto"/>
                <w:sz w:val="15"/>
                <w:szCs w:val="15"/>
              </w:rPr>
            </w:pPr>
          </w:p>
        </w:tc>
        <w:tc>
          <w:tcPr>
            <w:tcW w:w="1097" w:type="pct"/>
            <w:tcMar>
              <w:left w:w="0" w:type="dxa"/>
              <w:right w:w="0" w:type="dxa"/>
            </w:tcMar>
            <w:vAlign w:val="center"/>
          </w:tcPr>
          <w:p w14:paraId="56518E1C">
            <w:pPr>
              <w:adjustRightInd w:val="0"/>
              <w:snapToGrid w:val="0"/>
              <w:jc w:val="center"/>
              <w:rPr>
                <w:color w:val="auto"/>
                <w:sz w:val="15"/>
                <w:szCs w:val="15"/>
              </w:rPr>
            </w:pPr>
            <w:r>
              <w:rPr>
                <w:color w:val="auto"/>
                <w:sz w:val="15"/>
                <w:szCs w:val="15"/>
              </w:rPr>
              <w:t>理化特征</w:t>
            </w:r>
          </w:p>
        </w:tc>
        <w:tc>
          <w:tcPr>
            <w:tcW w:w="2958" w:type="pct"/>
            <w:gridSpan w:val="6"/>
            <w:tcMar>
              <w:left w:w="0" w:type="dxa"/>
              <w:right w:w="0" w:type="dxa"/>
            </w:tcMar>
            <w:vAlign w:val="center"/>
          </w:tcPr>
          <w:p w14:paraId="17495764">
            <w:pPr>
              <w:adjustRightInd w:val="0"/>
              <w:snapToGrid w:val="0"/>
              <w:jc w:val="center"/>
              <w:rPr>
                <w:color w:val="auto"/>
                <w:sz w:val="15"/>
                <w:szCs w:val="15"/>
              </w:rPr>
            </w:pPr>
          </w:p>
        </w:tc>
        <w:tc>
          <w:tcPr>
            <w:tcW w:w="472" w:type="pct"/>
            <w:tcMar>
              <w:left w:w="0" w:type="dxa"/>
              <w:right w:w="0" w:type="dxa"/>
            </w:tcMar>
            <w:vAlign w:val="center"/>
          </w:tcPr>
          <w:p w14:paraId="42C863BE">
            <w:pPr>
              <w:adjustRightInd w:val="0"/>
              <w:snapToGrid w:val="0"/>
              <w:jc w:val="center"/>
              <w:rPr>
                <w:color w:val="auto"/>
                <w:sz w:val="15"/>
                <w:szCs w:val="15"/>
              </w:rPr>
            </w:pPr>
          </w:p>
        </w:tc>
      </w:tr>
      <w:tr w14:paraId="3CE1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31035120">
            <w:pPr>
              <w:adjustRightInd w:val="0"/>
              <w:snapToGrid w:val="0"/>
              <w:jc w:val="center"/>
              <w:rPr>
                <w:color w:val="auto"/>
                <w:sz w:val="15"/>
                <w:szCs w:val="15"/>
              </w:rPr>
            </w:pPr>
          </w:p>
        </w:tc>
        <w:tc>
          <w:tcPr>
            <w:tcW w:w="1097" w:type="pct"/>
            <w:vMerge w:val="restart"/>
            <w:tcMar>
              <w:left w:w="0" w:type="dxa"/>
              <w:right w:w="0" w:type="dxa"/>
            </w:tcMar>
            <w:vAlign w:val="center"/>
          </w:tcPr>
          <w:p w14:paraId="24818F3F">
            <w:pPr>
              <w:adjustRightInd w:val="0"/>
              <w:snapToGrid w:val="0"/>
              <w:jc w:val="center"/>
              <w:rPr>
                <w:color w:val="auto"/>
                <w:sz w:val="15"/>
                <w:szCs w:val="15"/>
              </w:rPr>
            </w:pPr>
            <w:r>
              <w:rPr>
                <w:color w:val="auto"/>
                <w:sz w:val="15"/>
                <w:szCs w:val="15"/>
              </w:rPr>
              <w:t>现状监测点位</w:t>
            </w:r>
          </w:p>
        </w:tc>
        <w:tc>
          <w:tcPr>
            <w:tcW w:w="1376" w:type="pct"/>
            <w:tcMar>
              <w:left w:w="0" w:type="dxa"/>
              <w:right w:w="0" w:type="dxa"/>
            </w:tcMar>
            <w:vAlign w:val="center"/>
          </w:tcPr>
          <w:p w14:paraId="6B3A88FF">
            <w:pPr>
              <w:adjustRightInd w:val="0"/>
              <w:snapToGrid w:val="0"/>
              <w:jc w:val="center"/>
              <w:rPr>
                <w:color w:val="auto"/>
                <w:sz w:val="15"/>
                <w:szCs w:val="15"/>
              </w:rPr>
            </w:pPr>
          </w:p>
        </w:tc>
        <w:tc>
          <w:tcPr>
            <w:tcW w:w="394" w:type="pct"/>
            <w:gridSpan w:val="2"/>
            <w:tcMar>
              <w:left w:w="0" w:type="dxa"/>
              <w:right w:w="0" w:type="dxa"/>
            </w:tcMar>
            <w:vAlign w:val="center"/>
          </w:tcPr>
          <w:p w14:paraId="65DEF18F">
            <w:pPr>
              <w:adjustRightInd w:val="0"/>
              <w:snapToGrid w:val="0"/>
              <w:jc w:val="center"/>
              <w:rPr>
                <w:color w:val="auto"/>
                <w:sz w:val="15"/>
                <w:szCs w:val="15"/>
              </w:rPr>
            </w:pPr>
            <w:r>
              <w:rPr>
                <w:color w:val="auto"/>
                <w:sz w:val="15"/>
                <w:szCs w:val="15"/>
              </w:rPr>
              <w:t>占地范围内</w:t>
            </w:r>
          </w:p>
        </w:tc>
        <w:tc>
          <w:tcPr>
            <w:tcW w:w="394" w:type="pct"/>
            <w:gridSpan w:val="2"/>
            <w:tcMar>
              <w:left w:w="0" w:type="dxa"/>
              <w:right w:w="0" w:type="dxa"/>
            </w:tcMar>
            <w:vAlign w:val="center"/>
          </w:tcPr>
          <w:p w14:paraId="13913D50">
            <w:pPr>
              <w:adjustRightInd w:val="0"/>
              <w:snapToGrid w:val="0"/>
              <w:jc w:val="center"/>
              <w:rPr>
                <w:color w:val="auto"/>
                <w:sz w:val="15"/>
                <w:szCs w:val="15"/>
              </w:rPr>
            </w:pPr>
            <w:r>
              <w:rPr>
                <w:color w:val="auto"/>
                <w:sz w:val="15"/>
                <w:szCs w:val="15"/>
              </w:rPr>
              <w:t>占地范围外</w:t>
            </w:r>
          </w:p>
        </w:tc>
        <w:tc>
          <w:tcPr>
            <w:tcW w:w="795" w:type="pct"/>
            <w:tcMar>
              <w:left w:w="0" w:type="dxa"/>
              <w:right w:w="0" w:type="dxa"/>
            </w:tcMar>
            <w:vAlign w:val="center"/>
          </w:tcPr>
          <w:p w14:paraId="5E3729AF">
            <w:pPr>
              <w:adjustRightInd w:val="0"/>
              <w:snapToGrid w:val="0"/>
              <w:jc w:val="center"/>
              <w:rPr>
                <w:color w:val="auto"/>
                <w:sz w:val="15"/>
                <w:szCs w:val="15"/>
              </w:rPr>
            </w:pPr>
            <w:r>
              <w:rPr>
                <w:color w:val="auto"/>
                <w:sz w:val="15"/>
                <w:szCs w:val="15"/>
              </w:rPr>
              <w:t>深度</w:t>
            </w:r>
          </w:p>
        </w:tc>
        <w:tc>
          <w:tcPr>
            <w:tcW w:w="472" w:type="pct"/>
            <w:vMerge w:val="restart"/>
            <w:tcMar>
              <w:left w:w="0" w:type="dxa"/>
              <w:right w:w="0" w:type="dxa"/>
            </w:tcMar>
            <w:vAlign w:val="center"/>
          </w:tcPr>
          <w:p w14:paraId="7C42C25D">
            <w:pPr>
              <w:adjustRightInd w:val="0"/>
              <w:snapToGrid w:val="0"/>
              <w:jc w:val="center"/>
              <w:rPr>
                <w:rFonts w:hint="default" w:eastAsia="宋体"/>
                <w:color w:val="auto"/>
                <w:sz w:val="15"/>
                <w:szCs w:val="15"/>
                <w:lang w:val="en-US" w:eastAsia="zh-CN"/>
              </w:rPr>
            </w:pPr>
            <w:r>
              <w:rPr>
                <w:rFonts w:hint="eastAsia"/>
                <w:color w:val="auto"/>
                <w:sz w:val="15"/>
                <w:szCs w:val="15"/>
                <w:lang w:val="en-US" w:eastAsia="zh-CN"/>
              </w:rPr>
              <w:t>地面已硬化，未采样监测</w:t>
            </w:r>
          </w:p>
        </w:tc>
      </w:tr>
      <w:tr w14:paraId="0154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25A286E7">
            <w:pPr>
              <w:adjustRightInd w:val="0"/>
              <w:snapToGrid w:val="0"/>
              <w:jc w:val="center"/>
              <w:rPr>
                <w:color w:val="auto"/>
                <w:sz w:val="15"/>
                <w:szCs w:val="15"/>
              </w:rPr>
            </w:pPr>
          </w:p>
        </w:tc>
        <w:tc>
          <w:tcPr>
            <w:tcW w:w="1097" w:type="pct"/>
            <w:vMerge w:val="continue"/>
            <w:tcMar>
              <w:left w:w="0" w:type="dxa"/>
              <w:right w:w="0" w:type="dxa"/>
            </w:tcMar>
            <w:vAlign w:val="center"/>
          </w:tcPr>
          <w:p w14:paraId="47F81180">
            <w:pPr>
              <w:adjustRightInd w:val="0"/>
              <w:snapToGrid w:val="0"/>
              <w:jc w:val="center"/>
              <w:rPr>
                <w:color w:val="auto"/>
                <w:sz w:val="15"/>
                <w:szCs w:val="15"/>
              </w:rPr>
            </w:pPr>
          </w:p>
        </w:tc>
        <w:tc>
          <w:tcPr>
            <w:tcW w:w="1376" w:type="pct"/>
            <w:tcMar>
              <w:left w:w="0" w:type="dxa"/>
              <w:right w:w="0" w:type="dxa"/>
            </w:tcMar>
            <w:vAlign w:val="center"/>
          </w:tcPr>
          <w:p w14:paraId="04CD32AF">
            <w:pPr>
              <w:adjustRightInd w:val="0"/>
              <w:snapToGrid w:val="0"/>
              <w:jc w:val="center"/>
              <w:rPr>
                <w:color w:val="auto"/>
                <w:sz w:val="15"/>
                <w:szCs w:val="15"/>
              </w:rPr>
            </w:pPr>
            <w:r>
              <w:rPr>
                <w:color w:val="auto"/>
                <w:sz w:val="15"/>
                <w:szCs w:val="15"/>
              </w:rPr>
              <w:t>表层样点数</w:t>
            </w:r>
          </w:p>
        </w:tc>
        <w:tc>
          <w:tcPr>
            <w:tcW w:w="394" w:type="pct"/>
            <w:gridSpan w:val="2"/>
            <w:tcMar>
              <w:left w:w="0" w:type="dxa"/>
              <w:right w:w="0" w:type="dxa"/>
            </w:tcMar>
            <w:vAlign w:val="center"/>
          </w:tcPr>
          <w:p w14:paraId="7A6E465C">
            <w:pPr>
              <w:adjustRightInd w:val="0"/>
              <w:snapToGrid w:val="0"/>
              <w:jc w:val="center"/>
              <w:rPr>
                <w:rFonts w:hint="eastAsia" w:eastAsia="宋体"/>
                <w:color w:val="auto"/>
                <w:sz w:val="15"/>
                <w:szCs w:val="15"/>
                <w:lang w:val="en-US" w:eastAsia="zh-CN"/>
              </w:rPr>
            </w:pPr>
            <w:r>
              <w:rPr>
                <w:rFonts w:hint="eastAsia"/>
                <w:color w:val="auto"/>
                <w:sz w:val="15"/>
                <w:szCs w:val="15"/>
                <w:lang w:val="en-US" w:eastAsia="zh-CN"/>
              </w:rPr>
              <w:t>/</w:t>
            </w:r>
          </w:p>
        </w:tc>
        <w:tc>
          <w:tcPr>
            <w:tcW w:w="394" w:type="pct"/>
            <w:gridSpan w:val="2"/>
            <w:tcMar>
              <w:left w:w="0" w:type="dxa"/>
              <w:right w:w="0" w:type="dxa"/>
            </w:tcMar>
            <w:vAlign w:val="center"/>
          </w:tcPr>
          <w:p w14:paraId="7670A7F8">
            <w:pPr>
              <w:adjustRightInd w:val="0"/>
              <w:snapToGrid w:val="0"/>
              <w:jc w:val="center"/>
              <w:rPr>
                <w:color w:val="auto"/>
                <w:sz w:val="15"/>
                <w:szCs w:val="15"/>
              </w:rPr>
            </w:pPr>
          </w:p>
        </w:tc>
        <w:tc>
          <w:tcPr>
            <w:tcW w:w="795" w:type="pct"/>
            <w:tcMar>
              <w:left w:w="0" w:type="dxa"/>
              <w:right w:w="0" w:type="dxa"/>
            </w:tcMar>
            <w:vAlign w:val="center"/>
          </w:tcPr>
          <w:p w14:paraId="2F66AD56">
            <w:pPr>
              <w:adjustRightInd w:val="0"/>
              <w:snapToGrid w:val="0"/>
              <w:jc w:val="center"/>
              <w:rPr>
                <w:rFonts w:hint="default" w:eastAsia="宋体"/>
                <w:color w:val="auto"/>
                <w:sz w:val="15"/>
                <w:szCs w:val="15"/>
                <w:lang w:val="en-US" w:eastAsia="zh-CN"/>
              </w:rPr>
            </w:pPr>
            <w:r>
              <w:rPr>
                <w:rFonts w:hint="eastAsia"/>
                <w:color w:val="auto"/>
                <w:sz w:val="15"/>
                <w:szCs w:val="15"/>
                <w:lang w:val="en-US" w:eastAsia="zh-CN"/>
              </w:rPr>
              <w:t>/</w:t>
            </w:r>
          </w:p>
        </w:tc>
        <w:tc>
          <w:tcPr>
            <w:tcW w:w="472" w:type="pct"/>
            <w:vMerge w:val="continue"/>
            <w:tcMar>
              <w:left w:w="0" w:type="dxa"/>
              <w:right w:w="0" w:type="dxa"/>
            </w:tcMar>
            <w:vAlign w:val="center"/>
          </w:tcPr>
          <w:p w14:paraId="0F8F5BBC">
            <w:pPr>
              <w:adjustRightInd w:val="0"/>
              <w:snapToGrid w:val="0"/>
              <w:jc w:val="center"/>
              <w:rPr>
                <w:color w:val="auto"/>
                <w:sz w:val="15"/>
                <w:szCs w:val="15"/>
              </w:rPr>
            </w:pPr>
          </w:p>
        </w:tc>
      </w:tr>
      <w:tr w14:paraId="42B1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320238D4">
            <w:pPr>
              <w:adjustRightInd w:val="0"/>
              <w:snapToGrid w:val="0"/>
              <w:jc w:val="center"/>
              <w:rPr>
                <w:color w:val="auto"/>
                <w:sz w:val="15"/>
                <w:szCs w:val="15"/>
              </w:rPr>
            </w:pPr>
          </w:p>
        </w:tc>
        <w:tc>
          <w:tcPr>
            <w:tcW w:w="1097" w:type="pct"/>
            <w:vMerge w:val="continue"/>
            <w:tcMar>
              <w:left w:w="0" w:type="dxa"/>
              <w:right w:w="0" w:type="dxa"/>
            </w:tcMar>
            <w:vAlign w:val="center"/>
          </w:tcPr>
          <w:p w14:paraId="0D9C1E79">
            <w:pPr>
              <w:adjustRightInd w:val="0"/>
              <w:snapToGrid w:val="0"/>
              <w:jc w:val="center"/>
              <w:rPr>
                <w:color w:val="auto"/>
                <w:sz w:val="15"/>
                <w:szCs w:val="15"/>
              </w:rPr>
            </w:pPr>
          </w:p>
        </w:tc>
        <w:tc>
          <w:tcPr>
            <w:tcW w:w="1376" w:type="pct"/>
            <w:tcMar>
              <w:left w:w="0" w:type="dxa"/>
              <w:right w:w="0" w:type="dxa"/>
            </w:tcMar>
            <w:vAlign w:val="center"/>
          </w:tcPr>
          <w:p w14:paraId="11808E49">
            <w:pPr>
              <w:adjustRightInd w:val="0"/>
              <w:snapToGrid w:val="0"/>
              <w:jc w:val="center"/>
              <w:rPr>
                <w:color w:val="auto"/>
                <w:sz w:val="15"/>
                <w:szCs w:val="15"/>
              </w:rPr>
            </w:pPr>
            <w:r>
              <w:rPr>
                <w:color w:val="auto"/>
                <w:sz w:val="15"/>
                <w:szCs w:val="15"/>
              </w:rPr>
              <w:t>柱状样点数</w:t>
            </w:r>
          </w:p>
        </w:tc>
        <w:tc>
          <w:tcPr>
            <w:tcW w:w="394" w:type="pct"/>
            <w:gridSpan w:val="2"/>
            <w:tcMar>
              <w:left w:w="0" w:type="dxa"/>
              <w:right w:w="0" w:type="dxa"/>
            </w:tcMar>
            <w:vAlign w:val="center"/>
          </w:tcPr>
          <w:p w14:paraId="61696760">
            <w:pPr>
              <w:adjustRightInd w:val="0"/>
              <w:snapToGrid w:val="0"/>
              <w:jc w:val="center"/>
              <w:rPr>
                <w:color w:val="auto"/>
                <w:sz w:val="15"/>
                <w:szCs w:val="15"/>
              </w:rPr>
            </w:pPr>
          </w:p>
        </w:tc>
        <w:tc>
          <w:tcPr>
            <w:tcW w:w="394" w:type="pct"/>
            <w:gridSpan w:val="2"/>
            <w:tcMar>
              <w:left w:w="0" w:type="dxa"/>
              <w:right w:w="0" w:type="dxa"/>
            </w:tcMar>
            <w:vAlign w:val="center"/>
          </w:tcPr>
          <w:p w14:paraId="166A4133">
            <w:pPr>
              <w:adjustRightInd w:val="0"/>
              <w:snapToGrid w:val="0"/>
              <w:jc w:val="center"/>
              <w:rPr>
                <w:color w:val="auto"/>
                <w:sz w:val="15"/>
                <w:szCs w:val="15"/>
              </w:rPr>
            </w:pPr>
          </w:p>
        </w:tc>
        <w:tc>
          <w:tcPr>
            <w:tcW w:w="795" w:type="pct"/>
            <w:tcMar>
              <w:left w:w="0" w:type="dxa"/>
              <w:right w:w="0" w:type="dxa"/>
            </w:tcMar>
            <w:vAlign w:val="center"/>
          </w:tcPr>
          <w:p w14:paraId="150D69FF">
            <w:pPr>
              <w:adjustRightInd w:val="0"/>
              <w:snapToGrid w:val="0"/>
              <w:jc w:val="center"/>
              <w:rPr>
                <w:color w:val="auto"/>
                <w:sz w:val="15"/>
                <w:szCs w:val="15"/>
              </w:rPr>
            </w:pPr>
          </w:p>
        </w:tc>
        <w:tc>
          <w:tcPr>
            <w:tcW w:w="472" w:type="pct"/>
            <w:vMerge w:val="continue"/>
            <w:tcMar>
              <w:left w:w="0" w:type="dxa"/>
              <w:right w:w="0" w:type="dxa"/>
            </w:tcMar>
            <w:vAlign w:val="center"/>
          </w:tcPr>
          <w:p w14:paraId="7ACB87DB">
            <w:pPr>
              <w:adjustRightInd w:val="0"/>
              <w:snapToGrid w:val="0"/>
              <w:jc w:val="center"/>
              <w:rPr>
                <w:color w:val="auto"/>
                <w:sz w:val="15"/>
                <w:szCs w:val="15"/>
              </w:rPr>
            </w:pPr>
          </w:p>
        </w:tc>
      </w:tr>
      <w:tr w14:paraId="28DD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16BEB200">
            <w:pPr>
              <w:adjustRightInd w:val="0"/>
              <w:snapToGrid w:val="0"/>
              <w:jc w:val="center"/>
              <w:rPr>
                <w:color w:val="auto"/>
                <w:sz w:val="15"/>
                <w:szCs w:val="15"/>
              </w:rPr>
            </w:pPr>
          </w:p>
        </w:tc>
        <w:tc>
          <w:tcPr>
            <w:tcW w:w="1097" w:type="pct"/>
            <w:tcMar>
              <w:left w:w="0" w:type="dxa"/>
              <w:right w:w="0" w:type="dxa"/>
            </w:tcMar>
            <w:vAlign w:val="center"/>
          </w:tcPr>
          <w:p w14:paraId="35378D19">
            <w:pPr>
              <w:adjustRightInd w:val="0"/>
              <w:snapToGrid w:val="0"/>
              <w:jc w:val="center"/>
              <w:rPr>
                <w:color w:val="auto"/>
                <w:sz w:val="15"/>
                <w:szCs w:val="15"/>
              </w:rPr>
            </w:pPr>
            <w:r>
              <w:rPr>
                <w:color w:val="auto"/>
                <w:sz w:val="15"/>
                <w:szCs w:val="15"/>
              </w:rPr>
              <w:t>现状监测因子</w:t>
            </w:r>
          </w:p>
        </w:tc>
        <w:tc>
          <w:tcPr>
            <w:tcW w:w="2958" w:type="pct"/>
            <w:gridSpan w:val="6"/>
            <w:tcMar>
              <w:left w:w="0" w:type="dxa"/>
              <w:right w:w="0" w:type="dxa"/>
            </w:tcMar>
            <w:vAlign w:val="center"/>
          </w:tcPr>
          <w:p w14:paraId="2D5CD6FA">
            <w:pPr>
              <w:adjustRightInd w:val="0"/>
              <w:snapToGrid w:val="0"/>
              <w:jc w:val="left"/>
              <w:rPr>
                <w:rFonts w:hint="eastAsia" w:eastAsia="宋体"/>
                <w:color w:val="auto"/>
                <w:sz w:val="15"/>
                <w:szCs w:val="15"/>
                <w:lang w:val="en-US" w:eastAsia="zh-CN"/>
              </w:rPr>
            </w:pPr>
          </w:p>
        </w:tc>
        <w:tc>
          <w:tcPr>
            <w:tcW w:w="472" w:type="pct"/>
            <w:tcMar>
              <w:left w:w="0" w:type="dxa"/>
              <w:right w:w="0" w:type="dxa"/>
            </w:tcMar>
            <w:vAlign w:val="center"/>
          </w:tcPr>
          <w:p w14:paraId="7C334841">
            <w:pPr>
              <w:adjustRightInd w:val="0"/>
              <w:snapToGrid w:val="0"/>
              <w:jc w:val="center"/>
              <w:rPr>
                <w:color w:val="auto"/>
                <w:sz w:val="15"/>
                <w:szCs w:val="15"/>
              </w:rPr>
            </w:pPr>
          </w:p>
        </w:tc>
      </w:tr>
      <w:tr w14:paraId="09C0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restart"/>
            <w:tcMar>
              <w:left w:w="0" w:type="dxa"/>
              <w:right w:w="0" w:type="dxa"/>
            </w:tcMar>
            <w:vAlign w:val="center"/>
          </w:tcPr>
          <w:p w14:paraId="0D4A99F5">
            <w:pPr>
              <w:adjustRightInd w:val="0"/>
              <w:snapToGrid w:val="0"/>
              <w:jc w:val="center"/>
              <w:rPr>
                <w:color w:val="auto"/>
                <w:sz w:val="15"/>
                <w:szCs w:val="15"/>
              </w:rPr>
            </w:pPr>
            <w:r>
              <w:rPr>
                <w:color w:val="auto"/>
                <w:sz w:val="15"/>
                <w:szCs w:val="15"/>
              </w:rPr>
              <w:t>现状评价</w:t>
            </w:r>
          </w:p>
        </w:tc>
        <w:tc>
          <w:tcPr>
            <w:tcW w:w="1097" w:type="pct"/>
            <w:tcMar>
              <w:left w:w="0" w:type="dxa"/>
              <w:right w:w="0" w:type="dxa"/>
            </w:tcMar>
            <w:vAlign w:val="center"/>
          </w:tcPr>
          <w:p w14:paraId="647570A9">
            <w:pPr>
              <w:adjustRightInd w:val="0"/>
              <w:snapToGrid w:val="0"/>
              <w:jc w:val="center"/>
              <w:rPr>
                <w:color w:val="auto"/>
                <w:sz w:val="15"/>
                <w:szCs w:val="15"/>
              </w:rPr>
            </w:pPr>
            <w:r>
              <w:rPr>
                <w:color w:val="auto"/>
                <w:sz w:val="15"/>
                <w:szCs w:val="15"/>
              </w:rPr>
              <w:t>评价因子</w:t>
            </w:r>
          </w:p>
        </w:tc>
        <w:tc>
          <w:tcPr>
            <w:tcW w:w="2958" w:type="pct"/>
            <w:gridSpan w:val="6"/>
            <w:tcMar>
              <w:left w:w="0" w:type="dxa"/>
              <w:right w:w="0" w:type="dxa"/>
            </w:tcMar>
            <w:vAlign w:val="center"/>
          </w:tcPr>
          <w:p w14:paraId="752A2260">
            <w:pPr>
              <w:adjustRightInd w:val="0"/>
              <w:snapToGrid w:val="0"/>
              <w:jc w:val="left"/>
              <w:rPr>
                <w:color w:val="auto"/>
                <w:sz w:val="15"/>
                <w:szCs w:val="15"/>
              </w:rPr>
            </w:pPr>
          </w:p>
        </w:tc>
        <w:tc>
          <w:tcPr>
            <w:tcW w:w="472" w:type="pct"/>
            <w:tcMar>
              <w:left w:w="0" w:type="dxa"/>
              <w:right w:w="0" w:type="dxa"/>
            </w:tcMar>
            <w:vAlign w:val="center"/>
          </w:tcPr>
          <w:p w14:paraId="5484C9ED">
            <w:pPr>
              <w:adjustRightInd w:val="0"/>
              <w:snapToGrid w:val="0"/>
              <w:jc w:val="center"/>
              <w:rPr>
                <w:color w:val="auto"/>
                <w:sz w:val="15"/>
                <w:szCs w:val="15"/>
              </w:rPr>
            </w:pPr>
          </w:p>
        </w:tc>
      </w:tr>
      <w:tr w14:paraId="47C1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56AEACE4">
            <w:pPr>
              <w:adjustRightInd w:val="0"/>
              <w:snapToGrid w:val="0"/>
              <w:jc w:val="center"/>
              <w:rPr>
                <w:color w:val="auto"/>
                <w:sz w:val="15"/>
                <w:szCs w:val="15"/>
              </w:rPr>
            </w:pPr>
          </w:p>
        </w:tc>
        <w:tc>
          <w:tcPr>
            <w:tcW w:w="1097" w:type="pct"/>
            <w:tcMar>
              <w:left w:w="0" w:type="dxa"/>
              <w:right w:w="0" w:type="dxa"/>
            </w:tcMar>
            <w:vAlign w:val="center"/>
          </w:tcPr>
          <w:p w14:paraId="598AEE07">
            <w:pPr>
              <w:adjustRightInd w:val="0"/>
              <w:snapToGrid w:val="0"/>
              <w:jc w:val="center"/>
              <w:rPr>
                <w:color w:val="auto"/>
                <w:sz w:val="15"/>
                <w:szCs w:val="15"/>
              </w:rPr>
            </w:pPr>
            <w:r>
              <w:rPr>
                <w:color w:val="auto"/>
                <w:sz w:val="15"/>
                <w:szCs w:val="15"/>
              </w:rPr>
              <w:t>评价标准</w:t>
            </w:r>
          </w:p>
        </w:tc>
        <w:tc>
          <w:tcPr>
            <w:tcW w:w="2958" w:type="pct"/>
            <w:gridSpan w:val="6"/>
            <w:tcMar>
              <w:left w:w="0" w:type="dxa"/>
              <w:right w:w="0" w:type="dxa"/>
            </w:tcMar>
            <w:vAlign w:val="center"/>
          </w:tcPr>
          <w:p w14:paraId="2A890FEF">
            <w:pPr>
              <w:adjustRightInd w:val="0"/>
              <w:snapToGrid w:val="0"/>
              <w:jc w:val="left"/>
              <w:rPr>
                <w:color w:val="auto"/>
                <w:sz w:val="15"/>
                <w:szCs w:val="15"/>
              </w:rPr>
            </w:pPr>
            <w:r>
              <w:rPr>
                <w:color w:val="auto"/>
                <w:sz w:val="15"/>
                <w:szCs w:val="15"/>
              </w:rPr>
              <w:t>GB15618</w:t>
            </w:r>
            <w:r>
              <w:rPr>
                <w:rFonts w:hint="eastAsia"/>
                <w:color w:val="auto"/>
                <w:sz w:val="15"/>
                <w:szCs w:val="15"/>
                <w:lang w:eastAsia="zh-CN"/>
              </w:rPr>
              <w:t>☑</w:t>
            </w:r>
            <w:r>
              <w:rPr>
                <w:color w:val="auto"/>
                <w:kern w:val="0"/>
                <w:sz w:val="15"/>
                <w:szCs w:val="15"/>
              </w:rPr>
              <w:t>；GB36600</w:t>
            </w:r>
            <w:r>
              <w:rPr>
                <w:rFonts w:hint="eastAsia"/>
                <w:color w:val="auto"/>
                <w:sz w:val="15"/>
                <w:szCs w:val="15"/>
                <w:lang w:eastAsia="zh-CN"/>
              </w:rPr>
              <w:t>□</w:t>
            </w:r>
            <w:r>
              <w:rPr>
                <w:color w:val="auto"/>
                <w:kern w:val="0"/>
                <w:sz w:val="15"/>
                <w:szCs w:val="15"/>
              </w:rPr>
              <w:t>；表D.1</w:t>
            </w:r>
            <w:r>
              <w:rPr>
                <w:rFonts w:hint="eastAsia"/>
                <w:color w:val="auto"/>
                <w:sz w:val="15"/>
                <w:szCs w:val="15"/>
              </w:rPr>
              <w:t>□</w:t>
            </w:r>
            <w:r>
              <w:rPr>
                <w:color w:val="auto"/>
                <w:kern w:val="0"/>
                <w:sz w:val="15"/>
                <w:szCs w:val="15"/>
              </w:rPr>
              <w:t>；表D.2</w:t>
            </w:r>
            <w:r>
              <w:rPr>
                <w:rFonts w:hint="eastAsia"/>
                <w:color w:val="auto"/>
                <w:sz w:val="15"/>
                <w:szCs w:val="15"/>
              </w:rPr>
              <w:t>□</w:t>
            </w:r>
            <w:r>
              <w:rPr>
                <w:color w:val="auto"/>
                <w:kern w:val="0"/>
                <w:sz w:val="15"/>
                <w:szCs w:val="15"/>
              </w:rPr>
              <w:t>；其他(   )</w:t>
            </w:r>
          </w:p>
        </w:tc>
        <w:tc>
          <w:tcPr>
            <w:tcW w:w="472" w:type="pct"/>
            <w:tcMar>
              <w:left w:w="0" w:type="dxa"/>
              <w:right w:w="0" w:type="dxa"/>
            </w:tcMar>
            <w:vAlign w:val="center"/>
          </w:tcPr>
          <w:p w14:paraId="6A599F80">
            <w:pPr>
              <w:adjustRightInd w:val="0"/>
              <w:snapToGrid w:val="0"/>
              <w:jc w:val="center"/>
              <w:rPr>
                <w:color w:val="auto"/>
                <w:sz w:val="15"/>
                <w:szCs w:val="15"/>
              </w:rPr>
            </w:pPr>
          </w:p>
        </w:tc>
      </w:tr>
      <w:tr w14:paraId="67EE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7B4F565F">
            <w:pPr>
              <w:adjustRightInd w:val="0"/>
              <w:snapToGrid w:val="0"/>
              <w:jc w:val="center"/>
              <w:rPr>
                <w:color w:val="auto"/>
                <w:sz w:val="15"/>
                <w:szCs w:val="15"/>
              </w:rPr>
            </w:pPr>
          </w:p>
        </w:tc>
        <w:tc>
          <w:tcPr>
            <w:tcW w:w="1097" w:type="pct"/>
            <w:tcMar>
              <w:left w:w="0" w:type="dxa"/>
              <w:right w:w="0" w:type="dxa"/>
            </w:tcMar>
            <w:vAlign w:val="center"/>
          </w:tcPr>
          <w:p w14:paraId="17706212">
            <w:pPr>
              <w:adjustRightInd w:val="0"/>
              <w:snapToGrid w:val="0"/>
              <w:jc w:val="center"/>
              <w:rPr>
                <w:color w:val="auto"/>
                <w:sz w:val="15"/>
                <w:szCs w:val="15"/>
              </w:rPr>
            </w:pPr>
            <w:r>
              <w:rPr>
                <w:color w:val="auto"/>
                <w:sz w:val="15"/>
                <w:szCs w:val="15"/>
              </w:rPr>
              <w:t>现状评价结论</w:t>
            </w:r>
          </w:p>
        </w:tc>
        <w:tc>
          <w:tcPr>
            <w:tcW w:w="2958" w:type="pct"/>
            <w:gridSpan w:val="6"/>
            <w:tcMar>
              <w:left w:w="0" w:type="dxa"/>
              <w:right w:w="0" w:type="dxa"/>
            </w:tcMar>
            <w:vAlign w:val="center"/>
          </w:tcPr>
          <w:p w14:paraId="3D756F6A">
            <w:pPr>
              <w:adjustRightInd w:val="0"/>
              <w:snapToGrid w:val="0"/>
              <w:jc w:val="left"/>
              <w:rPr>
                <w:color w:val="auto"/>
                <w:sz w:val="15"/>
                <w:szCs w:val="15"/>
              </w:rPr>
            </w:pPr>
            <w:r>
              <w:rPr>
                <w:color w:val="auto"/>
                <w:kern w:val="0"/>
                <w:sz w:val="15"/>
                <w:szCs w:val="15"/>
              </w:rPr>
              <w:t>土壤未被污染</w:t>
            </w:r>
          </w:p>
        </w:tc>
        <w:tc>
          <w:tcPr>
            <w:tcW w:w="472" w:type="pct"/>
            <w:tcMar>
              <w:left w:w="0" w:type="dxa"/>
              <w:right w:w="0" w:type="dxa"/>
            </w:tcMar>
            <w:vAlign w:val="center"/>
          </w:tcPr>
          <w:p w14:paraId="42A40C79">
            <w:pPr>
              <w:adjustRightInd w:val="0"/>
              <w:snapToGrid w:val="0"/>
              <w:jc w:val="center"/>
              <w:rPr>
                <w:color w:val="auto"/>
                <w:sz w:val="15"/>
                <w:szCs w:val="15"/>
              </w:rPr>
            </w:pPr>
          </w:p>
        </w:tc>
      </w:tr>
      <w:tr w14:paraId="590D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restart"/>
            <w:tcMar>
              <w:left w:w="0" w:type="dxa"/>
              <w:right w:w="0" w:type="dxa"/>
            </w:tcMar>
            <w:vAlign w:val="center"/>
          </w:tcPr>
          <w:p w14:paraId="5C31C54C">
            <w:pPr>
              <w:adjustRightInd w:val="0"/>
              <w:snapToGrid w:val="0"/>
              <w:jc w:val="center"/>
              <w:rPr>
                <w:color w:val="auto"/>
                <w:sz w:val="15"/>
                <w:szCs w:val="15"/>
              </w:rPr>
            </w:pPr>
            <w:r>
              <w:rPr>
                <w:color w:val="auto"/>
                <w:sz w:val="15"/>
                <w:szCs w:val="15"/>
              </w:rPr>
              <w:t>影响预测</w:t>
            </w:r>
          </w:p>
        </w:tc>
        <w:tc>
          <w:tcPr>
            <w:tcW w:w="1097" w:type="pct"/>
            <w:tcMar>
              <w:left w:w="0" w:type="dxa"/>
              <w:right w:w="0" w:type="dxa"/>
            </w:tcMar>
            <w:vAlign w:val="center"/>
          </w:tcPr>
          <w:p w14:paraId="75C0D8CF">
            <w:pPr>
              <w:adjustRightInd w:val="0"/>
              <w:snapToGrid w:val="0"/>
              <w:jc w:val="center"/>
              <w:rPr>
                <w:color w:val="auto"/>
                <w:sz w:val="15"/>
                <w:szCs w:val="15"/>
              </w:rPr>
            </w:pPr>
            <w:r>
              <w:rPr>
                <w:color w:val="auto"/>
                <w:sz w:val="15"/>
                <w:szCs w:val="15"/>
              </w:rPr>
              <w:t>预测因子</w:t>
            </w:r>
          </w:p>
        </w:tc>
        <w:tc>
          <w:tcPr>
            <w:tcW w:w="2958" w:type="pct"/>
            <w:gridSpan w:val="6"/>
            <w:tcMar>
              <w:left w:w="0" w:type="dxa"/>
              <w:right w:w="0" w:type="dxa"/>
            </w:tcMar>
            <w:vAlign w:val="center"/>
          </w:tcPr>
          <w:p w14:paraId="46C786C5">
            <w:pPr>
              <w:adjustRightInd w:val="0"/>
              <w:snapToGrid w:val="0"/>
              <w:jc w:val="left"/>
              <w:rPr>
                <w:color w:val="auto"/>
                <w:sz w:val="15"/>
                <w:szCs w:val="15"/>
              </w:rPr>
            </w:pPr>
          </w:p>
        </w:tc>
        <w:tc>
          <w:tcPr>
            <w:tcW w:w="472" w:type="pct"/>
            <w:tcMar>
              <w:left w:w="0" w:type="dxa"/>
              <w:right w:w="0" w:type="dxa"/>
            </w:tcMar>
            <w:vAlign w:val="center"/>
          </w:tcPr>
          <w:p w14:paraId="3DEAD06D">
            <w:pPr>
              <w:adjustRightInd w:val="0"/>
              <w:snapToGrid w:val="0"/>
              <w:jc w:val="center"/>
              <w:rPr>
                <w:color w:val="auto"/>
                <w:sz w:val="15"/>
                <w:szCs w:val="15"/>
              </w:rPr>
            </w:pPr>
          </w:p>
        </w:tc>
      </w:tr>
      <w:tr w14:paraId="0726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5A03E6DE">
            <w:pPr>
              <w:adjustRightInd w:val="0"/>
              <w:snapToGrid w:val="0"/>
              <w:jc w:val="center"/>
              <w:rPr>
                <w:color w:val="auto"/>
                <w:sz w:val="15"/>
                <w:szCs w:val="15"/>
              </w:rPr>
            </w:pPr>
          </w:p>
        </w:tc>
        <w:tc>
          <w:tcPr>
            <w:tcW w:w="1097" w:type="pct"/>
            <w:tcMar>
              <w:left w:w="0" w:type="dxa"/>
              <w:right w:w="0" w:type="dxa"/>
            </w:tcMar>
            <w:vAlign w:val="center"/>
          </w:tcPr>
          <w:p w14:paraId="034B087C">
            <w:pPr>
              <w:adjustRightInd w:val="0"/>
              <w:snapToGrid w:val="0"/>
              <w:jc w:val="center"/>
              <w:rPr>
                <w:color w:val="auto"/>
                <w:sz w:val="15"/>
                <w:szCs w:val="15"/>
              </w:rPr>
            </w:pPr>
            <w:r>
              <w:rPr>
                <w:color w:val="auto"/>
                <w:sz w:val="15"/>
                <w:szCs w:val="15"/>
              </w:rPr>
              <w:t>预测方法</w:t>
            </w:r>
          </w:p>
        </w:tc>
        <w:tc>
          <w:tcPr>
            <w:tcW w:w="2958" w:type="pct"/>
            <w:gridSpan w:val="6"/>
            <w:tcMar>
              <w:left w:w="0" w:type="dxa"/>
              <w:right w:w="0" w:type="dxa"/>
            </w:tcMar>
            <w:vAlign w:val="center"/>
          </w:tcPr>
          <w:p w14:paraId="4023CB89">
            <w:pPr>
              <w:adjustRightInd w:val="0"/>
              <w:snapToGrid w:val="0"/>
              <w:jc w:val="left"/>
              <w:rPr>
                <w:color w:val="auto"/>
                <w:sz w:val="15"/>
                <w:szCs w:val="15"/>
              </w:rPr>
            </w:pPr>
            <w:r>
              <w:rPr>
                <w:color w:val="auto"/>
                <w:sz w:val="15"/>
                <w:szCs w:val="15"/>
              </w:rPr>
              <w:t>附录E</w:t>
            </w:r>
            <w:r>
              <w:rPr>
                <w:rFonts w:hint="eastAsia"/>
                <w:color w:val="auto"/>
                <w:sz w:val="15"/>
                <w:szCs w:val="15"/>
              </w:rPr>
              <w:t>□</w:t>
            </w:r>
            <w:r>
              <w:rPr>
                <w:color w:val="auto"/>
                <w:kern w:val="0"/>
                <w:sz w:val="15"/>
                <w:szCs w:val="15"/>
              </w:rPr>
              <w:t>；附录F</w:t>
            </w:r>
            <w:r>
              <w:rPr>
                <w:rFonts w:hint="eastAsia"/>
                <w:color w:val="auto"/>
                <w:sz w:val="15"/>
                <w:szCs w:val="15"/>
              </w:rPr>
              <w:t>□</w:t>
            </w:r>
            <w:r>
              <w:rPr>
                <w:color w:val="auto"/>
                <w:kern w:val="0"/>
                <w:sz w:val="15"/>
                <w:szCs w:val="15"/>
              </w:rPr>
              <w:t>；其他(    )</w:t>
            </w:r>
          </w:p>
        </w:tc>
        <w:tc>
          <w:tcPr>
            <w:tcW w:w="472" w:type="pct"/>
            <w:tcMar>
              <w:left w:w="0" w:type="dxa"/>
              <w:right w:w="0" w:type="dxa"/>
            </w:tcMar>
            <w:vAlign w:val="center"/>
          </w:tcPr>
          <w:p w14:paraId="5F96A507">
            <w:pPr>
              <w:adjustRightInd w:val="0"/>
              <w:snapToGrid w:val="0"/>
              <w:jc w:val="center"/>
              <w:rPr>
                <w:color w:val="auto"/>
                <w:sz w:val="15"/>
                <w:szCs w:val="15"/>
              </w:rPr>
            </w:pPr>
          </w:p>
        </w:tc>
      </w:tr>
      <w:tr w14:paraId="20CB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1A3A3AFF">
            <w:pPr>
              <w:adjustRightInd w:val="0"/>
              <w:snapToGrid w:val="0"/>
              <w:jc w:val="center"/>
              <w:rPr>
                <w:color w:val="auto"/>
                <w:sz w:val="15"/>
                <w:szCs w:val="15"/>
              </w:rPr>
            </w:pPr>
          </w:p>
        </w:tc>
        <w:tc>
          <w:tcPr>
            <w:tcW w:w="1097" w:type="pct"/>
            <w:tcMar>
              <w:left w:w="0" w:type="dxa"/>
              <w:right w:w="0" w:type="dxa"/>
            </w:tcMar>
            <w:vAlign w:val="center"/>
          </w:tcPr>
          <w:p w14:paraId="12F6E0F4">
            <w:pPr>
              <w:adjustRightInd w:val="0"/>
              <w:snapToGrid w:val="0"/>
              <w:jc w:val="center"/>
              <w:rPr>
                <w:color w:val="auto"/>
                <w:sz w:val="15"/>
                <w:szCs w:val="15"/>
              </w:rPr>
            </w:pPr>
            <w:r>
              <w:rPr>
                <w:color w:val="auto"/>
                <w:sz w:val="15"/>
                <w:szCs w:val="15"/>
              </w:rPr>
              <w:t>预测分析内容</w:t>
            </w:r>
          </w:p>
        </w:tc>
        <w:tc>
          <w:tcPr>
            <w:tcW w:w="2958" w:type="pct"/>
            <w:gridSpan w:val="6"/>
            <w:tcMar>
              <w:left w:w="0" w:type="dxa"/>
              <w:right w:w="0" w:type="dxa"/>
            </w:tcMar>
            <w:vAlign w:val="center"/>
          </w:tcPr>
          <w:p w14:paraId="04B44AB9">
            <w:pPr>
              <w:adjustRightInd w:val="0"/>
              <w:snapToGrid w:val="0"/>
              <w:jc w:val="left"/>
              <w:rPr>
                <w:color w:val="auto"/>
                <w:sz w:val="15"/>
                <w:szCs w:val="15"/>
              </w:rPr>
            </w:pPr>
            <w:r>
              <w:rPr>
                <w:color w:val="auto"/>
                <w:sz w:val="15"/>
                <w:szCs w:val="15"/>
              </w:rPr>
              <w:t>影响范围</w:t>
            </w:r>
            <w:r>
              <w:rPr>
                <w:color w:val="auto"/>
                <w:kern w:val="0"/>
                <w:sz w:val="15"/>
                <w:szCs w:val="15"/>
              </w:rPr>
              <w:t>(    )</w:t>
            </w:r>
          </w:p>
          <w:p w14:paraId="0AE76045">
            <w:pPr>
              <w:adjustRightInd w:val="0"/>
              <w:snapToGrid w:val="0"/>
              <w:jc w:val="left"/>
              <w:rPr>
                <w:color w:val="auto"/>
                <w:sz w:val="15"/>
                <w:szCs w:val="15"/>
              </w:rPr>
            </w:pPr>
            <w:r>
              <w:rPr>
                <w:color w:val="auto"/>
                <w:sz w:val="15"/>
                <w:szCs w:val="15"/>
              </w:rPr>
              <w:t>影响程度</w:t>
            </w:r>
            <w:r>
              <w:rPr>
                <w:color w:val="auto"/>
                <w:kern w:val="0"/>
                <w:sz w:val="15"/>
                <w:szCs w:val="15"/>
              </w:rPr>
              <w:t>(    )</w:t>
            </w:r>
          </w:p>
        </w:tc>
        <w:tc>
          <w:tcPr>
            <w:tcW w:w="472" w:type="pct"/>
            <w:tcMar>
              <w:left w:w="0" w:type="dxa"/>
              <w:right w:w="0" w:type="dxa"/>
            </w:tcMar>
            <w:vAlign w:val="center"/>
          </w:tcPr>
          <w:p w14:paraId="5A6AAD47">
            <w:pPr>
              <w:adjustRightInd w:val="0"/>
              <w:snapToGrid w:val="0"/>
              <w:jc w:val="center"/>
              <w:rPr>
                <w:color w:val="auto"/>
                <w:sz w:val="15"/>
                <w:szCs w:val="15"/>
              </w:rPr>
            </w:pPr>
          </w:p>
        </w:tc>
      </w:tr>
      <w:tr w14:paraId="7FB4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3F0500F4">
            <w:pPr>
              <w:adjustRightInd w:val="0"/>
              <w:snapToGrid w:val="0"/>
              <w:jc w:val="center"/>
              <w:rPr>
                <w:color w:val="auto"/>
                <w:sz w:val="15"/>
                <w:szCs w:val="15"/>
              </w:rPr>
            </w:pPr>
          </w:p>
        </w:tc>
        <w:tc>
          <w:tcPr>
            <w:tcW w:w="1097" w:type="pct"/>
            <w:tcMar>
              <w:left w:w="0" w:type="dxa"/>
              <w:right w:w="0" w:type="dxa"/>
            </w:tcMar>
            <w:vAlign w:val="center"/>
          </w:tcPr>
          <w:p w14:paraId="0D79369B">
            <w:pPr>
              <w:adjustRightInd w:val="0"/>
              <w:snapToGrid w:val="0"/>
              <w:jc w:val="center"/>
              <w:rPr>
                <w:color w:val="auto"/>
                <w:sz w:val="15"/>
                <w:szCs w:val="15"/>
              </w:rPr>
            </w:pPr>
            <w:r>
              <w:rPr>
                <w:color w:val="auto"/>
                <w:sz w:val="15"/>
                <w:szCs w:val="15"/>
              </w:rPr>
              <w:t>预测结论</w:t>
            </w:r>
          </w:p>
        </w:tc>
        <w:tc>
          <w:tcPr>
            <w:tcW w:w="2958" w:type="pct"/>
            <w:gridSpan w:val="6"/>
            <w:tcMar>
              <w:left w:w="0" w:type="dxa"/>
              <w:right w:w="0" w:type="dxa"/>
            </w:tcMar>
            <w:vAlign w:val="center"/>
          </w:tcPr>
          <w:p w14:paraId="459D1CBD">
            <w:pPr>
              <w:adjustRightInd w:val="0"/>
              <w:snapToGrid w:val="0"/>
              <w:jc w:val="left"/>
              <w:rPr>
                <w:color w:val="auto"/>
                <w:sz w:val="15"/>
                <w:szCs w:val="15"/>
              </w:rPr>
            </w:pPr>
            <w:r>
              <w:rPr>
                <w:color w:val="auto"/>
                <w:sz w:val="15"/>
                <w:szCs w:val="15"/>
              </w:rPr>
              <w:t>达标结论：</w:t>
            </w:r>
            <w:r>
              <w:rPr>
                <w:color w:val="auto"/>
                <w:kern w:val="0"/>
                <w:sz w:val="15"/>
                <w:szCs w:val="15"/>
              </w:rPr>
              <w:t>a)</w:t>
            </w:r>
            <w:r>
              <w:rPr>
                <w:rFonts w:hint="eastAsia"/>
                <w:color w:val="auto"/>
                <w:sz w:val="15"/>
                <w:szCs w:val="15"/>
              </w:rPr>
              <w:t>□</w:t>
            </w:r>
            <w:r>
              <w:rPr>
                <w:color w:val="auto"/>
                <w:kern w:val="0"/>
                <w:sz w:val="15"/>
                <w:szCs w:val="15"/>
              </w:rPr>
              <w:t>；b)</w:t>
            </w:r>
            <w:r>
              <w:rPr>
                <w:rFonts w:hint="eastAsia"/>
                <w:color w:val="auto"/>
                <w:sz w:val="15"/>
                <w:szCs w:val="15"/>
              </w:rPr>
              <w:t>□</w:t>
            </w:r>
            <w:r>
              <w:rPr>
                <w:color w:val="auto"/>
                <w:kern w:val="0"/>
                <w:sz w:val="15"/>
                <w:szCs w:val="15"/>
              </w:rPr>
              <w:t>；c)</w:t>
            </w:r>
            <w:r>
              <w:rPr>
                <w:rFonts w:hint="eastAsia"/>
                <w:color w:val="auto"/>
                <w:sz w:val="15"/>
                <w:szCs w:val="15"/>
              </w:rPr>
              <w:t>□</w:t>
            </w:r>
          </w:p>
          <w:p w14:paraId="3A702DBC">
            <w:pPr>
              <w:adjustRightInd w:val="0"/>
              <w:snapToGrid w:val="0"/>
              <w:jc w:val="left"/>
              <w:rPr>
                <w:color w:val="auto"/>
                <w:sz w:val="15"/>
                <w:szCs w:val="15"/>
              </w:rPr>
            </w:pPr>
            <w:r>
              <w:rPr>
                <w:color w:val="auto"/>
                <w:sz w:val="15"/>
                <w:szCs w:val="15"/>
              </w:rPr>
              <w:t>不达标结论：</w:t>
            </w:r>
            <w:r>
              <w:rPr>
                <w:color w:val="auto"/>
                <w:kern w:val="0"/>
                <w:sz w:val="15"/>
                <w:szCs w:val="15"/>
              </w:rPr>
              <w:t>a)</w:t>
            </w:r>
            <w:r>
              <w:rPr>
                <w:rFonts w:hint="eastAsia"/>
                <w:color w:val="auto"/>
                <w:sz w:val="15"/>
                <w:szCs w:val="15"/>
              </w:rPr>
              <w:t>□</w:t>
            </w:r>
            <w:r>
              <w:rPr>
                <w:color w:val="auto"/>
                <w:kern w:val="0"/>
                <w:sz w:val="15"/>
                <w:szCs w:val="15"/>
              </w:rPr>
              <w:t>；b)</w:t>
            </w:r>
            <w:r>
              <w:rPr>
                <w:rFonts w:hint="eastAsia"/>
                <w:color w:val="auto"/>
                <w:sz w:val="15"/>
                <w:szCs w:val="15"/>
              </w:rPr>
              <w:t>□</w:t>
            </w:r>
            <w:r>
              <w:rPr>
                <w:color w:val="auto"/>
                <w:kern w:val="0"/>
                <w:sz w:val="15"/>
                <w:szCs w:val="15"/>
              </w:rPr>
              <w:t>；</w:t>
            </w:r>
          </w:p>
        </w:tc>
        <w:tc>
          <w:tcPr>
            <w:tcW w:w="472" w:type="pct"/>
            <w:tcMar>
              <w:left w:w="0" w:type="dxa"/>
              <w:right w:w="0" w:type="dxa"/>
            </w:tcMar>
            <w:vAlign w:val="center"/>
          </w:tcPr>
          <w:p w14:paraId="29BFFF56">
            <w:pPr>
              <w:adjustRightInd w:val="0"/>
              <w:snapToGrid w:val="0"/>
              <w:jc w:val="center"/>
              <w:rPr>
                <w:color w:val="auto"/>
                <w:sz w:val="15"/>
                <w:szCs w:val="15"/>
              </w:rPr>
            </w:pPr>
          </w:p>
        </w:tc>
      </w:tr>
      <w:tr w14:paraId="3FCF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restart"/>
            <w:tcMar>
              <w:left w:w="0" w:type="dxa"/>
              <w:right w:w="0" w:type="dxa"/>
            </w:tcMar>
            <w:vAlign w:val="center"/>
          </w:tcPr>
          <w:p w14:paraId="7C0148D4">
            <w:pPr>
              <w:adjustRightInd w:val="0"/>
              <w:snapToGrid w:val="0"/>
              <w:jc w:val="center"/>
              <w:rPr>
                <w:color w:val="auto"/>
                <w:sz w:val="15"/>
                <w:szCs w:val="15"/>
              </w:rPr>
            </w:pPr>
            <w:r>
              <w:rPr>
                <w:color w:val="auto"/>
                <w:sz w:val="15"/>
                <w:szCs w:val="15"/>
              </w:rPr>
              <w:t>防治措施</w:t>
            </w:r>
          </w:p>
        </w:tc>
        <w:tc>
          <w:tcPr>
            <w:tcW w:w="1097" w:type="pct"/>
            <w:tcMar>
              <w:left w:w="0" w:type="dxa"/>
              <w:right w:w="0" w:type="dxa"/>
            </w:tcMar>
            <w:vAlign w:val="center"/>
          </w:tcPr>
          <w:p w14:paraId="0F831847">
            <w:pPr>
              <w:adjustRightInd w:val="0"/>
              <w:snapToGrid w:val="0"/>
              <w:jc w:val="center"/>
              <w:rPr>
                <w:color w:val="auto"/>
                <w:sz w:val="15"/>
                <w:szCs w:val="15"/>
              </w:rPr>
            </w:pPr>
            <w:r>
              <w:rPr>
                <w:color w:val="auto"/>
                <w:sz w:val="15"/>
                <w:szCs w:val="15"/>
              </w:rPr>
              <w:t>防控措施</w:t>
            </w:r>
          </w:p>
        </w:tc>
        <w:tc>
          <w:tcPr>
            <w:tcW w:w="2958" w:type="pct"/>
            <w:gridSpan w:val="6"/>
            <w:tcMar>
              <w:left w:w="0" w:type="dxa"/>
              <w:right w:w="0" w:type="dxa"/>
            </w:tcMar>
            <w:vAlign w:val="center"/>
          </w:tcPr>
          <w:p w14:paraId="536095B0">
            <w:pPr>
              <w:adjustRightInd w:val="0"/>
              <w:snapToGrid w:val="0"/>
              <w:jc w:val="center"/>
              <w:rPr>
                <w:color w:val="auto"/>
                <w:sz w:val="15"/>
                <w:szCs w:val="15"/>
              </w:rPr>
            </w:pPr>
            <w:r>
              <w:rPr>
                <w:color w:val="auto"/>
                <w:sz w:val="15"/>
                <w:szCs w:val="15"/>
              </w:rPr>
              <w:t>土壤环境质量现状保障</w:t>
            </w:r>
            <w:r>
              <w:rPr>
                <w:rFonts w:hint="eastAsia"/>
                <w:color w:val="auto"/>
                <w:sz w:val="15"/>
                <w:szCs w:val="15"/>
                <w:lang w:eastAsia="zh-CN"/>
              </w:rPr>
              <w:t>☑</w:t>
            </w:r>
            <w:r>
              <w:rPr>
                <w:color w:val="auto"/>
                <w:kern w:val="0"/>
                <w:sz w:val="15"/>
                <w:szCs w:val="15"/>
              </w:rPr>
              <w:t>；源头控制</w:t>
            </w:r>
            <w:r>
              <w:rPr>
                <w:rFonts w:hint="eastAsia"/>
                <w:color w:val="auto"/>
                <w:sz w:val="15"/>
                <w:szCs w:val="15"/>
                <w:lang w:eastAsia="zh-CN"/>
              </w:rPr>
              <w:t>☑</w:t>
            </w:r>
            <w:r>
              <w:rPr>
                <w:color w:val="auto"/>
                <w:kern w:val="0"/>
                <w:sz w:val="15"/>
                <w:szCs w:val="15"/>
              </w:rPr>
              <w:t>；过程防控</w:t>
            </w:r>
            <w:r>
              <w:rPr>
                <w:rFonts w:hint="eastAsia"/>
                <w:color w:val="auto"/>
                <w:sz w:val="15"/>
                <w:szCs w:val="15"/>
                <w:lang w:eastAsia="zh-CN"/>
              </w:rPr>
              <w:t>☑</w:t>
            </w:r>
            <w:r>
              <w:rPr>
                <w:color w:val="auto"/>
                <w:kern w:val="0"/>
                <w:sz w:val="15"/>
                <w:szCs w:val="15"/>
              </w:rPr>
              <w:t>；其他(    )</w:t>
            </w:r>
          </w:p>
        </w:tc>
        <w:tc>
          <w:tcPr>
            <w:tcW w:w="472" w:type="pct"/>
            <w:tcMar>
              <w:left w:w="0" w:type="dxa"/>
              <w:right w:w="0" w:type="dxa"/>
            </w:tcMar>
            <w:vAlign w:val="center"/>
          </w:tcPr>
          <w:p w14:paraId="5DDD63FA">
            <w:pPr>
              <w:adjustRightInd w:val="0"/>
              <w:snapToGrid w:val="0"/>
              <w:jc w:val="center"/>
              <w:rPr>
                <w:color w:val="auto"/>
                <w:sz w:val="15"/>
                <w:szCs w:val="15"/>
              </w:rPr>
            </w:pPr>
          </w:p>
        </w:tc>
      </w:tr>
      <w:tr w14:paraId="7B5F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423F7DDD">
            <w:pPr>
              <w:adjustRightInd w:val="0"/>
              <w:snapToGrid w:val="0"/>
              <w:jc w:val="center"/>
              <w:rPr>
                <w:color w:val="auto"/>
                <w:sz w:val="15"/>
                <w:szCs w:val="15"/>
              </w:rPr>
            </w:pPr>
          </w:p>
        </w:tc>
        <w:tc>
          <w:tcPr>
            <w:tcW w:w="1097" w:type="pct"/>
            <w:vMerge w:val="restart"/>
            <w:tcMar>
              <w:left w:w="0" w:type="dxa"/>
              <w:right w:w="0" w:type="dxa"/>
            </w:tcMar>
            <w:vAlign w:val="center"/>
          </w:tcPr>
          <w:p w14:paraId="0454A41D">
            <w:pPr>
              <w:adjustRightInd w:val="0"/>
              <w:snapToGrid w:val="0"/>
              <w:jc w:val="center"/>
              <w:rPr>
                <w:color w:val="auto"/>
                <w:sz w:val="15"/>
                <w:szCs w:val="15"/>
              </w:rPr>
            </w:pPr>
            <w:r>
              <w:rPr>
                <w:color w:val="auto"/>
                <w:sz w:val="15"/>
                <w:szCs w:val="15"/>
              </w:rPr>
              <w:t>跟踪监测</w:t>
            </w:r>
          </w:p>
        </w:tc>
        <w:tc>
          <w:tcPr>
            <w:tcW w:w="1475" w:type="pct"/>
            <w:gridSpan w:val="2"/>
            <w:tcMar>
              <w:left w:w="0" w:type="dxa"/>
              <w:right w:w="0" w:type="dxa"/>
            </w:tcMar>
            <w:vAlign w:val="center"/>
          </w:tcPr>
          <w:p w14:paraId="24299938">
            <w:pPr>
              <w:adjustRightInd w:val="0"/>
              <w:snapToGrid w:val="0"/>
              <w:jc w:val="center"/>
              <w:rPr>
                <w:color w:val="auto"/>
                <w:sz w:val="15"/>
                <w:szCs w:val="15"/>
              </w:rPr>
            </w:pPr>
            <w:r>
              <w:rPr>
                <w:color w:val="auto"/>
                <w:sz w:val="15"/>
                <w:szCs w:val="15"/>
              </w:rPr>
              <w:t>监测点数</w:t>
            </w:r>
          </w:p>
        </w:tc>
        <w:tc>
          <w:tcPr>
            <w:tcW w:w="491" w:type="pct"/>
            <w:gridSpan w:val="2"/>
            <w:tcMar>
              <w:left w:w="0" w:type="dxa"/>
              <w:right w:w="0" w:type="dxa"/>
            </w:tcMar>
            <w:vAlign w:val="center"/>
          </w:tcPr>
          <w:p w14:paraId="0908B63B">
            <w:pPr>
              <w:adjustRightInd w:val="0"/>
              <w:snapToGrid w:val="0"/>
              <w:jc w:val="center"/>
              <w:rPr>
                <w:color w:val="auto"/>
                <w:sz w:val="15"/>
                <w:szCs w:val="15"/>
              </w:rPr>
            </w:pPr>
            <w:r>
              <w:rPr>
                <w:color w:val="auto"/>
                <w:sz w:val="15"/>
                <w:szCs w:val="15"/>
              </w:rPr>
              <w:t>监测指标</w:t>
            </w:r>
          </w:p>
        </w:tc>
        <w:tc>
          <w:tcPr>
            <w:tcW w:w="992" w:type="pct"/>
            <w:gridSpan w:val="2"/>
            <w:tcMar>
              <w:left w:w="0" w:type="dxa"/>
              <w:right w:w="0" w:type="dxa"/>
            </w:tcMar>
            <w:vAlign w:val="center"/>
          </w:tcPr>
          <w:p w14:paraId="7F3BF276">
            <w:pPr>
              <w:adjustRightInd w:val="0"/>
              <w:snapToGrid w:val="0"/>
              <w:jc w:val="center"/>
              <w:rPr>
                <w:color w:val="auto"/>
                <w:sz w:val="15"/>
                <w:szCs w:val="15"/>
              </w:rPr>
            </w:pPr>
            <w:r>
              <w:rPr>
                <w:color w:val="auto"/>
                <w:sz w:val="15"/>
                <w:szCs w:val="15"/>
              </w:rPr>
              <w:t>监测频次</w:t>
            </w:r>
          </w:p>
        </w:tc>
        <w:tc>
          <w:tcPr>
            <w:tcW w:w="472" w:type="pct"/>
            <w:vMerge w:val="restart"/>
            <w:tcMar>
              <w:left w:w="0" w:type="dxa"/>
              <w:right w:w="0" w:type="dxa"/>
            </w:tcMar>
            <w:vAlign w:val="center"/>
          </w:tcPr>
          <w:p w14:paraId="072D3C58">
            <w:pPr>
              <w:adjustRightInd w:val="0"/>
              <w:snapToGrid w:val="0"/>
              <w:jc w:val="center"/>
              <w:rPr>
                <w:color w:val="auto"/>
                <w:sz w:val="15"/>
                <w:szCs w:val="15"/>
              </w:rPr>
            </w:pPr>
          </w:p>
        </w:tc>
      </w:tr>
      <w:tr w14:paraId="5C2C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2B722BFC">
            <w:pPr>
              <w:adjustRightInd w:val="0"/>
              <w:snapToGrid w:val="0"/>
              <w:jc w:val="center"/>
              <w:rPr>
                <w:color w:val="auto"/>
                <w:sz w:val="15"/>
                <w:szCs w:val="15"/>
              </w:rPr>
            </w:pPr>
          </w:p>
        </w:tc>
        <w:tc>
          <w:tcPr>
            <w:tcW w:w="1097" w:type="pct"/>
            <w:vMerge w:val="continue"/>
            <w:tcMar>
              <w:left w:w="0" w:type="dxa"/>
              <w:right w:w="0" w:type="dxa"/>
            </w:tcMar>
            <w:vAlign w:val="center"/>
          </w:tcPr>
          <w:p w14:paraId="77E1EEB7">
            <w:pPr>
              <w:adjustRightInd w:val="0"/>
              <w:snapToGrid w:val="0"/>
              <w:jc w:val="center"/>
              <w:rPr>
                <w:color w:val="auto"/>
                <w:sz w:val="15"/>
                <w:szCs w:val="15"/>
              </w:rPr>
            </w:pPr>
          </w:p>
        </w:tc>
        <w:tc>
          <w:tcPr>
            <w:tcW w:w="1475" w:type="pct"/>
            <w:gridSpan w:val="2"/>
            <w:tcMar>
              <w:left w:w="0" w:type="dxa"/>
              <w:right w:w="0" w:type="dxa"/>
            </w:tcMar>
            <w:vAlign w:val="center"/>
          </w:tcPr>
          <w:p w14:paraId="2022E2CE">
            <w:pPr>
              <w:adjustRightInd w:val="0"/>
              <w:snapToGrid w:val="0"/>
              <w:jc w:val="center"/>
              <w:rPr>
                <w:color w:val="auto"/>
                <w:sz w:val="15"/>
                <w:szCs w:val="15"/>
              </w:rPr>
            </w:pPr>
            <w:r>
              <w:rPr>
                <w:color w:val="auto"/>
                <w:sz w:val="15"/>
                <w:szCs w:val="15"/>
              </w:rPr>
              <w:t>重点影响区和土壤环境敏感目标</w:t>
            </w:r>
          </w:p>
        </w:tc>
        <w:tc>
          <w:tcPr>
            <w:tcW w:w="491" w:type="pct"/>
            <w:gridSpan w:val="2"/>
            <w:tcMar>
              <w:left w:w="0" w:type="dxa"/>
              <w:right w:w="0" w:type="dxa"/>
            </w:tcMar>
            <w:vAlign w:val="center"/>
          </w:tcPr>
          <w:p w14:paraId="5E7D704F">
            <w:pPr>
              <w:adjustRightInd w:val="0"/>
              <w:snapToGrid w:val="0"/>
              <w:jc w:val="center"/>
              <w:rPr>
                <w:color w:val="auto"/>
                <w:sz w:val="15"/>
                <w:szCs w:val="15"/>
              </w:rPr>
            </w:pPr>
            <w:r>
              <w:rPr>
                <w:color w:val="auto"/>
                <w:sz w:val="15"/>
                <w:szCs w:val="15"/>
              </w:rPr>
              <w:t>特征因子</w:t>
            </w:r>
          </w:p>
        </w:tc>
        <w:tc>
          <w:tcPr>
            <w:tcW w:w="992" w:type="pct"/>
            <w:gridSpan w:val="2"/>
            <w:tcMar>
              <w:left w:w="0" w:type="dxa"/>
              <w:right w:w="0" w:type="dxa"/>
            </w:tcMar>
            <w:vAlign w:val="center"/>
          </w:tcPr>
          <w:p w14:paraId="7475CC6A">
            <w:pPr>
              <w:adjustRightInd w:val="0"/>
              <w:snapToGrid w:val="0"/>
              <w:jc w:val="center"/>
              <w:rPr>
                <w:color w:val="auto"/>
                <w:sz w:val="15"/>
                <w:szCs w:val="15"/>
              </w:rPr>
            </w:pPr>
            <w:r>
              <w:rPr>
                <w:rFonts w:hint="eastAsia"/>
                <w:color w:val="auto"/>
                <w:sz w:val="15"/>
                <w:szCs w:val="15"/>
                <w:lang w:val="en-US" w:eastAsia="zh-CN"/>
              </w:rPr>
              <w:t>5</w:t>
            </w:r>
            <w:r>
              <w:rPr>
                <w:color w:val="auto"/>
                <w:sz w:val="15"/>
                <w:szCs w:val="15"/>
              </w:rPr>
              <w:t>年/次</w:t>
            </w:r>
          </w:p>
        </w:tc>
        <w:tc>
          <w:tcPr>
            <w:tcW w:w="472" w:type="pct"/>
            <w:vMerge w:val="continue"/>
            <w:tcMar>
              <w:left w:w="0" w:type="dxa"/>
              <w:right w:w="0" w:type="dxa"/>
            </w:tcMar>
            <w:vAlign w:val="center"/>
          </w:tcPr>
          <w:p w14:paraId="5FE38585">
            <w:pPr>
              <w:adjustRightInd w:val="0"/>
              <w:snapToGrid w:val="0"/>
              <w:jc w:val="center"/>
              <w:rPr>
                <w:color w:val="auto"/>
                <w:sz w:val="15"/>
                <w:szCs w:val="15"/>
              </w:rPr>
            </w:pPr>
          </w:p>
        </w:tc>
      </w:tr>
      <w:tr w14:paraId="7635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3" w:type="pct"/>
            <w:vMerge w:val="continue"/>
            <w:tcMar>
              <w:left w:w="0" w:type="dxa"/>
              <w:right w:w="0" w:type="dxa"/>
            </w:tcMar>
            <w:vAlign w:val="center"/>
          </w:tcPr>
          <w:p w14:paraId="09DC3F19">
            <w:pPr>
              <w:adjustRightInd w:val="0"/>
              <w:snapToGrid w:val="0"/>
              <w:jc w:val="center"/>
              <w:rPr>
                <w:color w:val="auto"/>
                <w:sz w:val="15"/>
                <w:szCs w:val="15"/>
              </w:rPr>
            </w:pPr>
          </w:p>
        </w:tc>
        <w:tc>
          <w:tcPr>
            <w:tcW w:w="1097" w:type="pct"/>
            <w:tcMar>
              <w:left w:w="0" w:type="dxa"/>
              <w:right w:w="0" w:type="dxa"/>
            </w:tcMar>
            <w:vAlign w:val="center"/>
          </w:tcPr>
          <w:p w14:paraId="26348B29">
            <w:pPr>
              <w:adjustRightInd w:val="0"/>
              <w:snapToGrid w:val="0"/>
              <w:jc w:val="center"/>
              <w:rPr>
                <w:color w:val="auto"/>
                <w:sz w:val="15"/>
                <w:szCs w:val="15"/>
              </w:rPr>
            </w:pPr>
            <w:r>
              <w:rPr>
                <w:color w:val="auto"/>
                <w:sz w:val="15"/>
                <w:szCs w:val="15"/>
              </w:rPr>
              <w:t>信息公开指标</w:t>
            </w:r>
          </w:p>
        </w:tc>
        <w:tc>
          <w:tcPr>
            <w:tcW w:w="2958" w:type="pct"/>
            <w:gridSpan w:val="6"/>
            <w:tcMar>
              <w:left w:w="0" w:type="dxa"/>
              <w:right w:w="0" w:type="dxa"/>
            </w:tcMar>
            <w:vAlign w:val="center"/>
          </w:tcPr>
          <w:p w14:paraId="3608E2AF">
            <w:pPr>
              <w:adjustRightInd w:val="0"/>
              <w:snapToGrid w:val="0"/>
              <w:jc w:val="center"/>
              <w:rPr>
                <w:color w:val="auto"/>
                <w:sz w:val="15"/>
                <w:szCs w:val="15"/>
              </w:rPr>
            </w:pPr>
          </w:p>
        </w:tc>
        <w:tc>
          <w:tcPr>
            <w:tcW w:w="472" w:type="pct"/>
            <w:vMerge w:val="continue"/>
            <w:tcMar>
              <w:left w:w="0" w:type="dxa"/>
              <w:right w:w="0" w:type="dxa"/>
            </w:tcMar>
            <w:vAlign w:val="center"/>
          </w:tcPr>
          <w:p w14:paraId="49CF8D90">
            <w:pPr>
              <w:adjustRightInd w:val="0"/>
              <w:snapToGrid w:val="0"/>
              <w:jc w:val="center"/>
              <w:rPr>
                <w:color w:val="auto"/>
                <w:sz w:val="15"/>
                <w:szCs w:val="15"/>
              </w:rPr>
            </w:pPr>
          </w:p>
        </w:tc>
      </w:tr>
      <w:tr w14:paraId="7D4A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9" w:type="pct"/>
            <w:gridSpan w:val="2"/>
            <w:tcMar>
              <w:left w:w="0" w:type="dxa"/>
              <w:right w:w="0" w:type="dxa"/>
            </w:tcMar>
            <w:vAlign w:val="center"/>
          </w:tcPr>
          <w:p w14:paraId="5C018668">
            <w:pPr>
              <w:adjustRightInd w:val="0"/>
              <w:snapToGrid w:val="0"/>
              <w:jc w:val="center"/>
              <w:rPr>
                <w:color w:val="auto"/>
                <w:sz w:val="15"/>
                <w:szCs w:val="15"/>
              </w:rPr>
            </w:pPr>
            <w:r>
              <w:rPr>
                <w:color w:val="auto"/>
                <w:sz w:val="15"/>
                <w:szCs w:val="15"/>
              </w:rPr>
              <w:t>评价结论</w:t>
            </w:r>
          </w:p>
        </w:tc>
        <w:tc>
          <w:tcPr>
            <w:tcW w:w="2958" w:type="pct"/>
            <w:gridSpan w:val="6"/>
            <w:tcMar>
              <w:left w:w="0" w:type="dxa"/>
              <w:right w:w="0" w:type="dxa"/>
            </w:tcMar>
            <w:vAlign w:val="center"/>
          </w:tcPr>
          <w:p w14:paraId="4D96C21E">
            <w:pPr>
              <w:adjustRightInd w:val="0"/>
              <w:snapToGrid w:val="0"/>
              <w:jc w:val="center"/>
              <w:rPr>
                <w:color w:val="auto"/>
                <w:sz w:val="15"/>
                <w:szCs w:val="15"/>
              </w:rPr>
            </w:pPr>
            <w:r>
              <w:rPr>
                <w:color w:val="auto"/>
                <w:sz w:val="15"/>
                <w:szCs w:val="15"/>
              </w:rPr>
              <w:t>本项目的实施不会对土壤环境造成较大影响，项目建设是可行的。</w:t>
            </w:r>
          </w:p>
        </w:tc>
        <w:tc>
          <w:tcPr>
            <w:tcW w:w="472" w:type="pct"/>
            <w:tcMar>
              <w:left w:w="0" w:type="dxa"/>
              <w:right w:w="0" w:type="dxa"/>
            </w:tcMar>
            <w:vAlign w:val="center"/>
          </w:tcPr>
          <w:p w14:paraId="6F0C2FA0">
            <w:pPr>
              <w:adjustRightInd w:val="0"/>
              <w:snapToGrid w:val="0"/>
              <w:jc w:val="center"/>
              <w:rPr>
                <w:color w:val="auto"/>
                <w:sz w:val="15"/>
                <w:szCs w:val="15"/>
              </w:rPr>
            </w:pPr>
          </w:p>
        </w:tc>
      </w:tr>
      <w:tr w14:paraId="2A6E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9"/>
            <w:tcMar>
              <w:left w:w="0" w:type="dxa"/>
              <w:right w:w="0" w:type="dxa"/>
            </w:tcMar>
            <w:vAlign w:val="center"/>
          </w:tcPr>
          <w:p w14:paraId="4F5CA418">
            <w:pPr>
              <w:adjustRightInd w:val="0"/>
              <w:snapToGrid w:val="0"/>
              <w:jc w:val="left"/>
              <w:rPr>
                <w:color w:val="auto"/>
                <w:sz w:val="15"/>
                <w:szCs w:val="15"/>
              </w:rPr>
            </w:pPr>
            <w:r>
              <w:rPr>
                <w:color w:val="auto"/>
                <w:sz w:val="15"/>
                <w:szCs w:val="15"/>
              </w:rPr>
              <w:t>注1：</w:t>
            </w:r>
            <w:r>
              <w:rPr>
                <w:rFonts w:hint="eastAsia"/>
                <w:color w:val="auto"/>
                <w:sz w:val="15"/>
                <w:szCs w:val="15"/>
                <w:lang w:eastAsia="zh-CN"/>
              </w:rPr>
              <w:t>☑</w:t>
            </w:r>
            <w:r>
              <w:rPr>
                <w:color w:val="auto"/>
                <w:kern w:val="0"/>
                <w:sz w:val="15"/>
                <w:szCs w:val="15"/>
              </w:rPr>
              <w:t>为勾选项，可√；“(  )”为内容填写项，“备注”为其他补充内容。</w:t>
            </w:r>
          </w:p>
          <w:p w14:paraId="558459E5">
            <w:pPr>
              <w:adjustRightInd w:val="0"/>
              <w:snapToGrid w:val="0"/>
              <w:jc w:val="left"/>
              <w:rPr>
                <w:b/>
                <w:bCs/>
                <w:color w:val="auto"/>
                <w:sz w:val="15"/>
                <w:szCs w:val="15"/>
              </w:rPr>
            </w:pPr>
            <w:r>
              <w:rPr>
                <w:color w:val="auto"/>
                <w:sz w:val="15"/>
                <w:szCs w:val="15"/>
              </w:rPr>
              <w:t>注2：需要分别开展土壤环境影响评级工作的，分别填写自查表。</w:t>
            </w:r>
          </w:p>
        </w:tc>
      </w:tr>
    </w:tbl>
    <w:p w14:paraId="00CD3AF2">
      <w:pPr>
        <w:pStyle w:val="2"/>
        <w:rPr>
          <w:rFonts w:hint="default"/>
          <w:lang w:val="en-US" w:eastAsia="zh-CN"/>
        </w:rPr>
      </w:pPr>
    </w:p>
    <w:p w14:paraId="04E12B27">
      <w:pPr>
        <w:jc w:val="center"/>
        <w:rPr>
          <w:rFonts w:hint="default" w:ascii="Times New Roman" w:hAnsi="Times New Roman" w:eastAsia="宋体" w:cs="Times New Roman"/>
          <w:b/>
          <w:bCs/>
          <w:color w:val="C00000"/>
          <w:lang w:val="en-US" w:eastAsia="zh-CN"/>
        </w:rPr>
      </w:pPr>
    </w:p>
    <w:p w14:paraId="688AB7F6">
      <w:pPr>
        <w:jc w:val="center"/>
        <w:rPr>
          <w:rFonts w:hint="default" w:ascii="Times New Roman" w:hAnsi="Times New Roman" w:eastAsia="宋体" w:cs="Times New Roman"/>
          <w:b/>
          <w:bCs/>
          <w:color w:val="C00000"/>
          <w:lang w:val="en-US" w:eastAsia="zh-CN"/>
        </w:rPr>
      </w:pPr>
    </w:p>
    <w:p w14:paraId="0D5F008C">
      <w:pPr>
        <w:jc w:val="center"/>
        <w:rPr>
          <w:rFonts w:hint="default" w:ascii="Times New Roman" w:hAnsi="Times New Roman" w:eastAsia="宋体" w:cs="Times New Roman"/>
          <w:b/>
          <w:bCs/>
          <w:color w:val="C00000"/>
          <w:lang w:val="en-US" w:eastAsia="zh-CN"/>
        </w:rPr>
      </w:pPr>
    </w:p>
    <w:p w14:paraId="647C2CFA">
      <w:pPr>
        <w:jc w:val="center"/>
        <w:rPr>
          <w:rFonts w:hint="default" w:ascii="Times New Roman" w:hAnsi="Times New Roman" w:eastAsia="宋体" w:cs="Times New Roman"/>
          <w:b/>
          <w:bCs/>
          <w:color w:val="C00000"/>
          <w:lang w:val="en-US" w:eastAsia="zh-CN"/>
        </w:rPr>
      </w:pPr>
    </w:p>
    <w:p w14:paraId="616B67B0">
      <w:pPr>
        <w:jc w:val="center"/>
        <w:rPr>
          <w:rFonts w:hint="default" w:ascii="Times New Roman" w:hAnsi="Times New Roman" w:eastAsia="宋体" w:cs="Times New Roman"/>
          <w:b/>
          <w:bCs/>
          <w:color w:val="C00000"/>
          <w:lang w:val="en-US" w:eastAsia="zh-CN"/>
        </w:rPr>
      </w:pPr>
    </w:p>
    <w:p w14:paraId="3DFD3B21">
      <w:pPr>
        <w:jc w:val="center"/>
        <w:rPr>
          <w:rFonts w:hint="default" w:ascii="Times New Roman" w:hAnsi="Times New Roman" w:eastAsia="宋体" w:cs="Times New Roman"/>
          <w:b/>
          <w:bCs/>
          <w:color w:val="C00000"/>
          <w:lang w:val="en-US" w:eastAsia="zh-CN"/>
        </w:rPr>
      </w:pPr>
    </w:p>
    <w:p w14:paraId="7C8527C1">
      <w:pPr>
        <w:jc w:val="center"/>
        <w:rPr>
          <w:rFonts w:hint="default" w:ascii="Times New Roman" w:hAnsi="Times New Roman" w:eastAsia="宋体" w:cs="Times New Roman"/>
          <w:b/>
          <w:bCs/>
          <w:color w:val="C00000"/>
          <w:lang w:val="en-US" w:eastAsia="zh-CN"/>
        </w:rPr>
      </w:pPr>
    </w:p>
    <w:p w14:paraId="19ADAD74">
      <w:pPr>
        <w:jc w:val="center"/>
        <w:rPr>
          <w:rFonts w:hint="default" w:ascii="Times New Roman" w:hAnsi="Times New Roman" w:eastAsia="宋体" w:cs="Times New Roman"/>
          <w:b/>
          <w:bCs/>
          <w:color w:val="C00000"/>
          <w:lang w:val="en-US" w:eastAsia="zh-CN"/>
        </w:rPr>
      </w:pPr>
    </w:p>
    <w:p w14:paraId="731D15CD">
      <w:pPr>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附表</w:t>
      </w:r>
      <w:r>
        <w:rPr>
          <w:rFonts w:hint="eastAsia" w:cs="Times New Roman"/>
          <w:b/>
          <w:bCs/>
          <w:color w:val="auto"/>
          <w:lang w:val="en-US" w:eastAsia="zh-CN"/>
        </w:rPr>
        <w:t>4</w:t>
      </w:r>
      <w:r>
        <w:rPr>
          <w:rFonts w:hint="default"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val="en-US" w:eastAsia="zh-CN"/>
        </w:rPr>
        <w:t>建设项目环境风险评价自查表</w:t>
      </w:r>
    </w:p>
    <w:tbl>
      <w:tblPr>
        <w:tblStyle w:val="22"/>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2"/>
        <w:gridCol w:w="1153"/>
        <w:gridCol w:w="1139"/>
        <w:gridCol w:w="341"/>
        <w:gridCol w:w="590"/>
        <w:gridCol w:w="931"/>
        <w:gridCol w:w="94"/>
        <w:gridCol w:w="725"/>
        <w:gridCol w:w="883"/>
        <w:gridCol w:w="1"/>
        <w:gridCol w:w="812"/>
        <w:gridCol w:w="102"/>
        <w:gridCol w:w="956"/>
        <w:gridCol w:w="1"/>
        <w:gridCol w:w="858"/>
        <w:gridCol w:w="850"/>
      </w:tblGrid>
      <w:tr w14:paraId="43BE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Align w:val="center"/>
          </w:tcPr>
          <w:p w14:paraId="5C9A618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工作内容</w:t>
            </w:r>
          </w:p>
        </w:tc>
        <w:tc>
          <w:tcPr>
            <w:tcW w:w="8283" w:type="dxa"/>
            <w:gridSpan w:val="14"/>
            <w:vAlign w:val="center"/>
          </w:tcPr>
          <w:p w14:paraId="0F675086">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完成情况</w:t>
            </w:r>
          </w:p>
        </w:tc>
      </w:tr>
      <w:tr w14:paraId="5586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2" w:type="dxa"/>
            <w:vMerge w:val="restart"/>
            <w:vAlign w:val="center"/>
          </w:tcPr>
          <w:p w14:paraId="41EB7D40">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风险调查</w:t>
            </w:r>
          </w:p>
        </w:tc>
        <w:tc>
          <w:tcPr>
            <w:tcW w:w="1153" w:type="dxa"/>
            <w:vMerge w:val="restart"/>
            <w:vAlign w:val="center"/>
          </w:tcPr>
          <w:p w14:paraId="301581D6">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危险物质</w:t>
            </w:r>
          </w:p>
        </w:tc>
        <w:tc>
          <w:tcPr>
            <w:tcW w:w="1139" w:type="dxa"/>
            <w:vAlign w:val="center"/>
          </w:tcPr>
          <w:p w14:paraId="7197EFA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名称</w:t>
            </w:r>
          </w:p>
        </w:tc>
        <w:tc>
          <w:tcPr>
            <w:tcW w:w="931" w:type="dxa"/>
            <w:gridSpan w:val="2"/>
            <w:vAlign w:val="center"/>
          </w:tcPr>
          <w:p w14:paraId="46AE8B87">
            <w:pPr>
              <w:adjustRightInd w:val="0"/>
              <w:snapToGrid w:val="0"/>
              <w:jc w:val="center"/>
              <w:rPr>
                <w:rFonts w:hint="default" w:ascii="Times New Roman" w:hAnsi="Times New Roman" w:cs="Times New Roman"/>
                <w:bCs/>
                <w:color w:val="auto"/>
                <w:sz w:val="15"/>
                <w:szCs w:val="15"/>
                <w:lang w:eastAsia="zh-CN"/>
              </w:rPr>
            </w:pPr>
          </w:p>
        </w:tc>
        <w:tc>
          <w:tcPr>
            <w:tcW w:w="931" w:type="dxa"/>
            <w:vAlign w:val="center"/>
          </w:tcPr>
          <w:p w14:paraId="00866511">
            <w:pPr>
              <w:adjustRightInd w:val="0"/>
              <w:snapToGrid w:val="0"/>
              <w:jc w:val="center"/>
              <w:rPr>
                <w:rFonts w:hint="default" w:ascii="Times New Roman" w:hAnsi="Times New Roman" w:cs="Times New Roman"/>
                <w:bCs/>
                <w:color w:val="auto"/>
                <w:sz w:val="15"/>
                <w:szCs w:val="15"/>
                <w:lang w:eastAsia="zh-CN"/>
              </w:rPr>
            </w:pPr>
          </w:p>
        </w:tc>
        <w:tc>
          <w:tcPr>
            <w:tcW w:w="819" w:type="dxa"/>
            <w:gridSpan w:val="2"/>
            <w:vAlign w:val="center"/>
          </w:tcPr>
          <w:p w14:paraId="64AF906B">
            <w:pPr>
              <w:adjustRightInd w:val="0"/>
              <w:snapToGrid w:val="0"/>
              <w:jc w:val="center"/>
              <w:rPr>
                <w:rFonts w:hint="default" w:ascii="Times New Roman" w:hAnsi="Times New Roman" w:cs="Times New Roman"/>
                <w:bCs/>
                <w:color w:val="auto"/>
                <w:sz w:val="15"/>
                <w:szCs w:val="15"/>
              </w:rPr>
            </w:pPr>
          </w:p>
        </w:tc>
        <w:tc>
          <w:tcPr>
            <w:tcW w:w="883" w:type="dxa"/>
            <w:vAlign w:val="center"/>
          </w:tcPr>
          <w:p w14:paraId="57F94746">
            <w:pPr>
              <w:adjustRightInd w:val="0"/>
              <w:snapToGrid w:val="0"/>
              <w:jc w:val="center"/>
              <w:rPr>
                <w:rFonts w:hint="default" w:ascii="Times New Roman" w:hAnsi="Times New Roman" w:cs="Times New Roman"/>
                <w:bCs/>
                <w:color w:val="auto"/>
                <w:sz w:val="15"/>
                <w:szCs w:val="15"/>
              </w:rPr>
            </w:pPr>
          </w:p>
        </w:tc>
        <w:tc>
          <w:tcPr>
            <w:tcW w:w="915" w:type="dxa"/>
            <w:gridSpan w:val="3"/>
            <w:vAlign w:val="center"/>
          </w:tcPr>
          <w:p w14:paraId="23FA2731">
            <w:pPr>
              <w:adjustRightInd w:val="0"/>
              <w:snapToGrid w:val="0"/>
              <w:jc w:val="center"/>
              <w:rPr>
                <w:rFonts w:hint="default" w:ascii="Times New Roman" w:hAnsi="Times New Roman" w:cs="Times New Roman"/>
                <w:bCs/>
                <w:color w:val="auto"/>
                <w:sz w:val="15"/>
                <w:szCs w:val="15"/>
              </w:rPr>
            </w:pPr>
          </w:p>
        </w:tc>
        <w:tc>
          <w:tcPr>
            <w:tcW w:w="957" w:type="dxa"/>
            <w:gridSpan w:val="2"/>
            <w:vAlign w:val="center"/>
          </w:tcPr>
          <w:p w14:paraId="7DA4C182">
            <w:pPr>
              <w:adjustRightInd w:val="0"/>
              <w:snapToGrid w:val="0"/>
              <w:jc w:val="center"/>
              <w:rPr>
                <w:rFonts w:hint="default" w:ascii="Times New Roman" w:hAnsi="Times New Roman" w:cs="Times New Roman"/>
                <w:bCs/>
                <w:color w:val="auto"/>
                <w:sz w:val="15"/>
                <w:szCs w:val="15"/>
              </w:rPr>
            </w:pPr>
          </w:p>
        </w:tc>
        <w:tc>
          <w:tcPr>
            <w:tcW w:w="858" w:type="dxa"/>
            <w:vAlign w:val="center"/>
          </w:tcPr>
          <w:p w14:paraId="20A727AD">
            <w:pPr>
              <w:adjustRightInd w:val="0"/>
              <w:snapToGrid w:val="0"/>
              <w:jc w:val="center"/>
              <w:rPr>
                <w:rFonts w:hint="default" w:ascii="Times New Roman" w:hAnsi="Times New Roman" w:cs="Times New Roman"/>
                <w:bCs/>
                <w:color w:val="auto"/>
                <w:sz w:val="15"/>
                <w:szCs w:val="15"/>
              </w:rPr>
            </w:pPr>
          </w:p>
        </w:tc>
        <w:tc>
          <w:tcPr>
            <w:tcW w:w="850" w:type="dxa"/>
            <w:vAlign w:val="center"/>
          </w:tcPr>
          <w:p w14:paraId="170DC968">
            <w:pPr>
              <w:adjustRightInd w:val="0"/>
              <w:snapToGrid w:val="0"/>
              <w:jc w:val="center"/>
              <w:rPr>
                <w:rFonts w:hint="default" w:ascii="Times New Roman" w:hAnsi="Times New Roman" w:cs="Times New Roman"/>
                <w:bCs/>
                <w:color w:val="auto"/>
                <w:sz w:val="15"/>
                <w:szCs w:val="15"/>
              </w:rPr>
            </w:pPr>
          </w:p>
        </w:tc>
      </w:tr>
      <w:tr w14:paraId="50AE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4F6BE00E">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2DDF4E74">
            <w:pPr>
              <w:adjustRightInd w:val="0"/>
              <w:snapToGrid w:val="0"/>
              <w:jc w:val="center"/>
              <w:rPr>
                <w:rFonts w:hint="default" w:ascii="Times New Roman" w:hAnsi="Times New Roman" w:cs="Times New Roman"/>
                <w:bCs/>
                <w:color w:val="auto"/>
                <w:sz w:val="15"/>
                <w:szCs w:val="15"/>
              </w:rPr>
            </w:pPr>
          </w:p>
        </w:tc>
        <w:tc>
          <w:tcPr>
            <w:tcW w:w="1139" w:type="dxa"/>
            <w:vAlign w:val="center"/>
          </w:tcPr>
          <w:p w14:paraId="19643B52">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存在总量/t</w:t>
            </w:r>
          </w:p>
        </w:tc>
        <w:tc>
          <w:tcPr>
            <w:tcW w:w="931" w:type="dxa"/>
            <w:gridSpan w:val="2"/>
            <w:vAlign w:val="center"/>
          </w:tcPr>
          <w:p w14:paraId="19B4341B">
            <w:pPr>
              <w:adjustRightInd w:val="0"/>
              <w:snapToGrid w:val="0"/>
              <w:jc w:val="center"/>
              <w:rPr>
                <w:rFonts w:hint="default" w:ascii="Times New Roman" w:hAnsi="Times New Roman" w:cs="Times New Roman"/>
                <w:bCs/>
                <w:color w:val="auto"/>
                <w:sz w:val="15"/>
                <w:szCs w:val="15"/>
                <w:lang w:val="en-US" w:eastAsia="zh-CN"/>
              </w:rPr>
            </w:pPr>
          </w:p>
        </w:tc>
        <w:tc>
          <w:tcPr>
            <w:tcW w:w="931" w:type="dxa"/>
            <w:vAlign w:val="center"/>
          </w:tcPr>
          <w:p w14:paraId="18CABFDA">
            <w:pPr>
              <w:adjustRightInd w:val="0"/>
              <w:snapToGrid w:val="0"/>
              <w:jc w:val="center"/>
              <w:rPr>
                <w:rFonts w:hint="default" w:ascii="Times New Roman" w:hAnsi="Times New Roman" w:cs="Times New Roman"/>
                <w:bCs/>
                <w:color w:val="auto"/>
                <w:sz w:val="15"/>
                <w:szCs w:val="15"/>
                <w:lang w:val="en-US" w:eastAsia="zh-CN"/>
              </w:rPr>
            </w:pPr>
          </w:p>
        </w:tc>
        <w:tc>
          <w:tcPr>
            <w:tcW w:w="819" w:type="dxa"/>
            <w:gridSpan w:val="2"/>
            <w:vAlign w:val="center"/>
          </w:tcPr>
          <w:p w14:paraId="34BB2B88">
            <w:pPr>
              <w:adjustRightInd w:val="0"/>
              <w:snapToGrid w:val="0"/>
              <w:jc w:val="center"/>
              <w:rPr>
                <w:rFonts w:hint="default" w:ascii="Times New Roman" w:hAnsi="Times New Roman" w:cs="Times New Roman"/>
                <w:bCs/>
                <w:color w:val="auto"/>
                <w:sz w:val="15"/>
                <w:szCs w:val="15"/>
                <w:lang w:val="en-US" w:eastAsia="zh-CN"/>
              </w:rPr>
            </w:pPr>
          </w:p>
        </w:tc>
        <w:tc>
          <w:tcPr>
            <w:tcW w:w="883" w:type="dxa"/>
            <w:vAlign w:val="center"/>
          </w:tcPr>
          <w:p w14:paraId="5A126C72">
            <w:pPr>
              <w:adjustRightInd w:val="0"/>
              <w:snapToGrid w:val="0"/>
              <w:jc w:val="center"/>
              <w:rPr>
                <w:rFonts w:hint="default" w:ascii="Times New Roman" w:hAnsi="Times New Roman" w:cs="Times New Roman"/>
                <w:bCs/>
                <w:color w:val="auto"/>
                <w:sz w:val="15"/>
                <w:szCs w:val="15"/>
                <w:lang w:val="en-US" w:eastAsia="zh-CN"/>
              </w:rPr>
            </w:pPr>
          </w:p>
        </w:tc>
        <w:tc>
          <w:tcPr>
            <w:tcW w:w="915" w:type="dxa"/>
            <w:gridSpan w:val="3"/>
            <w:vAlign w:val="center"/>
          </w:tcPr>
          <w:p w14:paraId="00559475">
            <w:pPr>
              <w:adjustRightInd w:val="0"/>
              <w:snapToGrid w:val="0"/>
              <w:jc w:val="center"/>
              <w:rPr>
                <w:rFonts w:hint="default" w:ascii="Times New Roman" w:hAnsi="Times New Roman" w:cs="Times New Roman"/>
                <w:bCs/>
                <w:color w:val="auto"/>
                <w:sz w:val="15"/>
                <w:szCs w:val="15"/>
                <w:lang w:val="en-US" w:eastAsia="zh-CN"/>
              </w:rPr>
            </w:pPr>
          </w:p>
        </w:tc>
        <w:tc>
          <w:tcPr>
            <w:tcW w:w="957" w:type="dxa"/>
            <w:gridSpan w:val="2"/>
            <w:vAlign w:val="center"/>
          </w:tcPr>
          <w:p w14:paraId="55A84EC1">
            <w:pPr>
              <w:adjustRightInd w:val="0"/>
              <w:snapToGrid w:val="0"/>
              <w:jc w:val="center"/>
              <w:rPr>
                <w:rFonts w:hint="default" w:ascii="Times New Roman" w:hAnsi="Times New Roman" w:cs="Times New Roman"/>
                <w:bCs/>
                <w:color w:val="auto"/>
                <w:sz w:val="15"/>
                <w:szCs w:val="15"/>
                <w:lang w:val="en-US" w:eastAsia="zh-CN"/>
              </w:rPr>
            </w:pPr>
          </w:p>
        </w:tc>
        <w:tc>
          <w:tcPr>
            <w:tcW w:w="858" w:type="dxa"/>
            <w:vAlign w:val="center"/>
          </w:tcPr>
          <w:p w14:paraId="6C0A5445">
            <w:pPr>
              <w:adjustRightInd w:val="0"/>
              <w:snapToGrid w:val="0"/>
              <w:jc w:val="center"/>
              <w:rPr>
                <w:rFonts w:hint="default" w:ascii="Times New Roman" w:hAnsi="Times New Roman" w:cs="Times New Roman"/>
                <w:bCs/>
                <w:color w:val="auto"/>
                <w:sz w:val="15"/>
                <w:szCs w:val="15"/>
                <w:lang w:val="en-US" w:eastAsia="zh-CN"/>
              </w:rPr>
            </w:pPr>
          </w:p>
        </w:tc>
        <w:tc>
          <w:tcPr>
            <w:tcW w:w="850" w:type="dxa"/>
            <w:vAlign w:val="center"/>
          </w:tcPr>
          <w:p w14:paraId="2E6F2A6A">
            <w:pPr>
              <w:adjustRightInd w:val="0"/>
              <w:snapToGrid w:val="0"/>
              <w:jc w:val="center"/>
              <w:rPr>
                <w:rFonts w:hint="default" w:ascii="Times New Roman" w:hAnsi="Times New Roman" w:cs="Times New Roman"/>
                <w:bCs/>
                <w:color w:val="auto"/>
                <w:sz w:val="15"/>
                <w:szCs w:val="15"/>
                <w:lang w:val="en-US" w:eastAsia="zh-CN"/>
              </w:rPr>
            </w:pPr>
          </w:p>
        </w:tc>
      </w:tr>
      <w:tr w14:paraId="72EA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2D72C716">
            <w:pPr>
              <w:adjustRightInd w:val="0"/>
              <w:snapToGrid w:val="0"/>
              <w:jc w:val="center"/>
              <w:rPr>
                <w:rFonts w:hint="default" w:ascii="Times New Roman" w:hAnsi="Times New Roman" w:cs="Times New Roman"/>
                <w:bCs/>
                <w:color w:val="auto"/>
                <w:sz w:val="15"/>
                <w:szCs w:val="15"/>
              </w:rPr>
            </w:pPr>
          </w:p>
        </w:tc>
        <w:tc>
          <w:tcPr>
            <w:tcW w:w="1153" w:type="dxa"/>
            <w:vMerge w:val="restart"/>
            <w:vAlign w:val="center"/>
          </w:tcPr>
          <w:p w14:paraId="715893D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环境敏感性</w:t>
            </w:r>
          </w:p>
        </w:tc>
        <w:tc>
          <w:tcPr>
            <w:tcW w:w="1139" w:type="dxa"/>
            <w:vMerge w:val="restart"/>
            <w:vAlign w:val="center"/>
          </w:tcPr>
          <w:p w14:paraId="54F61975">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大气</w:t>
            </w:r>
          </w:p>
        </w:tc>
        <w:tc>
          <w:tcPr>
            <w:tcW w:w="3564" w:type="dxa"/>
            <w:gridSpan w:val="6"/>
            <w:vAlign w:val="center"/>
          </w:tcPr>
          <w:p w14:paraId="332FBF0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500m范围内人口数</w:t>
            </w:r>
            <w:r>
              <w:rPr>
                <w:rFonts w:hint="default" w:ascii="Times New Roman" w:hAnsi="Times New Roman" w:cs="Times New Roman"/>
                <w:bCs/>
                <w:color w:val="auto"/>
                <w:sz w:val="15"/>
                <w:szCs w:val="15"/>
                <w:lang w:val="en-US" w:eastAsia="zh-CN"/>
              </w:rPr>
              <w:t>200</w:t>
            </w:r>
            <w:r>
              <w:rPr>
                <w:rFonts w:hint="default" w:ascii="Times New Roman" w:hAnsi="Times New Roman" w:cs="Times New Roman"/>
                <w:bCs/>
                <w:color w:val="auto"/>
                <w:sz w:val="15"/>
                <w:szCs w:val="15"/>
              </w:rPr>
              <w:t>人</w:t>
            </w:r>
          </w:p>
        </w:tc>
        <w:tc>
          <w:tcPr>
            <w:tcW w:w="3580" w:type="dxa"/>
            <w:gridSpan w:val="7"/>
            <w:vAlign w:val="center"/>
          </w:tcPr>
          <w:p w14:paraId="2668D2F8">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5km范围内人口数 </w:t>
            </w:r>
            <w:r>
              <w:rPr>
                <w:rFonts w:hint="default" w:ascii="Times New Roman" w:hAnsi="Times New Roman" w:cs="Times New Roman"/>
                <w:bCs/>
                <w:color w:val="auto"/>
                <w:sz w:val="15"/>
                <w:szCs w:val="15"/>
                <w:lang w:val="en-US" w:eastAsia="zh-CN"/>
              </w:rPr>
              <w:t xml:space="preserve">2.0 </w:t>
            </w:r>
            <w:r>
              <w:rPr>
                <w:rFonts w:hint="default" w:ascii="Times New Roman" w:hAnsi="Times New Roman" w:cs="Times New Roman"/>
                <w:bCs/>
                <w:color w:val="auto"/>
                <w:sz w:val="15"/>
                <w:szCs w:val="15"/>
              </w:rPr>
              <w:t>万人</w:t>
            </w:r>
          </w:p>
        </w:tc>
      </w:tr>
      <w:tr w14:paraId="454A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7189F1D2">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172186DE">
            <w:pPr>
              <w:adjustRightInd w:val="0"/>
              <w:snapToGrid w:val="0"/>
              <w:jc w:val="center"/>
              <w:rPr>
                <w:rFonts w:hint="default" w:ascii="Times New Roman" w:hAnsi="Times New Roman" w:cs="Times New Roman"/>
                <w:bCs/>
                <w:color w:val="auto"/>
                <w:sz w:val="15"/>
                <w:szCs w:val="15"/>
              </w:rPr>
            </w:pPr>
          </w:p>
        </w:tc>
        <w:tc>
          <w:tcPr>
            <w:tcW w:w="1139" w:type="dxa"/>
            <w:vMerge w:val="continue"/>
            <w:vAlign w:val="center"/>
          </w:tcPr>
          <w:p w14:paraId="6A4AD49E">
            <w:pPr>
              <w:adjustRightInd w:val="0"/>
              <w:snapToGrid w:val="0"/>
              <w:jc w:val="center"/>
              <w:rPr>
                <w:rFonts w:hint="default" w:ascii="Times New Roman" w:hAnsi="Times New Roman" w:cs="Times New Roman"/>
                <w:bCs/>
                <w:color w:val="auto"/>
                <w:sz w:val="15"/>
                <w:szCs w:val="15"/>
              </w:rPr>
            </w:pPr>
          </w:p>
        </w:tc>
        <w:tc>
          <w:tcPr>
            <w:tcW w:w="5435" w:type="dxa"/>
            <w:gridSpan w:val="10"/>
            <w:vAlign w:val="center"/>
          </w:tcPr>
          <w:p w14:paraId="56CB243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每公里管段周边200m范围内人口数（最大）</w:t>
            </w:r>
          </w:p>
        </w:tc>
        <w:tc>
          <w:tcPr>
            <w:tcW w:w="1709" w:type="dxa"/>
            <w:gridSpan w:val="3"/>
            <w:vAlign w:val="center"/>
          </w:tcPr>
          <w:p w14:paraId="0FF95E0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人</w:t>
            </w:r>
          </w:p>
        </w:tc>
      </w:tr>
      <w:tr w14:paraId="4D71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461A6AB8">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03C0CF08">
            <w:pPr>
              <w:adjustRightInd w:val="0"/>
              <w:snapToGrid w:val="0"/>
              <w:jc w:val="center"/>
              <w:rPr>
                <w:rFonts w:hint="default" w:ascii="Times New Roman" w:hAnsi="Times New Roman" w:cs="Times New Roman"/>
                <w:bCs/>
                <w:color w:val="auto"/>
                <w:sz w:val="15"/>
                <w:szCs w:val="15"/>
              </w:rPr>
            </w:pPr>
          </w:p>
        </w:tc>
        <w:tc>
          <w:tcPr>
            <w:tcW w:w="1139" w:type="dxa"/>
            <w:vMerge w:val="restart"/>
            <w:vAlign w:val="center"/>
          </w:tcPr>
          <w:p w14:paraId="3C3172C1">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地表水</w:t>
            </w:r>
          </w:p>
        </w:tc>
        <w:tc>
          <w:tcPr>
            <w:tcW w:w="1956" w:type="dxa"/>
            <w:gridSpan w:val="4"/>
            <w:vAlign w:val="center"/>
          </w:tcPr>
          <w:p w14:paraId="1A6BEC0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地表水功能敏感性</w:t>
            </w:r>
          </w:p>
        </w:tc>
        <w:tc>
          <w:tcPr>
            <w:tcW w:w="1608" w:type="dxa"/>
            <w:gridSpan w:val="2"/>
            <w:vAlign w:val="center"/>
          </w:tcPr>
          <w:p w14:paraId="3280DCC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F1 □</w:t>
            </w:r>
          </w:p>
        </w:tc>
        <w:tc>
          <w:tcPr>
            <w:tcW w:w="1871" w:type="dxa"/>
            <w:gridSpan w:val="4"/>
            <w:vAlign w:val="center"/>
          </w:tcPr>
          <w:p w14:paraId="3898DD2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F2 □</w:t>
            </w:r>
          </w:p>
        </w:tc>
        <w:tc>
          <w:tcPr>
            <w:tcW w:w="1709" w:type="dxa"/>
            <w:gridSpan w:val="3"/>
            <w:vAlign w:val="center"/>
          </w:tcPr>
          <w:p w14:paraId="2E7EE46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F3 </w:t>
            </w:r>
            <w:r>
              <w:rPr>
                <w:rFonts w:hint="default" w:ascii="Times New Roman" w:hAnsi="Times New Roman" w:cs="Times New Roman"/>
                <w:bCs/>
                <w:color w:val="auto"/>
                <w:sz w:val="15"/>
                <w:szCs w:val="15"/>
              </w:rPr>
              <w:sym w:font="Wingdings 2" w:char="0052"/>
            </w:r>
          </w:p>
        </w:tc>
      </w:tr>
      <w:tr w14:paraId="6438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3A53FDB1">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2EBB2783">
            <w:pPr>
              <w:adjustRightInd w:val="0"/>
              <w:snapToGrid w:val="0"/>
              <w:jc w:val="center"/>
              <w:rPr>
                <w:rFonts w:hint="default" w:ascii="Times New Roman" w:hAnsi="Times New Roman" w:cs="Times New Roman"/>
                <w:bCs/>
                <w:color w:val="auto"/>
                <w:sz w:val="15"/>
                <w:szCs w:val="15"/>
              </w:rPr>
            </w:pPr>
          </w:p>
        </w:tc>
        <w:tc>
          <w:tcPr>
            <w:tcW w:w="1139" w:type="dxa"/>
            <w:vMerge w:val="continue"/>
            <w:vAlign w:val="center"/>
          </w:tcPr>
          <w:p w14:paraId="6A4AB282">
            <w:pPr>
              <w:adjustRightInd w:val="0"/>
              <w:snapToGrid w:val="0"/>
              <w:jc w:val="center"/>
              <w:rPr>
                <w:rFonts w:hint="default" w:ascii="Times New Roman" w:hAnsi="Times New Roman" w:cs="Times New Roman"/>
                <w:bCs/>
                <w:color w:val="auto"/>
                <w:sz w:val="15"/>
                <w:szCs w:val="15"/>
              </w:rPr>
            </w:pPr>
          </w:p>
        </w:tc>
        <w:tc>
          <w:tcPr>
            <w:tcW w:w="1956" w:type="dxa"/>
            <w:gridSpan w:val="4"/>
            <w:vAlign w:val="center"/>
          </w:tcPr>
          <w:p w14:paraId="6805B19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环境敏感目标分级</w:t>
            </w:r>
          </w:p>
        </w:tc>
        <w:tc>
          <w:tcPr>
            <w:tcW w:w="1608" w:type="dxa"/>
            <w:gridSpan w:val="2"/>
            <w:vAlign w:val="center"/>
          </w:tcPr>
          <w:p w14:paraId="421C0FE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S1 □</w:t>
            </w:r>
          </w:p>
        </w:tc>
        <w:tc>
          <w:tcPr>
            <w:tcW w:w="1871" w:type="dxa"/>
            <w:gridSpan w:val="4"/>
            <w:vAlign w:val="center"/>
          </w:tcPr>
          <w:p w14:paraId="46959CC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S2 □</w:t>
            </w:r>
          </w:p>
        </w:tc>
        <w:tc>
          <w:tcPr>
            <w:tcW w:w="1709" w:type="dxa"/>
            <w:gridSpan w:val="3"/>
            <w:vAlign w:val="center"/>
          </w:tcPr>
          <w:p w14:paraId="148414AF">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S3 □</w:t>
            </w:r>
          </w:p>
        </w:tc>
      </w:tr>
      <w:tr w14:paraId="79BD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6A2917AE">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1AF71893">
            <w:pPr>
              <w:adjustRightInd w:val="0"/>
              <w:snapToGrid w:val="0"/>
              <w:jc w:val="center"/>
              <w:rPr>
                <w:rFonts w:hint="default" w:ascii="Times New Roman" w:hAnsi="Times New Roman" w:cs="Times New Roman"/>
                <w:bCs/>
                <w:color w:val="auto"/>
                <w:sz w:val="15"/>
                <w:szCs w:val="15"/>
              </w:rPr>
            </w:pPr>
          </w:p>
        </w:tc>
        <w:tc>
          <w:tcPr>
            <w:tcW w:w="1139" w:type="dxa"/>
            <w:vMerge w:val="restart"/>
            <w:vAlign w:val="center"/>
          </w:tcPr>
          <w:p w14:paraId="07B8121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地下水</w:t>
            </w:r>
          </w:p>
        </w:tc>
        <w:tc>
          <w:tcPr>
            <w:tcW w:w="1956" w:type="dxa"/>
            <w:gridSpan w:val="4"/>
            <w:vAlign w:val="center"/>
          </w:tcPr>
          <w:p w14:paraId="5DE26E1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地下水功能敏感性</w:t>
            </w:r>
          </w:p>
        </w:tc>
        <w:tc>
          <w:tcPr>
            <w:tcW w:w="1608" w:type="dxa"/>
            <w:gridSpan w:val="2"/>
            <w:vAlign w:val="center"/>
          </w:tcPr>
          <w:p w14:paraId="12AF204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G1 □</w:t>
            </w:r>
          </w:p>
        </w:tc>
        <w:tc>
          <w:tcPr>
            <w:tcW w:w="1871" w:type="dxa"/>
            <w:gridSpan w:val="4"/>
            <w:vAlign w:val="center"/>
          </w:tcPr>
          <w:p w14:paraId="341EDB2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G2 □</w:t>
            </w:r>
          </w:p>
        </w:tc>
        <w:tc>
          <w:tcPr>
            <w:tcW w:w="1709" w:type="dxa"/>
            <w:gridSpan w:val="3"/>
            <w:vAlign w:val="center"/>
          </w:tcPr>
          <w:p w14:paraId="320F67F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G3 □</w:t>
            </w:r>
          </w:p>
        </w:tc>
      </w:tr>
      <w:tr w14:paraId="1748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44320BD0">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46CDDF05">
            <w:pPr>
              <w:adjustRightInd w:val="0"/>
              <w:snapToGrid w:val="0"/>
              <w:jc w:val="center"/>
              <w:rPr>
                <w:rFonts w:hint="default" w:ascii="Times New Roman" w:hAnsi="Times New Roman" w:cs="Times New Roman"/>
                <w:bCs/>
                <w:color w:val="auto"/>
                <w:sz w:val="15"/>
                <w:szCs w:val="15"/>
              </w:rPr>
            </w:pPr>
          </w:p>
        </w:tc>
        <w:tc>
          <w:tcPr>
            <w:tcW w:w="1139" w:type="dxa"/>
            <w:vMerge w:val="continue"/>
            <w:vAlign w:val="center"/>
          </w:tcPr>
          <w:p w14:paraId="1C1F8FE7">
            <w:pPr>
              <w:adjustRightInd w:val="0"/>
              <w:snapToGrid w:val="0"/>
              <w:jc w:val="center"/>
              <w:rPr>
                <w:rFonts w:hint="default" w:ascii="Times New Roman" w:hAnsi="Times New Roman" w:cs="Times New Roman"/>
                <w:bCs/>
                <w:color w:val="auto"/>
                <w:sz w:val="15"/>
                <w:szCs w:val="15"/>
              </w:rPr>
            </w:pPr>
          </w:p>
        </w:tc>
        <w:tc>
          <w:tcPr>
            <w:tcW w:w="1956" w:type="dxa"/>
            <w:gridSpan w:val="4"/>
            <w:vAlign w:val="center"/>
          </w:tcPr>
          <w:p w14:paraId="42FBDB5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包气带防污性能</w:t>
            </w:r>
          </w:p>
        </w:tc>
        <w:tc>
          <w:tcPr>
            <w:tcW w:w="1608" w:type="dxa"/>
            <w:gridSpan w:val="2"/>
            <w:vAlign w:val="center"/>
          </w:tcPr>
          <w:p w14:paraId="3395F4AF">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D1 □</w:t>
            </w:r>
          </w:p>
        </w:tc>
        <w:tc>
          <w:tcPr>
            <w:tcW w:w="1871" w:type="dxa"/>
            <w:gridSpan w:val="4"/>
            <w:vAlign w:val="center"/>
          </w:tcPr>
          <w:p w14:paraId="40493938">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D2 </w:t>
            </w:r>
            <w:r>
              <w:rPr>
                <w:rFonts w:hint="default" w:ascii="Times New Roman" w:hAnsi="Times New Roman" w:cs="Times New Roman"/>
                <w:bCs/>
                <w:color w:val="auto"/>
                <w:sz w:val="15"/>
                <w:szCs w:val="15"/>
              </w:rPr>
              <w:sym w:font="Wingdings 2" w:char="0052"/>
            </w:r>
          </w:p>
        </w:tc>
        <w:tc>
          <w:tcPr>
            <w:tcW w:w="1709" w:type="dxa"/>
            <w:gridSpan w:val="3"/>
            <w:vAlign w:val="center"/>
          </w:tcPr>
          <w:p w14:paraId="5BB3D40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D3 □</w:t>
            </w:r>
          </w:p>
        </w:tc>
      </w:tr>
      <w:tr w14:paraId="6269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Merge w:val="restart"/>
            <w:vAlign w:val="center"/>
          </w:tcPr>
          <w:p w14:paraId="05E28A32">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物质及工艺系统危险性</w:t>
            </w:r>
          </w:p>
        </w:tc>
        <w:tc>
          <w:tcPr>
            <w:tcW w:w="1139" w:type="dxa"/>
            <w:vAlign w:val="center"/>
          </w:tcPr>
          <w:p w14:paraId="6AB63A6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Q 值</w:t>
            </w:r>
          </w:p>
        </w:tc>
        <w:tc>
          <w:tcPr>
            <w:tcW w:w="1956" w:type="dxa"/>
            <w:gridSpan w:val="4"/>
            <w:vAlign w:val="center"/>
          </w:tcPr>
          <w:p w14:paraId="19C8989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Q＜1□</w:t>
            </w:r>
          </w:p>
        </w:tc>
        <w:tc>
          <w:tcPr>
            <w:tcW w:w="1608" w:type="dxa"/>
            <w:gridSpan w:val="2"/>
            <w:vAlign w:val="center"/>
          </w:tcPr>
          <w:p w14:paraId="767DF5B2">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1≤Q＜10□</w:t>
            </w:r>
          </w:p>
        </w:tc>
        <w:tc>
          <w:tcPr>
            <w:tcW w:w="1871" w:type="dxa"/>
            <w:gridSpan w:val="4"/>
            <w:vAlign w:val="center"/>
          </w:tcPr>
          <w:p w14:paraId="2E637E56">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10≤Q＜100□</w:t>
            </w:r>
          </w:p>
        </w:tc>
        <w:tc>
          <w:tcPr>
            <w:tcW w:w="1709" w:type="dxa"/>
            <w:gridSpan w:val="3"/>
            <w:vAlign w:val="center"/>
          </w:tcPr>
          <w:p w14:paraId="4E3D4F77">
            <w:pPr>
              <w:adjustRightInd w:val="0"/>
              <w:snapToGrid w:val="0"/>
              <w:jc w:val="center"/>
              <w:rPr>
                <w:rFonts w:hint="default" w:ascii="Times New Roman" w:hAnsi="Times New Roman" w:cs="Times New Roman"/>
                <w:bCs/>
                <w:color w:val="auto"/>
                <w:sz w:val="15"/>
                <w:szCs w:val="15"/>
                <w:lang w:eastAsia="zh-CN"/>
              </w:rPr>
            </w:pPr>
            <w:r>
              <w:rPr>
                <w:rFonts w:hint="default" w:ascii="Times New Roman" w:hAnsi="Times New Roman" w:cs="Times New Roman"/>
                <w:bCs/>
                <w:color w:val="auto"/>
                <w:sz w:val="15"/>
                <w:szCs w:val="15"/>
              </w:rPr>
              <w:t>Q＞100</w:t>
            </w:r>
            <w:r>
              <w:rPr>
                <w:rFonts w:hint="default" w:ascii="Times New Roman" w:hAnsi="Times New Roman" w:cs="Times New Roman"/>
                <w:bCs/>
                <w:color w:val="auto"/>
                <w:sz w:val="15"/>
                <w:szCs w:val="15"/>
                <w:lang w:eastAsia="zh-CN"/>
              </w:rPr>
              <w:t>□</w:t>
            </w:r>
          </w:p>
        </w:tc>
      </w:tr>
      <w:tr w14:paraId="4395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Merge w:val="continue"/>
            <w:vAlign w:val="center"/>
          </w:tcPr>
          <w:p w14:paraId="4CB78B9C">
            <w:pPr>
              <w:adjustRightInd w:val="0"/>
              <w:snapToGrid w:val="0"/>
              <w:jc w:val="center"/>
              <w:rPr>
                <w:rFonts w:hint="default" w:ascii="Times New Roman" w:hAnsi="Times New Roman" w:cs="Times New Roman"/>
                <w:bCs/>
                <w:color w:val="auto"/>
                <w:sz w:val="15"/>
                <w:szCs w:val="15"/>
              </w:rPr>
            </w:pPr>
          </w:p>
        </w:tc>
        <w:tc>
          <w:tcPr>
            <w:tcW w:w="1139" w:type="dxa"/>
            <w:vAlign w:val="center"/>
          </w:tcPr>
          <w:p w14:paraId="2CD49EFC">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M 值</w:t>
            </w:r>
          </w:p>
        </w:tc>
        <w:tc>
          <w:tcPr>
            <w:tcW w:w="1956" w:type="dxa"/>
            <w:gridSpan w:val="4"/>
            <w:vAlign w:val="center"/>
          </w:tcPr>
          <w:p w14:paraId="150AF6B5">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M1 □</w:t>
            </w:r>
          </w:p>
        </w:tc>
        <w:tc>
          <w:tcPr>
            <w:tcW w:w="1608" w:type="dxa"/>
            <w:gridSpan w:val="2"/>
            <w:vAlign w:val="center"/>
          </w:tcPr>
          <w:p w14:paraId="60FFB939">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M2 □</w:t>
            </w:r>
          </w:p>
        </w:tc>
        <w:tc>
          <w:tcPr>
            <w:tcW w:w="1871" w:type="dxa"/>
            <w:gridSpan w:val="4"/>
            <w:vAlign w:val="center"/>
          </w:tcPr>
          <w:p w14:paraId="4AABBE2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M3 □</w:t>
            </w:r>
          </w:p>
        </w:tc>
        <w:tc>
          <w:tcPr>
            <w:tcW w:w="1709" w:type="dxa"/>
            <w:gridSpan w:val="3"/>
            <w:vAlign w:val="center"/>
          </w:tcPr>
          <w:p w14:paraId="57C2660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M4 □</w:t>
            </w:r>
          </w:p>
        </w:tc>
      </w:tr>
      <w:tr w14:paraId="1664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Merge w:val="continue"/>
            <w:vAlign w:val="center"/>
          </w:tcPr>
          <w:p w14:paraId="48100FC1">
            <w:pPr>
              <w:adjustRightInd w:val="0"/>
              <w:snapToGrid w:val="0"/>
              <w:jc w:val="center"/>
              <w:rPr>
                <w:rFonts w:hint="default" w:ascii="Times New Roman" w:hAnsi="Times New Roman" w:cs="Times New Roman"/>
                <w:bCs/>
                <w:color w:val="auto"/>
                <w:sz w:val="15"/>
                <w:szCs w:val="15"/>
              </w:rPr>
            </w:pPr>
          </w:p>
        </w:tc>
        <w:tc>
          <w:tcPr>
            <w:tcW w:w="1139" w:type="dxa"/>
            <w:vAlign w:val="center"/>
          </w:tcPr>
          <w:p w14:paraId="6418272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P 值</w:t>
            </w:r>
          </w:p>
        </w:tc>
        <w:tc>
          <w:tcPr>
            <w:tcW w:w="1956" w:type="dxa"/>
            <w:gridSpan w:val="4"/>
            <w:vAlign w:val="center"/>
          </w:tcPr>
          <w:p w14:paraId="6D16FD0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P1 □</w:t>
            </w:r>
          </w:p>
        </w:tc>
        <w:tc>
          <w:tcPr>
            <w:tcW w:w="1608" w:type="dxa"/>
            <w:gridSpan w:val="2"/>
            <w:vAlign w:val="center"/>
          </w:tcPr>
          <w:p w14:paraId="6369B2B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P2 □</w:t>
            </w:r>
          </w:p>
        </w:tc>
        <w:tc>
          <w:tcPr>
            <w:tcW w:w="1871" w:type="dxa"/>
            <w:gridSpan w:val="4"/>
            <w:vAlign w:val="center"/>
          </w:tcPr>
          <w:p w14:paraId="7FD6C3E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P3 □</w:t>
            </w:r>
          </w:p>
        </w:tc>
        <w:tc>
          <w:tcPr>
            <w:tcW w:w="1709" w:type="dxa"/>
            <w:gridSpan w:val="3"/>
            <w:vAlign w:val="center"/>
          </w:tcPr>
          <w:p w14:paraId="3CBE73C9">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P4 □</w:t>
            </w:r>
          </w:p>
        </w:tc>
      </w:tr>
      <w:tr w14:paraId="2B7B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Merge w:val="restart"/>
            <w:vAlign w:val="center"/>
          </w:tcPr>
          <w:p w14:paraId="65AFC6A5">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环境敏感程度</w:t>
            </w:r>
          </w:p>
        </w:tc>
        <w:tc>
          <w:tcPr>
            <w:tcW w:w="1139" w:type="dxa"/>
            <w:vAlign w:val="center"/>
          </w:tcPr>
          <w:p w14:paraId="6A6BE208">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大气</w:t>
            </w:r>
          </w:p>
        </w:tc>
        <w:tc>
          <w:tcPr>
            <w:tcW w:w="1956" w:type="dxa"/>
            <w:gridSpan w:val="4"/>
            <w:vAlign w:val="center"/>
          </w:tcPr>
          <w:p w14:paraId="395B8D6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E1 □</w:t>
            </w:r>
          </w:p>
        </w:tc>
        <w:tc>
          <w:tcPr>
            <w:tcW w:w="2421" w:type="dxa"/>
            <w:gridSpan w:val="4"/>
            <w:vAlign w:val="center"/>
          </w:tcPr>
          <w:p w14:paraId="365C1600">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E2 □</w:t>
            </w:r>
          </w:p>
        </w:tc>
        <w:tc>
          <w:tcPr>
            <w:tcW w:w="2767" w:type="dxa"/>
            <w:gridSpan w:val="5"/>
            <w:vAlign w:val="center"/>
          </w:tcPr>
          <w:p w14:paraId="1132AE5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E3 □</w:t>
            </w:r>
          </w:p>
        </w:tc>
      </w:tr>
      <w:tr w14:paraId="777B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Merge w:val="continue"/>
            <w:vAlign w:val="center"/>
          </w:tcPr>
          <w:p w14:paraId="45290C6B">
            <w:pPr>
              <w:adjustRightInd w:val="0"/>
              <w:snapToGrid w:val="0"/>
              <w:jc w:val="center"/>
              <w:rPr>
                <w:rFonts w:hint="default" w:ascii="Times New Roman" w:hAnsi="Times New Roman" w:cs="Times New Roman"/>
                <w:bCs/>
                <w:color w:val="auto"/>
                <w:sz w:val="15"/>
                <w:szCs w:val="15"/>
              </w:rPr>
            </w:pPr>
          </w:p>
        </w:tc>
        <w:tc>
          <w:tcPr>
            <w:tcW w:w="1139" w:type="dxa"/>
            <w:vAlign w:val="center"/>
          </w:tcPr>
          <w:p w14:paraId="09593360">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地表水</w:t>
            </w:r>
          </w:p>
        </w:tc>
        <w:tc>
          <w:tcPr>
            <w:tcW w:w="1956" w:type="dxa"/>
            <w:gridSpan w:val="4"/>
            <w:vAlign w:val="center"/>
          </w:tcPr>
          <w:p w14:paraId="41455FF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E1 □</w:t>
            </w:r>
          </w:p>
        </w:tc>
        <w:tc>
          <w:tcPr>
            <w:tcW w:w="2421" w:type="dxa"/>
            <w:gridSpan w:val="4"/>
            <w:vAlign w:val="center"/>
          </w:tcPr>
          <w:p w14:paraId="6A010B0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E2 □</w:t>
            </w:r>
          </w:p>
        </w:tc>
        <w:tc>
          <w:tcPr>
            <w:tcW w:w="2767" w:type="dxa"/>
            <w:gridSpan w:val="5"/>
            <w:vAlign w:val="center"/>
          </w:tcPr>
          <w:p w14:paraId="08DF7FC6">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E3 □</w:t>
            </w:r>
          </w:p>
        </w:tc>
      </w:tr>
      <w:tr w14:paraId="7F63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Merge w:val="continue"/>
            <w:vAlign w:val="center"/>
          </w:tcPr>
          <w:p w14:paraId="427178A2">
            <w:pPr>
              <w:adjustRightInd w:val="0"/>
              <w:snapToGrid w:val="0"/>
              <w:jc w:val="center"/>
              <w:rPr>
                <w:rFonts w:hint="default" w:ascii="Times New Roman" w:hAnsi="Times New Roman" w:cs="Times New Roman"/>
                <w:bCs/>
                <w:color w:val="auto"/>
                <w:sz w:val="15"/>
                <w:szCs w:val="15"/>
              </w:rPr>
            </w:pPr>
          </w:p>
        </w:tc>
        <w:tc>
          <w:tcPr>
            <w:tcW w:w="1139" w:type="dxa"/>
            <w:vAlign w:val="center"/>
          </w:tcPr>
          <w:p w14:paraId="1EE2F98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地下水</w:t>
            </w:r>
          </w:p>
        </w:tc>
        <w:tc>
          <w:tcPr>
            <w:tcW w:w="1956" w:type="dxa"/>
            <w:gridSpan w:val="4"/>
            <w:vAlign w:val="center"/>
          </w:tcPr>
          <w:p w14:paraId="13C0070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E1 □</w:t>
            </w:r>
          </w:p>
        </w:tc>
        <w:tc>
          <w:tcPr>
            <w:tcW w:w="2421" w:type="dxa"/>
            <w:gridSpan w:val="4"/>
            <w:vAlign w:val="center"/>
          </w:tcPr>
          <w:p w14:paraId="28EBD76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E2 □</w:t>
            </w:r>
          </w:p>
        </w:tc>
        <w:tc>
          <w:tcPr>
            <w:tcW w:w="2767" w:type="dxa"/>
            <w:gridSpan w:val="5"/>
            <w:vAlign w:val="center"/>
          </w:tcPr>
          <w:p w14:paraId="7318FAA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E3 □</w:t>
            </w:r>
          </w:p>
        </w:tc>
      </w:tr>
      <w:tr w14:paraId="593A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Align w:val="center"/>
          </w:tcPr>
          <w:p w14:paraId="59570ED8">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环境风险潜势</w:t>
            </w:r>
          </w:p>
        </w:tc>
        <w:tc>
          <w:tcPr>
            <w:tcW w:w="1480" w:type="dxa"/>
            <w:gridSpan w:val="2"/>
            <w:vAlign w:val="center"/>
          </w:tcPr>
          <w:p w14:paraId="7CBC993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Ⅳ+□</w:t>
            </w:r>
          </w:p>
        </w:tc>
        <w:tc>
          <w:tcPr>
            <w:tcW w:w="1615" w:type="dxa"/>
            <w:gridSpan w:val="3"/>
            <w:vAlign w:val="center"/>
          </w:tcPr>
          <w:p w14:paraId="416E9B5E">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Ⅳ□</w:t>
            </w:r>
          </w:p>
        </w:tc>
        <w:tc>
          <w:tcPr>
            <w:tcW w:w="1609" w:type="dxa"/>
            <w:gridSpan w:val="3"/>
            <w:vAlign w:val="center"/>
          </w:tcPr>
          <w:p w14:paraId="338A3FE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Ⅲ□</w:t>
            </w:r>
          </w:p>
        </w:tc>
        <w:tc>
          <w:tcPr>
            <w:tcW w:w="1871" w:type="dxa"/>
            <w:gridSpan w:val="4"/>
            <w:vAlign w:val="center"/>
          </w:tcPr>
          <w:p w14:paraId="539ED571">
            <w:pPr>
              <w:adjustRightInd w:val="0"/>
              <w:snapToGrid w:val="0"/>
              <w:jc w:val="center"/>
              <w:rPr>
                <w:rFonts w:hint="default" w:ascii="Times New Roman" w:hAnsi="Times New Roman" w:cs="Times New Roman"/>
                <w:bCs/>
                <w:color w:val="auto"/>
                <w:sz w:val="15"/>
                <w:szCs w:val="15"/>
                <w:lang w:eastAsia="zh-CN"/>
              </w:rPr>
            </w:pPr>
            <w:r>
              <w:rPr>
                <w:rFonts w:hint="default" w:ascii="Times New Roman" w:hAnsi="Times New Roman" w:cs="Times New Roman"/>
                <w:bCs/>
                <w:color w:val="auto"/>
                <w:sz w:val="15"/>
                <w:szCs w:val="15"/>
              </w:rPr>
              <w:t>II</w:t>
            </w:r>
            <w:r>
              <w:rPr>
                <w:rFonts w:hint="default" w:ascii="Times New Roman" w:hAnsi="Times New Roman" w:cs="Times New Roman"/>
                <w:bCs/>
                <w:color w:val="auto"/>
                <w:sz w:val="15"/>
                <w:szCs w:val="15"/>
                <w:lang w:eastAsia="zh-CN"/>
              </w:rPr>
              <w:t>□</w:t>
            </w:r>
          </w:p>
        </w:tc>
        <w:tc>
          <w:tcPr>
            <w:tcW w:w="1708" w:type="dxa"/>
            <w:gridSpan w:val="2"/>
            <w:vAlign w:val="center"/>
          </w:tcPr>
          <w:p w14:paraId="7BB1272D">
            <w:pPr>
              <w:adjustRightInd w:val="0"/>
              <w:snapToGrid w:val="0"/>
              <w:jc w:val="center"/>
              <w:rPr>
                <w:rFonts w:hint="eastAsia" w:ascii="Times New Roman" w:hAnsi="Times New Roman" w:eastAsia="宋体" w:cs="Times New Roman"/>
                <w:bCs/>
                <w:color w:val="auto"/>
                <w:sz w:val="15"/>
                <w:szCs w:val="15"/>
                <w:lang w:eastAsia="zh-CN"/>
              </w:rPr>
            </w:pPr>
            <w:r>
              <w:rPr>
                <w:rFonts w:hint="default" w:ascii="Times New Roman" w:hAnsi="Times New Roman" w:cs="Times New Roman"/>
                <w:bCs/>
                <w:color w:val="auto"/>
                <w:sz w:val="15"/>
                <w:szCs w:val="15"/>
              </w:rPr>
              <w:t>I</w:t>
            </w:r>
            <w:r>
              <w:rPr>
                <w:rFonts w:hint="eastAsia" w:ascii="Times New Roman" w:hAnsi="Times New Roman" w:cs="Times New Roman"/>
                <w:bCs/>
                <w:color w:val="auto"/>
                <w:sz w:val="15"/>
                <w:szCs w:val="15"/>
                <w:lang w:eastAsia="zh-CN"/>
              </w:rPr>
              <w:t>☑</w:t>
            </w:r>
          </w:p>
        </w:tc>
      </w:tr>
      <w:tr w14:paraId="45F5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Align w:val="center"/>
          </w:tcPr>
          <w:p w14:paraId="6F10646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评价等级</w:t>
            </w:r>
          </w:p>
        </w:tc>
        <w:tc>
          <w:tcPr>
            <w:tcW w:w="3095" w:type="dxa"/>
            <w:gridSpan w:val="5"/>
            <w:vAlign w:val="center"/>
          </w:tcPr>
          <w:p w14:paraId="7C4D95A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一级□</w:t>
            </w:r>
          </w:p>
        </w:tc>
        <w:tc>
          <w:tcPr>
            <w:tcW w:w="1609" w:type="dxa"/>
            <w:gridSpan w:val="3"/>
            <w:vAlign w:val="center"/>
          </w:tcPr>
          <w:p w14:paraId="21BF3932">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二级□</w:t>
            </w:r>
          </w:p>
        </w:tc>
        <w:tc>
          <w:tcPr>
            <w:tcW w:w="1871" w:type="dxa"/>
            <w:gridSpan w:val="4"/>
            <w:vAlign w:val="center"/>
          </w:tcPr>
          <w:p w14:paraId="1BF42E3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三级□</w:t>
            </w:r>
          </w:p>
        </w:tc>
        <w:tc>
          <w:tcPr>
            <w:tcW w:w="1708" w:type="dxa"/>
            <w:gridSpan w:val="2"/>
            <w:vAlign w:val="center"/>
          </w:tcPr>
          <w:p w14:paraId="56247D5E">
            <w:pPr>
              <w:adjustRightInd w:val="0"/>
              <w:snapToGrid w:val="0"/>
              <w:jc w:val="center"/>
              <w:rPr>
                <w:rFonts w:hint="eastAsia" w:ascii="Times New Roman" w:hAnsi="Times New Roman" w:eastAsia="宋体" w:cs="Times New Roman"/>
                <w:bCs/>
                <w:color w:val="auto"/>
                <w:sz w:val="15"/>
                <w:szCs w:val="15"/>
                <w:lang w:eastAsia="zh-CN"/>
              </w:rPr>
            </w:pPr>
            <w:r>
              <w:rPr>
                <w:rFonts w:hint="default" w:ascii="Times New Roman" w:hAnsi="Times New Roman" w:cs="Times New Roman"/>
                <w:bCs/>
                <w:color w:val="auto"/>
                <w:sz w:val="15"/>
                <w:szCs w:val="15"/>
              </w:rPr>
              <w:t>简单分析</w:t>
            </w:r>
            <w:r>
              <w:rPr>
                <w:rFonts w:hint="eastAsia" w:ascii="Times New Roman" w:hAnsi="Times New Roman" w:cs="Times New Roman"/>
                <w:bCs/>
                <w:color w:val="auto"/>
                <w:sz w:val="15"/>
                <w:szCs w:val="15"/>
                <w:lang w:eastAsia="zh-CN"/>
              </w:rPr>
              <w:t>☑</w:t>
            </w:r>
          </w:p>
        </w:tc>
      </w:tr>
      <w:tr w14:paraId="6546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restart"/>
            <w:vAlign w:val="center"/>
          </w:tcPr>
          <w:p w14:paraId="573AEB97">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风险识别</w:t>
            </w:r>
          </w:p>
        </w:tc>
        <w:tc>
          <w:tcPr>
            <w:tcW w:w="1153" w:type="dxa"/>
            <w:vAlign w:val="center"/>
          </w:tcPr>
          <w:p w14:paraId="61E20B9F">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物质危险性</w:t>
            </w:r>
          </w:p>
        </w:tc>
        <w:tc>
          <w:tcPr>
            <w:tcW w:w="3820" w:type="dxa"/>
            <w:gridSpan w:val="6"/>
            <w:vAlign w:val="center"/>
          </w:tcPr>
          <w:p w14:paraId="04C01FC5">
            <w:pPr>
              <w:adjustRightInd w:val="0"/>
              <w:snapToGrid w:val="0"/>
              <w:jc w:val="center"/>
              <w:rPr>
                <w:rFonts w:hint="default" w:ascii="Times New Roman" w:hAnsi="Times New Roman" w:cs="Times New Roman"/>
                <w:bCs/>
                <w:color w:val="auto"/>
                <w:sz w:val="15"/>
                <w:szCs w:val="15"/>
                <w:lang w:eastAsia="zh-CN"/>
              </w:rPr>
            </w:pPr>
            <w:r>
              <w:rPr>
                <w:rFonts w:hint="default" w:ascii="Times New Roman" w:hAnsi="Times New Roman" w:cs="Times New Roman"/>
                <w:bCs/>
                <w:color w:val="auto"/>
                <w:sz w:val="15"/>
                <w:szCs w:val="15"/>
              </w:rPr>
              <w:t>有毒有害</w:t>
            </w:r>
            <w:r>
              <w:rPr>
                <w:rFonts w:hint="default" w:ascii="Times New Roman" w:hAnsi="Times New Roman" w:cs="Times New Roman"/>
                <w:bCs/>
                <w:color w:val="auto"/>
                <w:sz w:val="15"/>
                <w:szCs w:val="15"/>
                <w:lang w:eastAsia="zh-CN"/>
              </w:rPr>
              <w:t>☑</w:t>
            </w:r>
          </w:p>
        </w:tc>
        <w:tc>
          <w:tcPr>
            <w:tcW w:w="4463" w:type="dxa"/>
            <w:gridSpan w:val="8"/>
            <w:vAlign w:val="center"/>
          </w:tcPr>
          <w:p w14:paraId="6963759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易燃易爆</w:t>
            </w:r>
            <w:r>
              <w:rPr>
                <w:rFonts w:hint="default" w:ascii="Times New Roman" w:hAnsi="Times New Roman" w:cs="Times New Roman"/>
                <w:bCs/>
                <w:color w:val="auto"/>
                <w:sz w:val="15"/>
                <w:szCs w:val="15"/>
              </w:rPr>
              <w:sym w:font="Wingdings 2" w:char="0052"/>
            </w:r>
          </w:p>
        </w:tc>
      </w:tr>
      <w:tr w14:paraId="1F08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57E9141A">
            <w:pPr>
              <w:adjustRightInd w:val="0"/>
              <w:snapToGrid w:val="0"/>
              <w:jc w:val="center"/>
              <w:rPr>
                <w:rFonts w:hint="default" w:ascii="Times New Roman" w:hAnsi="Times New Roman" w:cs="Times New Roman"/>
                <w:bCs/>
                <w:color w:val="auto"/>
                <w:sz w:val="15"/>
                <w:szCs w:val="15"/>
              </w:rPr>
            </w:pPr>
          </w:p>
        </w:tc>
        <w:tc>
          <w:tcPr>
            <w:tcW w:w="1153" w:type="dxa"/>
            <w:vAlign w:val="center"/>
          </w:tcPr>
          <w:p w14:paraId="2D83BB0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环境风险类型</w:t>
            </w:r>
          </w:p>
        </w:tc>
        <w:tc>
          <w:tcPr>
            <w:tcW w:w="3095" w:type="dxa"/>
            <w:gridSpan w:val="5"/>
            <w:vAlign w:val="center"/>
          </w:tcPr>
          <w:p w14:paraId="3893656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泄漏 </w:t>
            </w:r>
            <w:r>
              <w:rPr>
                <w:rFonts w:hint="default" w:ascii="Times New Roman" w:hAnsi="Times New Roman" w:cs="Times New Roman"/>
                <w:bCs/>
                <w:color w:val="auto"/>
                <w:sz w:val="15"/>
                <w:szCs w:val="15"/>
              </w:rPr>
              <w:sym w:font="Wingdings 2" w:char="0052"/>
            </w:r>
          </w:p>
        </w:tc>
        <w:tc>
          <w:tcPr>
            <w:tcW w:w="5188" w:type="dxa"/>
            <w:gridSpan w:val="9"/>
            <w:vAlign w:val="center"/>
          </w:tcPr>
          <w:p w14:paraId="7C2E287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火灾、爆炸引发伴生/次生污染物排放 </w:t>
            </w:r>
            <w:r>
              <w:rPr>
                <w:rFonts w:hint="default" w:ascii="Times New Roman" w:hAnsi="Times New Roman" w:cs="Times New Roman"/>
                <w:bCs/>
                <w:color w:val="auto"/>
                <w:sz w:val="15"/>
                <w:szCs w:val="15"/>
              </w:rPr>
              <w:sym w:font="Wingdings 2" w:char="0052"/>
            </w:r>
          </w:p>
        </w:tc>
      </w:tr>
      <w:tr w14:paraId="6B2C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584454C1">
            <w:pPr>
              <w:adjustRightInd w:val="0"/>
              <w:snapToGrid w:val="0"/>
              <w:jc w:val="center"/>
              <w:rPr>
                <w:rFonts w:hint="default" w:ascii="Times New Roman" w:hAnsi="Times New Roman" w:cs="Times New Roman"/>
                <w:bCs/>
                <w:color w:val="auto"/>
                <w:sz w:val="15"/>
                <w:szCs w:val="15"/>
              </w:rPr>
            </w:pPr>
          </w:p>
        </w:tc>
        <w:tc>
          <w:tcPr>
            <w:tcW w:w="1153" w:type="dxa"/>
            <w:vAlign w:val="center"/>
          </w:tcPr>
          <w:p w14:paraId="57318407">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影响途径</w:t>
            </w:r>
          </w:p>
        </w:tc>
        <w:tc>
          <w:tcPr>
            <w:tcW w:w="3095" w:type="dxa"/>
            <w:gridSpan w:val="5"/>
            <w:vAlign w:val="center"/>
          </w:tcPr>
          <w:p w14:paraId="1400EBC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大气 </w:t>
            </w:r>
            <w:r>
              <w:rPr>
                <w:rFonts w:hint="default" w:ascii="Times New Roman" w:hAnsi="Times New Roman" w:cs="Times New Roman"/>
                <w:bCs/>
                <w:color w:val="auto"/>
                <w:sz w:val="15"/>
                <w:szCs w:val="15"/>
              </w:rPr>
              <w:sym w:font="Wingdings 2" w:char="0052"/>
            </w:r>
          </w:p>
        </w:tc>
        <w:tc>
          <w:tcPr>
            <w:tcW w:w="2421" w:type="dxa"/>
            <w:gridSpan w:val="4"/>
            <w:vAlign w:val="center"/>
          </w:tcPr>
          <w:p w14:paraId="1B109FE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地表水 </w:t>
            </w:r>
            <w:r>
              <w:rPr>
                <w:rFonts w:hint="default" w:ascii="Times New Roman" w:hAnsi="Times New Roman" w:cs="Times New Roman"/>
                <w:bCs/>
                <w:color w:val="auto"/>
                <w:sz w:val="15"/>
                <w:szCs w:val="15"/>
              </w:rPr>
              <w:sym w:font="Wingdings 2" w:char="0052"/>
            </w:r>
          </w:p>
        </w:tc>
        <w:tc>
          <w:tcPr>
            <w:tcW w:w="2767" w:type="dxa"/>
            <w:gridSpan w:val="5"/>
            <w:vAlign w:val="center"/>
          </w:tcPr>
          <w:p w14:paraId="696B946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地下水 </w:t>
            </w:r>
            <w:r>
              <w:rPr>
                <w:rFonts w:hint="default" w:ascii="Times New Roman" w:hAnsi="Times New Roman" w:cs="Times New Roman"/>
                <w:bCs/>
                <w:color w:val="auto"/>
                <w:sz w:val="15"/>
                <w:szCs w:val="15"/>
              </w:rPr>
              <w:sym w:font="Wingdings 2" w:char="0052"/>
            </w:r>
          </w:p>
        </w:tc>
      </w:tr>
      <w:tr w14:paraId="63CA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Align w:val="center"/>
          </w:tcPr>
          <w:p w14:paraId="16245A3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事故情形分析</w:t>
            </w:r>
          </w:p>
        </w:tc>
        <w:tc>
          <w:tcPr>
            <w:tcW w:w="1480" w:type="dxa"/>
            <w:gridSpan w:val="2"/>
            <w:vAlign w:val="center"/>
          </w:tcPr>
          <w:p w14:paraId="5A23EE4F">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源强设定方法</w:t>
            </w:r>
          </w:p>
        </w:tc>
        <w:tc>
          <w:tcPr>
            <w:tcW w:w="1615" w:type="dxa"/>
            <w:gridSpan w:val="3"/>
            <w:vAlign w:val="center"/>
          </w:tcPr>
          <w:p w14:paraId="16AE5B4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计算法□</w:t>
            </w:r>
          </w:p>
        </w:tc>
        <w:tc>
          <w:tcPr>
            <w:tcW w:w="2421" w:type="dxa"/>
            <w:gridSpan w:val="4"/>
            <w:vAlign w:val="center"/>
          </w:tcPr>
          <w:p w14:paraId="0FB9EC70">
            <w:pPr>
              <w:adjustRightInd w:val="0"/>
              <w:snapToGrid w:val="0"/>
              <w:jc w:val="center"/>
              <w:rPr>
                <w:rFonts w:hint="default" w:ascii="Times New Roman" w:hAnsi="Times New Roman" w:cs="Times New Roman"/>
                <w:bCs/>
                <w:color w:val="auto"/>
                <w:sz w:val="15"/>
                <w:szCs w:val="15"/>
                <w:lang w:eastAsia="zh-CN"/>
              </w:rPr>
            </w:pPr>
            <w:r>
              <w:rPr>
                <w:rFonts w:hint="default" w:ascii="Times New Roman" w:hAnsi="Times New Roman" w:cs="Times New Roman"/>
                <w:bCs/>
                <w:color w:val="auto"/>
                <w:sz w:val="15"/>
                <w:szCs w:val="15"/>
              </w:rPr>
              <w:t>经验估算法</w:t>
            </w:r>
            <w:r>
              <w:rPr>
                <w:rFonts w:hint="default" w:ascii="Times New Roman" w:hAnsi="Times New Roman" w:cs="Times New Roman"/>
                <w:bCs/>
                <w:color w:val="auto"/>
                <w:sz w:val="15"/>
                <w:szCs w:val="15"/>
                <w:lang w:eastAsia="zh-CN"/>
              </w:rPr>
              <w:t>□</w:t>
            </w:r>
          </w:p>
        </w:tc>
        <w:tc>
          <w:tcPr>
            <w:tcW w:w="2767" w:type="dxa"/>
            <w:gridSpan w:val="5"/>
            <w:vAlign w:val="center"/>
          </w:tcPr>
          <w:p w14:paraId="1C002139">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其他估算法□</w:t>
            </w:r>
          </w:p>
        </w:tc>
      </w:tr>
      <w:tr w14:paraId="24D9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restart"/>
            <w:vAlign w:val="center"/>
          </w:tcPr>
          <w:p w14:paraId="6CB4604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风险预测与评价</w:t>
            </w:r>
          </w:p>
        </w:tc>
        <w:tc>
          <w:tcPr>
            <w:tcW w:w="1153" w:type="dxa"/>
            <w:vMerge w:val="restart"/>
            <w:vAlign w:val="center"/>
          </w:tcPr>
          <w:p w14:paraId="48A8D7E5">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大气</w:t>
            </w:r>
          </w:p>
        </w:tc>
        <w:tc>
          <w:tcPr>
            <w:tcW w:w="1480" w:type="dxa"/>
            <w:gridSpan w:val="2"/>
            <w:vAlign w:val="center"/>
          </w:tcPr>
          <w:p w14:paraId="7BB8EB60">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预测模型</w:t>
            </w:r>
          </w:p>
        </w:tc>
        <w:tc>
          <w:tcPr>
            <w:tcW w:w="1615" w:type="dxa"/>
            <w:gridSpan w:val="3"/>
            <w:vAlign w:val="center"/>
          </w:tcPr>
          <w:p w14:paraId="5AE3C245">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SLAB □</w:t>
            </w:r>
          </w:p>
        </w:tc>
        <w:tc>
          <w:tcPr>
            <w:tcW w:w="2421" w:type="dxa"/>
            <w:gridSpan w:val="4"/>
            <w:vAlign w:val="center"/>
          </w:tcPr>
          <w:p w14:paraId="140614D8">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AFTOX □</w:t>
            </w:r>
          </w:p>
        </w:tc>
        <w:tc>
          <w:tcPr>
            <w:tcW w:w="2767" w:type="dxa"/>
            <w:gridSpan w:val="5"/>
            <w:vAlign w:val="center"/>
          </w:tcPr>
          <w:p w14:paraId="106AFE4D">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其他□</w:t>
            </w:r>
          </w:p>
        </w:tc>
      </w:tr>
      <w:tr w14:paraId="17CC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6F391D5D">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6EBC8A5A">
            <w:pPr>
              <w:adjustRightInd w:val="0"/>
              <w:snapToGrid w:val="0"/>
              <w:jc w:val="center"/>
              <w:rPr>
                <w:rFonts w:hint="default" w:ascii="Times New Roman" w:hAnsi="Times New Roman" w:cs="Times New Roman"/>
                <w:bCs/>
                <w:color w:val="auto"/>
                <w:sz w:val="15"/>
                <w:szCs w:val="15"/>
              </w:rPr>
            </w:pPr>
          </w:p>
        </w:tc>
        <w:tc>
          <w:tcPr>
            <w:tcW w:w="1480" w:type="dxa"/>
            <w:gridSpan w:val="2"/>
            <w:vMerge w:val="restart"/>
            <w:vAlign w:val="center"/>
          </w:tcPr>
          <w:p w14:paraId="73A285B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预测结果</w:t>
            </w:r>
          </w:p>
        </w:tc>
        <w:tc>
          <w:tcPr>
            <w:tcW w:w="6803" w:type="dxa"/>
            <w:gridSpan w:val="12"/>
            <w:vAlign w:val="center"/>
          </w:tcPr>
          <w:p w14:paraId="7CE905C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大气毒性终点浓度-1  最大影响范围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m</w:t>
            </w:r>
          </w:p>
        </w:tc>
      </w:tr>
      <w:tr w14:paraId="02DC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647F0BEC">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7AD8DBDA">
            <w:pPr>
              <w:adjustRightInd w:val="0"/>
              <w:snapToGrid w:val="0"/>
              <w:jc w:val="center"/>
              <w:rPr>
                <w:rFonts w:hint="default" w:ascii="Times New Roman" w:hAnsi="Times New Roman" w:cs="Times New Roman"/>
                <w:bCs/>
                <w:color w:val="auto"/>
                <w:sz w:val="15"/>
                <w:szCs w:val="15"/>
              </w:rPr>
            </w:pPr>
          </w:p>
        </w:tc>
        <w:tc>
          <w:tcPr>
            <w:tcW w:w="1480" w:type="dxa"/>
            <w:gridSpan w:val="2"/>
            <w:vMerge w:val="continue"/>
            <w:vAlign w:val="center"/>
          </w:tcPr>
          <w:p w14:paraId="2B0B0171">
            <w:pPr>
              <w:adjustRightInd w:val="0"/>
              <w:snapToGrid w:val="0"/>
              <w:jc w:val="center"/>
              <w:rPr>
                <w:rFonts w:hint="default" w:ascii="Times New Roman" w:hAnsi="Times New Roman" w:cs="Times New Roman"/>
                <w:bCs/>
                <w:color w:val="auto"/>
                <w:sz w:val="15"/>
                <w:szCs w:val="15"/>
              </w:rPr>
            </w:pPr>
          </w:p>
        </w:tc>
        <w:tc>
          <w:tcPr>
            <w:tcW w:w="6803" w:type="dxa"/>
            <w:gridSpan w:val="12"/>
            <w:vAlign w:val="center"/>
          </w:tcPr>
          <w:p w14:paraId="53BE280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大气毒性终点浓度-2  最大影响范围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m</w:t>
            </w:r>
          </w:p>
        </w:tc>
      </w:tr>
      <w:tr w14:paraId="2F27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7A269CE4">
            <w:pPr>
              <w:adjustRightInd w:val="0"/>
              <w:snapToGrid w:val="0"/>
              <w:jc w:val="center"/>
              <w:rPr>
                <w:rFonts w:hint="default" w:ascii="Times New Roman" w:hAnsi="Times New Roman" w:cs="Times New Roman"/>
                <w:bCs/>
                <w:color w:val="auto"/>
                <w:sz w:val="15"/>
                <w:szCs w:val="15"/>
              </w:rPr>
            </w:pPr>
          </w:p>
        </w:tc>
        <w:tc>
          <w:tcPr>
            <w:tcW w:w="1153" w:type="dxa"/>
            <w:vAlign w:val="center"/>
          </w:tcPr>
          <w:p w14:paraId="193361B0">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地表水</w:t>
            </w:r>
          </w:p>
        </w:tc>
        <w:tc>
          <w:tcPr>
            <w:tcW w:w="8283" w:type="dxa"/>
            <w:gridSpan w:val="14"/>
            <w:vAlign w:val="center"/>
          </w:tcPr>
          <w:p w14:paraId="542B5C98">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最近环境敏感目标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 xml:space="preserve">，到达时间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h</w:t>
            </w:r>
          </w:p>
        </w:tc>
      </w:tr>
      <w:tr w14:paraId="3F0B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66733C1F">
            <w:pPr>
              <w:adjustRightInd w:val="0"/>
              <w:snapToGrid w:val="0"/>
              <w:jc w:val="center"/>
              <w:rPr>
                <w:rFonts w:hint="default" w:ascii="Times New Roman" w:hAnsi="Times New Roman" w:cs="Times New Roman"/>
                <w:bCs/>
                <w:color w:val="auto"/>
                <w:sz w:val="15"/>
                <w:szCs w:val="15"/>
              </w:rPr>
            </w:pPr>
          </w:p>
        </w:tc>
        <w:tc>
          <w:tcPr>
            <w:tcW w:w="1153" w:type="dxa"/>
            <w:vMerge w:val="restart"/>
            <w:vAlign w:val="center"/>
          </w:tcPr>
          <w:p w14:paraId="66AC71E7">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地下水</w:t>
            </w:r>
          </w:p>
        </w:tc>
        <w:tc>
          <w:tcPr>
            <w:tcW w:w="8283" w:type="dxa"/>
            <w:gridSpan w:val="14"/>
            <w:vAlign w:val="center"/>
          </w:tcPr>
          <w:p w14:paraId="40DB3AB4">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下游厂区边界到达时间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d</w:t>
            </w:r>
          </w:p>
        </w:tc>
      </w:tr>
      <w:tr w14:paraId="1032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dxa"/>
            <w:vMerge w:val="continue"/>
            <w:vAlign w:val="center"/>
          </w:tcPr>
          <w:p w14:paraId="38C59DE4">
            <w:pPr>
              <w:adjustRightInd w:val="0"/>
              <w:snapToGrid w:val="0"/>
              <w:jc w:val="center"/>
              <w:rPr>
                <w:rFonts w:hint="default" w:ascii="Times New Roman" w:hAnsi="Times New Roman" w:cs="Times New Roman"/>
                <w:bCs/>
                <w:color w:val="auto"/>
                <w:sz w:val="15"/>
                <w:szCs w:val="15"/>
              </w:rPr>
            </w:pPr>
          </w:p>
        </w:tc>
        <w:tc>
          <w:tcPr>
            <w:tcW w:w="1153" w:type="dxa"/>
            <w:vMerge w:val="continue"/>
            <w:vAlign w:val="center"/>
          </w:tcPr>
          <w:p w14:paraId="7F39FFED">
            <w:pPr>
              <w:adjustRightInd w:val="0"/>
              <w:snapToGrid w:val="0"/>
              <w:jc w:val="center"/>
              <w:rPr>
                <w:rFonts w:hint="default" w:ascii="Times New Roman" w:hAnsi="Times New Roman" w:cs="Times New Roman"/>
                <w:bCs/>
                <w:color w:val="auto"/>
                <w:sz w:val="15"/>
                <w:szCs w:val="15"/>
              </w:rPr>
            </w:pPr>
          </w:p>
        </w:tc>
        <w:tc>
          <w:tcPr>
            <w:tcW w:w="8283" w:type="dxa"/>
            <w:gridSpan w:val="14"/>
            <w:vAlign w:val="center"/>
          </w:tcPr>
          <w:p w14:paraId="6C5F534A">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最近环境敏感目标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 xml:space="preserve">，到达时间 </w:t>
            </w:r>
            <w:r>
              <w:rPr>
                <w:rFonts w:hint="default" w:ascii="Times New Roman" w:hAnsi="Times New Roman" w:cs="Times New Roman"/>
                <w:bCs/>
                <w:color w:val="auto"/>
                <w:sz w:val="15"/>
                <w:szCs w:val="15"/>
              </w:rPr>
              <w:tab/>
            </w:r>
            <w:r>
              <w:rPr>
                <w:rFonts w:hint="default" w:ascii="Times New Roman" w:hAnsi="Times New Roman" w:cs="Times New Roman"/>
                <w:bCs/>
                <w:color w:val="auto"/>
                <w:sz w:val="15"/>
                <w:szCs w:val="15"/>
              </w:rPr>
              <w:t>d</w:t>
            </w:r>
          </w:p>
        </w:tc>
      </w:tr>
      <w:tr w14:paraId="5D51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Align w:val="center"/>
          </w:tcPr>
          <w:p w14:paraId="77624401">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重点风险防范措施</w:t>
            </w:r>
          </w:p>
        </w:tc>
        <w:tc>
          <w:tcPr>
            <w:tcW w:w="8283" w:type="dxa"/>
            <w:gridSpan w:val="14"/>
            <w:vAlign w:val="center"/>
          </w:tcPr>
          <w:p w14:paraId="6DE6A5EC">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①定期对电器线路和消防设施进行检查，维护，确保其正常使用。</w:t>
            </w:r>
          </w:p>
          <w:p w14:paraId="6368EE87">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②建设单位建立安全生产岗位责任制，制定全套切实可行的安全生产规律和安全操作规程，并设专人负责安全；定期对职工进行安全方面知识的教育和培训。</w:t>
            </w:r>
          </w:p>
          <w:p w14:paraId="6CF142CD">
            <w:pPr>
              <w:adjustRightInd w:val="0"/>
              <w:snapToGrid w:val="0"/>
              <w:jc w:val="center"/>
              <w:rPr>
                <w:rFonts w:hint="default" w:ascii="Times New Roman" w:hAnsi="Times New Roman" w:cs="Times New Roman"/>
                <w:bCs/>
                <w:color w:val="auto"/>
                <w:sz w:val="15"/>
                <w:szCs w:val="15"/>
                <w:lang w:eastAsia="zh-CN"/>
              </w:rPr>
            </w:pPr>
            <w:r>
              <w:rPr>
                <w:rFonts w:hint="default" w:ascii="Times New Roman" w:hAnsi="Times New Roman" w:cs="Times New Roman"/>
                <w:bCs/>
                <w:color w:val="auto"/>
                <w:sz w:val="15"/>
                <w:szCs w:val="15"/>
              </w:rPr>
              <w:t>③制定《环境污染事故应急预案》，对设备的运行、管理提出相应的管理要求和应急处理方案</w:t>
            </w:r>
            <w:r>
              <w:rPr>
                <w:rFonts w:hint="default" w:ascii="Times New Roman" w:hAnsi="Times New Roman" w:cs="Times New Roman"/>
                <w:bCs/>
                <w:color w:val="auto"/>
                <w:sz w:val="15"/>
                <w:szCs w:val="15"/>
                <w:lang w:eastAsia="zh-CN"/>
              </w:rPr>
              <w:t>。</w:t>
            </w:r>
          </w:p>
          <w:p w14:paraId="6A0E77FC">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 xml:space="preserve">④根据消防要求，加强对包装袋的安全管理，做到专人管理、专人负责；同时，应做到分区存放。 </w:t>
            </w:r>
          </w:p>
          <w:p w14:paraId="0FC18756">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⑤严格按照国家有关消防安全的规定，制定消防灭火应急预案，建立灭火系统，配备足够的消防设备和消防器材。一切消防器材不准挪动、乱用，并要定期检查。灭火器要按时换药。</w:t>
            </w:r>
          </w:p>
        </w:tc>
      </w:tr>
      <w:tr w14:paraId="0323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gridSpan w:val="2"/>
            <w:vAlign w:val="center"/>
          </w:tcPr>
          <w:p w14:paraId="1B5B6C2B">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评价结论与建议</w:t>
            </w:r>
          </w:p>
        </w:tc>
        <w:tc>
          <w:tcPr>
            <w:tcW w:w="8283" w:type="dxa"/>
            <w:gridSpan w:val="14"/>
            <w:vAlign w:val="center"/>
          </w:tcPr>
          <w:p w14:paraId="61B49916">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项目采取上述环境风险防范措施后，可将风险事故降至可接受水平。企业拟采取的风险防范措施及应急预案可行。</w:t>
            </w:r>
          </w:p>
        </w:tc>
      </w:tr>
      <w:tr w14:paraId="5DEF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78" w:type="dxa"/>
            <w:gridSpan w:val="16"/>
            <w:vAlign w:val="center"/>
          </w:tcPr>
          <w:p w14:paraId="3E77C9B3">
            <w:pPr>
              <w:adjustRightInd w:val="0"/>
              <w:snapToGrid w:val="0"/>
              <w:jc w:val="center"/>
              <w:rPr>
                <w:rFonts w:hint="default" w:ascii="Times New Roman" w:hAnsi="Times New Roman" w:cs="Times New Roman"/>
                <w:bCs/>
                <w:color w:val="auto"/>
                <w:sz w:val="15"/>
                <w:szCs w:val="15"/>
              </w:rPr>
            </w:pPr>
            <w:r>
              <w:rPr>
                <w:rFonts w:hint="default" w:ascii="Times New Roman" w:hAnsi="Times New Roman" w:cs="Times New Roman"/>
                <w:bCs/>
                <w:color w:val="auto"/>
                <w:sz w:val="15"/>
                <w:szCs w:val="15"/>
              </w:rPr>
              <w:t>注：“□”为勾选项，“ ”为填写项。</w:t>
            </w:r>
          </w:p>
        </w:tc>
      </w:tr>
    </w:tbl>
    <w:p w14:paraId="14EE1F60">
      <w:pPr>
        <w:jc w:val="center"/>
        <w:rPr>
          <w:rFonts w:hint="eastAsia" w:cs="Times New Roman"/>
          <w:b/>
          <w:bCs/>
          <w:color w:val="C00000"/>
          <w:lang w:val="en-US" w:eastAsia="zh-CN"/>
        </w:rPr>
      </w:pPr>
    </w:p>
    <w:p w14:paraId="22F58BEC">
      <w:pPr>
        <w:jc w:val="center"/>
        <w:rPr>
          <w:rFonts w:hint="eastAsia" w:cs="Times New Roman"/>
          <w:b/>
          <w:bCs/>
          <w:color w:val="C00000"/>
          <w:lang w:val="en-US" w:eastAsia="zh-CN"/>
        </w:rPr>
      </w:pPr>
    </w:p>
    <w:p w14:paraId="72623B80">
      <w:pPr>
        <w:jc w:val="center"/>
        <w:rPr>
          <w:rFonts w:hint="eastAsia" w:cs="Times New Roman"/>
          <w:b/>
          <w:bCs/>
          <w:color w:val="C00000"/>
          <w:lang w:val="en-US" w:eastAsia="zh-CN"/>
        </w:rPr>
      </w:pPr>
    </w:p>
    <w:p w14:paraId="08FE58DB">
      <w:pPr>
        <w:jc w:val="center"/>
        <w:rPr>
          <w:rFonts w:hint="eastAsia" w:cs="Times New Roman"/>
          <w:b/>
          <w:bCs/>
          <w:color w:val="C00000"/>
          <w:lang w:val="en-US" w:eastAsia="zh-CN"/>
        </w:rPr>
      </w:pPr>
    </w:p>
    <w:p w14:paraId="6A34FC41">
      <w:pPr>
        <w:rPr>
          <w:rFonts w:hint="default" w:ascii="Times New Roman" w:hAnsi="Times New Roman" w:eastAsia="宋体" w:cs="Times New Roman"/>
          <w:color w:val="C00000"/>
          <w:sz w:val="24"/>
          <w:szCs w:val="24"/>
        </w:rPr>
      </w:pPr>
    </w:p>
    <w:sectPr>
      <w:footerReference r:id="rId4" w:type="default"/>
      <w:pgSz w:w="11906" w:h="16838"/>
      <w:pgMar w:top="1134" w:right="851" w:bottom="1134" w:left="851"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D5020">
    <w:pPr>
      <w:pStyle w:val="16"/>
      <w:jc w:val="center"/>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FB26">
    <w:pPr>
      <w:pStyle w:val="16"/>
      <w:jc w:val="center"/>
      <w:rPr>
        <w:rFonts w:hint="eastAsia" w:eastAsia="宋体"/>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158F7">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3158F7">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FAEFB"/>
    <w:multiLevelType w:val="singleLevel"/>
    <w:tmpl w:val="B4BFAEFB"/>
    <w:lvl w:ilvl="0" w:tentative="0">
      <w:start w:val="1"/>
      <w:numFmt w:val="decimal"/>
      <w:suff w:val="nothing"/>
      <w:lvlText w:val="（%1）"/>
      <w:lvlJc w:val="left"/>
    </w:lvl>
  </w:abstractNum>
  <w:abstractNum w:abstractNumId="1">
    <w:nsid w:val="0000000C"/>
    <w:multiLevelType w:val="multilevel"/>
    <w:tmpl w:val="0000000C"/>
    <w:lvl w:ilvl="0" w:tentative="0">
      <w:start w:val="1"/>
      <w:numFmt w:val="bullet"/>
      <w:lvlText w:val="l"/>
      <w:lvlJc w:val="left"/>
      <w:pPr>
        <w:tabs>
          <w:tab w:val="left" w:pos="900"/>
        </w:tabs>
        <w:ind w:left="900" w:hanging="360"/>
      </w:pPr>
      <w:rPr>
        <w:rFonts w:hint="default" w:ascii="Wingdings" w:hAnsi="Wingdings"/>
        <w:spacing w:val="0"/>
        <w:position w:val="0"/>
      </w:rPr>
    </w:lvl>
    <w:lvl w:ilvl="1" w:tentative="0">
      <w:start w:val="1"/>
      <w:numFmt w:val="lowerLetter"/>
      <w:lvlText w:val="%2)"/>
      <w:lvlJc w:val="left"/>
      <w:pPr>
        <w:tabs>
          <w:tab w:val="left" w:pos="1313"/>
        </w:tabs>
        <w:ind w:left="1313" w:hanging="420"/>
      </w:pPr>
      <w:rPr>
        <w:rFonts w:hint="eastAsia"/>
        <w:spacing w:val="0"/>
        <w:position w:val="0"/>
      </w:rPr>
    </w:lvl>
    <w:lvl w:ilvl="2" w:tentative="0">
      <w:start w:val="1"/>
      <w:numFmt w:val="lowerRoman"/>
      <w:lvlText w:val="%3."/>
      <w:lvlJc w:val="right"/>
      <w:pPr>
        <w:tabs>
          <w:tab w:val="left" w:pos="1733"/>
        </w:tabs>
        <w:ind w:left="1733" w:hanging="420"/>
      </w:pPr>
      <w:rPr>
        <w:rFonts w:hint="eastAsia"/>
        <w:spacing w:val="0"/>
        <w:position w:val="0"/>
      </w:rPr>
    </w:lvl>
    <w:lvl w:ilvl="3" w:tentative="0">
      <w:start w:val="1"/>
      <w:numFmt w:val="decimal"/>
      <w:lvlText w:val="%4."/>
      <w:lvlJc w:val="left"/>
      <w:pPr>
        <w:tabs>
          <w:tab w:val="left" w:pos="2153"/>
        </w:tabs>
        <w:ind w:left="2153" w:hanging="420"/>
      </w:pPr>
      <w:rPr>
        <w:rFonts w:hint="eastAsia"/>
        <w:spacing w:val="0"/>
        <w:position w:val="0"/>
      </w:rPr>
    </w:lvl>
    <w:lvl w:ilvl="4" w:tentative="0">
      <w:start w:val="1"/>
      <w:numFmt w:val="lowerLetter"/>
      <w:lvlText w:val="%5)"/>
      <w:lvlJc w:val="left"/>
      <w:pPr>
        <w:tabs>
          <w:tab w:val="left" w:pos="2573"/>
        </w:tabs>
        <w:ind w:left="2573" w:hanging="420"/>
      </w:pPr>
      <w:rPr>
        <w:rFonts w:hint="eastAsia"/>
        <w:spacing w:val="0"/>
        <w:position w:val="0"/>
      </w:rPr>
    </w:lvl>
    <w:lvl w:ilvl="5" w:tentative="0">
      <w:start w:val="1"/>
      <w:numFmt w:val="lowerRoman"/>
      <w:lvlText w:val="%6."/>
      <w:lvlJc w:val="right"/>
      <w:pPr>
        <w:tabs>
          <w:tab w:val="left" w:pos="2993"/>
        </w:tabs>
        <w:ind w:left="2993" w:hanging="420"/>
      </w:pPr>
      <w:rPr>
        <w:rFonts w:hint="eastAsia"/>
        <w:spacing w:val="0"/>
        <w:position w:val="0"/>
      </w:rPr>
    </w:lvl>
    <w:lvl w:ilvl="6" w:tentative="0">
      <w:start w:val="1"/>
      <w:numFmt w:val="decimal"/>
      <w:lvlText w:val="%7."/>
      <w:lvlJc w:val="left"/>
      <w:pPr>
        <w:tabs>
          <w:tab w:val="left" w:pos="3413"/>
        </w:tabs>
        <w:ind w:left="3413" w:hanging="420"/>
      </w:pPr>
      <w:rPr>
        <w:rFonts w:hint="eastAsia"/>
        <w:spacing w:val="0"/>
        <w:position w:val="0"/>
      </w:rPr>
    </w:lvl>
    <w:lvl w:ilvl="7" w:tentative="0">
      <w:start w:val="1"/>
      <w:numFmt w:val="lowerLetter"/>
      <w:lvlText w:val="%8)"/>
      <w:lvlJc w:val="left"/>
      <w:pPr>
        <w:tabs>
          <w:tab w:val="left" w:pos="3833"/>
        </w:tabs>
        <w:ind w:left="3833" w:hanging="420"/>
      </w:pPr>
      <w:rPr>
        <w:rFonts w:hint="eastAsia"/>
        <w:spacing w:val="0"/>
        <w:position w:val="0"/>
      </w:rPr>
    </w:lvl>
    <w:lvl w:ilvl="8" w:tentative="0">
      <w:start w:val="1"/>
      <w:numFmt w:val="lowerRoman"/>
      <w:lvlText w:val="%9."/>
      <w:lvlJc w:val="right"/>
      <w:pPr>
        <w:tabs>
          <w:tab w:val="left" w:pos="4253"/>
        </w:tabs>
        <w:ind w:left="4253" w:hanging="420"/>
      </w:pPr>
      <w:rPr>
        <w:rFonts w:hint="eastAsia"/>
        <w:spacing w:val="0"/>
        <w:position w:val="0"/>
      </w:rPr>
    </w:lvl>
  </w:abstractNum>
  <w:abstractNum w:abstractNumId="2">
    <w:nsid w:val="28394897"/>
    <w:multiLevelType w:val="multilevel"/>
    <w:tmpl w:val="28394897"/>
    <w:lvl w:ilvl="0" w:tentative="0">
      <w:start w:val="1"/>
      <w:numFmt w:val="decimal"/>
      <w:pStyle w:val="49"/>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
    <w:nsid w:val="5AB05323"/>
    <w:multiLevelType w:val="singleLevel"/>
    <w:tmpl w:val="5AB05323"/>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hkMjE1YjIzMTA0Nzc1MzVlNDAxN2ViNzEzOTk2M2QifQ=="/>
  </w:docVars>
  <w:rsids>
    <w:rsidRoot w:val="008333A9"/>
    <w:rsid w:val="0000145A"/>
    <w:rsid w:val="000017E0"/>
    <w:rsid w:val="00001D75"/>
    <w:rsid w:val="00004D41"/>
    <w:rsid w:val="00005C70"/>
    <w:rsid w:val="00005E76"/>
    <w:rsid w:val="00005FC4"/>
    <w:rsid w:val="00006994"/>
    <w:rsid w:val="00006AAE"/>
    <w:rsid w:val="00006F6D"/>
    <w:rsid w:val="0000705D"/>
    <w:rsid w:val="000103A1"/>
    <w:rsid w:val="00011133"/>
    <w:rsid w:val="00011661"/>
    <w:rsid w:val="00012A70"/>
    <w:rsid w:val="0001347D"/>
    <w:rsid w:val="000141F7"/>
    <w:rsid w:val="00014485"/>
    <w:rsid w:val="00014B36"/>
    <w:rsid w:val="00015932"/>
    <w:rsid w:val="00016DE9"/>
    <w:rsid w:val="00017773"/>
    <w:rsid w:val="00017C63"/>
    <w:rsid w:val="00020CD1"/>
    <w:rsid w:val="00020DB8"/>
    <w:rsid w:val="00020F83"/>
    <w:rsid w:val="00021C67"/>
    <w:rsid w:val="000223D9"/>
    <w:rsid w:val="00022E8D"/>
    <w:rsid w:val="00023C53"/>
    <w:rsid w:val="000254CD"/>
    <w:rsid w:val="00025684"/>
    <w:rsid w:val="0002579B"/>
    <w:rsid w:val="00025F59"/>
    <w:rsid w:val="000269D3"/>
    <w:rsid w:val="00026FAF"/>
    <w:rsid w:val="0003091B"/>
    <w:rsid w:val="00030FA0"/>
    <w:rsid w:val="000345AE"/>
    <w:rsid w:val="00034C0A"/>
    <w:rsid w:val="00034DCC"/>
    <w:rsid w:val="000351BF"/>
    <w:rsid w:val="00035B51"/>
    <w:rsid w:val="00036271"/>
    <w:rsid w:val="00036995"/>
    <w:rsid w:val="00036C39"/>
    <w:rsid w:val="00036CEE"/>
    <w:rsid w:val="00036DB4"/>
    <w:rsid w:val="0004013E"/>
    <w:rsid w:val="00040F01"/>
    <w:rsid w:val="00040F85"/>
    <w:rsid w:val="00042757"/>
    <w:rsid w:val="0004283A"/>
    <w:rsid w:val="00042AB0"/>
    <w:rsid w:val="00042C56"/>
    <w:rsid w:val="00042FCA"/>
    <w:rsid w:val="000438A9"/>
    <w:rsid w:val="00044598"/>
    <w:rsid w:val="000454EA"/>
    <w:rsid w:val="00045994"/>
    <w:rsid w:val="00045C69"/>
    <w:rsid w:val="000460CF"/>
    <w:rsid w:val="00046509"/>
    <w:rsid w:val="00046B9D"/>
    <w:rsid w:val="0004719A"/>
    <w:rsid w:val="000471D9"/>
    <w:rsid w:val="00050028"/>
    <w:rsid w:val="00051A5C"/>
    <w:rsid w:val="00051FC3"/>
    <w:rsid w:val="0005209E"/>
    <w:rsid w:val="00054D01"/>
    <w:rsid w:val="000557FA"/>
    <w:rsid w:val="00055D3C"/>
    <w:rsid w:val="00057CDF"/>
    <w:rsid w:val="0006111E"/>
    <w:rsid w:val="00062AA9"/>
    <w:rsid w:val="00062AD2"/>
    <w:rsid w:val="0006394C"/>
    <w:rsid w:val="00064195"/>
    <w:rsid w:val="00064532"/>
    <w:rsid w:val="000704BC"/>
    <w:rsid w:val="000716BB"/>
    <w:rsid w:val="00072C74"/>
    <w:rsid w:val="00074289"/>
    <w:rsid w:val="00074583"/>
    <w:rsid w:val="00074FAC"/>
    <w:rsid w:val="00075941"/>
    <w:rsid w:val="00075953"/>
    <w:rsid w:val="00075A4D"/>
    <w:rsid w:val="00076CFC"/>
    <w:rsid w:val="00076D5A"/>
    <w:rsid w:val="00077A47"/>
    <w:rsid w:val="00080179"/>
    <w:rsid w:val="00080ED2"/>
    <w:rsid w:val="00082237"/>
    <w:rsid w:val="00082789"/>
    <w:rsid w:val="000828D7"/>
    <w:rsid w:val="00082A95"/>
    <w:rsid w:val="00082C05"/>
    <w:rsid w:val="00083180"/>
    <w:rsid w:val="00083C11"/>
    <w:rsid w:val="000854C8"/>
    <w:rsid w:val="000856C5"/>
    <w:rsid w:val="000857FF"/>
    <w:rsid w:val="00085830"/>
    <w:rsid w:val="00086F1C"/>
    <w:rsid w:val="00086FF7"/>
    <w:rsid w:val="00087538"/>
    <w:rsid w:val="0008757A"/>
    <w:rsid w:val="00087CE7"/>
    <w:rsid w:val="00090038"/>
    <w:rsid w:val="000903FB"/>
    <w:rsid w:val="00091A1F"/>
    <w:rsid w:val="000925F9"/>
    <w:rsid w:val="0009304D"/>
    <w:rsid w:val="00093207"/>
    <w:rsid w:val="00094052"/>
    <w:rsid w:val="00094812"/>
    <w:rsid w:val="00095CED"/>
    <w:rsid w:val="0009675C"/>
    <w:rsid w:val="000A04D3"/>
    <w:rsid w:val="000A07F3"/>
    <w:rsid w:val="000A107E"/>
    <w:rsid w:val="000A1AFD"/>
    <w:rsid w:val="000A1F7B"/>
    <w:rsid w:val="000A2886"/>
    <w:rsid w:val="000A35F2"/>
    <w:rsid w:val="000A4DC5"/>
    <w:rsid w:val="000A6ED3"/>
    <w:rsid w:val="000A7E23"/>
    <w:rsid w:val="000B0EA8"/>
    <w:rsid w:val="000B1D02"/>
    <w:rsid w:val="000B22FC"/>
    <w:rsid w:val="000B29A5"/>
    <w:rsid w:val="000B32A0"/>
    <w:rsid w:val="000B4240"/>
    <w:rsid w:val="000B4E03"/>
    <w:rsid w:val="000B514B"/>
    <w:rsid w:val="000B584D"/>
    <w:rsid w:val="000B7ADD"/>
    <w:rsid w:val="000C0548"/>
    <w:rsid w:val="000C0C1F"/>
    <w:rsid w:val="000C20D5"/>
    <w:rsid w:val="000C2B3B"/>
    <w:rsid w:val="000C5F14"/>
    <w:rsid w:val="000C652D"/>
    <w:rsid w:val="000C6988"/>
    <w:rsid w:val="000C762D"/>
    <w:rsid w:val="000D0D69"/>
    <w:rsid w:val="000D1D47"/>
    <w:rsid w:val="000D1EFB"/>
    <w:rsid w:val="000D254B"/>
    <w:rsid w:val="000D2DA5"/>
    <w:rsid w:val="000D3D7B"/>
    <w:rsid w:val="000D45DA"/>
    <w:rsid w:val="000D45F6"/>
    <w:rsid w:val="000D4822"/>
    <w:rsid w:val="000D4ED0"/>
    <w:rsid w:val="000D501E"/>
    <w:rsid w:val="000D5B04"/>
    <w:rsid w:val="000D63BA"/>
    <w:rsid w:val="000D67DF"/>
    <w:rsid w:val="000D6817"/>
    <w:rsid w:val="000D7548"/>
    <w:rsid w:val="000D75D4"/>
    <w:rsid w:val="000E0369"/>
    <w:rsid w:val="000E1159"/>
    <w:rsid w:val="000E203F"/>
    <w:rsid w:val="000E217B"/>
    <w:rsid w:val="000E3348"/>
    <w:rsid w:val="000E4649"/>
    <w:rsid w:val="000E4D3F"/>
    <w:rsid w:val="000E5678"/>
    <w:rsid w:val="000E56AA"/>
    <w:rsid w:val="000E5E7F"/>
    <w:rsid w:val="000E60A7"/>
    <w:rsid w:val="000E6368"/>
    <w:rsid w:val="000E67B3"/>
    <w:rsid w:val="000E6F77"/>
    <w:rsid w:val="000E7840"/>
    <w:rsid w:val="000F2FE6"/>
    <w:rsid w:val="000F3FCC"/>
    <w:rsid w:val="000F48F2"/>
    <w:rsid w:val="000F4E19"/>
    <w:rsid w:val="000F57C8"/>
    <w:rsid w:val="000F5CFD"/>
    <w:rsid w:val="000F64DA"/>
    <w:rsid w:val="000F7259"/>
    <w:rsid w:val="000F727D"/>
    <w:rsid w:val="000F740D"/>
    <w:rsid w:val="000F7BBF"/>
    <w:rsid w:val="00101306"/>
    <w:rsid w:val="001016FD"/>
    <w:rsid w:val="00102769"/>
    <w:rsid w:val="00103902"/>
    <w:rsid w:val="001039C6"/>
    <w:rsid w:val="00104754"/>
    <w:rsid w:val="00104855"/>
    <w:rsid w:val="001058B1"/>
    <w:rsid w:val="001063C7"/>
    <w:rsid w:val="001063E0"/>
    <w:rsid w:val="0010739C"/>
    <w:rsid w:val="00107A21"/>
    <w:rsid w:val="00111576"/>
    <w:rsid w:val="0011196F"/>
    <w:rsid w:val="00111C6B"/>
    <w:rsid w:val="00111D01"/>
    <w:rsid w:val="00112779"/>
    <w:rsid w:val="00112ED9"/>
    <w:rsid w:val="00115017"/>
    <w:rsid w:val="00115A13"/>
    <w:rsid w:val="00115AF8"/>
    <w:rsid w:val="001163BB"/>
    <w:rsid w:val="00116617"/>
    <w:rsid w:val="00117177"/>
    <w:rsid w:val="00117B04"/>
    <w:rsid w:val="0012069E"/>
    <w:rsid w:val="001216B6"/>
    <w:rsid w:val="001216F2"/>
    <w:rsid w:val="001217B6"/>
    <w:rsid w:val="001219EE"/>
    <w:rsid w:val="00121CF6"/>
    <w:rsid w:val="00121E1B"/>
    <w:rsid w:val="00122560"/>
    <w:rsid w:val="0012319E"/>
    <w:rsid w:val="0012332C"/>
    <w:rsid w:val="001234A6"/>
    <w:rsid w:val="001237A5"/>
    <w:rsid w:val="0012387C"/>
    <w:rsid w:val="00124673"/>
    <w:rsid w:val="00126192"/>
    <w:rsid w:val="0012703A"/>
    <w:rsid w:val="001273D8"/>
    <w:rsid w:val="00130AE2"/>
    <w:rsid w:val="00130F8E"/>
    <w:rsid w:val="00131998"/>
    <w:rsid w:val="00131B52"/>
    <w:rsid w:val="001328DE"/>
    <w:rsid w:val="00134083"/>
    <w:rsid w:val="00135254"/>
    <w:rsid w:val="001368FA"/>
    <w:rsid w:val="00137552"/>
    <w:rsid w:val="00137868"/>
    <w:rsid w:val="00141D4F"/>
    <w:rsid w:val="001420F3"/>
    <w:rsid w:val="001430E8"/>
    <w:rsid w:val="00143358"/>
    <w:rsid w:val="00143963"/>
    <w:rsid w:val="00144ABF"/>
    <w:rsid w:val="001456E8"/>
    <w:rsid w:val="00145C49"/>
    <w:rsid w:val="00145FD1"/>
    <w:rsid w:val="001467CC"/>
    <w:rsid w:val="00146B38"/>
    <w:rsid w:val="00150B21"/>
    <w:rsid w:val="001533D1"/>
    <w:rsid w:val="0015344E"/>
    <w:rsid w:val="0015410C"/>
    <w:rsid w:val="0015455D"/>
    <w:rsid w:val="001548E4"/>
    <w:rsid w:val="00154AE8"/>
    <w:rsid w:val="00154C14"/>
    <w:rsid w:val="0015512B"/>
    <w:rsid w:val="00155A79"/>
    <w:rsid w:val="0015675E"/>
    <w:rsid w:val="00156ABF"/>
    <w:rsid w:val="00156CED"/>
    <w:rsid w:val="00156F89"/>
    <w:rsid w:val="001570E4"/>
    <w:rsid w:val="00157434"/>
    <w:rsid w:val="00157618"/>
    <w:rsid w:val="00157973"/>
    <w:rsid w:val="00157D07"/>
    <w:rsid w:val="00160DED"/>
    <w:rsid w:val="00162619"/>
    <w:rsid w:val="00162D9D"/>
    <w:rsid w:val="00162EF9"/>
    <w:rsid w:val="00164850"/>
    <w:rsid w:val="00164EEA"/>
    <w:rsid w:val="00166F69"/>
    <w:rsid w:val="0017058A"/>
    <w:rsid w:val="00170DEB"/>
    <w:rsid w:val="001719C5"/>
    <w:rsid w:val="00174387"/>
    <w:rsid w:val="001743C2"/>
    <w:rsid w:val="0017445E"/>
    <w:rsid w:val="0017505E"/>
    <w:rsid w:val="00177F85"/>
    <w:rsid w:val="00177FA3"/>
    <w:rsid w:val="00180D66"/>
    <w:rsid w:val="00181485"/>
    <w:rsid w:val="00182C0A"/>
    <w:rsid w:val="00182F8C"/>
    <w:rsid w:val="00183003"/>
    <w:rsid w:val="001839D7"/>
    <w:rsid w:val="0018557D"/>
    <w:rsid w:val="001863AB"/>
    <w:rsid w:val="001867EA"/>
    <w:rsid w:val="001868C6"/>
    <w:rsid w:val="001900EA"/>
    <w:rsid w:val="0019027C"/>
    <w:rsid w:val="001910C7"/>
    <w:rsid w:val="001917E8"/>
    <w:rsid w:val="00192950"/>
    <w:rsid w:val="00192C27"/>
    <w:rsid w:val="001934A5"/>
    <w:rsid w:val="00194744"/>
    <w:rsid w:val="0019584C"/>
    <w:rsid w:val="00195F09"/>
    <w:rsid w:val="0019617E"/>
    <w:rsid w:val="00196584"/>
    <w:rsid w:val="00196E05"/>
    <w:rsid w:val="001A0FDE"/>
    <w:rsid w:val="001A16A8"/>
    <w:rsid w:val="001A21E9"/>
    <w:rsid w:val="001A2957"/>
    <w:rsid w:val="001A3215"/>
    <w:rsid w:val="001A35D7"/>
    <w:rsid w:val="001A3C26"/>
    <w:rsid w:val="001A494A"/>
    <w:rsid w:val="001A524A"/>
    <w:rsid w:val="001A5B64"/>
    <w:rsid w:val="001A6F4B"/>
    <w:rsid w:val="001A70F5"/>
    <w:rsid w:val="001A7542"/>
    <w:rsid w:val="001A7732"/>
    <w:rsid w:val="001B00D1"/>
    <w:rsid w:val="001B1071"/>
    <w:rsid w:val="001B1535"/>
    <w:rsid w:val="001B179F"/>
    <w:rsid w:val="001B1D96"/>
    <w:rsid w:val="001B1FA0"/>
    <w:rsid w:val="001B2C2C"/>
    <w:rsid w:val="001B300F"/>
    <w:rsid w:val="001B3944"/>
    <w:rsid w:val="001B3DD2"/>
    <w:rsid w:val="001B418F"/>
    <w:rsid w:val="001B463C"/>
    <w:rsid w:val="001B48DC"/>
    <w:rsid w:val="001B4AC6"/>
    <w:rsid w:val="001B6C94"/>
    <w:rsid w:val="001B6D7B"/>
    <w:rsid w:val="001B705F"/>
    <w:rsid w:val="001B71CB"/>
    <w:rsid w:val="001B7702"/>
    <w:rsid w:val="001C0CAA"/>
    <w:rsid w:val="001C2132"/>
    <w:rsid w:val="001C2775"/>
    <w:rsid w:val="001C27B1"/>
    <w:rsid w:val="001C3714"/>
    <w:rsid w:val="001C38D4"/>
    <w:rsid w:val="001C459E"/>
    <w:rsid w:val="001C4BDC"/>
    <w:rsid w:val="001C5E53"/>
    <w:rsid w:val="001C60FB"/>
    <w:rsid w:val="001C63DA"/>
    <w:rsid w:val="001C783A"/>
    <w:rsid w:val="001D0710"/>
    <w:rsid w:val="001D2608"/>
    <w:rsid w:val="001D2E9D"/>
    <w:rsid w:val="001D3174"/>
    <w:rsid w:val="001D33BE"/>
    <w:rsid w:val="001D3739"/>
    <w:rsid w:val="001D41AA"/>
    <w:rsid w:val="001D4692"/>
    <w:rsid w:val="001D5BA1"/>
    <w:rsid w:val="001D5E4B"/>
    <w:rsid w:val="001D5FC3"/>
    <w:rsid w:val="001D64F4"/>
    <w:rsid w:val="001D677B"/>
    <w:rsid w:val="001D6A78"/>
    <w:rsid w:val="001D752F"/>
    <w:rsid w:val="001E2B87"/>
    <w:rsid w:val="001E3384"/>
    <w:rsid w:val="001E34C4"/>
    <w:rsid w:val="001E3A23"/>
    <w:rsid w:val="001E4977"/>
    <w:rsid w:val="001E4E40"/>
    <w:rsid w:val="001E5DF4"/>
    <w:rsid w:val="001E637F"/>
    <w:rsid w:val="001E71E0"/>
    <w:rsid w:val="001E7B38"/>
    <w:rsid w:val="001F0468"/>
    <w:rsid w:val="001F0A4A"/>
    <w:rsid w:val="001F0F83"/>
    <w:rsid w:val="001F16AB"/>
    <w:rsid w:val="001F16C3"/>
    <w:rsid w:val="001F1BC7"/>
    <w:rsid w:val="001F1E2A"/>
    <w:rsid w:val="001F1F47"/>
    <w:rsid w:val="001F207C"/>
    <w:rsid w:val="001F27F4"/>
    <w:rsid w:val="001F3970"/>
    <w:rsid w:val="001F493A"/>
    <w:rsid w:val="001F5816"/>
    <w:rsid w:val="001F5E94"/>
    <w:rsid w:val="001F6051"/>
    <w:rsid w:val="001F6F47"/>
    <w:rsid w:val="00200A6C"/>
    <w:rsid w:val="00201AD6"/>
    <w:rsid w:val="00202C0D"/>
    <w:rsid w:val="0020383F"/>
    <w:rsid w:val="002048C8"/>
    <w:rsid w:val="00211394"/>
    <w:rsid w:val="00211434"/>
    <w:rsid w:val="00214C5A"/>
    <w:rsid w:val="00215F11"/>
    <w:rsid w:val="00217F06"/>
    <w:rsid w:val="00217FB0"/>
    <w:rsid w:val="00220E4A"/>
    <w:rsid w:val="00223AEE"/>
    <w:rsid w:val="002249DA"/>
    <w:rsid w:val="00225074"/>
    <w:rsid w:val="00225582"/>
    <w:rsid w:val="00226978"/>
    <w:rsid w:val="00226CB0"/>
    <w:rsid w:val="002275AC"/>
    <w:rsid w:val="00230920"/>
    <w:rsid w:val="00231404"/>
    <w:rsid w:val="00231D88"/>
    <w:rsid w:val="00232871"/>
    <w:rsid w:val="00232CB7"/>
    <w:rsid w:val="00232EF3"/>
    <w:rsid w:val="0023393B"/>
    <w:rsid w:val="0023476C"/>
    <w:rsid w:val="0023485D"/>
    <w:rsid w:val="002355D6"/>
    <w:rsid w:val="00235CE2"/>
    <w:rsid w:val="002361F6"/>
    <w:rsid w:val="002363C6"/>
    <w:rsid w:val="00236A51"/>
    <w:rsid w:val="00236B96"/>
    <w:rsid w:val="00237BE4"/>
    <w:rsid w:val="00237E1D"/>
    <w:rsid w:val="002414E7"/>
    <w:rsid w:val="00241BF7"/>
    <w:rsid w:val="00241F09"/>
    <w:rsid w:val="0024237A"/>
    <w:rsid w:val="002425EC"/>
    <w:rsid w:val="00242BFD"/>
    <w:rsid w:val="00242E7A"/>
    <w:rsid w:val="00243C8C"/>
    <w:rsid w:val="0024483E"/>
    <w:rsid w:val="00245224"/>
    <w:rsid w:val="00247EE6"/>
    <w:rsid w:val="0025022B"/>
    <w:rsid w:val="0025058D"/>
    <w:rsid w:val="002511AD"/>
    <w:rsid w:val="0025122C"/>
    <w:rsid w:val="00251355"/>
    <w:rsid w:val="00251839"/>
    <w:rsid w:val="00251B71"/>
    <w:rsid w:val="0025231E"/>
    <w:rsid w:val="00253583"/>
    <w:rsid w:val="00253989"/>
    <w:rsid w:val="002543D1"/>
    <w:rsid w:val="00254706"/>
    <w:rsid w:val="00254784"/>
    <w:rsid w:val="00254A40"/>
    <w:rsid w:val="00255450"/>
    <w:rsid w:val="00255844"/>
    <w:rsid w:val="00255C20"/>
    <w:rsid w:val="00255E19"/>
    <w:rsid w:val="00255F0F"/>
    <w:rsid w:val="00256008"/>
    <w:rsid w:val="00256857"/>
    <w:rsid w:val="00256AAC"/>
    <w:rsid w:val="00256D85"/>
    <w:rsid w:val="00257558"/>
    <w:rsid w:val="002578BB"/>
    <w:rsid w:val="00257B88"/>
    <w:rsid w:val="00257CD5"/>
    <w:rsid w:val="00260E55"/>
    <w:rsid w:val="002616CE"/>
    <w:rsid w:val="00261B4B"/>
    <w:rsid w:val="00262F44"/>
    <w:rsid w:val="0026320A"/>
    <w:rsid w:val="00265335"/>
    <w:rsid w:val="002653C1"/>
    <w:rsid w:val="0026601E"/>
    <w:rsid w:val="002669A3"/>
    <w:rsid w:val="00267154"/>
    <w:rsid w:val="00267A77"/>
    <w:rsid w:val="002702F9"/>
    <w:rsid w:val="002706F3"/>
    <w:rsid w:val="00271EC2"/>
    <w:rsid w:val="00272526"/>
    <w:rsid w:val="00273C80"/>
    <w:rsid w:val="00273F02"/>
    <w:rsid w:val="00274175"/>
    <w:rsid w:val="00274BFF"/>
    <w:rsid w:val="00274DD2"/>
    <w:rsid w:val="0027621B"/>
    <w:rsid w:val="0027665B"/>
    <w:rsid w:val="00276A00"/>
    <w:rsid w:val="00276E73"/>
    <w:rsid w:val="00276F51"/>
    <w:rsid w:val="00277FE3"/>
    <w:rsid w:val="00277FEC"/>
    <w:rsid w:val="00280849"/>
    <w:rsid w:val="00280B8D"/>
    <w:rsid w:val="002823FD"/>
    <w:rsid w:val="0028263D"/>
    <w:rsid w:val="002834AA"/>
    <w:rsid w:val="002847A4"/>
    <w:rsid w:val="00285325"/>
    <w:rsid w:val="00285DE5"/>
    <w:rsid w:val="00285E00"/>
    <w:rsid w:val="00285F8E"/>
    <w:rsid w:val="00287811"/>
    <w:rsid w:val="00287AF1"/>
    <w:rsid w:val="0029124B"/>
    <w:rsid w:val="00291477"/>
    <w:rsid w:val="002931C9"/>
    <w:rsid w:val="00293934"/>
    <w:rsid w:val="00293ACA"/>
    <w:rsid w:val="00294037"/>
    <w:rsid w:val="00294049"/>
    <w:rsid w:val="002940A7"/>
    <w:rsid w:val="00295053"/>
    <w:rsid w:val="00295387"/>
    <w:rsid w:val="00296A2D"/>
    <w:rsid w:val="00297383"/>
    <w:rsid w:val="00297974"/>
    <w:rsid w:val="002A0073"/>
    <w:rsid w:val="002A0978"/>
    <w:rsid w:val="002A37EB"/>
    <w:rsid w:val="002A49C2"/>
    <w:rsid w:val="002A581E"/>
    <w:rsid w:val="002A5E1F"/>
    <w:rsid w:val="002A6DDD"/>
    <w:rsid w:val="002A78AF"/>
    <w:rsid w:val="002B1277"/>
    <w:rsid w:val="002B1824"/>
    <w:rsid w:val="002B2FC4"/>
    <w:rsid w:val="002B4301"/>
    <w:rsid w:val="002B458F"/>
    <w:rsid w:val="002B4B65"/>
    <w:rsid w:val="002B57C6"/>
    <w:rsid w:val="002B608D"/>
    <w:rsid w:val="002B6E62"/>
    <w:rsid w:val="002B770C"/>
    <w:rsid w:val="002C0AEF"/>
    <w:rsid w:val="002C12A0"/>
    <w:rsid w:val="002C1353"/>
    <w:rsid w:val="002C1576"/>
    <w:rsid w:val="002C3340"/>
    <w:rsid w:val="002C38A4"/>
    <w:rsid w:val="002C3DED"/>
    <w:rsid w:val="002C502C"/>
    <w:rsid w:val="002C5271"/>
    <w:rsid w:val="002C5284"/>
    <w:rsid w:val="002C543F"/>
    <w:rsid w:val="002C5470"/>
    <w:rsid w:val="002C58EE"/>
    <w:rsid w:val="002C6489"/>
    <w:rsid w:val="002C68D9"/>
    <w:rsid w:val="002C78C3"/>
    <w:rsid w:val="002D17F8"/>
    <w:rsid w:val="002D19F2"/>
    <w:rsid w:val="002D1AD5"/>
    <w:rsid w:val="002D2F6E"/>
    <w:rsid w:val="002D5AB8"/>
    <w:rsid w:val="002D63CE"/>
    <w:rsid w:val="002D6D37"/>
    <w:rsid w:val="002D7C89"/>
    <w:rsid w:val="002E008F"/>
    <w:rsid w:val="002E010E"/>
    <w:rsid w:val="002E0DFF"/>
    <w:rsid w:val="002E171D"/>
    <w:rsid w:val="002E2F8D"/>
    <w:rsid w:val="002E39BC"/>
    <w:rsid w:val="002E4638"/>
    <w:rsid w:val="002E469F"/>
    <w:rsid w:val="002E578D"/>
    <w:rsid w:val="002E6AC7"/>
    <w:rsid w:val="002E7EBC"/>
    <w:rsid w:val="002F15AA"/>
    <w:rsid w:val="002F1BD2"/>
    <w:rsid w:val="002F1E06"/>
    <w:rsid w:val="002F3122"/>
    <w:rsid w:val="002F34CA"/>
    <w:rsid w:val="002F4CDB"/>
    <w:rsid w:val="002F54E0"/>
    <w:rsid w:val="002F59B0"/>
    <w:rsid w:val="002F5E68"/>
    <w:rsid w:val="002F6151"/>
    <w:rsid w:val="002F6A1D"/>
    <w:rsid w:val="002F6DFE"/>
    <w:rsid w:val="00300378"/>
    <w:rsid w:val="003008DA"/>
    <w:rsid w:val="00300F7B"/>
    <w:rsid w:val="0030114C"/>
    <w:rsid w:val="00301996"/>
    <w:rsid w:val="00301A67"/>
    <w:rsid w:val="003033F0"/>
    <w:rsid w:val="003045F0"/>
    <w:rsid w:val="00306027"/>
    <w:rsid w:val="003067AE"/>
    <w:rsid w:val="00306E38"/>
    <w:rsid w:val="00307644"/>
    <w:rsid w:val="00307698"/>
    <w:rsid w:val="003078BB"/>
    <w:rsid w:val="00307D57"/>
    <w:rsid w:val="0031082A"/>
    <w:rsid w:val="0031085B"/>
    <w:rsid w:val="00310C4A"/>
    <w:rsid w:val="00311EA7"/>
    <w:rsid w:val="003138AB"/>
    <w:rsid w:val="00313928"/>
    <w:rsid w:val="00313D33"/>
    <w:rsid w:val="0031576E"/>
    <w:rsid w:val="00315FC6"/>
    <w:rsid w:val="0032058E"/>
    <w:rsid w:val="003211D5"/>
    <w:rsid w:val="00323250"/>
    <w:rsid w:val="00323C33"/>
    <w:rsid w:val="00324785"/>
    <w:rsid w:val="00324FDE"/>
    <w:rsid w:val="0032577B"/>
    <w:rsid w:val="00326626"/>
    <w:rsid w:val="00330591"/>
    <w:rsid w:val="00330777"/>
    <w:rsid w:val="00330806"/>
    <w:rsid w:val="00330819"/>
    <w:rsid w:val="00330ABC"/>
    <w:rsid w:val="0033228B"/>
    <w:rsid w:val="0033390D"/>
    <w:rsid w:val="00334ECC"/>
    <w:rsid w:val="00334F17"/>
    <w:rsid w:val="00335D37"/>
    <w:rsid w:val="003366F1"/>
    <w:rsid w:val="00341548"/>
    <w:rsid w:val="00343208"/>
    <w:rsid w:val="003456BC"/>
    <w:rsid w:val="00346D3D"/>
    <w:rsid w:val="003473C0"/>
    <w:rsid w:val="003476A3"/>
    <w:rsid w:val="003477CA"/>
    <w:rsid w:val="0034787A"/>
    <w:rsid w:val="00347972"/>
    <w:rsid w:val="003500A2"/>
    <w:rsid w:val="003500D7"/>
    <w:rsid w:val="0035039B"/>
    <w:rsid w:val="0035044A"/>
    <w:rsid w:val="0035173A"/>
    <w:rsid w:val="00351C13"/>
    <w:rsid w:val="0035286F"/>
    <w:rsid w:val="00354239"/>
    <w:rsid w:val="003545A0"/>
    <w:rsid w:val="00354892"/>
    <w:rsid w:val="003548EB"/>
    <w:rsid w:val="00354924"/>
    <w:rsid w:val="00355843"/>
    <w:rsid w:val="003571FE"/>
    <w:rsid w:val="00357340"/>
    <w:rsid w:val="00360EC9"/>
    <w:rsid w:val="00361D9E"/>
    <w:rsid w:val="00362030"/>
    <w:rsid w:val="00362F61"/>
    <w:rsid w:val="0036364D"/>
    <w:rsid w:val="00363674"/>
    <w:rsid w:val="00363F68"/>
    <w:rsid w:val="00365346"/>
    <w:rsid w:val="00366537"/>
    <w:rsid w:val="003675A8"/>
    <w:rsid w:val="00371012"/>
    <w:rsid w:val="0037103A"/>
    <w:rsid w:val="00371500"/>
    <w:rsid w:val="00372262"/>
    <w:rsid w:val="0037239A"/>
    <w:rsid w:val="00372841"/>
    <w:rsid w:val="003729AF"/>
    <w:rsid w:val="00373771"/>
    <w:rsid w:val="003739E8"/>
    <w:rsid w:val="00373F20"/>
    <w:rsid w:val="00374820"/>
    <w:rsid w:val="00375271"/>
    <w:rsid w:val="003753A5"/>
    <w:rsid w:val="003758D6"/>
    <w:rsid w:val="00375FFB"/>
    <w:rsid w:val="00377F91"/>
    <w:rsid w:val="0038135A"/>
    <w:rsid w:val="00382388"/>
    <w:rsid w:val="00382760"/>
    <w:rsid w:val="00382CEC"/>
    <w:rsid w:val="00383106"/>
    <w:rsid w:val="00383B39"/>
    <w:rsid w:val="00383E7C"/>
    <w:rsid w:val="0038512D"/>
    <w:rsid w:val="003851DA"/>
    <w:rsid w:val="00385226"/>
    <w:rsid w:val="00385665"/>
    <w:rsid w:val="00385E55"/>
    <w:rsid w:val="003868D5"/>
    <w:rsid w:val="00386EF9"/>
    <w:rsid w:val="003872FE"/>
    <w:rsid w:val="00387CCD"/>
    <w:rsid w:val="00390020"/>
    <w:rsid w:val="0039008E"/>
    <w:rsid w:val="00390100"/>
    <w:rsid w:val="00390117"/>
    <w:rsid w:val="003901BC"/>
    <w:rsid w:val="003905D9"/>
    <w:rsid w:val="00390F94"/>
    <w:rsid w:val="003914B6"/>
    <w:rsid w:val="00391C07"/>
    <w:rsid w:val="00392EA7"/>
    <w:rsid w:val="0039326C"/>
    <w:rsid w:val="003942EC"/>
    <w:rsid w:val="0039626E"/>
    <w:rsid w:val="00396944"/>
    <w:rsid w:val="003A037A"/>
    <w:rsid w:val="003A11F2"/>
    <w:rsid w:val="003A1CE1"/>
    <w:rsid w:val="003A31E5"/>
    <w:rsid w:val="003A3BFD"/>
    <w:rsid w:val="003A4C65"/>
    <w:rsid w:val="003A6B7D"/>
    <w:rsid w:val="003A7574"/>
    <w:rsid w:val="003A7777"/>
    <w:rsid w:val="003A7B1A"/>
    <w:rsid w:val="003A7DD5"/>
    <w:rsid w:val="003B0420"/>
    <w:rsid w:val="003B0460"/>
    <w:rsid w:val="003B08C7"/>
    <w:rsid w:val="003B0C06"/>
    <w:rsid w:val="003B0E6C"/>
    <w:rsid w:val="003B10EA"/>
    <w:rsid w:val="003B20B9"/>
    <w:rsid w:val="003B33C7"/>
    <w:rsid w:val="003B4607"/>
    <w:rsid w:val="003B565C"/>
    <w:rsid w:val="003B674A"/>
    <w:rsid w:val="003B7607"/>
    <w:rsid w:val="003B761E"/>
    <w:rsid w:val="003B78BB"/>
    <w:rsid w:val="003C00AA"/>
    <w:rsid w:val="003C067C"/>
    <w:rsid w:val="003C280B"/>
    <w:rsid w:val="003C3BA4"/>
    <w:rsid w:val="003C4238"/>
    <w:rsid w:val="003C5C32"/>
    <w:rsid w:val="003C62D7"/>
    <w:rsid w:val="003C6A4B"/>
    <w:rsid w:val="003C7C6F"/>
    <w:rsid w:val="003D063D"/>
    <w:rsid w:val="003D1176"/>
    <w:rsid w:val="003D153C"/>
    <w:rsid w:val="003D1CDF"/>
    <w:rsid w:val="003D2292"/>
    <w:rsid w:val="003D2455"/>
    <w:rsid w:val="003D3E40"/>
    <w:rsid w:val="003D43DC"/>
    <w:rsid w:val="003D44A9"/>
    <w:rsid w:val="003D5684"/>
    <w:rsid w:val="003D64F3"/>
    <w:rsid w:val="003D696B"/>
    <w:rsid w:val="003D7BCB"/>
    <w:rsid w:val="003D7C5A"/>
    <w:rsid w:val="003E0912"/>
    <w:rsid w:val="003E106D"/>
    <w:rsid w:val="003E16E4"/>
    <w:rsid w:val="003E2303"/>
    <w:rsid w:val="003E2469"/>
    <w:rsid w:val="003E261A"/>
    <w:rsid w:val="003E34B9"/>
    <w:rsid w:val="003E4371"/>
    <w:rsid w:val="003E4A64"/>
    <w:rsid w:val="003E57C2"/>
    <w:rsid w:val="003E5AB2"/>
    <w:rsid w:val="003E6111"/>
    <w:rsid w:val="003E6DDB"/>
    <w:rsid w:val="003E74E3"/>
    <w:rsid w:val="003E7F03"/>
    <w:rsid w:val="003E7F3E"/>
    <w:rsid w:val="003F0CFE"/>
    <w:rsid w:val="003F156D"/>
    <w:rsid w:val="003F2E6D"/>
    <w:rsid w:val="003F2E88"/>
    <w:rsid w:val="003F35D6"/>
    <w:rsid w:val="003F3B5F"/>
    <w:rsid w:val="003F56C0"/>
    <w:rsid w:val="003F570B"/>
    <w:rsid w:val="003F7270"/>
    <w:rsid w:val="00400A87"/>
    <w:rsid w:val="00400F3B"/>
    <w:rsid w:val="00401346"/>
    <w:rsid w:val="00401412"/>
    <w:rsid w:val="0040154F"/>
    <w:rsid w:val="004030D4"/>
    <w:rsid w:val="00403B42"/>
    <w:rsid w:val="004041FF"/>
    <w:rsid w:val="00404282"/>
    <w:rsid w:val="00405815"/>
    <w:rsid w:val="00405A3D"/>
    <w:rsid w:val="00405BE5"/>
    <w:rsid w:val="00407F80"/>
    <w:rsid w:val="0041014F"/>
    <w:rsid w:val="0041171E"/>
    <w:rsid w:val="004125F5"/>
    <w:rsid w:val="00412D70"/>
    <w:rsid w:val="0041374E"/>
    <w:rsid w:val="004138D5"/>
    <w:rsid w:val="004146FB"/>
    <w:rsid w:val="004149B1"/>
    <w:rsid w:val="00414EF4"/>
    <w:rsid w:val="00416163"/>
    <w:rsid w:val="0041687A"/>
    <w:rsid w:val="00416BC8"/>
    <w:rsid w:val="00417401"/>
    <w:rsid w:val="00420A08"/>
    <w:rsid w:val="00420AF8"/>
    <w:rsid w:val="00420C19"/>
    <w:rsid w:val="00420C3F"/>
    <w:rsid w:val="00421227"/>
    <w:rsid w:val="004214DC"/>
    <w:rsid w:val="00421683"/>
    <w:rsid w:val="00421815"/>
    <w:rsid w:val="004248F7"/>
    <w:rsid w:val="004259AC"/>
    <w:rsid w:val="00425A94"/>
    <w:rsid w:val="00425BAA"/>
    <w:rsid w:val="004275E4"/>
    <w:rsid w:val="00430AC2"/>
    <w:rsid w:val="00430EE7"/>
    <w:rsid w:val="00431188"/>
    <w:rsid w:val="00432999"/>
    <w:rsid w:val="00433B39"/>
    <w:rsid w:val="00435745"/>
    <w:rsid w:val="00437F7C"/>
    <w:rsid w:val="00441BBC"/>
    <w:rsid w:val="00441D80"/>
    <w:rsid w:val="00442891"/>
    <w:rsid w:val="0044461A"/>
    <w:rsid w:val="00444680"/>
    <w:rsid w:val="0044479F"/>
    <w:rsid w:val="00444E60"/>
    <w:rsid w:val="004456E3"/>
    <w:rsid w:val="004458D3"/>
    <w:rsid w:val="00445A55"/>
    <w:rsid w:val="00446183"/>
    <w:rsid w:val="0044654F"/>
    <w:rsid w:val="0044689A"/>
    <w:rsid w:val="00446B2F"/>
    <w:rsid w:val="00447287"/>
    <w:rsid w:val="00450499"/>
    <w:rsid w:val="00450E0A"/>
    <w:rsid w:val="00450EC4"/>
    <w:rsid w:val="004520A7"/>
    <w:rsid w:val="00452F68"/>
    <w:rsid w:val="0045364A"/>
    <w:rsid w:val="0045368B"/>
    <w:rsid w:val="00453C32"/>
    <w:rsid w:val="00453D52"/>
    <w:rsid w:val="004550DA"/>
    <w:rsid w:val="00455733"/>
    <w:rsid w:val="00457685"/>
    <w:rsid w:val="00457FAD"/>
    <w:rsid w:val="00461861"/>
    <w:rsid w:val="004639F6"/>
    <w:rsid w:val="00465489"/>
    <w:rsid w:val="004660DE"/>
    <w:rsid w:val="00466A20"/>
    <w:rsid w:val="004672A4"/>
    <w:rsid w:val="004675DC"/>
    <w:rsid w:val="00467682"/>
    <w:rsid w:val="004716B9"/>
    <w:rsid w:val="00473082"/>
    <w:rsid w:val="004737C1"/>
    <w:rsid w:val="00473890"/>
    <w:rsid w:val="004739F3"/>
    <w:rsid w:val="00475273"/>
    <w:rsid w:val="004771D3"/>
    <w:rsid w:val="004779A6"/>
    <w:rsid w:val="00477F09"/>
    <w:rsid w:val="00480639"/>
    <w:rsid w:val="004814AA"/>
    <w:rsid w:val="004825F1"/>
    <w:rsid w:val="00482B8B"/>
    <w:rsid w:val="00483F68"/>
    <w:rsid w:val="00486B85"/>
    <w:rsid w:val="00487989"/>
    <w:rsid w:val="00491459"/>
    <w:rsid w:val="0049145A"/>
    <w:rsid w:val="0049194B"/>
    <w:rsid w:val="00492C64"/>
    <w:rsid w:val="00493E8E"/>
    <w:rsid w:val="00494100"/>
    <w:rsid w:val="00494F57"/>
    <w:rsid w:val="00495142"/>
    <w:rsid w:val="00495D93"/>
    <w:rsid w:val="00496343"/>
    <w:rsid w:val="00496417"/>
    <w:rsid w:val="00496D48"/>
    <w:rsid w:val="00497213"/>
    <w:rsid w:val="004972AA"/>
    <w:rsid w:val="0049737E"/>
    <w:rsid w:val="004A0060"/>
    <w:rsid w:val="004A0C05"/>
    <w:rsid w:val="004A1940"/>
    <w:rsid w:val="004A2BB2"/>
    <w:rsid w:val="004A504B"/>
    <w:rsid w:val="004A5D9A"/>
    <w:rsid w:val="004A5FDB"/>
    <w:rsid w:val="004A64D0"/>
    <w:rsid w:val="004A67EC"/>
    <w:rsid w:val="004B1F7E"/>
    <w:rsid w:val="004B30B0"/>
    <w:rsid w:val="004B3FF3"/>
    <w:rsid w:val="004B52AC"/>
    <w:rsid w:val="004B54C9"/>
    <w:rsid w:val="004B7553"/>
    <w:rsid w:val="004C1857"/>
    <w:rsid w:val="004C1901"/>
    <w:rsid w:val="004C1BEE"/>
    <w:rsid w:val="004C2DAA"/>
    <w:rsid w:val="004C5370"/>
    <w:rsid w:val="004C5EB3"/>
    <w:rsid w:val="004C64B6"/>
    <w:rsid w:val="004C64B9"/>
    <w:rsid w:val="004C794A"/>
    <w:rsid w:val="004D06D0"/>
    <w:rsid w:val="004D0851"/>
    <w:rsid w:val="004D1CDB"/>
    <w:rsid w:val="004D1EC6"/>
    <w:rsid w:val="004D21D4"/>
    <w:rsid w:val="004D27BC"/>
    <w:rsid w:val="004D5200"/>
    <w:rsid w:val="004D61AD"/>
    <w:rsid w:val="004D61B6"/>
    <w:rsid w:val="004D626D"/>
    <w:rsid w:val="004D76E7"/>
    <w:rsid w:val="004D7E0E"/>
    <w:rsid w:val="004E0797"/>
    <w:rsid w:val="004E1C28"/>
    <w:rsid w:val="004E490E"/>
    <w:rsid w:val="004E52B4"/>
    <w:rsid w:val="004E52DB"/>
    <w:rsid w:val="004E6A2B"/>
    <w:rsid w:val="004E6DDC"/>
    <w:rsid w:val="004F048F"/>
    <w:rsid w:val="004F08BA"/>
    <w:rsid w:val="004F0958"/>
    <w:rsid w:val="004F1E43"/>
    <w:rsid w:val="004F21A6"/>
    <w:rsid w:val="004F2235"/>
    <w:rsid w:val="004F238E"/>
    <w:rsid w:val="004F2405"/>
    <w:rsid w:val="004F32C9"/>
    <w:rsid w:val="004F32F3"/>
    <w:rsid w:val="004F50A2"/>
    <w:rsid w:val="004F527A"/>
    <w:rsid w:val="004F6460"/>
    <w:rsid w:val="004F7EF9"/>
    <w:rsid w:val="005003E2"/>
    <w:rsid w:val="005005E3"/>
    <w:rsid w:val="005010BC"/>
    <w:rsid w:val="005016A3"/>
    <w:rsid w:val="005029BA"/>
    <w:rsid w:val="00502FAD"/>
    <w:rsid w:val="005038FB"/>
    <w:rsid w:val="00503EB6"/>
    <w:rsid w:val="00504034"/>
    <w:rsid w:val="005044BC"/>
    <w:rsid w:val="0050641A"/>
    <w:rsid w:val="00507495"/>
    <w:rsid w:val="00510586"/>
    <w:rsid w:val="00510A7D"/>
    <w:rsid w:val="00510C39"/>
    <w:rsid w:val="00511FE5"/>
    <w:rsid w:val="00513887"/>
    <w:rsid w:val="00513EFD"/>
    <w:rsid w:val="00514FF2"/>
    <w:rsid w:val="00515C65"/>
    <w:rsid w:val="00515D0F"/>
    <w:rsid w:val="0051603D"/>
    <w:rsid w:val="005202BB"/>
    <w:rsid w:val="0052248F"/>
    <w:rsid w:val="005224BC"/>
    <w:rsid w:val="005224C1"/>
    <w:rsid w:val="0052319B"/>
    <w:rsid w:val="00523335"/>
    <w:rsid w:val="005236E4"/>
    <w:rsid w:val="0052423E"/>
    <w:rsid w:val="00524E54"/>
    <w:rsid w:val="005258F4"/>
    <w:rsid w:val="005261E5"/>
    <w:rsid w:val="0052723C"/>
    <w:rsid w:val="00527439"/>
    <w:rsid w:val="00527BE3"/>
    <w:rsid w:val="005308D4"/>
    <w:rsid w:val="0053252D"/>
    <w:rsid w:val="00532A2A"/>
    <w:rsid w:val="00532D0E"/>
    <w:rsid w:val="00533B8E"/>
    <w:rsid w:val="00534B92"/>
    <w:rsid w:val="00534F2E"/>
    <w:rsid w:val="00536148"/>
    <w:rsid w:val="005368D1"/>
    <w:rsid w:val="005402C6"/>
    <w:rsid w:val="0054052D"/>
    <w:rsid w:val="0054058E"/>
    <w:rsid w:val="0054066D"/>
    <w:rsid w:val="00541314"/>
    <w:rsid w:val="00541467"/>
    <w:rsid w:val="005414BA"/>
    <w:rsid w:val="00542626"/>
    <w:rsid w:val="0054282D"/>
    <w:rsid w:val="00542D57"/>
    <w:rsid w:val="005435BC"/>
    <w:rsid w:val="005437E5"/>
    <w:rsid w:val="00543ADB"/>
    <w:rsid w:val="00544837"/>
    <w:rsid w:val="005464ED"/>
    <w:rsid w:val="00550AF3"/>
    <w:rsid w:val="005520A0"/>
    <w:rsid w:val="00552FCB"/>
    <w:rsid w:val="00553113"/>
    <w:rsid w:val="0055378A"/>
    <w:rsid w:val="0055473B"/>
    <w:rsid w:val="00556047"/>
    <w:rsid w:val="005568FA"/>
    <w:rsid w:val="0055693D"/>
    <w:rsid w:val="00556E77"/>
    <w:rsid w:val="00556FD0"/>
    <w:rsid w:val="0055719B"/>
    <w:rsid w:val="00557493"/>
    <w:rsid w:val="00557B1F"/>
    <w:rsid w:val="00557EED"/>
    <w:rsid w:val="00557F7B"/>
    <w:rsid w:val="00560566"/>
    <w:rsid w:val="00560B54"/>
    <w:rsid w:val="00561D54"/>
    <w:rsid w:val="00563767"/>
    <w:rsid w:val="00563C82"/>
    <w:rsid w:val="00563CB8"/>
    <w:rsid w:val="00565C35"/>
    <w:rsid w:val="0056635E"/>
    <w:rsid w:val="00566CC8"/>
    <w:rsid w:val="00567086"/>
    <w:rsid w:val="0056770E"/>
    <w:rsid w:val="00567D0B"/>
    <w:rsid w:val="0057076F"/>
    <w:rsid w:val="00571A32"/>
    <w:rsid w:val="00572702"/>
    <w:rsid w:val="00572B1C"/>
    <w:rsid w:val="00573200"/>
    <w:rsid w:val="00574872"/>
    <w:rsid w:val="00574E6E"/>
    <w:rsid w:val="00576CD7"/>
    <w:rsid w:val="00580573"/>
    <w:rsid w:val="00581A57"/>
    <w:rsid w:val="00581AA0"/>
    <w:rsid w:val="005824AD"/>
    <w:rsid w:val="005834A7"/>
    <w:rsid w:val="00583EA0"/>
    <w:rsid w:val="00584257"/>
    <w:rsid w:val="00584889"/>
    <w:rsid w:val="00584A43"/>
    <w:rsid w:val="005857FC"/>
    <w:rsid w:val="00585D36"/>
    <w:rsid w:val="00585E70"/>
    <w:rsid w:val="0058622D"/>
    <w:rsid w:val="00587358"/>
    <w:rsid w:val="00587E98"/>
    <w:rsid w:val="00590831"/>
    <w:rsid w:val="00591528"/>
    <w:rsid w:val="005928F1"/>
    <w:rsid w:val="00593057"/>
    <w:rsid w:val="005944C4"/>
    <w:rsid w:val="00594E0B"/>
    <w:rsid w:val="00595220"/>
    <w:rsid w:val="00596425"/>
    <w:rsid w:val="005968EF"/>
    <w:rsid w:val="005976EC"/>
    <w:rsid w:val="005A0AAB"/>
    <w:rsid w:val="005A0BB7"/>
    <w:rsid w:val="005A1F51"/>
    <w:rsid w:val="005A210E"/>
    <w:rsid w:val="005A33BC"/>
    <w:rsid w:val="005A3E32"/>
    <w:rsid w:val="005A457B"/>
    <w:rsid w:val="005A4650"/>
    <w:rsid w:val="005A5063"/>
    <w:rsid w:val="005A558B"/>
    <w:rsid w:val="005A6078"/>
    <w:rsid w:val="005A6F4B"/>
    <w:rsid w:val="005B270C"/>
    <w:rsid w:val="005B31ED"/>
    <w:rsid w:val="005B3226"/>
    <w:rsid w:val="005B3554"/>
    <w:rsid w:val="005B4562"/>
    <w:rsid w:val="005B5094"/>
    <w:rsid w:val="005B6E90"/>
    <w:rsid w:val="005B7174"/>
    <w:rsid w:val="005B79A8"/>
    <w:rsid w:val="005B7E1A"/>
    <w:rsid w:val="005C011D"/>
    <w:rsid w:val="005C0EB8"/>
    <w:rsid w:val="005C1C37"/>
    <w:rsid w:val="005C2437"/>
    <w:rsid w:val="005C28F3"/>
    <w:rsid w:val="005C3D99"/>
    <w:rsid w:val="005C51B2"/>
    <w:rsid w:val="005C56DB"/>
    <w:rsid w:val="005C58E9"/>
    <w:rsid w:val="005C5AE3"/>
    <w:rsid w:val="005C5AEF"/>
    <w:rsid w:val="005C6F03"/>
    <w:rsid w:val="005C7463"/>
    <w:rsid w:val="005C7468"/>
    <w:rsid w:val="005D0B0B"/>
    <w:rsid w:val="005D206D"/>
    <w:rsid w:val="005D2B07"/>
    <w:rsid w:val="005D3C09"/>
    <w:rsid w:val="005D49AF"/>
    <w:rsid w:val="005D5C9B"/>
    <w:rsid w:val="005D5CB5"/>
    <w:rsid w:val="005D5F5E"/>
    <w:rsid w:val="005D646C"/>
    <w:rsid w:val="005D647E"/>
    <w:rsid w:val="005D702C"/>
    <w:rsid w:val="005D748B"/>
    <w:rsid w:val="005E0133"/>
    <w:rsid w:val="005E0568"/>
    <w:rsid w:val="005E0A2F"/>
    <w:rsid w:val="005E1314"/>
    <w:rsid w:val="005E17C1"/>
    <w:rsid w:val="005E284A"/>
    <w:rsid w:val="005E36A7"/>
    <w:rsid w:val="005E3E70"/>
    <w:rsid w:val="005E3E87"/>
    <w:rsid w:val="005E58AF"/>
    <w:rsid w:val="005E5992"/>
    <w:rsid w:val="005F00EC"/>
    <w:rsid w:val="005F0F3E"/>
    <w:rsid w:val="005F2847"/>
    <w:rsid w:val="005F2A0A"/>
    <w:rsid w:val="005F2BEF"/>
    <w:rsid w:val="005F3368"/>
    <w:rsid w:val="005F3473"/>
    <w:rsid w:val="005F34A3"/>
    <w:rsid w:val="005F3E6E"/>
    <w:rsid w:val="005F5415"/>
    <w:rsid w:val="005F578E"/>
    <w:rsid w:val="00600E9E"/>
    <w:rsid w:val="0060167A"/>
    <w:rsid w:val="00603F08"/>
    <w:rsid w:val="00604A87"/>
    <w:rsid w:val="00604EA2"/>
    <w:rsid w:val="0060500C"/>
    <w:rsid w:val="00605C4B"/>
    <w:rsid w:val="00605CFB"/>
    <w:rsid w:val="00605FB1"/>
    <w:rsid w:val="00606212"/>
    <w:rsid w:val="00606319"/>
    <w:rsid w:val="00606CBA"/>
    <w:rsid w:val="00607EBF"/>
    <w:rsid w:val="00607F6D"/>
    <w:rsid w:val="006104C0"/>
    <w:rsid w:val="00610596"/>
    <w:rsid w:val="00610A38"/>
    <w:rsid w:val="00611739"/>
    <w:rsid w:val="0061202C"/>
    <w:rsid w:val="006132D3"/>
    <w:rsid w:val="006147F5"/>
    <w:rsid w:val="006149D0"/>
    <w:rsid w:val="00616C4D"/>
    <w:rsid w:val="00616DC6"/>
    <w:rsid w:val="00617972"/>
    <w:rsid w:val="006202D9"/>
    <w:rsid w:val="0062116A"/>
    <w:rsid w:val="00621A55"/>
    <w:rsid w:val="00621AE7"/>
    <w:rsid w:val="00621D85"/>
    <w:rsid w:val="00622003"/>
    <w:rsid w:val="006251DF"/>
    <w:rsid w:val="006252E0"/>
    <w:rsid w:val="0062595F"/>
    <w:rsid w:val="00626194"/>
    <w:rsid w:val="006266BD"/>
    <w:rsid w:val="00626C9A"/>
    <w:rsid w:val="00627C48"/>
    <w:rsid w:val="00627E60"/>
    <w:rsid w:val="006304C6"/>
    <w:rsid w:val="00630AC3"/>
    <w:rsid w:val="00630FF5"/>
    <w:rsid w:val="006322D7"/>
    <w:rsid w:val="00633744"/>
    <w:rsid w:val="00634956"/>
    <w:rsid w:val="00634E79"/>
    <w:rsid w:val="00635EE6"/>
    <w:rsid w:val="00636729"/>
    <w:rsid w:val="00636A29"/>
    <w:rsid w:val="00637908"/>
    <w:rsid w:val="00637D86"/>
    <w:rsid w:val="006412A1"/>
    <w:rsid w:val="00641767"/>
    <w:rsid w:val="00641F40"/>
    <w:rsid w:val="0064675D"/>
    <w:rsid w:val="00646BA0"/>
    <w:rsid w:val="00646D9A"/>
    <w:rsid w:val="00646E41"/>
    <w:rsid w:val="006471F6"/>
    <w:rsid w:val="00647406"/>
    <w:rsid w:val="00647868"/>
    <w:rsid w:val="00650414"/>
    <w:rsid w:val="00650B0B"/>
    <w:rsid w:val="006511DF"/>
    <w:rsid w:val="00651DD2"/>
    <w:rsid w:val="00652001"/>
    <w:rsid w:val="00653C95"/>
    <w:rsid w:val="0065407B"/>
    <w:rsid w:val="006541A1"/>
    <w:rsid w:val="00654710"/>
    <w:rsid w:val="00654764"/>
    <w:rsid w:val="00655D59"/>
    <w:rsid w:val="0065712A"/>
    <w:rsid w:val="00657538"/>
    <w:rsid w:val="006578F4"/>
    <w:rsid w:val="00657CA8"/>
    <w:rsid w:val="006620A5"/>
    <w:rsid w:val="006626D5"/>
    <w:rsid w:val="006640F7"/>
    <w:rsid w:val="006648FB"/>
    <w:rsid w:val="006649CE"/>
    <w:rsid w:val="00666450"/>
    <w:rsid w:val="006666F4"/>
    <w:rsid w:val="00667FB1"/>
    <w:rsid w:val="006712F8"/>
    <w:rsid w:val="0067247C"/>
    <w:rsid w:val="00674789"/>
    <w:rsid w:val="00674864"/>
    <w:rsid w:val="006751BC"/>
    <w:rsid w:val="00675CD2"/>
    <w:rsid w:val="006760FB"/>
    <w:rsid w:val="0067632B"/>
    <w:rsid w:val="00676538"/>
    <w:rsid w:val="00676D12"/>
    <w:rsid w:val="0067718D"/>
    <w:rsid w:val="006771BD"/>
    <w:rsid w:val="00677B28"/>
    <w:rsid w:val="00677BB8"/>
    <w:rsid w:val="00677C1F"/>
    <w:rsid w:val="00680284"/>
    <w:rsid w:val="00680F69"/>
    <w:rsid w:val="006826FF"/>
    <w:rsid w:val="006828A9"/>
    <w:rsid w:val="00683554"/>
    <w:rsid w:val="00683C2D"/>
    <w:rsid w:val="00684CF6"/>
    <w:rsid w:val="00684DFD"/>
    <w:rsid w:val="00686037"/>
    <w:rsid w:val="0068772E"/>
    <w:rsid w:val="006923A5"/>
    <w:rsid w:val="00692DC1"/>
    <w:rsid w:val="0069437F"/>
    <w:rsid w:val="00694467"/>
    <w:rsid w:val="00694527"/>
    <w:rsid w:val="00694F92"/>
    <w:rsid w:val="006955C5"/>
    <w:rsid w:val="006957B8"/>
    <w:rsid w:val="00696433"/>
    <w:rsid w:val="00697CA1"/>
    <w:rsid w:val="006A00F7"/>
    <w:rsid w:val="006A0556"/>
    <w:rsid w:val="006A0878"/>
    <w:rsid w:val="006A19D0"/>
    <w:rsid w:val="006A2891"/>
    <w:rsid w:val="006A52C5"/>
    <w:rsid w:val="006A5E37"/>
    <w:rsid w:val="006B1167"/>
    <w:rsid w:val="006B1D9B"/>
    <w:rsid w:val="006B355C"/>
    <w:rsid w:val="006B36C6"/>
    <w:rsid w:val="006B4AC9"/>
    <w:rsid w:val="006B6517"/>
    <w:rsid w:val="006B65AF"/>
    <w:rsid w:val="006B6644"/>
    <w:rsid w:val="006B66F0"/>
    <w:rsid w:val="006B6D4C"/>
    <w:rsid w:val="006B6FC5"/>
    <w:rsid w:val="006C2B29"/>
    <w:rsid w:val="006C3ED8"/>
    <w:rsid w:val="006C5BF2"/>
    <w:rsid w:val="006C5E2F"/>
    <w:rsid w:val="006C6B05"/>
    <w:rsid w:val="006D02B3"/>
    <w:rsid w:val="006D1112"/>
    <w:rsid w:val="006D3020"/>
    <w:rsid w:val="006D381A"/>
    <w:rsid w:val="006D4292"/>
    <w:rsid w:val="006D429F"/>
    <w:rsid w:val="006D5345"/>
    <w:rsid w:val="006D54C7"/>
    <w:rsid w:val="006D5651"/>
    <w:rsid w:val="006D5C7A"/>
    <w:rsid w:val="006D6A34"/>
    <w:rsid w:val="006D6B7D"/>
    <w:rsid w:val="006D6E7F"/>
    <w:rsid w:val="006D7870"/>
    <w:rsid w:val="006D79A8"/>
    <w:rsid w:val="006E08E2"/>
    <w:rsid w:val="006E0954"/>
    <w:rsid w:val="006E136C"/>
    <w:rsid w:val="006E15F5"/>
    <w:rsid w:val="006E3566"/>
    <w:rsid w:val="006E3D88"/>
    <w:rsid w:val="006E5396"/>
    <w:rsid w:val="006E5BD9"/>
    <w:rsid w:val="006E5CC2"/>
    <w:rsid w:val="006E61DF"/>
    <w:rsid w:val="006E709C"/>
    <w:rsid w:val="006E74FB"/>
    <w:rsid w:val="006E7CD8"/>
    <w:rsid w:val="006F0F55"/>
    <w:rsid w:val="006F1BC6"/>
    <w:rsid w:val="006F2413"/>
    <w:rsid w:val="006F374E"/>
    <w:rsid w:val="006F4022"/>
    <w:rsid w:val="006F403E"/>
    <w:rsid w:val="006F4FC4"/>
    <w:rsid w:val="006F5470"/>
    <w:rsid w:val="006F5542"/>
    <w:rsid w:val="006F5618"/>
    <w:rsid w:val="006F5A3A"/>
    <w:rsid w:val="006F63E0"/>
    <w:rsid w:val="006F6711"/>
    <w:rsid w:val="006F726F"/>
    <w:rsid w:val="007007D7"/>
    <w:rsid w:val="00700FAC"/>
    <w:rsid w:val="0070119F"/>
    <w:rsid w:val="00701ACD"/>
    <w:rsid w:val="00701C20"/>
    <w:rsid w:val="00703B0F"/>
    <w:rsid w:val="007057DC"/>
    <w:rsid w:val="0070602C"/>
    <w:rsid w:val="00706B0D"/>
    <w:rsid w:val="00706C03"/>
    <w:rsid w:val="00710D40"/>
    <w:rsid w:val="00710F6B"/>
    <w:rsid w:val="00711D9D"/>
    <w:rsid w:val="00712896"/>
    <w:rsid w:val="00712D07"/>
    <w:rsid w:val="00713E21"/>
    <w:rsid w:val="00714344"/>
    <w:rsid w:val="00715246"/>
    <w:rsid w:val="0071594B"/>
    <w:rsid w:val="00715F59"/>
    <w:rsid w:val="007161FA"/>
    <w:rsid w:val="00716834"/>
    <w:rsid w:val="007202B4"/>
    <w:rsid w:val="0072193F"/>
    <w:rsid w:val="007225F8"/>
    <w:rsid w:val="00723C47"/>
    <w:rsid w:val="00723CD6"/>
    <w:rsid w:val="00723D46"/>
    <w:rsid w:val="00724216"/>
    <w:rsid w:val="007247C6"/>
    <w:rsid w:val="00724C90"/>
    <w:rsid w:val="00726204"/>
    <w:rsid w:val="0072630D"/>
    <w:rsid w:val="007313E3"/>
    <w:rsid w:val="00731A9E"/>
    <w:rsid w:val="00732121"/>
    <w:rsid w:val="00732F20"/>
    <w:rsid w:val="007339F3"/>
    <w:rsid w:val="00733DE5"/>
    <w:rsid w:val="00734B47"/>
    <w:rsid w:val="00734E2B"/>
    <w:rsid w:val="00735191"/>
    <w:rsid w:val="00735ABE"/>
    <w:rsid w:val="00736475"/>
    <w:rsid w:val="00736939"/>
    <w:rsid w:val="00736B28"/>
    <w:rsid w:val="0074160F"/>
    <w:rsid w:val="00741643"/>
    <w:rsid w:val="00741A86"/>
    <w:rsid w:val="00741BD3"/>
    <w:rsid w:val="00742150"/>
    <w:rsid w:val="00742880"/>
    <w:rsid w:val="007429B3"/>
    <w:rsid w:val="007443DF"/>
    <w:rsid w:val="00744BE8"/>
    <w:rsid w:val="00744F47"/>
    <w:rsid w:val="0074529B"/>
    <w:rsid w:val="007455E5"/>
    <w:rsid w:val="00746102"/>
    <w:rsid w:val="007469D1"/>
    <w:rsid w:val="00747484"/>
    <w:rsid w:val="007474CD"/>
    <w:rsid w:val="00750001"/>
    <w:rsid w:val="00750621"/>
    <w:rsid w:val="00751256"/>
    <w:rsid w:val="00751314"/>
    <w:rsid w:val="00751BA1"/>
    <w:rsid w:val="00753510"/>
    <w:rsid w:val="007535C7"/>
    <w:rsid w:val="00753AB6"/>
    <w:rsid w:val="00753BC8"/>
    <w:rsid w:val="00754F18"/>
    <w:rsid w:val="007558DD"/>
    <w:rsid w:val="00755C9C"/>
    <w:rsid w:val="00755F14"/>
    <w:rsid w:val="00756216"/>
    <w:rsid w:val="00756D81"/>
    <w:rsid w:val="0075755D"/>
    <w:rsid w:val="00760021"/>
    <w:rsid w:val="0076056C"/>
    <w:rsid w:val="00760CB4"/>
    <w:rsid w:val="00761649"/>
    <w:rsid w:val="00762E24"/>
    <w:rsid w:val="00762FED"/>
    <w:rsid w:val="007631D2"/>
    <w:rsid w:val="00763229"/>
    <w:rsid w:val="00763D2B"/>
    <w:rsid w:val="00764259"/>
    <w:rsid w:val="00764493"/>
    <w:rsid w:val="00764EFE"/>
    <w:rsid w:val="00765ACA"/>
    <w:rsid w:val="00766AD4"/>
    <w:rsid w:val="00767B51"/>
    <w:rsid w:val="007700E0"/>
    <w:rsid w:val="00770654"/>
    <w:rsid w:val="0077167B"/>
    <w:rsid w:val="0077171E"/>
    <w:rsid w:val="00771C05"/>
    <w:rsid w:val="00771C0C"/>
    <w:rsid w:val="007722E0"/>
    <w:rsid w:val="007726DF"/>
    <w:rsid w:val="00773B01"/>
    <w:rsid w:val="00773B46"/>
    <w:rsid w:val="00773F96"/>
    <w:rsid w:val="007746C8"/>
    <w:rsid w:val="00774801"/>
    <w:rsid w:val="0077512C"/>
    <w:rsid w:val="007756D4"/>
    <w:rsid w:val="00775B04"/>
    <w:rsid w:val="00776331"/>
    <w:rsid w:val="00776B0D"/>
    <w:rsid w:val="00776C6A"/>
    <w:rsid w:val="00777AAE"/>
    <w:rsid w:val="00777C5D"/>
    <w:rsid w:val="0078165E"/>
    <w:rsid w:val="007819E3"/>
    <w:rsid w:val="00782580"/>
    <w:rsid w:val="007825BB"/>
    <w:rsid w:val="0078361C"/>
    <w:rsid w:val="0078512C"/>
    <w:rsid w:val="00786382"/>
    <w:rsid w:val="00786CCF"/>
    <w:rsid w:val="0078745B"/>
    <w:rsid w:val="00787F76"/>
    <w:rsid w:val="00790B5D"/>
    <w:rsid w:val="0079101A"/>
    <w:rsid w:val="007912A7"/>
    <w:rsid w:val="007916D9"/>
    <w:rsid w:val="007917CD"/>
    <w:rsid w:val="00791B1C"/>
    <w:rsid w:val="007920CA"/>
    <w:rsid w:val="00792B56"/>
    <w:rsid w:val="00792DC4"/>
    <w:rsid w:val="007934D0"/>
    <w:rsid w:val="0079424F"/>
    <w:rsid w:val="00795339"/>
    <w:rsid w:val="00796124"/>
    <w:rsid w:val="00796146"/>
    <w:rsid w:val="0079621A"/>
    <w:rsid w:val="007974F6"/>
    <w:rsid w:val="007A21B9"/>
    <w:rsid w:val="007A2E87"/>
    <w:rsid w:val="007A36D1"/>
    <w:rsid w:val="007A3B34"/>
    <w:rsid w:val="007A3DB3"/>
    <w:rsid w:val="007A5FB9"/>
    <w:rsid w:val="007A66B3"/>
    <w:rsid w:val="007A7146"/>
    <w:rsid w:val="007A76B5"/>
    <w:rsid w:val="007A7A76"/>
    <w:rsid w:val="007A7F84"/>
    <w:rsid w:val="007B047A"/>
    <w:rsid w:val="007B0E49"/>
    <w:rsid w:val="007B1761"/>
    <w:rsid w:val="007B2B70"/>
    <w:rsid w:val="007B2D35"/>
    <w:rsid w:val="007B367F"/>
    <w:rsid w:val="007B3C01"/>
    <w:rsid w:val="007B40CE"/>
    <w:rsid w:val="007B4529"/>
    <w:rsid w:val="007B6ABB"/>
    <w:rsid w:val="007B7486"/>
    <w:rsid w:val="007B7621"/>
    <w:rsid w:val="007B7B71"/>
    <w:rsid w:val="007C0FE5"/>
    <w:rsid w:val="007C3499"/>
    <w:rsid w:val="007C377A"/>
    <w:rsid w:val="007C3871"/>
    <w:rsid w:val="007C393F"/>
    <w:rsid w:val="007C3C70"/>
    <w:rsid w:val="007C4185"/>
    <w:rsid w:val="007C4F29"/>
    <w:rsid w:val="007C510F"/>
    <w:rsid w:val="007C5618"/>
    <w:rsid w:val="007C566C"/>
    <w:rsid w:val="007C6087"/>
    <w:rsid w:val="007C6487"/>
    <w:rsid w:val="007C75FC"/>
    <w:rsid w:val="007C7FD8"/>
    <w:rsid w:val="007D0A4D"/>
    <w:rsid w:val="007D0B70"/>
    <w:rsid w:val="007D0B72"/>
    <w:rsid w:val="007D3B7B"/>
    <w:rsid w:val="007D48D8"/>
    <w:rsid w:val="007D6580"/>
    <w:rsid w:val="007D72F7"/>
    <w:rsid w:val="007E1EB1"/>
    <w:rsid w:val="007E30EA"/>
    <w:rsid w:val="007E3847"/>
    <w:rsid w:val="007E49CA"/>
    <w:rsid w:val="007E4BDE"/>
    <w:rsid w:val="007E4C54"/>
    <w:rsid w:val="007E5CD7"/>
    <w:rsid w:val="007E5DAF"/>
    <w:rsid w:val="007E6069"/>
    <w:rsid w:val="007F074B"/>
    <w:rsid w:val="007F2B63"/>
    <w:rsid w:val="007F2CE4"/>
    <w:rsid w:val="007F3021"/>
    <w:rsid w:val="007F3D00"/>
    <w:rsid w:val="007F3E23"/>
    <w:rsid w:val="007F45E1"/>
    <w:rsid w:val="007F473F"/>
    <w:rsid w:val="007F50E9"/>
    <w:rsid w:val="007F58F4"/>
    <w:rsid w:val="007F6891"/>
    <w:rsid w:val="007F6932"/>
    <w:rsid w:val="007F6D50"/>
    <w:rsid w:val="007F7ABC"/>
    <w:rsid w:val="00800384"/>
    <w:rsid w:val="0080190C"/>
    <w:rsid w:val="00801A67"/>
    <w:rsid w:val="00802206"/>
    <w:rsid w:val="00802F05"/>
    <w:rsid w:val="00803199"/>
    <w:rsid w:val="008031B3"/>
    <w:rsid w:val="00803CD4"/>
    <w:rsid w:val="008047D9"/>
    <w:rsid w:val="008049AB"/>
    <w:rsid w:val="00804BC5"/>
    <w:rsid w:val="00804C16"/>
    <w:rsid w:val="00804DCB"/>
    <w:rsid w:val="00805178"/>
    <w:rsid w:val="008069CD"/>
    <w:rsid w:val="0081067A"/>
    <w:rsid w:val="00811991"/>
    <w:rsid w:val="00811B27"/>
    <w:rsid w:val="00812367"/>
    <w:rsid w:val="00812B44"/>
    <w:rsid w:val="00812EC8"/>
    <w:rsid w:val="0081401E"/>
    <w:rsid w:val="008144AB"/>
    <w:rsid w:val="00814666"/>
    <w:rsid w:val="00815E29"/>
    <w:rsid w:val="008168D4"/>
    <w:rsid w:val="00816C65"/>
    <w:rsid w:val="008179C0"/>
    <w:rsid w:val="00820667"/>
    <w:rsid w:val="0082122B"/>
    <w:rsid w:val="0082304D"/>
    <w:rsid w:val="00823659"/>
    <w:rsid w:val="008237E3"/>
    <w:rsid w:val="00823C49"/>
    <w:rsid w:val="00824762"/>
    <w:rsid w:val="00824934"/>
    <w:rsid w:val="00826A6E"/>
    <w:rsid w:val="00826C70"/>
    <w:rsid w:val="008310A8"/>
    <w:rsid w:val="00831579"/>
    <w:rsid w:val="008318F0"/>
    <w:rsid w:val="00831968"/>
    <w:rsid w:val="00831C53"/>
    <w:rsid w:val="00832A9F"/>
    <w:rsid w:val="008333A9"/>
    <w:rsid w:val="0083348E"/>
    <w:rsid w:val="008351F9"/>
    <w:rsid w:val="0083586D"/>
    <w:rsid w:val="00835A10"/>
    <w:rsid w:val="00837580"/>
    <w:rsid w:val="00837685"/>
    <w:rsid w:val="00837B9F"/>
    <w:rsid w:val="00841290"/>
    <w:rsid w:val="008412A8"/>
    <w:rsid w:val="00841D33"/>
    <w:rsid w:val="008431D0"/>
    <w:rsid w:val="00844041"/>
    <w:rsid w:val="0084429A"/>
    <w:rsid w:val="00844B35"/>
    <w:rsid w:val="00844E2A"/>
    <w:rsid w:val="00845623"/>
    <w:rsid w:val="00845EAF"/>
    <w:rsid w:val="00845FFC"/>
    <w:rsid w:val="00846999"/>
    <w:rsid w:val="00847071"/>
    <w:rsid w:val="00847442"/>
    <w:rsid w:val="00847D6A"/>
    <w:rsid w:val="00847D7D"/>
    <w:rsid w:val="0085009A"/>
    <w:rsid w:val="008503F7"/>
    <w:rsid w:val="0085071A"/>
    <w:rsid w:val="00851CA4"/>
    <w:rsid w:val="00852E28"/>
    <w:rsid w:val="00852EAB"/>
    <w:rsid w:val="0085484C"/>
    <w:rsid w:val="00854A8D"/>
    <w:rsid w:val="008553D0"/>
    <w:rsid w:val="00856A95"/>
    <w:rsid w:val="00857110"/>
    <w:rsid w:val="008609B8"/>
    <w:rsid w:val="008627A5"/>
    <w:rsid w:val="008640D6"/>
    <w:rsid w:val="00865515"/>
    <w:rsid w:val="0086725C"/>
    <w:rsid w:val="008677A5"/>
    <w:rsid w:val="008705B9"/>
    <w:rsid w:val="00871209"/>
    <w:rsid w:val="00871416"/>
    <w:rsid w:val="00871D14"/>
    <w:rsid w:val="00871DE4"/>
    <w:rsid w:val="00872A5B"/>
    <w:rsid w:val="00872BD0"/>
    <w:rsid w:val="00873164"/>
    <w:rsid w:val="008732DD"/>
    <w:rsid w:val="00873B55"/>
    <w:rsid w:val="008743B0"/>
    <w:rsid w:val="008744DC"/>
    <w:rsid w:val="00875395"/>
    <w:rsid w:val="00875FD6"/>
    <w:rsid w:val="0087647D"/>
    <w:rsid w:val="00876EB7"/>
    <w:rsid w:val="00877234"/>
    <w:rsid w:val="00877C6D"/>
    <w:rsid w:val="00880349"/>
    <w:rsid w:val="008807BD"/>
    <w:rsid w:val="00880CE7"/>
    <w:rsid w:val="00881F20"/>
    <w:rsid w:val="008820C9"/>
    <w:rsid w:val="00882993"/>
    <w:rsid w:val="00882D90"/>
    <w:rsid w:val="00883190"/>
    <w:rsid w:val="00883D5F"/>
    <w:rsid w:val="0088402E"/>
    <w:rsid w:val="00884836"/>
    <w:rsid w:val="008855AB"/>
    <w:rsid w:val="00885BCA"/>
    <w:rsid w:val="008862A4"/>
    <w:rsid w:val="0088640A"/>
    <w:rsid w:val="00886E51"/>
    <w:rsid w:val="00886EEA"/>
    <w:rsid w:val="008917FA"/>
    <w:rsid w:val="008921D0"/>
    <w:rsid w:val="00892B9F"/>
    <w:rsid w:val="008934BA"/>
    <w:rsid w:val="0089371E"/>
    <w:rsid w:val="008954E9"/>
    <w:rsid w:val="00895CB2"/>
    <w:rsid w:val="00895CDA"/>
    <w:rsid w:val="0089697C"/>
    <w:rsid w:val="00896E40"/>
    <w:rsid w:val="008A12B0"/>
    <w:rsid w:val="008A1C3A"/>
    <w:rsid w:val="008A228F"/>
    <w:rsid w:val="008A2539"/>
    <w:rsid w:val="008A4322"/>
    <w:rsid w:val="008A4952"/>
    <w:rsid w:val="008A7380"/>
    <w:rsid w:val="008A78C4"/>
    <w:rsid w:val="008A78DD"/>
    <w:rsid w:val="008A7B78"/>
    <w:rsid w:val="008B07B2"/>
    <w:rsid w:val="008B0E39"/>
    <w:rsid w:val="008B154E"/>
    <w:rsid w:val="008B1C52"/>
    <w:rsid w:val="008B2223"/>
    <w:rsid w:val="008B237C"/>
    <w:rsid w:val="008B2E14"/>
    <w:rsid w:val="008B39F1"/>
    <w:rsid w:val="008B42B7"/>
    <w:rsid w:val="008B45EE"/>
    <w:rsid w:val="008B5F25"/>
    <w:rsid w:val="008B676F"/>
    <w:rsid w:val="008B6A2E"/>
    <w:rsid w:val="008B789B"/>
    <w:rsid w:val="008C02E3"/>
    <w:rsid w:val="008C10A6"/>
    <w:rsid w:val="008C1364"/>
    <w:rsid w:val="008C1657"/>
    <w:rsid w:val="008C1B70"/>
    <w:rsid w:val="008C1E4F"/>
    <w:rsid w:val="008C4432"/>
    <w:rsid w:val="008C448C"/>
    <w:rsid w:val="008C48F5"/>
    <w:rsid w:val="008C4D67"/>
    <w:rsid w:val="008C5210"/>
    <w:rsid w:val="008C5290"/>
    <w:rsid w:val="008C59CC"/>
    <w:rsid w:val="008C67CE"/>
    <w:rsid w:val="008C691B"/>
    <w:rsid w:val="008C6C1B"/>
    <w:rsid w:val="008C70B7"/>
    <w:rsid w:val="008C7159"/>
    <w:rsid w:val="008D04CD"/>
    <w:rsid w:val="008D2112"/>
    <w:rsid w:val="008D3276"/>
    <w:rsid w:val="008D3E9D"/>
    <w:rsid w:val="008D5253"/>
    <w:rsid w:val="008D5974"/>
    <w:rsid w:val="008D64B5"/>
    <w:rsid w:val="008D6AD7"/>
    <w:rsid w:val="008D6C8B"/>
    <w:rsid w:val="008D7441"/>
    <w:rsid w:val="008D74F8"/>
    <w:rsid w:val="008D7673"/>
    <w:rsid w:val="008E01C5"/>
    <w:rsid w:val="008E084C"/>
    <w:rsid w:val="008E0FEC"/>
    <w:rsid w:val="008E2C45"/>
    <w:rsid w:val="008E3B23"/>
    <w:rsid w:val="008E4097"/>
    <w:rsid w:val="008E4A29"/>
    <w:rsid w:val="008E60E1"/>
    <w:rsid w:val="008E684C"/>
    <w:rsid w:val="008F1033"/>
    <w:rsid w:val="008F133C"/>
    <w:rsid w:val="008F1605"/>
    <w:rsid w:val="008F267E"/>
    <w:rsid w:val="008F2A50"/>
    <w:rsid w:val="008F301C"/>
    <w:rsid w:val="008F3CB6"/>
    <w:rsid w:val="008F43D8"/>
    <w:rsid w:val="008F5E04"/>
    <w:rsid w:val="0090096F"/>
    <w:rsid w:val="00901611"/>
    <w:rsid w:val="00901AF7"/>
    <w:rsid w:val="00901D27"/>
    <w:rsid w:val="00902A9E"/>
    <w:rsid w:val="0090460E"/>
    <w:rsid w:val="00904715"/>
    <w:rsid w:val="00904B03"/>
    <w:rsid w:val="00904D0B"/>
    <w:rsid w:val="0090525E"/>
    <w:rsid w:val="00905BFD"/>
    <w:rsid w:val="009065AF"/>
    <w:rsid w:val="00910464"/>
    <w:rsid w:val="009106A5"/>
    <w:rsid w:val="0091137B"/>
    <w:rsid w:val="009118EA"/>
    <w:rsid w:val="00911D18"/>
    <w:rsid w:val="00912415"/>
    <w:rsid w:val="009137E5"/>
    <w:rsid w:val="00913DE0"/>
    <w:rsid w:val="0091572E"/>
    <w:rsid w:val="009159C5"/>
    <w:rsid w:val="00917629"/>
    <w:rsid w:val="009176CA"/>
    <w:rsid w:val="009179E4"/>
    <w:rsid w:val="00917E32"/>
    <w:rsid w:val="00920D86"/>
    <w:rsid w:val="0092192D"/>
    <w:rsid w:val="0092367D"/>
    <w:rsid w:val="00925310"/>
    <w:rsid w:val="00925313"/>
    <w:rsid w:val="00925453"/>
    <w:rsid w:val="0092628B"/>
    <w:rsid w:val="009268C3"/>
    <w:rsid w:val="00927046"/>
    <w:rsid w:val="009270DC"/>
    <w:rsid w:val="009273A7"/>
    <w:rsid w:val="00932A2D"/>
    <w:rsid w:val="00934CDD"/>
    <w:rsid w:val="00935420"/>
    <w:rsid w:val="00935DAF"/>
    <w:rsid w:val="00936223"/>
    <w:rsid w:val="0093726F"/>
    <w:rsid w:val="009374D6"/>
    <w:rsid w:val="00937990"/>
    <w:rsid w:val="00940119"/>
    <w:rsid w:val="00940A36"/>
    <w:rsid w:val="00941AA3"/>
    <w:rsid w:val="0094251E"/>
    <w:rsid w:val="00942B91"/>
    <w:rsid w:val="00944A91"/>
    <w:rsid w:val="00945168"/>
    <w:rsid w:val="0094573F"/>
    <w:rsid w:val="00945B92"/>
    <w:rsid w:val="009461B5"/>
    <w:rsid w:val="00946B9F"/>
    <w:rsid w:val="009502D1"/>
    <w:rsid w:val="009508F6"/>
    <w:rsid w:val="00951037"/>
    <w:rsid w:val="00951822"/>
    <w:rsid w:val="00951C18"/>
    <w:rsid w:val="00952190"/>
    <w:rsid w:val="009528FF"/>
    <w:rsid w:val="00952DD3"/>
    <w:rsid w:val="00952FE3"/>
    <w:rsid w:val="00953838"/>
    <w:rsid w:val="009543DD"/>
    <w:rsid w:val="0095461C"/>
    <w:rsid w:val="00955036"/>
    <w:rsid w:val="00955276"/>
    <w:rsid w:val="009553F8"/>
    <w:rsid w:val="00955849"/>
    <w:rsid w:val="00955FD7"/>
    <w:rsid w:val="0095669F"/>
    <w:rsid w:val="009566BE"/>
    <w:rsid w:val="00956C4E"/>
    <w:rsid w:val="009577C6"/>
    <w:rsid w:val="00960271"/>
    <w:rsid w:val="00960EC3"/>
    <w:rsid w:val="009611AE"/>
    <w:rsid w:val="009613A5"/>
    <w:rsid w:val="00961747"/>
    <w:rsid w:val="00963138"/>
    <w:rsid w:val="00963261"/>
    <w:rsid w:val="00963C76"/>
    <w:rsid w:val="00964443"/>
    <w:rsid w:val="0096444D"/>
    <w:rsid w:val="00964CA4"/>
    <w:rsid w:val="00965306"/>
    <w:rsid w:val="00971399"/>
    <w:rsid w:val="00971412"/>
    <w:rsid w:val="00971625"/>
    <w:rsid w:val="00971B0F"/>
    <w:rsid w:val="00971E18"/>
    <w:rsid w:val="00973117"/>
    <w:rsid w:val="00974627"/>
    <w:rsid w:val="009750DF"/>
    <w:rsid w:val="0097663A"/>
    <w:rsid w:val="009768F7"/>
    <w:rsid w:val="00977117"/>
    <w:rsid w:val="0097757C"/>
    <w:rsid w:val="00977A90"/>
    <w:rsid w:val="00977C58"/>
    <w:rsid w:val="00981005"/>
    <w:rsid w:val="0098128C"/>
    <w:rsid w:val="009825EA"/>
    <w:rsid w:val="00983F83"/>
    <w:rsid w:val="0098659E"/>
    <w:rsid w:val="00986606"/>
    <w:rsid w:val="009866D1"/>
    <w:rsid w:val="0098782D"/>
    <w:rsid w:val="0098790C"/>
    <w:rsid w:val="00990050"/>
    <w:rsid w:val="00990B6B"/>
    <w:rsid w:val="0099190C"/>
    <w:rsid w:val="009927A7"/>
    <w:rsid w:val="00992D63"/>
    <w:rsid w:val="0099314B"/>
    <w:rsid w:val="009939D2"/>
    <w:rsid w:val="009940DE"/>
    <w:rsid w:val="00994287"/>
    <w:rsid w:val="009948AB"/>
    <w:rsid w:val="009951DD"/>
    <w:rsid w:val="00995C0D"/>
    <w:rsid w:val="009969F5"/>
    <w:rsid w:val="00997CB0"/>
    <w:rsid w:val="00997FD8"/>
    <w:rsid w:val="009A03E4"/>
    <w:rsid w:val="009A0A12"/>
    <w:rsid w:val="009A0AC5"/>
    <w:rsid w:val="009A1655"/>
    <w:rsid w:val="009A25FA"/>
    <w:rsid w:val="009A3F1C"/>
    <w:rsid w:val="009A5009"/>
    <w:rsid w:val="009A5325"/>
    <w:rsid w:val="009A56A2"/>
    <w:rsid w:val="009A610F"/>
    <w:rsid w:val="009A6129"/>
    <w:rsid w:val="009A72AD"/>
    <w:rsid w:val="009B0653"/>
    <w:rsid w:val="009B11C4"/>
    <w:rsid w:val="009B1283"/>
    <w:rsid w:val="009B184D"/>
    <w:rsid w:val="009B2412"/>
    <w:rsid w:val="009B3B61"/>
    <w:rsid w:val="009B42AC"/>
    <w:rsid w:val="009B61D9"/>
    <w:rsid w:val="009B6797"/>
    <w:rsid w:val="009C0DF2"/>
    <w:rsid w:val="009C2671"/>
    <w:rsid w:val="009C288D"/>
    <w:rsid w:val="009C2B17"/>
    <w:rsid w:val="009C3108"/>
    <w:rsid w:val="009C379F"/>
    <w:rsid w:val="009C3B57"/>
    <w:rsid w:val="009C5822"/>
    <w:rsid w:val="009C59B4"/>
    <w:rsid w:val="009C6477"/>
    <w:rsid w:val="009C700C"/>
    <w:rsid w:val="009C7593"/>
    <w:rsid w:val="009D0279"/>
    <w:rsid w:val="009D148D"/>
    <w:rsid w:val="009D2F17"/>
    <w:rsid w:val="009D3BE2"/>
    <w:rsid w:val="009D3FBC"/>
    <w:rsid w:val="009D4BCE"/>
    <w:rsid w:val="009D60F4"/>
    <w:rsid w:val="009D6FFB"/>
    <w:rsid w:val="009D746E"/>
    <w:rsid w:val="009E28D3"/>
    <w:rsid w:val="009E35DC"/>
    <w:rsid w:val="009E3CFC"/>
    <w:rsid w:val="009E3EFB"/>
    <w:rsid w:val="009E5409"/>
    <w:rsid w:val="009E629B"/>
    <w:rsid w:val="009E6431"/>
    <w:rsid w:val="009E6CFB"/>
    <w:rsid w:val="009E7755"/>
    <w:rsid w:val="009E7AB7"/>
    <w:rsid w:val="009E7C2C"/>
    <w:rsid w:val="009F0225"/>
    <w:rsid w:val="009F0A58"/>
    <w:rsid w:val="009F0AB8"/>
    <w:rsid w:val="009F0F45"/>
    <w:rsid w:val="009F2473"/>
    <w:rsid w:val="009F2714"/>
    <w:rsid w:val="009F2C72"/>
    <w:rsid w:val="009F2E71"/>
    <w:rsid w:val="009F381C"/>
    <w:rsid w:val="009F3A16"/>
    <w:rsid w:val="009F3A61"/>
    <w:rsid w:val="009F4280"/>
    <w:rsid w:val="009F4342"/>
    <w:rsid w:val="009F4E0C"/>
    <w:rsid w:val="009F4E7F"/>
    <w:rsid w:val="009F5A50"/>
    <w:rsid w:val="00A00024"/>
    <w:rsid w:val="00A01BAE"/>
    <w:rsid w:val="00A01EC1"/>
    <w:rsid w:val="00A0246A"/>
    <w:rsid w:val="00A10605"/>
    <w:rsid w:val="00A109B0"/>
    <w:rsid w:val="00A10B2E"/>
    <w:rsid w:val="00A10ED4"/>
    <w:rsid w:val="00A118AE"/>
    <w:rsid w:val="00A124B7"/>
    <w:rsid w:val="00A12B4C"/>
    <w:rsid w:val="00A164FF"/>
    <w:rsid w:val="00A167C3"/>
    <w:rsid w:val="00A175E6"/>
    <w:rsid w:val="00A1770B"/>
    <w:rsid w:val="00A17BBE"/>
    <w:rsid w:val="00A20881"/>
    <w:rsid w:val="00A21B89"/>
    <w:rsid w:val="00A21F46"/>
    <w:rsid w:val="00A22097"/>
    <w:rsid w:val="00A269D8"/>
    <w:rsid w:val="00A273D1"/>
    <w:rsid w:val="00A2799B"/>
    <w:rsid w:val="00A3016D"/>
    <w:rsid w:val="00A32C5C"/>
    <w:rsid w:val="00A32D2E"/>
    <w:rsid w:val="00A33325"/>
    <w:rsid w:val="00A333B5"/>
    <w:rsid w:val="00A3430F"/>
    <w:rsid w:val="00A34AA7"/>
    <w:rsid w:val="00A34B2E"/>
    <w:rsid w:val="00A355A2"/>
    <w:rsid w:val="00A36694"/>
    <w:rsid w:val="00A36D9A"/>
    <w:rsid w:val="00A3775C"/>
    <w:rsid w:val="00A4125E"/>
    <w:rsid w:val="00A434D3"/>
    <w:rsid w:val="00A43522"/>
    <w:rsid w:val="00A4455F"/>
    <w:rsid w:val="00A4592A"/>
    <w:rsid w:val="00A46C22"/>
    <w:rsid w:val="00A46EF8"/>
    <w:rsid w:val="00A47004"/>
    <w:rsid w:val="00A4749F"/>
    <w:rsid w:val="00A47640"/>
    <w:rsid w:val="00A478E5"/>
    <w:rsid w:val="00A47C0D"/>
    <w:rsid w:val="00A505E9"/>
    <w:rsid w:val="00A51000"/>
    <w:rsid w:val="00A51894"/>
    <w:rsid w:val="00A51D73"/>
    <w:rsid w:val="00A532C4"/>
    <w:rsid w:val="00A53609"/>
    <w:rsid w:val="00A53A99"/>
    <w:rsid w:val="00A54214"/>
    <w:rsid w:val="00A548B1"/>
    <w:rsid w:val="00A57AF2"/>
    <w:rsid w:val="00A607A6"/>
    <w:rsid w:val="00A6441B"/>
    <w:rsid w:val="00A66198"/>
    <w:rsid w:val="00A66239"/>
    <w:rsid w:val="00A6719C"/>
    <w:rsid w:val="00A7020D"/>
    <w:rsid w:val="00A71E4C"/>
    <w:rsid w:val="00A72132"/>
    <w:rsid w:val="00A72175"/>
    <w:rsid w:val="00A7309D"/>
    <w:rsid w:val="00A73983"/>
    <w:rsid w:val="00A748B5"/>
    <w:rsid w:val="00A74BE3"/>
    <w:rsid w:val="00A75256"/>
    <w:rsid w:val="00A75A15"/>
    <w:rsid w:val="00A75FF3"/>
    <w:rsid w:val="00A76BC7"/>
    <w:rsid w:val="00A76FBF"/>
    <w:rsid w:val="00A77109"/>
    <w:rsid w:val="00A775EA"/>
    <w:rsid w:val="00A810F3"/>
    <w:rsid w:val="00A821D2"/>
    <w:rsid w:val="00A82C56"/>
    <w:rsid w:val="00A84AC6"/>
    <w:rsid w:val="00A86CCC"/>
    <w:rsid w:val="00A875F6"/>
    <w:rsid w:val="00A9266F"/>
    <w:rsid w:val="00A92735"/>
    <w:rsid w:val="00A952A6"/>
    <w:rsid w:val="00A956C3"/>
    <w:rsid w:val="00A963E8"/>
    <w:rsid w:val="00A974E3"/>
    <w:rsid w:val="00A979A6"/>
    <w:rsid w:val="00AA0150"/>
    <w:rsid w:val="00AA1082"/>
    <w:rsid w:val="00AA25D8"/>
    <w:rsid w:val="00AA4074"/>
    <w:rsid w:val="00AA4ECF"/>
    <w:rsid w:val="00AA5476"/>
    <w:rsid w:val="00AA5549"/>
    <w:rsid w:val="00AA779E"/>
    <w:rsid w:val="00AA7E41"/>
    <w:rsid w:val="00AA7FAE"/>
    <w:rsid w:val="00AB0671"/>
    <w:rsid w:val="00AB12E6"/>
    <w:rsid w:val="00AB225C"/>
    <w:rsid w:val="00AB2450"/>
    <w:rsid w:val="00AB2882"/>
    <w:rsid w:val="00AB2FB4"/>
    <w:rsid w:val="00AB3730"/>
    <w:rsid w:val="00AB41D2"/>
    <w:rsid w:val="00AB442C"/>
    <w:rsid w:val="00AB46E5"/>
    <w:rsid w:val="00AB476E"/>
    <w:rsid w:val="00AB49BE"/>
    <w:rsid w:val="00AB4B7D"/>
    <w:rsid w:val="00AB4F8B"/>
    <w:rsid w:val="00AB5DB4"/>
    <w:rsid w:val="00AB6616"/>
    <w:rsid w:val="00AC08F5"/>
    <w:rsid w:val="00AC0EB7"/>
    <w:rsid w:val="00AC1DE3"/>
    <w:rsid w:val="00AC2C8F"/>
    <w:rsid w:val="00AC43A3"/>
    <w:rsid w:val="00AC5238"/>
    <w:rsid w:val="00AC5A62"/>
    <w:rsid w:val="00AC6384"/>
    <w:rsid w:val="00AD0CD3"/>
    <w:rsid w:val="00AD15CD"/>
    <w:rsid w:val="00AD1AF9"/>
    <w:rsid w:val="00AD22E1"/>
    <w:rsid w:val="00AD2379"/>
    <w:rsid w:val="00AD286A"/>
    <w:rsid w:val="00AD2BF9"/>
    <w:rsid w:val="00AD3222"/>
    <w:rsid w:val="00AD3BA2"/>
    <w:rsid w:val="00AD4DBD"/>
    <w:rsid w:val="00AD5318"/>
    <w:rsid w:val="00AD595E"/>
    <w:rsid w:val="00AD5BD2"/>
    <w:rsid w:val="00AD66BF"/>
    <w:rsid w:val="00AD6A31"/>
    <w:rsid w:val="00AE11EE"/>
    <w:rsid w:val="00AE19F7"/>
    <w:rsid w:val="00AE1D41"/>
    <w:rsid w:val="00AE29FA"/>
    <w:rsid w:val="00AE35BD"/>
    <w:rsid w:val="00AE3BA7"/>
    <w:rsid w:val="00AE4E27"/>
    <w:rsid w:val="00AE5F2C"/>
    <w:rsid w:val="00AE67ED"/>
    <w:rsid w:val="00AE6FB2"/>
    <w:rsid w:val="00AE7DB4"/>
    <w:rsid w:val="00AF0A7F"/>
    <w:rsid w:val="00AF0AAE"/>
    <w:rsid w:val="00AF1865"/>
    <w:rsid w:val="00AF20EF"/>
    <w:rsid w:val="00AF37F1"/>
    <w:rsid w:val="00AF3BEF"/>
    <w:rsid w:val="00AF3EA0"/>
    <w:rsid w:val="00AF4D26"/>
    <w:rsid w:val="00AF52CD"/>
    <w:rsid w:val="00AF71C4"/>
    <w:rsid w:val="00B005BC"/>
    <w:rsid w:val="00B008F3"/>
    <w:rsid w:val="00B02E37"/>
    <w:rsid w:val="00B03812"/>
    <w:rsid w:val="00B03FD1"/>
    <w:rsid w:val="00B054C6"/>
    <w:rsid w:val="00B05855"/>
    <w:rsid w:val="00B06513"/>
    <w:rsid w:val="00B065D1"/>
    <w:rsid w:val="00B065E8"/>
    <w:rsid w:val="00B07870"/>
    <w:rsid w:val="00B100EF"/>
    <w:rsid w:val="00B10B41"/>
    <w:rsid w:val="00B10E63"/>
    <w:rsid w:val="00B1114B"/>
    <w:rsid w:val="00B12E33"/>
    <w:rsid w:val="00B132AE"/>
    <w:rsid w:val="00B157AA"/>
    <w:rsid w:val="00B15C3A"/>
    <w:rsid w:val="00B17E35"/>
    <w:rsid w:val="00B21403"/>
    <w:rsid w:val="00B2161D"/>
    <w:rsid w:val="00B21E6D"/>
    <w:rsid w:val="00B22D6A"/>
    <w:rsid w:val="00B2388D"/>
    <w:rsid w:val="00B2391B"/>
    <w:rsid w:val="00B23DC6"/>
    <w:rsid w:val="00B23E21"/>
    <w:rsid w:val="00B25BA2"/>
    <w:rsid w:val="00B26442"/>
    <w:rsid w:val="00B265D9"/>
    <w:rsid w:val="00B272C9"/>
    <w:rsid w:val="00B300B4"/>
    <w:rsid w:val="00B300D1"/>
    <w:rsid w:val="00B307D1"/>
    <w:rsid w:val="00B30BF1"/>
    <w:rsid w:val="00B30F4B"/>
    <w:rsid w:val="00B3111F"/>
    <w:rsid w:val="00B31C35"/>
    <w:rsid w:val="00B31E02"/>
    <w:rsid w:val="00B328C7"/>
    <w:rsid w:val="00B33161"/>
    <w:rsid w:val="00B33818"/>
    <w:rsid w:val="00B33AB6"/>
    <w:rsid w:val="00B34732"/>
    <w:rsid w:val="00B35E14"/>
    <w:rsid w:val="00B36136"/>
    <w:rsid w:val="00B37730"/>
    <w:rsid w:val="00B40032"/>
    <w:rsid w:val="00B4028E"/>
    <w:rsid w:val="00B40335"/>
    <w:rsid w:val="00B404F2"/>
    <w:rsid w:val="00B41A0C"/>
    <w:rsid w:val="00B432D6"/>
    <w:rsid w:val="00B4394D"/>
    <w:rsid w:val="00B44431"/>
    <w:rsid w:val="00B44464"/>
    <w:rsid w:val="00B4468A"/>
    <w:rsid w:val="00B44DBB"/>
    <w:rsid w:val="00B46AF3"/>
    <w:rsid w:val="00B47CD4"/>
    <w:rsid w:val="00B504DC"/>
    <w:rsid w:val="00B5094B"/>
    <w:rsid w:val="00B50B2C"/>
    <w:rsid w:val="00B5137C"/>
    <w:rsid w:val="00B54051"/>
    <w:rsid w:val="00B54074"/>
    <w:rsid w:val="00B541EA"/>
    <w:rsid w:val="00B55370"/>
    <w:rsid w:val="00B559D5"/>
    <w:rsid w:val="00B559F1"/>
    <w:rsid w:val="00B5629A"/>
    <w:rsid w:val="00B56C9D"/>
    <w:rsid w:val="00B56D2B"/>
    <w:rsid w:val="00B61A8F"/>
    <w:rsid w:val="00B61D31"/>
    <w:rsid w:val="00B6241A"/>
    <w:rsid w:val="00B627CC"/>
    <w:rsid w:val="00B62B6F"/>
    <w:rsid w:val="00B6451A"/>
    <w:rsid w:val="00B65480"/>
    <w:rsid w:val="00B65982"/>
    <w:rsid w:val="00B65AC7"/>
    <w:rsid w:val="00B674EB"/>
    <w:rsid w:val="00B67727"/>
    <w:rsid w:val="00B67CA7"/>
    <w:rsid w:val="00B67D28"/>
    <w:rsid w:val="00B711A4"/>
    <w:rsid w:val="00B715B4"/>
    <w:rsid w:val="00B720CE"/>
    <w:rsid w:val="00B72237"/>
    <w:rsid w:val="00B7293D"/>
    <w:rsid w:val="00B73383"/>
    <w:rsid w:val="00B73B65"/>
    <w:rsid w:val="00B74832"/>
    <w:rsid w:val="00B75888"/>
    <w:rsid w:val="00B7664E"/>
    <w:rsid w:val="00B76792"/>
    <w:rsid w:val="00B76B5B"/>
    <w:rsid w:val="00B76BB1"/>
    <w:rsid w:val="00B80DDC"/>
    <w:rsid w:val="00B80F03"/>
    <w:rsid w:val="00B81494"/>
    <w:rsid w:val="00B8256C"/>
    <w:rsid w:val="00B83EAD"/>
    <w:rsid w:val="00B85349"/>
    <w:rsid w:val="00B8586F"/>
    <w:rsid w:val="00B8765F"/>
    <w:rsid w:val="00B8777A"/>
    <w:rsid w:val="00B87E29"/>
    <w:rsid w:val="00B912EA"/>
    <w:rsid w:val="00B92520"/>
    <w:rsid w:val="00B93D1A"/>
    <w:rsid w:val="00B942D5"/>
    <w:rsid w:val="00B94760"/>
    <w:rsid w:val="00B9486E"/>
    <w:rsid w:val="00B948BA"/>
    <w:rsid w:val="00B9496E"/>
    <w:rsid w:val="00B94EC5"/>
    <w:rsid w:val="00B94F65"/>
    <w:rsid w:val="00B95655"/>
    <w:rsid w:val="00B969F7"/>
    <w:rsid w:val="00B96CED"/>
    <w:rsid w:val="00B975E4"/>
    <w:rsid w:val="00BA01C8"/>
    <w:rsid w:val="00BA27AD"/>
    <w:rsid w:val="00BA3FA5"/>
    <w:rsid w:val="00BA45D6"/>
    <w:rsid w:val="00BA4ACC"/>
    <w:rsid w:val="00BA534F"/>
    <w:rsid w:val="00BA5E45"/>
    <w:rsid w:val="00BA6716"/>
    <w:rsid w:val="00BB09B7"/>
    <w:rsid w:val="00BB0B72"/>
    <w:rsid w:val="00BB0F55"/>
    <w:rsid w:val="00BB1113"/>
    <w:rsid w:val="00BB1E30"/>
    <w:rsid w:val="00BB2912"/>
    <w:rsid w:val="00BB5119"/>
    <w:rsid w:val="00BB5A49"/>
    <w:rsid w:val="00BB6629"/>
    <w:rsid w:val="00BB6CFB"/>
    <w:rsid w:val="00BB6DE8"/>
    <w:rsid w:val="00BB7C5B"/>
    <w:rsid w:val="00BC0225"/>
    <w:rsid w:val="00BC07DB"/>
    <w:rsid w:val="00BC1E96"/>
    <w:rsid w:val="00BC2870"/>
    <w:rsid w:val="00BC2CA2"/>
    <w:rsid w:val="00BC34E0"/>
    <w:rsid w:val="00BC3F2F"/>
    <w:rsid w:val="00BC4C72"/>
    <w:rsid w:val="00BC712B"/>
    <w:rsid w:val="00BC71EF"/>
    <w:rsid w:val="00BC76B6"/>
    <w:rsid w:val="00BD03A5"/>
    <w:rsid w:val="00BD1A26"/>
    <w:rsid w:val="00BD473A"/>
    <w:rsid w:val="00BD4B9E"/>
    <w:rsid w:val="00BD547B"/>
    <w:rsid w:val="00BD5C18"/>
    <w:rsid w:val="00BD6E69"/>
    <w:rsid w:val="00BD70A3"/>
    <w:rsid w:val="00BD794B"/>
    <w:rsid w:val="00BE09F8"/>
    <w:rsid w:val="00BE0DFD"/>
    <w:rsid w:val="00BE1199"/>
    <w:rsid w:val="00BE42C3"/>
    <w:rsid w:val="00BE4447"/>
    <w:rsid w:val="00BE58E2"/>
    <w:rsid w:val="00BE6E49"/>
    <w:rsid w:val="00BE7764"/>
    <w:rsid w:val="00BF0573"/>
    <w:rsid w:val="00BF1892"/>
    <w:rsid w:val="00BF1A17"/>
    <w:rsid w:val="00BF297B"/>
    <w:rsid w:val="00BF4463"/>
    <w:rsid w:val="00BF6847"/>
    <w:rsid w:val="00BF7319"/>
    <w:rsid w:val="00C00CB6"/>
    <w:rsid w:val="00C00FB3"/>
    <w:rsid w:val="00C0107C"/>
    <w:rsid w:val="00C010E2"/>
    <w:rsid w:val="00C03410"/>
    <w:rsid w:val="00C03B9A"/>
    <w:rsid w:val="00C03BCA"/>
    <w:rsid w:val="00C050CA"/>
    <w:rsid w:val="00C056DF"/>
    <w:rsid w:val="00C05739"/>
    <w:rsid w:val="00C05A18"/>
    <w:rsid w:val="00C0601F"/>
    <w:rsid w:val="00C06558"/>
    <w:rsid w:val="00C06BEE"/>
    <w:rsid w:val="00C076C0"/>
    <w:rsid w:val="00C108D3"/>
    <w:rsid w:val="00C1117A"/>
    <w:rsid w:val="00C11479"/>
    <w:rsid w:val="00C1206A"/>
    <w:rsid w:val="00C122FB"/>
    <w:rsid w:val="00C12360"/>
    <w:rsid w:val="00C13DE6"/>
    <w:rsid w:val="00C14476"/>
    <w:rsid w:val="00C1489C"/>
    <w:rsid w:val="00C17665"/>
    <w:rsid w:val="00C177FF"/>
    <w:rsid w:val="00C17A72"/>
    <w:rsid w:val="00C2112B"/>
    <w:rsid w:val="00C21817"/>
    <w:rsid w:val="00C21BDB"/>
    <w:rsid w:val="00C22E24"/>
    <w:rsid w:val="00C23374"/>
    <w:rsid w:val="00C24B0D"/>
    <w:rsid w:val="00C24D4D"/>
    <w:rsid w:val="00C257B7"/>
    <w:rsid w:val="00C2598E"/>
    <w:rsid w:val="00C2615F"/>
    <w:rsid w:val="00C26591"/>
    <w:rsid w:val="00C26638"/>
    <w:rsid w:val="00C26817"/>
    <w:rsid w:val="00C26E91"/>
    <w:rsid w:val="00C27446"/>
    <w:rsid w:val="00C31316"/>
    <w:rsid w:val="00C31382"/>
    <w:rsid w:val="00C3193A"/>
    <w:rsid w:val="00C33BD8"/>
    <w:rsid w:val="00C341A5"/>
    <w:rsid w:val="00C34743"/>
    <w:rsid w:val="00C3594F"/>
    <w:rsid w:val="00C36CA1"/>
    <w:rsid w:val="00C36E8A"/>
    <w:rsid w:val="00C40569"/>
    <w:rsid w:val="00C413D7"/>
    <w:rsid w:val="00C41E52"/>
    <w:rsid w:val="00C424DC"/>
    <w:rsid w:val="00C43F32"/>
    <w:rsid w:val="00C4448B"/>
    <w:rsid w:val="00C44EB7"/>
    <w:rsid w:val="00C45488"/>
    <w:rsid w:val="00C45518"/>
    <w:rsid w:val="00C45AAE"/>
    <w:rsid w:val="00C45C12"/>
    <w:rsid w:val="00C46C0F"/>
    <w:rsid w:val="00C47D8E"/>
    <w:rsid w:val="00C519CA"/>
    <w:rsid w:val="00C53D10"/>
    <w:rsid w:val="00C5439D"/>
    <w:rsid w:val="00C5481C"/>
    <w:rsid w:val="00C54B97"/>
    <w:rsid w:val="00C54D7C"/>
    <w:rsid w:val="00C55D0B"/>
    <w:rsid w:val="00C60601"/>
    <w:rsid w:val="00C60E3C"/>
    <w:rsid w:val="00C6127A"/>
    <w:rsid w:val="00C621DD"/>
    <w:rsid w:val="00C63AFF"/>
    <w:rsid w:val="00C64488"/>
    <w:rsid w:val="00C644AF"/>
    <w:rsid w:val="00C64EFE"/>
    <w:rsid w:val="00C65AAD"/>
    <w:rsid w:val="00C65E31"/>
    <w:rsid w:val="00C678BA"/>
    <w:rsid w:val="00C70285"/>
    <w:rsid w:val="00C707F4"/>
    <w:rsid w:val="00C70883"/>
    <w:rsid w:val="00C70E30"/>
    <w:rsid w:val="00C718E7"/>
    <w:rsid w:val="00C71BEC"/>
    <w:rsid w:val="00C71F9D"/>
    <w:rsid w:val="00C72615"/>
    <w:rsid w:val="00C72F56"/>
    <w:rsid w:val="00C7372A"/>
    <w:rsid w:val="00C73DEA"/>
    <w:rsid w:val="00C740A1"/>
    <w:rsid w:val="00C74D73"/>
    <w:rsid w:val="00C76328"/>
    <w:rsid w:val="00C76587"/>
    <w:rsid w:val="00C76D8C"/>
    <w:rsid w:val="00C770F0"/>
    <w:rsid w:val="00C77504"/>
    <w:rsid w:val="00C7778A"/>
    <w:rsid w:val="00C80040"/>
    <w:rsid w:val="00C8004C"/>
    <w:rsid w:val="00C81687"/>
    <w:rsid w:val="00C8173E"/>
    <w:rsid w:val="00C81AEA"/>
    <w:rsid w:val="00C825C9"/>
    <w:rsid w:val="00C827BE"/>
    <w:rsid w:val="00C830E6"/>
    <w:rsid w:val="00C843A3"/>
    <w:rsid w:val="00C846F7"/>
    <w:rsid w:val="00C858DE"/>
    <w:rsid w:val="00C8626A"/>
    <w:rsid w:val="00C864D2"/>
    <w:rsid w:val="00C868D5"/>
    <w:rsid w:val="00C86E49"/>
    <w:rsid w:val="00C905DC"/>
    <w:rsid w:val="00C91394"/>
    <w:rsid w:val="00C9168A"/>
    <w:rsid w:val="00C916F2"/>
    <w:rsid w:val="00C91824"/>
    <w:rsid w:val="00C9188D"/>
    <w:rsid w:val="00C9192E"/>
    <w:rsid w:val="00C92C9F"/>
    <w:rsid w:val="00C932E6"/>
    <w:rsid w:val="00C9360E"/>
    <w:rsid w:val="00C94712"/>
    <w:rsid w:val="00C957F9"/>
    <w:rsid w:val="00C96C32"/>
    <w:rsid w:val="00C96C9D"/>
    <w:rsid w:val="00C96DB1"/>
    <w:rsid w:val="00CA0549"/>
    <w:rsid w:val="00CA08BA"/>
    <w:rsid w:val="00CA1CB3"/>
    <w:rsid w:val="00CA21C7"/>
    <w:rsid w:val="00CA2B51"/>
    <w:rsid w:val="00CA2CA2"/>
    <w:rsid w:val="00CA3CE5"/>
    <w:rsid w:val="00CA48BE"/>
    <w:rsid w:val="00CA5B9A"/>
    <w:rsid w:val="00CA72AB"/>
    <w:rsid w:val="00CB062F"/>
    <w:rsid w:val="00CB065F"/>
    <w:rsid w:val="00CB1650"/>
    <w:rsid w:val="00CB2098"/>
    <w:rsid w:val="00CB2C6B"/>
    <w:rsid w:val="00CB33B9"/>
    <w:rsid w:val="00CB4179"/>
    <w:rsid w:val="00CB4212"/>
    <w:rsid w:val="00CB4F97"/>
    <w:rsid w:val="00CB58CC"/>
    <w:rsid w:val="00CB5A28"/>
    <w:rsid w:val="00CB5C0A"/>
    <w:rsid w:val="00CB6C31"/>
    <w:rsid w:val="00CB6C54"/>
    <w:rsid w:val="00CC1E37"/>
    <w:rsid w:val="00CC388A"/>
    <w:rsid w:val="00CC4C3E"/>
    <w:rsid w:val="00CC5479"/>
    <w:rsid w:val="00CC579F"/>
    <w:rsid w:val="00CC5C83"/>
    <w:rsid w:val="00CC789B"/>
    <w:rsid w:val="00CD0A7D"/>
    <w:rsid w:val="00CD3F40"/>
    <w:rsid w:val="00CD4E44"/>
    <w:rsid w:val="00CD5668"/>
    <w:rsid w:val="00CD56F9"/>
    <w:rsid w:val="00CD5744"/>
    <w:rsid w:val="00CD5919"/>
    <w:rsid w:val="00CD5A0C"/>
    <w:rsid w:val="00CD6211"/>
    <w:rsid w:val="00CD641E"/>
    <w:rsid w:val="00CD6EEE"/>
    <w:rsid w:val="00CD6FEA"/>
    <w:rsid w:val="00CD73D6"/>
    <w:rsid w:val="00CE06D4"/>
    <w:rsid w:val="00CE0D88"/>
    <w:rsid w:val="00CE0E91"/>
    <w:rsid w:val="00CE14A8"/>
    <w:rsid w:val="00CE2ADC"/>
    <w:rsid w:val="00CE2C40"/>
    <w:rsid w:val="00CE3E67"/>
    <w:rsid w:val="00CE4E3C"/>
    <w:rsid w:val="00CE549D"/>
    <w:rsid w:val="00CE6341"/>
    <w:rsid w:val="00CE7B34"/>
    <w:rsid w:val="00CF0D9F"/>
    <w:rsid w:val="00CF1692"/>
    <w:rsid w:val="00CF1FAD"/>
    <w:rsid w:val="00CF20BD"/>
    <w:rsid w:val="00CF291A"/>
    <w:rsid w:val="00CF45FA"/>
    <w:rsid w:val="00CF4C43"/>
    <w:rsid w:val="00CF674E"/>
    <w:rsid w:val="00CF6CE7"/>
    <w:rsid w:val="00CF6F2C"/>
    <w:rsid w:val="00D0011D"/>
    <w:rsid w:val="00D00B77"/>
    <w:rsid w:val="00D01E18"/>
    <w:rsid w:val="00D02EAF"/>
    <w:rsid w:val="00D04A12"/>
    <w:rsid w:val="00D06971"/>
    <w:rsid w:val="00D07573"/>
    <w:rsid w:val="00D0792D"/>
    <w:rsid w:val="00D1022A"/>
    <w:rsid w:val="00D106EA"/>
    <w:rsid w:val="00D10B80"/>
    <w:rsid w:val="00D11129"/>
    <w:rsid w:val="00D113E7"/>
    <w:rsid w:val="00D11510"/>
    <w:rsid w:val="00D11660"/>
    <w:rsid w:val="00D124E5"/>
    <w:rsid w:val="00D137B9"/>
    <w:rsid w:val="00D1385F"/>
    <w:rsid w:val="00D13CA5"/>
    <w:rsid w:val="00D142A9"/>
    <w:rsid w:val="00D14387"/>
    <w:rsid w:val="00D148EC"/>
    <w:rsid w:val="00D14C5E"/>
    <w:rsid w:val="00D15420"/>
    <w:rsid w:val="00D1547F"/>
    <w:rsid w:val="00D15AA0"/>
    <w:rsid w:val="00D17DD6"/>
    <w:rsid w:val="00D2040E"/>
    <w:rsid w:val="00D2101D"/>
    <w:rsid w:val="00D215E5"/>
    <w:rsid w:val="00D2194F"/>
    <w:rsid w:val="00D22F49"/>
    <w:rsid w:val="00D2451C"/>
    <w:rsid w:val="00D24AF3"/>
    <w:rsid w:val="00D25325"/>
    <w:rsid w:val="00D25750"/>
    <w:rsid w:val="00D27A3B"/>
    <w:rsid w:val="00D3088F"/>
    <w:rsid w:val="00D30E2B"/>
    <w:rsid w:val="00D32016"/>
    <w:rsid w:val="00D32531"/>
    <w:rsid w:val="00D35F69"/>
    <w:rsid w:val="00D37063"/>
    <w:rsid w:val="00D40170"/>
    <w:rsid w:val="00D40532"/>
    <w:rsid w:val="00D4090E"/>
    <w:rsid w:val="00D44EE1"/>
    <w:rsid w:val="00D46B72"/>
    <w:rsid w:val="00D50CEC"/>
    <w:rsid w:val="00D52590"/>
    <w:rsid w:val="00D5265C"/>
    <w:rsid w:val="00D53AA1"/>
    <w:rsid w:val="00D54A1F"/>
    <w:rsid w:val="00D54FC3"/>
    <w:rsid w:val="00D553D3"/>
    <w:rsid w:val="00D55B99"/>
    <w:rsid w:val="00D5666C"/>
    <w:rsid w:val="00D56E28"/>
    <w:rsid w:val="00D56ECF"/>
    <w:rsid w:val="00D609B2"/>
    <w:rsid w:val="00D60ED4"/>
    <w:rsid w:val="00D617CD"/>
    <w:rsid w:val="00D624CB"/>
    <w:rsid w:val="00D62CDE"/>
    <w:rsid w:val="00D63685"/>
    <w:rsid w:val="00D63ADD"/>
    <w:rsid w:val="00D63F2E"/>
    <w:rsid w:val="00D64DCD"/>
    <w:rsid w:val="00D6666A"/>
    <w:rsid w:val="00D671E7"/>
    <w:rsid w:val="00D674EE"/>
    <w:rsid w:val="00D70634"/>
    <w:rsid w:val="00D707A9"/>
    <w:rsid w:val="00D7085A"/>
    <w:rsid w:val="00D70B48"/>
    <w:rsid w:val="00D71694"/>
    <w:rsid w:val="00D72B73"/>
    <w:rsid w:val="00D733E0"/>
    <w:rsid w:val="00D7388C"/>
    <w:rsid w:val="00D741D9"/>
    <w:rsid w:val="00D7474C"/>
    <w:rsid w:val="00D75985"/>
    <w:rsid w:val="00D76BB5"/>
    <w:rsid w:val="00D76D2D"/>
    <w:rsid w:val="00D76E13"/>
    <w:rsid w:val="00D77EA1"/>
    <w:rsid w:val="00D8013D"/>
    <w:rsid w:val="00D80DE7"/>
    <w:rsid w:val="00D80FCA"/>
    <w:rsid w:val="00D813E8"/>
    <w:rsid w:val="00D81694"/>
    <w:rsid w:val="00D81CFC"/>
    <w:rsid w:val="00D81DCE"/>
    <w:rsid w:val="00D826EB"/>
    <w:rsid w:val="00D836D1"/>
    <w:rsid w:val="00D8386B"/>
    <w:rsid w:val="00D8447E"/>
    <w:rsid w:val="00D847B5"/>
    <w:rsid w:val="00D85217"/>
    <w:rsid w:val="00D85DEF"/>
    <w:rsid w:val="00D87580"/>
    <w:rsid w:val="00D87D31"/>
    <w:rsid w:val="00D90D59"/>
    <w:rsid w:val="00D91C6E"/>
    <w:rsid w:val="00D92C3B"/>
    <w:rsid w:val="00D92DB3"/>
    <w:rsid w:val="00D92EAD"/>
    <w:rsid w:val="00D9327A"/>
    <w:rsid w:val="00D95C93"/>
    <w:rsid w:val="00D970DB"/>
    <w:rsid w:val="00D97113"/>
    <w:rsid w:val="00D97189"/>
    <w:rsid w:val="00D9750A"/>
    <w:rsid w:val="00DA0B1B"/>
    <w:rsid w:val="00DA10AC"/>
    <w:rsid w:val="00DA1693"/>
    <w:rsid w:val="00DA21A6"/>
    <w:rsid w:val="00DA2797"/>
    <w:rsid w:val="00DA2B23"/>
    <w:rsid w:val="00DA310F"/>
    <w:rsid w:val="00DA318A"/>
    <w:rsid w:val="00DA3A33"/>
    <w:rsid w:val="00DA49BC"/>
    <w:rsid w:val="00DA6684"/>
    <w:rsid w:val="00DA67D9"/>
    <w:rsid w:val="00DA7A86"/>
    <w:rsid w:val="00DA7CA1"/>
    <w:rsid w:val="00DB07E4"/>
    <w:rsid w:val="00DB0F38"/>
    <w:rsid w:val="00DB1964"/>
    <w:rsid w:val="00DB22F9"/>
    <w:rsid w:val="00DB29DB"/>
    <w:rsid w:val="00DB3088"/>
    <w:rsid w:val="00DB3D90"/>
    <w:rsid w:val="00DB6706"/>
    <w:rsid w:val="00DB6BA1"/>
    <w:rsid w:val="00DB7E77"/>
    <w:rsid w:val="00DC08ED"/>
    <w:rsid w:val="00DC0AEE"/>
    <w:rsid w:val="00DC0C58"/>
    <w:rsid w:val="00DC17B1"/>
    <w:rsid w:val="00DC17D5"/>
    <w:rsid w:val="00DC2D53"/>
    <w:rsid w:val="00DC34B8"/>
    <w:rsid w:val="00DC4041"/>
    <w:rsid w:val="00DC512C"/>
    <w:rsid w:val="00DC546E"/>
    <w:rsid w:val="00DC7181"/>
    <w:rsid w:val="00DC72FF"/>
    <w:rsid w:val="00DC7FC8"/>
    <w:rsid w:val="00DD1764"/>
    <w:rsid w:val="00DD2BD9"/>
    <w:rsid w:val="00DD3514"/>
    <w:rsid w:val="00DD3617"/>
    <w:rsid w:val="00DD37CB"/>
    <w:rsid w:val="00DD4420"/>
    <w:rsid w:val="00DD4CAD"/>
    <w:rsid w:val="00DD5933"/>
    <w:rsid w:val="00DD6637"/>
    <w:rsid w:val="00DD682E"/>
    <w:rsid w:val="00DD6DA9"/>
    <w:rsid w:val="00DD70EA"/>
    <w:rsid w:val="00DE0990"/>
    <w:rsid w:val="00DE0D40"/>
    <w:rsid w:val="00DE197D"/>
    <w:rsid w:val="00DE2D9E"/>
    <w:rsid w:val="00DE35A7"/>
    <w:rsid w:val="00DE3E6F"/>
    <w:rsid w:val="00DE4218"/>
    <w:rsid w:val="00DE5549"/>
    <w:rsid w:val="00DE6A04"/>
    <w:rsid w:val="00DE715A"/>
    <w:rsid w:val="00DF0AF7"/>
    <w:rsid w:val="00DF1309"/>
    <w:rsid w:val="00DF1762"/>
    <w:rsid w:val="00DF2693"/>
    <w:rsid w:val="00DF3651"/>
    <w:rsid w:val="00DF37FA"/>
    <w:rsid w:val="00DF38B0"/>
    <w:rsid w:val="00DF57FB"/>
    <w:rsid w:val="00DF5D6B"/>
    <w:rsid w:val="00DF5E6E"/>
    <w:rsid w:val="00DF6B2B"/>
    <w:rsid w:val="00DF7171"/>
    <w:rsid w:val="00DF7837"/>
    <w:rsid w:val="00E01910"/>
    <w:rsid w:val="00E01B50"/>
    <w:rsid w:val="00E02301"/>
    <w:rsid w:val="00E026B1"/>
    <w:rsid w:val="00E02C17"/>
    <w:rsid w:val="00E03B93"/>
    <w:rsid w:val="00E04183"/>
    <w:rsid w:val="00E04237"/>
    <w:rsid w:val="00E043E0"/>
    <w:rsid w:val="00E04E00"/>
    <w:rsid w:val="00E05F0D"/>
    <w:rsid w:val="00E0672D"/>
    <w:rsid w:val="00E100F8"/>
    <w:rsid w:val="00E10464"/>
    <w:rsid w:val="00E11D7B"/>
    <w:rsid w:val="00E11DF2"/>
    <w:rsid w:val="00E1268D"/>
    <w:rsid w:val="00E126BF"/>
    <w:rsid w:val="00E1322A"/>
    <w:rsid w:val="00E14360"/>
    <w:rsid w:val="00E1551B"/>
    <w:rsid w:val="00E1605C"/>
    <w:rsid w:val="00E161C9"/>
    <w:rsid w:val="00E16893"/>
    <w:rsid w:val="00E17414"/>
    <w:rsid w:val="00E204EE"/>
    <w:rsid w:val="00E2121B"/>
    <w:rsid w:val="00E2185C"/>
    <w:rsid w:val="00E21D69"/>
    <w:rsid w:val="00E21E7C"/>
    <w:rsid w:val="00E22B6F"/>
    <w:rsid w:val="00E22CF8"/>
    <w:rsid w:val="00E23610"/>
    <w:rsid w:val="00E24B91"/>
    <w:rsid w:val="00E251D3"/>
    <w:rsid w:val="00E25291"/>
    <w:rsid w:val="00E252CB"/>
    <w:rsid w:val="00E25F3F"/>
    <w:rsid w:val="00E27B1E"/>
    <w:rsid w:val="00E307BD"/>
    <w:rsid w:val="00E316E3"/>
    <w:rsid w:val="00E328E3"/>
    <w:rsid w:val="00E32989"/>
    <w:rsid w:val="00E32D90"/>
    <w:rsid w:val="00E33C51"/>
    <w:rsid w:val="00E3536E"/>
    <w:rsid w:val="00E35DFC"/>
    <w:rsid w:val="00E36FAA"/>
    <w:rsid w:val="00E40D51"/>
    <w:rsid w:val="00E40E4D"/>
    <w:rsid w:val="00E42217"/>
    <w:rsid w:val="00E438D8"/>
    <w:rsid w:val="00E43B94"/>
    <w:rsid w:val="00E43EB2"/>
    <w:rsid w:val="00E4436B"/>
    <w:rsid w:val="00E448A2"/>
    <w:rsid w:val="00E44DA0"/>
    <w:rsid w:val="00E45691"/>
    <w:rsid w:val="00E46D4F"/>
    <w:rsid w:val="00E472CC"/>
    <w:rsid w:val="00E5043D"/>
    <w:rsid w:val="00E51C16"/>
    <w:rsid w:val="00E521BF"/>
    <w:rsid w:val="00E53DE8"/>
    <w:rsid w:val="00E5513D"/>
    <w:rsid w:val="00E5526F"/>
    <w:rsid w:val="00E55871"/>
    <w:rsid w:val="00E562FA"/>
    <w:rsid w:val="00E56C26"/>
    <w:rsid w:val="00E574A6"/>
    <w:rsid w:val="00E600A5"/>
    <w:rsid w:val="00E623F9"/>
    <w:rsid w:val="00E64457"/>
    <w:rsid w:val="00E65B22"/>
    <w:rsid w:val="00E65D51"/>
    <w:rsid w:val="00E662BF"/>
    <w:rsid w:val="00E663C3"/>
    <w:rsid w:val="00E665FB"/>
    <w:rsid w:val="00E67045"/>
    <w:rsid w:val="00E6741E"/>
    <w:rsid w:val="00E6753D"/>
    <w:rsid w:val="00E67F3F"/>
    <w:rsid w:val="00E708A2"/>
    <w:rsid w:val="00E70916"/>
    <w:rsid w:val="00E7163A"/>
    <w:rsid w:val="00E72B63"/>
    <w:rsid w:val="00E730E3"/>
    <w:rsid w:val="00E738E5"/>
    <w:rsid w:val="00E74078"/>
    <w:rsid w:val="00E747D9"/>
    <w:rsid w:val="00E753B5"/>
    <w:rsid w:val="00E75E75"/>
    <w:rsid w:val="00E80587"/>
    <w:rsid w:val="00E826C2"/>
    <w:rsid w:val="00E827B1"/>
    <w:rsid w:val="00E83ED3"/>
    <w:rsid w:val="00E8476B"/>
    <w:rsid w:val="00E857FD"/>
    <w:rsid w:val="00E8668E"/>
    <w:rsid w:val="00E867B1"/>
    <w:rsid w:val="00E86C64"/>
    <w:rsid w:val="00E87916"/>
    <w:rsid w:val="00E908B7"/>
    <w:rsid w:val="00E91BB1"/>
    <w:rsid w:val="00E91BC6"/>
    <w:rsid w:val="00E9298E"/>
    <w:rsid w:val="00E93061"/>
    <w:rsid w:val="00E9376B"/>
    <w:rsid w:val="00E94409"/>
    <w:rsid w:val="00E951FA"/>
    <w:rsid w:val="00E95F18"/>
    <w:rsid w:val="00E976E2"/>
    <w:rsid w:val="00E97810"/>
    <w:rsid w:val="00EA0EBD"/>
    <w:rsid w:val="00EA0ED1"/>
    <w:rsid w:val="00EA12B5"/>
    <w:rsid w:val="00EA18E3"/>
    <w:rsid w:val="00EA1CF8"/>
    <w:rsid w:val="00EA1DB0"/>
    <w:rsid w:val="00EA2126"/>
    <w:rsid w:val="00EA26F0"/>
    <w:rsid w:val="00EA2B36"/>
    <w:rsid w:val="00EA3E5D"/>
    <w:rsid w:val="00EA6349"/>
    <w:rsid w:val="00EB1C0D"/>
    <w:rsid w:val="00EB1C49"/>
    <w:rsid w:val="00EB2120"/>
    <w:rsid w:val="00EB225C"/>
    <w:rsid w:val="00EB263D"/>
    <w:rsid w:val="00EB35DC"/>
    <w:rsid w:val="00EB35E0"/>
    <w:rsid w:val="00EB44F4"/>
    <w:rsid w:val="00EB4EAE"/>
    <w:rsid w:val="00EB5876"/>
    <w:rsid w:val="00EB7BB7"/>
    <w:rsid w:val="00EC0B39"/>
    <w:rsid w:val="00EC23D5"/>
    <w:rsid w:val="00EC298E"/>
    <w:rsid w:val="00EC2B47"/>
    <w:rsid w:val="00EC3A8E"/>
    <w:rsid w:val="00EC4810"/>
    <w:rsid w:val="00EC4B5F"/>
    <w:rsid w:val="00EC6261"/>
    <w:rsid w:val="00EC7BDF"/>
    <w:rsid w:val="00EC7D70"/>
    <w:rsid w:val="00ED035A"/>
    <w:rsid w:val="00ED1F31"/>
    <w:rsid w:val="00ED245E"/>
    <w:rsid w:val="00ED3808"/>
    <w:rsid w:val="00ED3888"/>
    <w:rsid w:val="00ED3A2F"/>
    <w:rsid w:val="00ED3A4F"/>
    <w:rsid w:val="00ED57E2"/>
    <w:rsid w:val="00ED5C86"/>
    <w:rsid w:val="00ED7B7D"/>
    <w:rsid w:val="00ED7EFD"/>
    <w:rsid w:val="00EE008C"/>
    <w:rsid w:val="00EE0625"/>
    <w:rsid w:val="00EE0C9C"/>
    <w:rsid w:val="00EE1214"/>
    <w:rsid w:val="00EE1817"/>
    <w:rsid w:val="00EE1864"/>
    <w:rsid w:val="00EE3740"/>
    <w:rsid w:val="00EE3AA5"/>
    <w:rsid w:val="00EE3CD0"/>
    <w:rsid w:val="00EE436B"/>
    <w:rsid w:val="00EE4814"/>
    <w:rsid w:val="00EE4B00"/>
    <w:rsid w:val="00EE5257"/>
    <w:rsid w:val="00EE5604"/>
    <w:rsid w:val="00EF099B"/>
    <w:rsid w:val="00EF09C0"/>
    <w:rsid w:val="00EF1F4F"/>
    <w:rsid w:val="00EF29DD"/>
    <w:rsid w:val="00EF3691"/>
    <w:rsid w:val="00EF3732"/>
    <w:rsid w:val="00EF45CA"/>
    <w:rsid w:val="00EF4D31"/>
    <w:rsid w:val="00EF733D"/>
    <w:rsid w:val="00EF7564"/>
    <w:rsid w:val="00EF770F"/>
    <w:rsid w:val="00EF7BF9"/>
    <w:rsid w:val="00EF7CCB"/>
    <w:rsid w:val="00F00140"/>
    <w:rsid w:val="00F01753"/>
    <w:rsid w:val="00F028F0"/>
    <w:rsid w:val="00F0291D"/>
    <w:rsid w:val="00F02955"/>
    <w:rsid w:val="00F052AA"/>
    <w:rsid w:val="00F116BD"/>
    <w:rsid w:val="00F11FBC"/>
    <w:rsid w:val="00F13152"/>
    <w:rsid w:val="00F151C9"/>
    <w:rsid w:val="00F152AC"/>
    <w:rsid w:val="00F15BD5"/>
    <w:rsid w:val="00F17821"/>
    <w:rsid w:val="00F20C2D"/>
    <w:rsid w:val="00F2150B"/>
    <w:rsid w:val="00F22761"/>
    <w:rsid w:val="00F23611"/>
    <w:rsid w:val="00F23F42"/>
    <w:rsid w:val="00F24247"/>
    <w:rsid w:val="00F2465F"/>
    <w:rsid w:val="00F24884"/>
    <w:rsid w:val="00F249DD"/>
    <w:rsid w:val="00F25558"/>
    <w:rsid w:val="00F25E2D"/>
    <w:rsid w:val="00F26115"/>
    <w:rsid w:val="00F26F60"/>
    <w:rsid w:val="00F2751F"/>
    <w:rsid w:val="00F3021E"/>
    <w:rsid w:val="00F3024E"/>
    <w:rsid w:val="00F303CE"/>
    <w:rsid w:val="00F30770"/>
    <w:rsid w:val="00F30BB2"/>
    <w:rsid w:val="00F32081"/>
    <w:rsid w:val="00F3270B"/>
    <w:rsid w:val="00F32CB6"/>
    <w:rsid w:val="00F32EDD"/>
    <w:rsid w:val="00F33006"/>
    <w:rsid w:val="00F331C0"/>
    <w:rsid w:val="00F33CD0"/>
    <w:rsid w:val="00F3403C"/>
    <w:rsid w:val="00F34C93"/>
    <w:rsid w:val="00F35001"/>
    <w:rsid w:val="00F36666"/>
    <w:rsid w:val="00F37D02"/>
    <w:rsid w:val="00F40770"/>
    <w:rsid w:val="00F40CC4"/>
    <w:rsid w:val="00F4251E"/>
    <w:rsid w:val="00F4269B"/>
    <w:rsid w:val="00F43846"/>
    <w:rsid w:val="00F43B4D"/>
    <w:rsid w:val="00F446A0"/>
    <w:rsid w:val="00F44737"/>
    <w:rsid w:val="00F44FA9"/>
    <w:rsid w:val="00F464E3"/>
    <w:rsid w:val="00F46B16"/>
    <w:rsid w:val="00F47029"/>
    <w:rsid w:val="00F470B1"/>
    <w:rsid w:val="00F50639"/>
    <w:rsid w:val="00F50738"/>
    <w:rsid w:val="00F50890"/>
    <w:rsid w:val="00F51E0D"/>
    <w:rsid w:val="00F543C3"/>
    <w:rsid w:val="00F54A40"/>
    <w:rsid w:val="00F55300"/>
    <w:rsid w:val="00F569D8"/>
    <w:rsid w:val="00F57C7A"/>
    <w:rsid w:val="00F60B06"/>
    <w:rsid w:val="00F60E61"/>
    <w:rsid w:val="00F61AE7"/>
    <w:rsid w:val="00F62AB9"/>
    <w:rsid w:val="00F63E25"/>
    <w:rsid w:val="00F65123"/>
    <w:rsid w:val="00F66A6E"/>
    <w:rsid w:val="00F6732C"/>
    <w:rsid w:val="00F6740C"/>
    <w:rsid w:val="00F67487"/>
    <w:rsid w:val="00F67F5D"/>
    <w:rsid w:val="00F708DA"/>
    <w:rsid w:val="00F72742"/>
    <w:rsid w:val="00F72E24"/>
    <w:rsid w:val="00F72E7D"/>
    <w:rsid w:val="00F732BE"/>
    <w:rsid w:val="00F7337A"/>
    <w:rsid w:val="00F737C1"/>
    <w:rsid w:val="00F745D3"/>
    <w:rsid w:val="00F748E9"/>
    <w:rsid w:val="00F74DFB"/>
    <w:rsid w:val="00F75682"/>
    <w:rsid w:val="00F7692D"/>
    <w:rsid w:val="00F76A79"/>
    <w:rsid w:val="00F76FAA"/>
    <w:rsid w:val="00F77F22"/>
    <w:rsid w:val="00F802AC"/>
    <w:rsid w:val="00F80F38"/>
    <w:rsid w:val="00F81235"/>
    <w:rsid w:val="00F812C1"/>
    <w:rsid w:val="00F81938"/>
    <w:rsid w:val="00F826DE"/>
    <w:rsid w:val="00F82788"/>
    <w:rsid w:val="00F838D2"/>
    <w:rsid w:val="00F84EA1"/>
    <w:rsid w:val="00F85012"/>
    <w:rsid w:val="00F855F0"/>
    <w:rsid w:val="00F87857"/>
    <w:rsid w:val="00F87CB9"/>
    <w:rsid w:val="00F87E85"/>
    <w:rsid w:val="00F90345"/>
    <w:rsid w:val="00F90DB2"/>
    <w:rsid w:val="00F9188B"/>
    <w:rsid w:val="00F91AF7"/>
    <w:rsid w:val="00F91F4F"/>
    <w:rsid w:val="00F92167"/>
    <w:rsid w:val="00F93C25"/>
    <w:rsid w:val="00F962C6"/>
    <w:rsid w:val="00F963DA"/>
    <w:rsid w:val="00F967D7"/>
    <w:rsid w:val="00F97123"/>
    <w:rsid w:val="00F9769E"/>
    <w:rsid w:val="00F97E7B"/>
    <w:rsid w:val="00F97EB9"/>
    <w:rsid w:val="00FA050B"/>
    <w:rsid w:val="00FA0A16"/>
    <w:rsid w:val="00FA1B43"/>
    <w:rsid w:val="00FA1D9D"/>
    <w:rsid w:val="00FA3112"/>
    <w:rsid w:val="00FA359E"/>
    <w:rsid w:val="00FA3E5F"/>
    <w:rsid w:val="00FA3FEE"/>
    <w:rsid w:val="00FA5586"/>
    <w:rsid w:val="00FA64CF"/>
    <w:rsid w:val="00FB0697"/>
    <w:rsid w:val="00FB3FE6"/>
    <w:rsid w:val="00FB44CF"/>
    <w:rsid w:val="00FB467F"/>
    <w:rsid w:val="00FB4BF3"/>
    <w:rsid w:val="00FB4C41"/>
    <w:rsid w:val="00FB5623"/>
    <w:rsid w:val="00FB7DF2"/>
    <w:rsid w:val="00FC0EE4"/>
    <w:rsid w:val="00FC1033"/>
    <w:rsid w:val="00FC2AA1"/>
    <w:rsid w:val="00FC3D51"/>
    <w:rsid w:val="00FC4669"/>
    <w:rsid w:val="00FC46C1"/>
    <w:rsid w:val="00FC4DD6"/>
    <w:rsid w:val="00FC6302"/>
    <w:rsid w:val="00FC6BD2"/>
    <w:rsid w:val="00FC6EFE"/>
    <w:rsid w:val="00FC6F19"/>
    <w:rsid w:val="00FC6FCA"/>
    <w:rsid w:val="00FC71E1"/>
    <w:rsid w:val="00FC74B0"/>
    <w:rsid w:val="00FC7BAC"/>
    <w:rsid w:val="00FC7E01"/>
    <w:rsid w:val="00FD0A18"/>
    <w:rsid w:val="00FD10BB"/>
    <w:rsid w:val="00FD18DA"/>
    <w:rsid w:val="00FD1D81"/>
    <w:rsid w:val="00FD232F"/>
    <w:rsid w:val="00FD2530"/>
    <w:rsid w:val="00FD330C"/>
    <w:rsid w:val="00FD3639"/>
    <w:rsid w:val="00FD3DAE"/>
    <w:rsid w:val="00FD4954"/>
    <w:rsid w:val="00FD56DD"/>
    <w:rsid w:val="00FD5F6A"/>
    <w:rsid w:val="00FD6AEC"/>
    <w:rsid w:val="00FD6D88"/>
    <w:rsid w:val="00FE097A"/>
    <w:rsid w:val="00FE130B"/>
    <w:rsid w:val="00FE4AD3"/>
    <w:rsid w:val="00FE5BC2"/>
    <w:rsid w:val="00FE6007"/>
    <w:rsid w:val="00FE6513"/>
    <w:rsid w:val="00FE7219"/>
    <w:rsid w:val="00FF0C93"/>
    <w:rsid w:val="00FF2DBA"/>
    <w:rsid w:val="00FF3135"/>
    <w:rsid w:val="00FF3AB4"/>
    <w:rsid w:val="00FF3B3A"/>
    <w:rsid w:val="00FF4655"/>
    <w:rsid w:val="00FF5F87"/>
    <w:rsid w:val="00FF61A0"/>
    <w:rsid w:val="00FF6E21"/>
    <w:rsid w:val="015A0232"/>
    <w:rsid w:val="01D2487A"/>
    <w:rsid w:val="0221018B"/>
    <w:rsid w:val="02593B77"/>
    <w:rsid w:val="02CA6269"/>
    <w:rsid w:val="02ED72E8"/>
    <w:rsid w:val="02EE7BA5"/>
    <w:rsid w:val="02FC0500"/>
    <w:rsid w:val="03033083"/>
    <w:rsid w:val="030B7A7D"/>
    <w:rsid w:val="032E1A3B"/>
    <w:rsid w:val="037E360E"/>
    <w:rsid w:val="0389156E"/>
    <w:rsid w:val="03973608"/>
    <w:rsid w:val="042B23A8"/>
    <w:rsid w:val="042C5E3A"/>
    <w:rsid w:val="042D1072"/>
    <w:rsid w:val="046513B5"/>
    <w:rsid w:val="049025DD"/>
    <w:rsid w:val="049F2BA7"/>
    <w:rsid w:val="04A12B1A"/>
    <w:rsid w:val="04D93209"/>
    <w:rsid w:val="04F927B0"/>
    <w:rsid w:val="052F02E1"/>
    <w:rsid w:val="058F5084"/>
    <w:rsid w:val="05A71914"/>
    <w:rsid w:val="05DD0D75"/>
    <w:rsid w:val="065B63AC"/>
    <w:rsid w:val="067760A5"/>
    <w:rsid w:val="06CA52C0"/>
    <w:rsid w:val="06E26F0C"/>
    <w:rsid w:val="073902CE"/>
    <w:rsid w:val="073B1FE6"/>
    <w:rsid w:val="07553391"/>
    <w:rsid w:val="08CB2278"/>
    <w:rsid w:val="08E053FE"/>
    <w:rsid w:val="08E445E3"/>
    <w:rsid w:val="090F63AD"/>
    <w:rsid w:val="09A326B0"/>
    <w:rsid w:val="0A0D051E"/>
    <w:rsid w:val="0A4B751E"/>
    <w:rsid w:val="0AD24664"/>
    <w:rsid w:val="0AD2680D"/>
    <w:rsid w:val="0B2D5589"/>
    <w:rsid w:val="0BAA2C95"/>
    <w:rsid w:val="0BC67A0D"/>
    <w:rsid w:val="0C305F46"/>
    <w:rsid w:val="0C3A61A3"/>
    <w:rsid w:val="0C6C01DA"/>
    <w:rsid w:val="0C6F408E"/>
    <w:rsid w:val="0C84140B"/>
    <w:rsid w:val="0CC71F56"/>
    <w:rsid w:val="0E1B3810"/>
    <w:rsid w:val="0E6D6D8F"/>
    <w:rsid w:val="0ED30541"/>
    <w:rsid w:val="0ED741F4"/>
    <w:rsid w:val="0EDA2D83"/>
    <w:rsid w:val="0F7411AF"/>
    <w:rsid w:val="0FC97277"/>
    <w:rsid w:val="10351EEE"/>
    <w:rsid w:val="10676BFB"/>
    <w:rsid w:val="107C3DEE"/>
    <w:rsid w:val="10F70784"/>
    <w:rsid w:val="113306E0"/>
    <w:rsid w:val="117E4E5B"/>
    <w:rsid w:val="11AA178F"/>
    <w:rsid w:val="11CB2534"/>
    <w:rsid w:val="12ED1743"/>
    <w:rsid w:val="134737C1"/>
    <w:rsid w:val="14A578A4"/>
    <w:rsid w:val="14DC05C9"/>
    <w:rsid w:val="14DC644E"/>
    <w:rsid w:val="150F40CF"/>
    <w:rsid w:val="153E541F"/>
    <w:rsid w:val="15560522"/>
    <w:rsid w:val="15DA7EA3"/>
    <w:rsid w:val="164825D5"/>
    <w:rsid w:val="16FB0EB0"/>
    <w:rsid w:val="17825794"/>
    <w:rsid w:val="17DF0A26"/>
    <w:rsid w:val="187F601B"/>
    <w:rsid w:val="18E91D4D"/>
    <w:rsid w:val="19B01240"/>
    <w:rsid w:val="1A2C51D6"/>
    <w:rsid w:val="1A82576A"/>
    <w:rsid w:val="1B3606F9"/>
    <w:rsid w:val="1C1D27AE"/>
    <w:rsid w:val="1C677B15"/>
    <w:rsid w:val="1C9562A8"/>
    <w:rsid w:val="1D0F2C51"/>
    <w:rsid w:val="1D107135"/>
    <w:rsid w:val="1D4A3D60"/>
    <w:rsid w:val="1D6A48E0"/>
    <w:rsid w:val="1D6E5C09"/>
    <w:rsid w:val="1DC75AF9"/>
    <w:rsid w:val="1E643997"/>
    <w:rsid w:val="1EA5408F"/>
    <w:rsid w:val="1EB30428"/>
    <w:rsid w:val="1F707938"/>
    <w:rsid w:val="1F851F61"/>
    <w:rsid w:val="1FA95C47"/>
    <w:rsid w:val="1FCB7A9B"/>
    <w:rsid w:val="202E6E64"/>
    <w:rsid w:val="207475EF"/>
    <w:rsid w:val="20771C1D"/>
    <w:rsid w:val="20825C29"/>
    <w:rsid w:val="20C1624A"/>
    <w:rsid w:val="2118716C"/>
    <w:rsid w:val="21253E17"/>
    <w:rsid w:val="21A819B3"/>
    <w:rsid w:val="225F14DD"/>
    <w:rsid w:val="225F6D6F"/>
    <w:rsid w:val="229D7E33"/>
    <w:rsid w:val="231A1071"/>
    <w:rsid w:val="23542D17"/>
    <w:rsid w:val="23680B1C"/>
    <w:rsid w:val="237119F2"/>
    <w:rsid w:val="23836BC7"/>
    <w:rsid w:val="23EB29D3"/>
    <w:rsid w:val="24AF73E0"/>
    <w:rsid w:val="24DE1B3B"/>
    <w:rsid w:val="25D41B04"/>
    <w:rsid w:val="260B1251"/>
    <w:rsid w:val="26936A08"/>
    <w:rsid w:val="26B17032"/>
    <w:rsid w:val="26B75E56"/>
    <w:rsid w:val="271452DD"/>
    <w:rsid w:val="276169EE"/>
    <w:rsid w:val="276B7A1D"/>
    <w:rsid w:val="279B5BB3"/>
    <w:rsid w:val="27B50987"/>
    <w:rsid w:val="28D70A0A"/>
    <w:rsid w:val="28D87174"/>
    <w:rsid w:val="29BF6E71"/>
    <w:rsid w:val="2AB87B35"/>
    <w:rsid w:val="2ADE0833"/>
    <w:rsid w:val="2B1338EE"/>
    <w:rsid w:val="2B4C0E5D"/>
    <w:rsid w:val="2B54265E"/>
    <w:rsid w:val="2B6C5C80"/>
    <w:rsid w:val="2BD71259"/>
    <w:rsid w:val="2C407B21"/>
    <w:rsid w:val="2C407ECB"/>
    <w:rsid w:val="2C423DB0"/>
    <w:rsid w:val="2C626C63"/>
    <w:rsid w:val="2C9B632B"/>
    <w:rsid w:val="2D4A45B4"/>
    <w:rsid w:val="2DF2419C"/>
    <w:rsid w:val="2E5B135A"/>
    <w:rsid w:val="2E9450AA"/>
    <w:rsid w:val="2F1E4994"/>
    <w:rsid w:val="2F5F50CF"/>
    <w:rsid w:val="2F8B451E"/>
    <w:rsid w:val="2F9E4C4E"/>
    <w:rsid w:val="307647A3"/>
    <w:rsid w:val="30B37CA9"/>
    <w:rsid w:val="30C06248"/>
    <w:rsid w:val="30C71DF0"/>
    <w:rsid w:val="30CE319A"/>
    <w:rsid w:val="313F56F2"/>
    <w:rsid w:val="31B4583F"/>
    <w:rsid w:val="32117804"/>
    <w:rsid w:val="326F41C1"/>
    <w:rsid w:val="33200E64"/>
    <w:rsid w:val="33CE19AB"/>
    <w:rsid w:val="33F36CE3"/>
    <w:rsid w:val="34723774"/>
    <w:rsid w:val="347530AA"/>
    <w:rsid w:val="348A75EE"/>
    <w:rsid w:val="35D31469"/>
    <w:rsid w:val="361E2FE9"/>
    <w:rsid w:val="36333B73"/>
    <w:rsid w:val="36D633EC"/>
    <w:rsid w:val="36E80BC2"/>
    <w:rsid w:val="36FC47C9"/>
    <w:rsid w:val="37171AD0"/>
    <w:rsid w:val="371E1ED5"/>
    <w:rsid w:val="371F57E5"/>
    <w:rsid w:val="374D65EC"/>
    <w:rsid w:val="37C5624C"/>
    <w:rsid w:val="38524361"/>
    <w:rsid w:val="387540A9"/>
    <w:rsid w:val="38AD7811"/>
    <w:rsid w:val="38E7142E"/>
    <w:rsid w:val="392E6973"/>
    <w:rsid w:val="39521FDE"/>
    <w:rsid w:val="39921836"/>
    <w:rsid w:val="39F75B68"/>
    <w:rsid w:val="3A69018B"/>
    <w:rsid w:val="3AAC7FCF"/>
    <w:rsid w:val="3B67262F"/>
    <w:rsid w:val="3BA3508D"/>
    <w:rsid w:val="3BBF6372"/>
    <w:rsid w:val="3BF7262F"/>
    <w:rsid w:val="3C164F83"/>
    <w:rsid w:val="3C802549"/>
    <w:rsid w:val="3CA607A1"/>
    <w:rsid w:val="3E00293B"/>
    <w:rsid w:val="3E5452FD"/>
    <w:rsid w:val="3E6413EA"/>
    <w:rsid w:val="3EB8119D"/>
    <w:rsid w:val="3EBB44C2"/>
    <w:rsid w:val="3ED21644"/>
    <w:rsid w:val="3EE535DF"/>
    <w:rsid w:val="3FAD7F45"/>
    <w:rsid w:val="3FC444F1"/>
    <w:rsid w:val="3FCE0340"/>
    <w:rsid w:val="40922D93"/>
    <w:rsid w:val="41203853"/>
    <w:rsid w:val="41A323FA"/>
    <w:rsid w:val="41AA4D1B"/>
    <w:rsid w:val="41AC152F"/>
    <w:rsid w:val="41BA599D"/>
    <w:rsid w:val="42621D8C"/>
    <w:rsid w:val="42BD01DD"/>
    <w:rsid w:val="42CB786C"/>
    <w:rsid w:val="42EE0AFA"/>
    <w:rsid w:val="43AA21F3"/>
    <w:rsid w:val="43EC00A5"/>
    <w:rsid w:val="4403224F"/>
    <w:rsid w:val="44911304"/>
    <w:rsid w:val="449800AE"/>
    <w:rsid w:val="45133C6E"/>
    <w:rsid w:val="4594265E"/>
    <w:rsid w:val="45A320EB"/>
    <w:rsid w:val="45D15D5D"/>
    <w:rsid w:val="461B23DB"/>
    <w:rsid w:val="47130555"/>
    <w:rsid w:val="47352A7E"/>
    <w:rsid w:val="479863D2"/>
    <w:rsid w:val="47CF6E9A"/>
    <w:rsid w:val="487D3A3F"/>
    <w:rsid w:val="489427C4"/>
    <w:rsid w:val="48C47D5E"/>
    <w:rsid w:val="493828C4"/>
    <w:rsid w:val="49384782"/>
    <w:rsid w:val="493E3AB5"/>
    <w:rsid w:val="4A274192"/>
    <w:rsid w:val="4A3B7B53"/>
    <w:rsid w:val="4A672814"/>
    <w:rsid w:val="4B0A16DC"/>
    <w:rsid w:val="4B504EF3"/>
    <w:rsid w:val="4B57329F"/>
    <w:rsid w:val="4BE51604"/>
    <w:rsid w:val="4CFA34CD"/>
    <w:rsid w:val="4D2F0AFA"/>
    <w:rsid w:val="4D31747F"/>
    <w:rsid w:val="4E51525A"/>
    <w:rsid w:val="4F1A7662"/>
    <w:rsid w:val="4F687E98"/>
    <w:rsid w:val="4FB53703"/>
    <w:rsid w:val="4FB900E1"/>
    <w:rsid w:val="4FEF132D"/>
    <w:rsid w:val="51540ED1"/>
    <w:rsid w:val="51B65E76"/>
    <w:rsid w:val="525049F7"/>
    <w:rsid w:val="528F2926"/>
    <w:rsid w:val="5313626C"/>
    <w:rsid w:val="53227C09"/>
    <w:rsid w:val="53823AE4"/>
    <w:rsid w:val="53D003F1"/>
    <w:rsid w:val="54722977"/>
    <w:rsid w:val="549177F3"/>
    <w:rsid w:val="54C92C1E"/>
    <w:rsid w:val="54F905F5"/>
    <w:rsid w:val="552D7991"/>
    <w:rsid w:val="55602A1D"/>
    <w:rsid w:val="559C280E"/>
    <w:rsid w:val="56E96724"/>
    <w:rsid w:val="56EB5A12"/>
    <w:rsid w:val="570D4028"/>
    <w:rsid w:val="574D1AEA"/>
    <w:rsid w:val="57894BDD"/>
    <w:rsid w:val="583B0DE7"/>
    <w:rsid w:val="587E66C4"/>
    <w:rsid w:val="58A712AE"/>
    <w:rsid w:val="592A6F1C"/>
    <w:rsid w:val="59A2545F"/>
    <w:rsid w:val="59CA3854"/>
    <w:rsid w:val="59DE2780"/>
    <w:rsid w:val="5A1F29D6"/>
    <w:rsid w:val="5A5F32BF"/>
    <w:rsid w:val="5AB514CC"/>
    <w:rsid w:val="5B6E01E7"/>
    <w:rsid w:val="5BC57972"/>
    <w:rsid w:val="5BF17CA0"/>
    <w:rsid w:val="5C6F4835"/>
    <w:rsid w:val="5C8D2D66"/>
    <w:rsid w:val="5CD76B11"/>
    <w:rsid w:val="5CFD1A1B"/>
    <w:rsid w:val="5E013F9C"/>
    <w:rsid w:val="5E0B07E1"/>
    <w:rsid w:val="5E362A05"/>
    <w:rsid w:val="5E4302D8"/>
    <w:rsid w:val="5E4C605D"/>
    <w:rsid w:val="5EB96B4B"/>
    <w:rsid w:val="5F000F81"/>
    <w:rsid w:val="5F4C6FAF"/>
    <w:rsid w:val="5F775C23"/>
    <w:rsid w:val="5FB4627C"/>
    <w:rsid w:val="60834510"/>
    <w:rsid w:val="61050D8F"/>
    <w:rsid w:val="611749F2"/>
    <w:rsid w:val="6187171A"/>
    <w:rsid w:val="61CD4640"/>
    <w:rsid w:val="61E23CA8"/>
    <w:rsid w:val="62C05824"/>
    <w:rsid w:val="62C16683"/>
    <w:rsid w:val="62DF36B1"/>
    <w:rsid w:val="63122F29"/>
    <w:rsid w:val="635D5A92"/>
    <w:rsid w:val="63964EC0"/>
    <w:rsid w:val="63A11BAB"/>
    <w:rsid w:val="64E423F7"/>
    <w:rsid w:val="64F246AF"/>
    <w:rsid w:val="65B70B63"/>
    <w:rsid w:val="663E270C"/>
    <w:rsid w:val="66B110B8"/>
    <w:rsid w:val="66CF1CD2"/>
    <w:rsid w:val="66E56662"/>
    <w:rsid w:val="67341280"/>
    <w:rsid w:val="678274AD"/>
    <w:rsid w:val="67E26D6F"/>
    <w:rsid w:val="6840793D"/>
    <w:rsid w:val="68771378"/>
    <w:rsid w:val="68B568AE"/>
    <w:rsid w:val="68D22D35"/>
    <w:rsid w:val="690A79A5"/>
    <w:rsid w:val="69841791"/>
    <w:rsid w:val="69BA351F"/>
    <w:rsid w:val="69C34191"/>
    <w:rsid w:val="6AB87D02"/>
    <w:rsid w:val="6ACF132D"/>
    <w:rsid w:val="6B170643"/>
    <w:rsid w:val="6BC777C3"/>
    <w:rsid w:val="6BD60BFD"/>
    <w:rsid w:val="6BD7546B"/>
    <w:rsid w:val="6BEC56C6"/>
    <w:rsid w:val="6C026B3E"/>
    <w:rsid w:val="6C05057D"/>
    <w:rsid w:val="6C11707B"/>
    <w:rsid w:val="6C9676B9"/>
    <w:rsid w:val="6CA1371C"/>
    <w:rsid w:val="6CA5485F"/>
    <w:rsid w:val="6CC93E9D"/>
    <w:rsid w:val="6D3B722E"/>
    <w:rsid w:val="6D3D6AFD"/>
    <w:rsid w:val="6D9254DA"/>
    <w:rsid w:val="6DCC116A"/>
    <w:rsid w:val="6E04668A"/>
    <w:rsid w:val="6E1F4818"/>
    <w:rsid w:val="6E544760"/>
    <w:rsid w:val="6F1E1ABE"/>
    <w:rsid w:val="6F7F39ED"/>
    <w:rsid w:val="7078079D"/>
    <w:rsid w:val="70AB6D9E"/>
    <w:rsid w:val="70AC4D7E"/>
    <w:rsid w:val="712B1F93"/>
    <w:rsid w:val="714335B0"/>
    <w:rsid w:val="716708A9"/>
    <w:rsid w:val="71705495"/>
    <w:rsid w:val="720B7D8E"/>
    <w:rsid w:val="72666114"/>
    <w:rsid w:val="726F5A25"/>
    <w:rsid w:val="729C5ED5"/>
    <w:rsid w:val="72BB636E"/>
    <w:rsid w:val="72D263E8"/>
    <w:rsid w:val="72DF7ED9"/>
    <w:rsid w:val="73900B6B"/>
    <w:rsid w:val="740A1A84"/>
    <w:rsid w:val="749849B7"/>
    <w:rsid w:val="74E03FE9"/>
    <w:rsid w:val="753D019D"/>
    <w:rsid w:val="75DB2781"/>
    <w:rsid w:val="764E5E37"/>
    <w:rsid w:val="76693BB7"/>
    <w:rsid w:val="76735EF4"/>
    <w:rsid w:val="76A155B0"/>
    <w:rsid w:val="76A448E5"/>
    <w:rsid w:val="76CD4DB3"/>
    <w:rsid w:val="76E07B2A"/>
    <w:rsid w:val="775432FD"/>
    <w:rsid w:val="77C44D55"/>
    <w:rsid w:val="77C6156E"/>
    <w:rsid w:val="77EB06D4"/>
    <w:rsid w:val="77F929C9"/>
    <w:rsid w:val="7823798F"/>
    <w:rsid w:val="783C25B0"/>
    <w:rsid w:val="78832542"/>
    <w:rsid w:val="78910FC6"/>
    <w:rsid w:val="78A20972"/>
    <w:rsid w:val="78A927E0"/>
    <w:rsid w:val="78FA304A"/>
    <w:rsid w:val="792A76CE"/>
    <w:rsid w:val="79F424FB"/>
    <w:rsid w:val="7ADC1261"/>
    <w:rsid w:val="7ADE0A4E"/>
    <w:rsid w:val="7AEE37AD"/>
    <w:rsid w:val="7B71324B"/>
    <w:rsid w:val="7BA938AA"/>
    <w:rsid w:val="7C6C67E8"/>
    <w:rsid w:val="7C8D42F1"/>
    <w:rsid w:val="7D0950AA"/>
    <w:rsid w:val="7D4A185A"/>
    <w:rsid w:val="7DBB2D8A"/>
    <w:rsid w:val="7DFE632C"/>
    <w:rsid w:val="7E2E3AB5"/>
    <w:rsid w:val="7E3E0485"/>
    <w:rsid w:val="7E8C0559"/>
    <w:rsid w:val="7EA93DE9"/>
    <w:rsid w:val="7EBA324A"/>
    <w:rsid w:val="7F326464"/>
    <w:rsid w:val="7F442999"/>
    <w:rsid w:val="7F8B1ED8"/>
    <w:rsid w:val="7FFF4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spacing w:line="360" w:lineRule="auto"/>
      <w:jc w:val="center"/>
      <w:outlineLvl w:val="0"/>
    </w:pPr>
    <w:rPr>
      <w:rFonts w:ascii="楷体_GB2312" w:eastAsia="楷体_GB2312"/>
      <w:sz w:val="28"/>
      <w:szCs w:val="20"/>
    </w:rPr>
  </w:style>
  <w:style w:type="paragraph" w:styleId="4">
    <w:name w:val="heading 2"/>
    <w:basedOn w:val="1"/>
    <w:next w:val="1"/>
    <w:link w:val="46"/>
    <w:qFormat/>
    <w:uiPriority w:val="0"/>
    <w:pPr>
      <w:keepNext/>
      <w:keepLines/>
      <w:tabs>
        <w:tab w:val="left" w:pos="0"/>
      </w:tabs>
      <w:spacing w:line="360" w:lineRule="auto"/>
      <w:jc w:val="left"/>
      <w:outlineLvl w:val="1"/>
    </w:pPr>
    <w:rPr>
      <w:rFonts w:cs="Courier New"/>
      <w:b/>
      <w:bCs/>
      <w:sz w:val="24"/>
      <w:szCs w:val="28"/>
    </w:rPr>
  </w:style>
  <w:style w:type="paragraph" w:styleId="5">
    <w:name w:val="heading 3"/>
    <w:basedOn w:val="1"/>
    <w:next w:val="1"/>
    <w:link w:val="47"/>
    <w:qFormat/>
    <w:uiPriority w:val="0"/>
    <w:pPr>
      <w:keepNext/>
      <w:keepLines/>
      <w:spacing w:line="360" w:lineRule="auto"/>
      <w:jc w:val="left"/>
      <w:outlineLvl w:val="2"/>
    </w:pPr>
    <w:rPr>
      <w:rFonts w:cs="Courier New"/>
      <w:b/>
      <w:bCs/>
      <w:sz w:val="24"/>
      <w:szCs w:val="21"/>
    </w:rPr>
  </w:style>
  <w:style w:type="paragraph" w:styleId="6">
    <w:name w:val="heading 4"/>
    <w:basedOn w:val="1"/>
    <w:next w:val="1"/>
    <w:link w:val="48"/>
    <w:qFormat/>
    <w:uiPriority w:val="0"/>
    <w:pPr>
      <w:keepNext/>
      <w:keepLines/>
      <w:spacing w:line="360" w:lineRule="auto"/>
      <w:ind w:firstLine="200" w:firstLineChars="200"/>
      <w:jc w:val="left"/>
      <w:outlineLvl w:val="3"/>
    </w:pPr>
    <w:rPr>
      <w:rFonts w:cs="Courier New"/>
      <w:b/>
      <w:bCs/>
      <w:sz w:val="24"/>
      <w:szCs w:val="21"/>
    </w:rPr>
  </w:style>
  <w:style w:type="paragraph" w:styleId="7">
    <w:name w:val="heading 5"/>
    <w:basedOn w:val="1"/>
    <w:next w:val="1"/>
    <w:qFormat/>
    <w:uiPriority w:val="1"/>
    <w:pPr>
      <w:ind w:left="150"/>
      <w:outlineLvl w:val="4"/>
    </w:pPr>
    <w:rPr>
      <w:rFonts w:ascii="宋体" w:hAnsi="宋体" w:cs="宋体"/>
      <w:b/>
      <w:bCs/>
      <w:sz w:val="24"/>
      <w:lang w:val="zh-CN" w:bidi="zh-CN"/>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Normal Indent"/>
    <w:basedOn w:val="1"/>
    <w:qFormat/>
    <w:uiPriority w:val="0"/>
    <w:pPr>
      <w:ind w:firstLine="420"/>
    </w:pPr>
    <w:rPr>
      <w:sz w:val="28"/>
      <w:szCs w:val="20"/>
    </w:rPr>
  </w:style>
  <w:style w:type="paragraph" w:styleId="9">
    <w:name w:val="caption"/>
    <w:basedOn w:val="1"/>
    <w:next w:val="1"/>
    <w:qFormat/>
    <w:uiPriority w:val="0"/>
    <w:pPr>
      <w:spacing w:beforeLines="50"/>
      <w:ind w:firstLine="200" w:firstLineChars="200"/>
      <w:jc w:val="center"/>
    </w:pPr>
    <w:rPr>
      <w:rFonts w:cs="Arial"/>
      <w:b/>
      <w:szCs w:val="20"/>
    </w:rPr>
  </w:style>
  <w:style w:type="paragraph" w:styleId="10">
    <w:name w:val="Document Map"/>
    <w:basedOn w:val="1"/>
    <w:link w:val="58"/>
    <w:unhideWhenUsed/>
    <w:qFormat/>
    <w:uiPriority w:val="99"/>
    <w:pPr>
      <w:spacing w:line="360" w:lineRule="auto"/>
      <w:ind w:firstLine="200" w:firstLineChars="200"/>
    </w:pPr>
    <w:rPr>
      <w:rFonts w:ascii="宋体" w:hAnsi="Calibri"/>
      <w:kern w:val="0"/>
      <w:sz w:val="18"/>
      <w:szCs w:val="18"/>
    </w:rPr>
  </w:style>
  <w:style w:type="paragraph" w:styleId="11">
    <w:name w:val="annotation text"/>
    <w:basedOn w:val="1"/>
    <w:link w:val="40"/>
    <w:unhideWhenUsed/>
    <w:qFormat/>
    <w:uiPriority w:val="99"/>
    <w:pPr>
      <w:jc w:val="left"/>
    </w:pPr>
  </w:style>
  <w:style w:type="paragraph" w:styleId="12">
    <w:name w:val="Body Text"/>
    <w:basedOn w:val="1"/>
    <w:next w:val="1"/>
    <w:link w:val="31"/>
    <w:qFormat/>
    <w:uiPriority w:val="0"/>
    <w:pPr>
      <w:spacing w:after="120"/>
    </w:pPr>
    <w:rPr>
      <w:szCs w:val="24"/>
    </w:rPr>
  </w:style>
  <w:style w:type="paragraph" w:styleId="13">
    <w:name w:val="Body Text Indent"/>
    <w:basedOn w:val="1"/>
    <w:qFormat/>
    <w:uiPriority w:val="0"/>
    <w:pPr>
      <w:ind w:firstLine="540"/>
    </w:pPr>
    <w:rPr>
      <w:rFonts w:ascii="宋体"/>
      <w:sz w:val="28"/>
      <w:szCs w:val="20"/>
    </w:rPr>
  </w:style>
  <w:style w:type="paragraph" w:styleId="14">
    <w:name w:val="Plain Text"/>
    <w:basedOn w:val="1"/>
    <w:link w:val="57"/>
    <w:qFormat/>
    <w:uiPriority w:val="0"/>
    <w:rPr>
      <w:rFonts w:ascii="宋体" w:hAnsi="Courier New"/>
      <w:kern w:val="16"/>
      <w:szCs w:val="21"/>
      <w:vertAlign w:val="superscript"/>
    </w:rPr>
  </w:style>
  <w:style w:type="paragraph" w:styleId="15">
    <w:name w:val="Balloon Text"/>
    <w:basedOn w:val="1"/>
    <w:link w:val="39"/>
    <w:unhideWhenUsed/>
    <w:qFormat/>
    <w:uiPriority w:val="99"/>
    <w:rPr>
      <w:sz w:val="18"/>
      <w:szCs w:val="18"/>
    </w:r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9">
    <w:name w:val="annotation subject"/>
    <w:basedOn w:val="11"/>
    <w:next w:val="11"/>
    <w:link w:val="42"/>
    <w:unhideWhenUsed/>
    <w:qFormat/>
    <w:uiPriority w:val="99"/>
    <w:rPr>
      <w:b/>
      <w:bCs/>
    </w:rPr>
  </w:style>
  <w:style w:type="paragraph" w:styleId="20">
    <w:name w:val="Body Text First Indent"/>
    <w:basedOn w:val="12"/>
    <w:link w:val="51"/>
    <w:unhideWhenUsed/>
    <w:qFormat/>
    <w:uiPriority w:val="99"/>
    <w:pPr>
      <w:ind w:firstLine="420" w:firstLineChars="100"/>
    </w:pPr>
    <w:rPr>
      <w:szCs w:val="22"/>
    </w:rPr>
  </w:style>
  <w:style w:type="paragraph" w:styleId="21">
    <w:name w:val="Body Text First Indent 2"/>
    <w:basedOn w:val="13"/>
    <w:unhideWhenUsed/>
    <w:qFormat/>
    <w:uiPriority w:val="99"/>
    <w:pPr>
      <w:adjustRightInd w:val="0"/>
      <w:snapToGrid w:val="0"/>
      <w:ind w:left="0" w:leftChars="0" w:firstLine="640" w:firstLineChars="200"/>
    </w:pPr>
    <w:rPr>
      <w:rFonts w:ascii="Times New Roman" w:hAnsi="Times New Roman" w:cs="Times New Roman"/>
      <w:szCs w:val="22"/>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u w:val="single"/>
    </w:rPr>
  </w:style>
  <w:style w:type="character" w:styleId="26">
    <w:name w:val="annotation reference"/>
    <w:unhideWhenUsed/>
    <w:qFormat/>
    <w:uiPriority w:val="99"/>
    <w:rPr>
      <w:sz w:val="21"/>
      <w:szCs w:val="21"/>
    </w:rPr>
  </w:style>
  <w:style w:type="paragraph" w:customStyle="1" w:styleId="27">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character" w:customStyle="1" w:styleId="28">
    <w:name w:val="页眉 Char"/>
    <w:link w:val="17"/>
    <w:qFormat/>
    <w:uiPriority w:val="99"/>
    <w:rPr>
      <w:sz w:val="18"/>
      <w:szCs w:val="18"/>
    </w:rPr>
  </w:style>
  <w:style w:type="character" w:customStyle="1" w:styleId="29">
    <w:name w:val="页脚 Char"/>
    <w:link w:val="16"/>
    <w:qFormat/>
    <w:uiPriority w:val="99"/>
    <w:rPr>
      <w:sz w:val="18"/>
      <w:szCs w:val="18"/>
    </w:rPr>
  </w:style>
  <w:style w:type="paragraph" w:customStyle="1" w:styleId="30">
    <w:name w:val="列出段落1"/>
    <w:basedOn w:val="1"/>
    <w:qFormat/>
    <w:uiPriority w:val="34"/>
    <w:pPr>
      <w:ind w:firstLine="420" w:firstLineChars="200"/>
    </w:pPr>
  </w:style>
  <w:style w:type="character" w:customStyle="1" w:styleId="31">
    <w:name w:val="正文文本 Char"/>
    <w:link w:val="12"/>
    <w:qFormat/>
    <w:uiPriority w:val="0"/>
    <w:rPr>
      <w:szCs w:val="24"/>
    </w:rPr>
  </w:style>
  <w:style w:type="character" w:customStyle="1" w:styleId="32">
    <w:name w:val="正文文本 Char1"/>
    <w:basedOn w:val="24"/>
    <w:semiHidden/>
    <w:qFormat/>
    <w:uiPriority w:val="99"/>
  </w:style>
  <w:style w:type="paragraph" w:customStyle="1" w:styleId="33">
    <w:name w:val="表格内容"/>
    <w:basedOn w:val="1"/>
    <w:link w:val="34"/>
    <w:qFormat/>
    <w:uiPriority w:val="0"/>
    <w:pPr>
      <w:jc w:val="center"/>
    </w:pPr>
    <w:rPr>
      <w:rFonts w:eastAsia="Times New Roman"/>
      <w:szCs w:val="21"/>
    </w:rPr>
  </w:style>
  <w:style w:type="character" w:customStyle="1" w:styleId="34">
    <w:name w:val="表格内容 Char"/>
    <w:link w:val="33"/>
    <w:qFormat/>
    <w:uiPriority w:val="0"/>
    <w:rPr>
      <w:rFonts w:ascii="Times New Roman" w:hAnsi="Times New Roman" w:eastAsia="Times New Roman" w:cs="Times New Roman"/>
      <w:szCs w:val="21"/>
    </w:rPr>
  </w:style>
  <w:style w:type="paragraph" w:customStyle="1" w:styleId="35">
    <w:name w:val="表格首行"/>
    <w:basedOn w:val="1"/>
    <w:next w:val="1"/>
    <w:qFormat/>
    <w:uiPriority w:val="0"/>
    <w:pPr>
      <w:jc w:val="center"/>
    </w:pPr>
    <w:rPr>
      <w:rFonts w:cs="宋体"/>
      <w:b/>
      <w:szCs w:val="20"/>
    </w:rPr>
  </w:style>
  <w:style w:type="table" w:customStyle="1" w:styleId="36">
    <w:name w:val="网格型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2"/>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表"/>
    <w:basedOn w:val="1"/>
    <w:qFormat/>
    <w:uiPriority w:val="0"/>
    <w:pPr>
      <w:spacing w:line="240" w:lineRule="exact"/>
    </w:pPr>
    <w:rPr>
      <w:rFonts w:ascii="仿宋_GB2312" w:hAnsi="宋体" w:eastAsia="仿宋_GB2312"/>
      <w:sz w:val="18"/>
      <w:szCs w:val="20"/>
    </w:rPr>
  </w:style>
  <w:style w:type="character" w:customStyle="1" w:styleId="39">
    <w:name w:val="批注框文本 Char"/>
    <w:link w:val="15"/>
    <w:semiHidden/>
    <w:qFormat/>
    <w:uiPriority w:val="99"/>
    <w:rPr>
      <w:sz w:val="18"/>
      <w:szCs w:val="18"/>
    </w:rPr>
  </w:style>
  <w:style w:type="character" w:customStyle="1" w:styleId="40">
    <w:name w:val="批注文字 Char"/>
    <w:basedOn w:val="24"/>
    <w:link w:val="11"/>
    <w:semiHidden/>
    <w:qFormat/>
    <w:uiPriority w:val="99"/>
  </w:style>
  <w:style w:type="character" w:customStyle="1" w:styleId="41">
    <w:name w:val="占位符文本1"/>
    <w:semiHidden/>
    <w:qFormat/>
    <w:uiPriority w:val="99"/>
    <w:rPr>
      <w:color w:val="808080"/>
    </w:rPr>
  </w:style>
  <w:style w:type="character" w:customStyle="1" w:styleId="42">
    <w:name w:val="批注主题 Char"/>
    <w:link w:val="19"/>
    <w:semiHidden/>
    <w:qFormat/>
    <w:uiPriority w:val="99"/>
    <w:rPr>
      <w:b/>
      <w:bCs/>
    </w:rPr>
  </w:style>
  <w:style w:type="paragraph" w:customStyle="1" w:styleId="43">
    <w:name w:val="二级目录"/>
    <w:basedOn w:val="1"/>
    <w:link w:val="44"/>
    <w:qFormat/>
    <w:uiPriority w:val="0"/>
    <w:pPr>
      <w:spacing w:line="360" w:lineRule="auto"/>
      <w:outlineLvl w:val="1"/>
    </w:pPr>
    <w:rPr>
      <w:rFonts w:ascii="黑体" w:hAnsi="黑体" w:eastAsia="黑体" w:cstheme="minorBidi"/>
      <w:sz w:val="28"/>
      <w:szCs w:val="28"/>
    </w:rPr>
  </w:style>
  <w:style w:type="character" w:customStyle="1" w:styleId="44">
    <w:name w:val="二级目录 Char"/>
    <w:basedOn w:val="24"/>
    <w:link w:val="43"/>
    <w:qFormat/>
    <w:uiPriority w:val="0"/>
    <w:rPr>
      <w:rFonts w:ascii="黑体" w:hAnsi="黑体" w:eastAsia="黑体" w:cstheme="minorBidi"/>
      <w:kern w:val="2"/>
      <w:sz w:val="28"/>
      <w:szCs w:val="28"/>
    </w:rPr>
  </w:style>
  <w:style w:type="paragraph" w:customStyle="1" w:styleId="45">
    <w:name w:val="正文-欣欣"/>
    <w:basedOn w:val="1"/>
    <w:next w:val="1"/>
    <w:qFormat/>
    <w:uiPriority w:val="0"/>
    <w:pPr>
      <w:spacing w:line="360" w:lineRule="auto"/>
      <w:ind w:firstLine="480" w:firstLineChars="200"/>
    </w:pPr>
    <w:rPr>
      <w:bCs/>
      <w:sz w:val="24"/>
      <w:szCs w:val="24"/>
    </w:rPr>
  </w:style>
  <w:style w:type="character" w:customStyle="1" w:styleId="46">
    <w:name w:val="标题 2 Char"/>
    <w:basedOn w:val="24"/>
    <w:link w:val="4"/>
    <w:qFormat/>
    <w:uiPriority w:val="0"/>
    <w:rPr>
      <w:rFonts w:cs="Courier New"/>
      <w:b/>
      <w:bCs/>
      <w:kern w:val="2"/>
      <w:sz w:val="24"/>
      <w:szCs w:val="28"/>
    </w:rPr>
  </w:style>
  <w:style w:type="character" w:customStyle="1" w:styleId="47">
    <w:name w:val="标题 3 Char"/>
    <w:basedOn w:val="24"/>
    <w:link w:val="5"/>
    <w:qFormat/>
    <w:uiPriority w:val="0"/>
    <w:rPr>
      <w:rFonts w:cs="Courier New"/>
      <w:b/>
      <w:bCs/>
      <w:kern w:val="2"/>
      <w:sz w:val="24"/>
      <w:szCs w:val="21"/>
    </w:rPr>
  </w:style>
  <w:style w:type="character" w:customStyle="1" w:styleId="48">
    <w:name w:val="标题 4 Char"/>
    <w:basedOn w:val="24"/>
    <w:link w:val="6"/>
    <w:qFormat/>
    <w:uiPriority w:val="0"/>
    <w:rPr>
      <w:rFonts w:cs="Courier New"/>
      <w:b/>
      <w:bCs/>
      <w:kern w:val="2"/>
      <w:sz w:val="24"/>
      <w:szCs w:val="21"/>
    </w:rPr>
  </w:style>
  <w:style w:type="paragraph" w:customStyle="1" w:styleId="49">
    <w:name w:val="第五章 图件标题"/>
    <w:basedOn w:val="1"/>
    <w:next w:val="1"/>
    <w:qFormat/>
    <w:uiPriority w:val="0"/>
    <w:pPr>
      <w:numPr>
        <w:ilvl w:val="0"/>
        <w:numId w:val="1"/>
      </w:numPr>
      <w:tabs>
        <w:tab w:val="left" w:pos="851"/>
      </w:tabs>
      <w:adjustRightInd w:val="0"/>
      <w:snapToGrid w:val="0"/>
      <w:spacing w:line="360" w:lineRule="auto"/>
      <w:jc w:val="center"/>
    </w:pPr>
    <w:rPr>
      <w:b/>
      <w:sz w:val="24"/>
      <w:szCs w:val="24"/>
    </w:rPr>
  </w:style>
  <w:style w:type="paragraph" w:customStyle="1" w:styleId="50">
    <w:name w:val="Char1"/>
    <w:basedOn w:val="1"/>
    <w:qFormat/>
    <w:uiPriority w:val="0"/>
    <w:rPr>
      <w:sz w:val="24"/>
      <w:szCs w:val="24"/>
    </w:rPr>
  </w:style>
  <w:style w:type="character" w:customStyle="1" w:styleId="51">
    <w:name w:val="正文首行缩进 Char"/>
    <w:basedOn w:val="31"/>
    <w:link w:val="20"/>
    <w:semiHidden/>
    <w:qFormat/>
    <w:uiPriority w:val="99"/>
    <w:rPr>
      <w:kern w:val="2"/>
      <w:sz w:val="21"/>
      <w:szCs w:val="22"/>
    </w:rPr>
  </w:style>
  <w:style w:type="paragraph" w:customStyle="1" w:styleId="52">
    <w:name w:val="报告"/>
    <w:basedOn w:val="1"/>
    <w:link w:val="53"/>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53">
    <w:name w:val="报告 Char"/>
    <w:link w:val="52"/>
    <w:qFormat/>
    <w:uiPriority w:val="0"/>
    <w:rPr>
      <w:rFonts w:ascii="TimesNewRoman" w:hAnsi="TimesNewRoman"/>
      <w:sz w:val="24"/>
    </w:rPr>
  </w:style>
  <w:style w:type="paragraph" w:customStyle="1" w:styleId="54">
    <w:name w:val="Char4 Char Char Char"/>
    <w:basedOn w:val="1"/>
    <w:qFormat/>
    <w:uiPriority w:val="0"/>
    <w:pPr>
      <w:adjustRightInd w:val="0"/>
      <w:snapToGrid w:val="0"/>
      <w:spacing w:line="360" w:lineRule="auto"/>
      <w:ind w:firstLine="200" w:firstLineChars="200"/>
    </w:pPr>
    <w:rPr>
      <w:sz w:val="24"/>
      <w:szCs w:val="20"/>
    </w:rPr>
  </w:style>
  <w:style w:type="paragraph" w:customStyle="1" w:styleId="55">
    <w:name w:val="样式 行距: 1.5 倍行距"/>
    <w:basedOn w:val="1"/>
    <w:qFormat/>
    <w:uiPriority w:val="0"/>
    <w:pPr>
      <w:spacing w:line="360" w:lineRule="auto"/>
      <w:ind w:firstLine="560" w:firstLineChars="200"/>
    </w:pPr>
    <w:rPr>
      <w:rFonts w:cs="宋体"/>
      <w:sz w:val="28"/>
      <w:szCs w:val="21"/>
    </w:rPr>
  </w:style>
  <w:style w:type="paragraph" w:customStyle="1" w:styleId="56">
    <w:name w:val="标题111 Char Char Char Char"/>
    <w:basedOn w:val="1"/>
    <w:qFormat/>
    <w:uiPriority w:val="0"/>
    <w:pPr>
      <w:spacing w:line="360" w:lineRule="auto"/>
      <w:ind w:firstLine="200" w:firstLineChars="200"/>
    </w:pPr>
    <w:rPr>
      <w:rFonts w:eastAsia="华文中宋"/>
      <w:kern w:val="0"/>
      <w:sz w:val="20"/>
      <w:szCs w:val="20"/>
    </w:rPr>
  </w:style>
  <w:style w:type="character" w:customStyle="1" w:styleId="57">
    <w:name w:val="纯文本 Char"/>
    <w:basedOn w:val="24"/>
    <w:link w:val="14"/>
    <w:qFormat/>
    <w:uiPriority w:val="0"/>
    <w:rPr>
      <w:rFonts w:ascii="宋体" w:hAnsi="Courier New"/>
      <w:kern w:val="16"/>
      <w:sz w:val="21"/>
      <w:szCs w:val="21"/>
      <w:vertAlign w:val="superscript"/>
    </w:rPr>
  </w:style>
  <w:style w:type="character" w:customStyle="1" w:styleId="58">
    <w:name w:val="文档结构图 Char"/>
    <w:link w:val="10"/>
    <w:qFormat/>
    <w:uiPriority w:val="99"/>
    <w:rPr>
      <w:rFonts w:ascii="宋体" w:hAnsi="Calibri"/>
      <w:sz w:val="18"/>
      <w:szCs w:val="18"/>
    </w:rPr>
  </w:style>
  <w:style w:type="character" w:customStyle="1" w:styleId="59">
    <w:name w:val="文档结构图 Char1"/>
    <w:basedOn w:val="24"/>
    <w:semiHidden/>
    <w:qFormat/>
    <w:uiPriority w:val="99"/>
    <w:rPr>
      <w:rFonts w:ascii="Microsoft YaHei UI" w:eastAsia="Microsoft YaHei UI"/>
      <w:kern w:val="2"/>
      <w:sz w:val="18"/>
      <w:szCs w:val="18"/>
    </w:rPr>
  </w:style>
  <w:style w:type="paragraph" w:customStyle="1" w:styleId="60">
    <w:name w:val="样式1"/>
    <w:basedOn w:val="1"/>
    <w:qFormat/>
    <w:uiPriority w:val="0"/>
    <w:pPr>
      <w:adjustRightInd w:val="0"/>
      <w:spacing w:line="288" w:lineRule="auto"/>
      <w:jc w:val="left"/>
    </w:pPr>
    <w:rPr>
      <w:rFonts w:ascii="黑体" w:eastAsia="黑体"/>
      <w:b/>
      <w:kern w:val="0"/>
      <w:sz w:val="32"/>
      <w:szCs w:val="20"/>
    </w:rPr>
  </w:style>
  <w:style w:type="paragraph" w:customStyle="1" w:styleId="61">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2">
    <w:name w:val="0表格格式"/>
    <w:basedOn w:val="1"/>
    <w:qFormat/>
    <w:uiPriority w:val="0"/>
    <w:pPr>
      <w:widowControl/>
      <w:jc w:val="center"/>
    </w:pPr>
    <w:rPr>
      <w:kern w:val="0"/>
      <w:szCs w:val="21"/>
    </w:rPr>
  </w:style>
  <w:style w:type="paragraph" w:customStyle="1" w:styleId="63">
    <w:name w:val="A-z正文"/>
    <w:basedOn w:val="1"/>
    <w:qFormat/>
    <w:uiPriority w:val="0"/>
    <w:pPr>
      <w:spacing w:line="360" w:lineRule="auto"/>
      <w:ind w:firstLine="200" w:firstLineChars="200"/>
    </w:pPr>
    <w:rPr>
      <w:rFonts w:cs="宋体"/>
      <w:kern w:val="0"/>
      <w:sz w:val="24"/>
      <w:szCs w:val="20"/>
    </w:rPr>
  </w:style>
  <w:style w:type="paragraph" w:customStyle="1" w:styleId="64">
    <w:name w:val="康华00正文"/>
    <w:basedOn w:val="1"/>
    <w:qFormat/>
    <w:uiPriority w:val="0"/>
    <w:pPr>
      <w:widowControl/>
      <w:spacing w:line="360" w:lineRule="auto"/>
      <w:ind w:firstLine="200" w:firstLineChars="200"/>
    </w:pPr>
    <w:rPr>
      <w:rFonts w:cs="宋体"/>
      <w:kern w:val="0"/>
      <w:sz w:val="24"/>
    </w:rPr>
  </w:style>
  <w:style w:type="character" w:customStyle="1" w:styleId="65">
    <w:name w:val="我的正文 Char"/>
    <w:link w:val="66"/>
    <w:qFormat/>
    <w:uiPriority w:val="0"/>
    <w:rPr>
      <w:rFonts w:cs="宋体"/>
      <w:kern w:val="0"/>
      <w:sz w:val="24"/>
      <w:szCs w:val="20"/>
    </w:rPr>
  </w:style>
  <w:style w:type="paragraph" w:customStyle="1" w:styleId="66">
    <w:name w:val="我的正文"/>
    <w:basedOn w:val="1"/>
    <w:link w:val="65"/>
    <w:qFormat/>
    <w:uiPriority w:val="0"/>
    <w:pPr>
      <w:spacing w:line="312" w:lineRule="auto"/>
      <w:ind w:firstLine="200" w:firstLineChars="200"/>
    </w:pPr>
    <w:rPr>
      <w:rFonts w:cs="宋体"/>
      <w:kern w:val="0"/>
      <w:sz w:val="24"/>
      <w:szCs w:val="20"/>
    </w:rPr>
  </w:style>
  <w:style w:type="paragraph" w:customStyle="1" w:styleId="67">
    <w:name w:val="表标题"/>
    <w:basedOn w:val="1"/>
    <w:qFormat/>
    <w:uiPriority w:val="0"/>
    <w:pPr>
      <w:spacing w:line="500" w:lineRule="exact"/>
      <w:ind w:firstLine="0" w:firstLineChars="0"/>
      <w:jc w:val="center"/>
    </w:pPr>
    <w:rPr>
      <w:rFonts w:eastAsia="黑体"/>
    </w:rPr>
  </w:style>
  <w:style w:type="paragraph" w:customStyle="1" w:styleId="68">
    <w:name w:val="表格正文"/>
    <w:basedOn w:val="1"/>
    <w:qFormat/>
    <w:uiPriority w:val="0"/>
    <w:pPr>
      <w:widowControl/>
      <w:spacing w:line="360" w:lineRule="exact"/>
      <w:ind w:firstLine="0" w:firstLineChars="0"/>
      <w:jc w:val="center"/>
    </w:pPr>
    <w:rPr>
      <w:sz w:val="21"/>
    </w:rPr>
  </w:style>
  <w:style w:type="paragraph" w:customStyle="1" w:styleId="69">
    <w:name w:val="Table Paragraph"/>
    <w:basedOn w:val="1"/>
    <w:qFormat/>
    <w:uiPriority w:val="1"/>
    <w:rPr>
      <w:rFonts w:ascii="宋体" w:hAnsi="宋体" w:eastAsia="宋体" w:cs="宋体"/>
      <w:lang w:val="zh-CN" w:eastAsia="zh-CN" w:bidi="zh-CN"/>
    </w:rPr>
  </w:style>
  <w:style w:type="paragraph" w:customStyle="1" w:styleId="70">
    <w:name w:val="_Style 2"/>
    <w:basedOn w:val="1"/>
    <w:qFormat/>
    <w:uiPriority w:val="34"/>
    <w:pPr>
      <w:ind w:firstLine="420" w:firstLineChars="200"/>
    </w:pPr>
    <w:rPr>
      <w:szCs w:val="24"/>
    </w:rPr>
  </w:style>
  <w:style w:type="paragraph" w:styleId="71">
    <w:name w:val="Intense Quote"/>
    <w:basedOn w:val="1"/>
    <w:next w:val="1"/>
    <w:qFormat/>
    <w:uiPriority w:val="0"/>
    <w:pPr>
      <w:spacing w:line="240" w:lineRule="auto"/>
      <w:ind w:firstLine="0" w:firstLineChars="0"/>
      <w:jc w:val="center"/>
    </w:pPr>
    <w:rPr>
      <w:rFonts w:eastAsia="宋体" w:cs="Times New Roman"/>
      <w:bCs/>
      <w:iCs/>
      <w:sz w:val="21"/>
      <w:lang w:eastAsia="en-US" w:bidi="en-US"/>
    </w:rPr>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正文lcc"/>
    <w:basedOn w:val="1"/>
    <w:qFormat/>
    <w:uiPriority w:val="0"/>
    <w:pPr>
      <w:widowControl/>
      <w:adjustRightInd w:val="0"/>
      <w:snapToGrid w:val="0"/>
      <w:spacing w:line="360" w:lineRule="auto"/>
      <w:ind w:firstLine="200" w:firstLineChars="200"/>
      <w:jc w:val="left"/>
    </w:pPr>
    <w:rPr>
      <w:rFonts w:eastAsia="Times New Roman"/>
      <w:sz w:val="24"/>
    </w:rPr>
  </w:style>
  <w:style w:type="paragraph" w:customStyle="1" w:styleId="74">
    <w:name w:val="报告表格"/>
    <w:basedOn w:val="1"/>
    <w:next w:val="1"/>
    <w:qFormat/>
    <w:uiPriority w:val="0"/>
    <w:pPr>
      <w:autoSpaceDE w:val="0"/>
      <w:autoSpaceDN w:val="0"/>
      <w:adjustRightInd w:val="0"/>
      <w:spacing w:before="40" w:after="40"/>
      <w:jc w:val="center"/>
    </w:pPr>
    <w:rPr>
      <w:kern w:val="0"/>
      <w:szCs w:val="20"/>
    </w:rPr>
  </w:style>
  <w:style w:type="paragraph" w:customStyle="1" w:styleId="75">
    <w:name w:val="正文四号"/>
    <w:basedOn w:val="1"/>
    <w:qFormat/>
    <w:uiPriority w:val="0"/>
    <w:pPr>
      <w:spacing w:line="360" w:lineRule="auto"/>
      <w:ind w:firstLine="200" w:firstLineChars="200"/>
    </w:pPr>
    <w:rPr>
      <w:rFonts w:ascii="宋体" w:hAnsi="宋体"/>
      <w:sz w:val="24"/>
    </w:rPr>
  </w:style>
  <w:style w:type="paragraph" w:customStyle="1" w:styleId="76">
    <w:name w:val="无间隔11"/>
    <w:qFormat/>
    <w:uiPriority w:val="99"/>
    <w:pPr>
      <w:widowControl w:val="0"/>
      <w:spacing w:after="200" w:line="280" w:lineRule="exact"/>
      <w:jc w:val="center"/>
    </w:pPr>
    <w:rPr>
      <w:rFonts w:ascii="Times New Roman" w:hAnsi="Times New Roman" w:eastAsia="宋体" w:cs="Times New Roman"/>
      <w:kern w:val="2"/>
      <w:sz w:val="18"/>
      <w:szCs w:val="22"/>
      <w:lang w:val="en-US" w:eastAsia="zh-CN" w:bidi="ar-SA"/>
    </w:rPr>
  </w:style>
  <w:style w:type="table" w:customStyle="1" w:styleId="77">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78">
    <w:name w:val="样式2"/>
    <w:basedOn w:val="8"/>
    <w:qFormat/>
    <w:uiPriority w:val="0"/>
    <w:pPr>
      <w:adjustRightInd w:val="0"/>
      <w:ind w:left="170"/>
      <w:jc w:val="left"/>
      <w:textAlignment w:val="baseline"/>
    </w:pPr>
    <w:rPr>
      <w:b/>
      <w:kern w:val="0"/>
      <w:sz w:val="24"/>
      <w:szCs w:val="20"/>
    </w:rPr>
  </w:style>
  <w:style w:type="paragraph" w:customStyle="1" w:styleId="79">
    <w:name w:val="表格文字"/>
    <w:basedOn w:val="14"/>
    <w:next w:val="1"/>
    <w:semiHidden/>
    <w:qFormat/>
    <w:uiPriority w:val="0"/>
    <w:pPr>
      <w:jc w:val="center"/>
    </w:pPr>
    <w:rPr>
      <w:rFonts w:ascii="仿宋_GB2312" w:hAnsi="Arial Black" w:eastAsia="仿宋_GB2312" w:cs="Times New Roman"/>
      <w:kern w:val="44"/>
      <w:sz w:val="24"/>
      <w:szCs w:val="24"/>
    </w:rPr>
  </w:style>
  <w:style w:type="paragraph" w:customStyle="1" w:styleId="80">
    <w:name w:val="四级标题"/>
    <w:basedOn w:val="1"/>
    <w:qFormat/>
    <w:uiPriority w:val="0"/>
    <w:pPr>
      <w:spacing w:line="360" w:lineRule="auto"/>
      <w:ind w:firstLine="200" w:firstLineChars="200"/>
      <w:outlineLvl w:val="3"/>
    </w:pPr>
    <w:rPr>
      <w:rFonts w:ascii="宋体" w:hAnsi="宋体" w:eastAsia="黑体" w:cs="Times New Roman"/>
      <w:sz w:val="24"/>
      <w:szCs w:val="24"/>
    </w:rPr>
  </w:style>
  <w:style w:type="paragraph" w:customStyle="1" w:styleId="81">
    <w:name w:val="章标题"/>
    <w:basedOn w:val="1"/>
    <w:next w:val="82"/>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82">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83">
    <w:name w:val="电镀正文"/>
    <w:basedOn w:val="8"/>
    <w:qFormat/>
    <w:uiPriority w:val="0"/>
    <w:pPr>
      <w:spacing w:line="400" w:lineRule="exact"/>
      <w:ind w:firstLine="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wmf"/><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ECE759-864B-472E-8EC1-2327D5C1744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3942</Words>
  <Characters>4357</Characters>
  <Lines>326</Lines>
  <Paragraphs>92</Paragraphs>
  <TotalTime>11</TotalTime>
  <ScaleCrop>false</ScaleCrop>
  <LinksUpToDate>false</LinksUpToDate>
  <CharactersWithSpaces>4820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2017-08-01T07:45:00Z</dcterms:created>
  <dc:creator>Yc.</dc:creator>
  <cp:lastModifiedBy>哈哈*^o^*</cp:lastModifiedBy>
  <cp:lastPrinted>2018-03-22T00:51:00Z</cp:lastPrinted>
  <dcterms:modified xsi:type="dcterms:W3CDTF">2025-01-15T07:32:04Z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D380B02F7B2E4021A8BF2FAD42A22E2C</vt:lpwstr>
  </property>
  <property fmtid="{D5CDD505-2E9C-101B-9397-08002B2CF9AE}" pid="4" name="KSOTemplateDocerSaveRecord">
    <vt:lpwstr>eyJoZGlkIjoiMDdiZjhmMDZlNWE1ZTIzNmY0N2FiYWQzNGRiMjI4ODMiLCJ1c2VySWQiOiI0MjA0MDUyMDgifQ==</vt:lpwstr>
  </property>
</Properties>
</file>