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1FBDE">
      <w:pPr>
        <w:pStyle w:val="6"/>
        <w:keepNext w:val="0"/>
        <w:keepLines w:val="0"/>
        <w:pageBreakBefore w:val="0"/>
        <w:widowControl w:val="0"/>
        <w:kinsoku/>
        <w:wordWrap/>
        <w:overflowPunct/>
        <w:topLinePunct w:val="0"/>
        <w:bidi w:val="0"/>
        <w:adjustRightInd/>
        <w:snapToGrid/>
        <w:spacing w:before="0" w:after="0" w:line="560" w:lineRule="exact"/>
        <w:ind w:left="0" w:leftChars="0" w:right="0" w:firstLine="0"/>
        <w:jc w:val="center"/>
        <w:textAlignment w:val="auto"/>
        <w:outlineLvl w:val="0"/>
        <w:rPr>
          <w:rFonts w:hint="default" w:ascii="Times New Roman" w:hAnsi="Times New Roman" w:cs="Times New Roman"/>
        </w:rPr>
      </w:pPr>
      <w:r>
        <w:rPr>
          <w:rFonts w:hint="default" w:ascii="Times New Roman" w:hAnsi="Times New Roman" w:cs="Times New Roman"/>
          <w:sz w:val="52"/>
          <w:szCs w:val="52"/>
          <w:lang w:eastAsia="zh-CN"/>
        </w:rPr>
        <w:t>蓬溪县</w:t>
      </w:r>
      <w:r>
        <w:rPr>
          <w:rFonts w:hint="default" w:ascii="Times New Roman" w:hAnsi="Times New Roman" w:eastAsia="宋体" w:cs="Times New Roman"/>
          <w:sz w:val="52"/>
          <w:szCs w:val="52"/>
        </w:rPr>
        <w:t>“十四五”数字经济</w:t>
      </w:r>
    </w:p>
    <w:p w14:paraId="18D4442D">
      <w:pPr>
        <w:pStyle w:val="6"/>
        <w:keepNext w:val="0"/>
        <w:keepLines w:val="0"/>
        <w:pageBreakBefore w:val="0"/>
        <w:widowControl w:val="0"/>
        <w:kinsoku/>
        <w:wordWrap/>
        <w:overflowPunct/>
        <w:topLinePunct w:val="0"/>
        <w:bidi w:val="0"/>
        <w:adjustRightInd/>
        <w:snapToGrid/>
        <w:spacing w:before="0" w:after="0" w:line="560" w:lineRule="exact"/>
        <w:ind w:left="0" w:leftChars="0" w:right="0" w:firstLine="0"/>
        <w:jc w:val="center"/>
        <w:textAlignment w:val="auto"/>
        <w:outlineLvl w:val="0"/>
        <w:rPr>
          <w:rFonts w:hint="default" w:ascii="Times New Roman" w:hAnsi="Times New Roman" w:cs="Times New Roman"/>
        </w:rPr>
      </w:pPr>
      <w:r>
        <w:rPr>
          <w:rFonts w:hint="default" w:ascii="Times New Roman" w:hAnsi="Times New Roman" w:eastAsia="宋体" w:cs="Times New Roman"/>
          <w:sz w:val="52"/>
          <w:szCs w:val="52"/>
        </w:rPr>
        <w:t>发 展 规 划</w:t>
      </w:r>
    </w:p>
    <w:p w14:paraId="519BF725">
      <w:pPr>
        <w:keepNext w:val="0"/>
        <w:keepLines w:val="0"/>
        <w:pageBreakBefore w:val="0"/>
        <w:widowControl w:val="0"/>
        <w:kinsoku/>
        <w:wordWrap/>
        <w:overflowPunct/>
        <w:topLinePunct w:val="0"/>
        <w:bidi w:val="0"/>
        <w:adjustRightInd/>
        <w:snapToGrid/>
        <w:spacing w:before="0" w:after="0" w:line="560" w:lineRule="exact"/>
        <w:ind w:left="0" w:leftChars="0" w:right="0"/>
        <w:jc w:val="both"/>
        <w:textAlignment w:val="auto"/>
        <w:rPr>
          <w:rFonts w:hint="default" w:ascii="Times New Roman" w:hAnsi="Times New Roman" w:cs="Times New Roman"/>
        </w:rPr>
      </w:pPr>
    </w:p>
    <w:p w14:paraId="6BBF0C6D">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cs="Times New Roman"/>
        </w:rPr>
        <w:sectPr>
          <w:pgSz w:w="11906" w:h="16838"/>
          <w:pgMar w:top="2154" w:right="1474" w:bottom="2041" w:left="1587" w:header="0" w:footer="0" w:gutter="0"/>
          <w:pgNumType w:fmt="decimal"/>
          <w:cols w:space="720" w:num="1"/>
        </w:sectPr>
      </w:pPr>
    </w:p>
    <w:p w14:paraId="36043837">
      <w:pPr>
        <w:keepNext w:val="0"/>
        <w:keepLines w:val="0"/>
        <w:pageBreakBefore w:val="0"/>
        <w:widowControl w:val="0"/>
        <w:kinsoku/>
        <w:wordWrap/>
        <w:overflowPunct/>
        <w:topLinePunct w:val="0"/>
        <w:bidi w:val="0"/>
        <w:adjustRightInd/>
        <w:snapToGrid/>
        <w:spacing w:before="0" w:line="560" w:lineRule="exact"/>
        <w:ind w:left="0" w:leftChars="0"/>
        <w:jc w:val="center"/>
        <w:textAlignment w:val="auto"/>
        <w:outlineLvl w:val="0"/>
        <w:rPr>
          <w:rFonts w:hint="default" w:ascii="Times New Roman" w:hAnsi="Times New Roman" w:eastAsia="方正小标宋简体" w:cs="Times New Roman"/>
          <w:sz w:val="44"/>
          <w:szCs w:val="44"/>
        </w:rPr>
      </w:pPr>
      <w:bookmarkStart w:id="0" w:name="_TOC_300001"/>
      <w:r>
        <w:rPr>
          <w:rFonts w:hint="default" w:ascii="Times New Roman" w:hAnsi="Times New Roman" w:eastAsia="方正小标宋简体" w:cs="Times New Roman"/>
          <w:sz w:val="44"/>
          <w:szCs w:val="44"/>
        </w:rPr>
        <w:t>前</w:t>
      </w:r>
      <w:bookmarkEnd w:id="0"/>
      <w:r>
        <w:rPr>
          <w:rFonts w:hint="default" w:ascii="Times New Roman" w:hAnsi="Times New Roman" w:eastAsia="方正小标宋简体" w:cs="Times New Roman"/>
          <w:sz w:val="44"/>
          <w:szCs w:val="44"/>
        </w:rPr>
        <w:t xml:space="preserve"> </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言</w:t>
      </w:r>
    </w:p>
    <w:p w14:paraId="3345C376">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p>
    <w:p w14:paraId="279EC23A">
      <w:pPr>
        <w:keepNext w:val="0"/>
        <w:keepLines w:val="0"/>
        <w:pageBreakBefore w:val="0"/>
        <w:widowControl w:val="0"/>
        <w:kinsoku/>
        <w:wordWrap/>
        <w:overflowPunct/>
        <w:topLinePunct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“十四五”时期（2021-2025年）是我国全面建成小康社会、</w:t>
      </w:r>
    </w:p>
    <w:p w14:paraId="67F1F5B7">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实现第一个百年奋斗目标之后，乘势而上开启全面建设社会主义</w:t>
      </w:r>
    </w:p>
    <w:p w14:paraId="35A85193">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现代化国家新征程、向第二个百年奋斗目标进军的第一个五年，</w:t>
      </w:r>
    </w:p>
    <w:p w14:paraId="4ABC57A4">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是把握新一轮科技革命和产业变革新机遇，推动数字经济健康发</w:t>
      </w:r>
    </w:p>
    <w:p w14:paraId="76670789">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展的重要时期，也是我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全方位推动</w:t>
      </w:r>
      <w:r>
        <w:rPr>
          <w:rFonts w:hint="default" w:ascii="Times New Roman" w:hAnsi="Times New Roman" w:eastAsia="仿宋_GB2312" w:cs="Times New Roman"/>
          <w:sz w:val="32"/>
          <w:szCs w:val="32"/>
          <w:lang w:eastAsia="zh-CN"/>
        </w:rPr>
        <w:t>蓬溪城市能级全面提升、</w:t>
      </w:r>
      <w:r>
        <w:rPr>
          <w:rFonts w:hint="default" w:ascii="Times New Roman" w:hAnsi="Times New Roman" w:eastAsia="仿宋_GB2312" w:cs="Times New Roman"/>
          <w:sz w:val="32"/>
          <w:szCs w:val="32"/>
        </w:rPr>
        <w:t>高质量</w:t>
      </w:r>
      <w:r>
        <w:rPr>
          <w:rFonts w:hint="default" w:ascii="Times New Roman" w:hAnsi="Times New Roman" w:eastAsia="仿宋_GB2312" w:cs="Times New Roman"/>
          <w:sz w:val="32"/>
          <w:szCs w:val="32"/>
          <w:lang w:eastAsia="zh-CN"/>
        </w:rPr>
        <w:t>打造川渝毗邻地区城乡融合发展示范区</w:t>
      </w:r>
      <w:r>
        <w:rPr>
          <w:rFonts w:hint="default" w:ascii="Times New Roman" w:hAnsi="Times New Roman" w:eastAsia="仿宋_GB2312" w:cs="Times New Roman"/>
          <w:sz w:val="32"/>
          <w:szCs w:val="32"/>
        </w:rPr>
        <w:t>的关键时期。</w:t>
      </w:r>
    </w:p>
    <w:p w14:paraId="58664766">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w:t>
      </w:r>
      <w:r>
        <w:rPr>
          <w:rFonts w:hint="default" w:ascii="Times New Roman" w:hAnsi="Times New Roman" w:eastAsia="仿宋_GB2312" w:cs="Times New Roman"/>
          <w:sz w:val="32"/>
          <w:szCs w:val="32"/>
          <w:lang w:eastAsia="zh-CN"/>
        </w:rPr>
        <w:t>蓬溪</w:t>
      </w:r>
      <w:r>
        <w:rPr>
          <w:rFonts w:hint="default" w:ascii="Times New Roman" w:hAnsi="Times New Roman" w:eastAsia="仿宋_GB2312" w:cs="Times New Roman"/>
          <w:sz w:val="32"/>
          <w:szCs w:val="32"/>
        </w:rPr>
        <w:t>正处于工业化提升、数字化融合、城市化转型的</w:t>
      </w:r>
    </w:p>
    <w:p w14:paraId="5E3551BD">
      <w:pPr>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default" w:ascii="Times New Roman" w:hAnsi="Times New Roman" w:eastAsia="仿宋_GB2312" w:cs="Times New Roman"/>
          <w:sz w:val="32"/>
          <w:szCs w:val="32"/>
        </w:rPr>
        <w:sectPr>
          <w:footerReference r:id="rId5" w:type="default"/>
          <w:pgSz w:w="11906" w:h="16838"/>
          <w:pgMar w:top="2154" w:right="1474" w:bottom="2041" w:left="1587" w:header="851" w:footer="992" w:gutter="0"/>
          <w:pgNumType w:fmt="decimal" w:start="1"/>
          <w:cols w:space="425" w:num="1"/>
          <w:docGrid w:type="lines" w:linePitch="312" w:charSpace="0"/>
        </w:sectPr>
      </w:pPr>
      <w:r>
        <w:rPr>
          <w:rFonts w:hint="default" w:ascii="Times New Roman" w:hAnsi="Times New Roman" w:eastAsia="仿宋_GB2312" w:cs="Times New Roman"/>
          <w:sz w:val="32"/>
          <w:szCs w:val="32"/>
        </w:rPr>
        <w:t>重要发展阶段，科学谋划未来五年数字经济发展，对抢抓党中央、国务院大力支持新时代革命老区振兴发展的历史机遇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主动融入新时代数字</w:t>
      </w:r>
      <w:r>
        <w:rPr>
          <w:rFonts w:hint="default" w:ascii="Times New Roman" w:hAnsi="Times New Roman" w:eastAsia="仿宋_GB2312" w:cs="Times New Roman"/>
          <w:sz w:val="32"/>
          <w:szCs w:val="32"/>
          <w:lang w:eastAsia="zh-CN"/>
        </w:rPr>
        <w:t>遂宁</w:t>
      </w:r>
      <w:r>
        <w:rPr>
          <w:rFonts w:hint="default" w:ascii="Times New Roman" w:hAnsi="Times New Roman" w:eastAsia="仿宋_GB2312" w:cs="Times New Roman"/>
          <w:sz w:val="32"/>
          <w:szCs w:val="32"/>
        </w:rPr>
        <w:t>建设大局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加快实施数字经济领跑行动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全力推进数字产业化和产业数字化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推动数字经济集聚发展至关重要。依据</w:t>
      </w:r>
      <w:r>
        <w:rPr>
          <w:rFonts w:hint="default" w:ascii="Times New Roman" w:hAnsi="Times New Roman" w:eastAsia="仿宋_GB2312" w:cs="Times New Roman"/>
          <w:sz w:val="32"/>
          <w:szCs w:val="32"/>
          <w:lang w:eastAsia="zh-CN"/>
        </w:rPr>
        <w:t>《国务院关于印发“十四五”数字经济发展规划的通知》（国发</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29</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）、《四川省人民政府关于印发（四川省“十四五”数字经济发展规划）的通知》（川府发</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32</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）、《遂宁市人民政府关于印发（</w:t>
      </w:r>
      <w:r>
        <w:rPr>
          <w:rFonts w:hint="default" w:ascii="Times New Roman" w:hAnsi="Times New Roman" w:eastAsia="仿宋_GB2312" w:cs="Times New Roman"/>
          <w:sz w:val="32"/>
          <w:szCs w:val="32"/>
        </w:rPr>
        <w:t>遂宁市“十四五”数字经济发展规划</w:t>
      </w:r>
      <w:r>
        <w:rPr>
          <w:rFonts w:hint="default" w:ascii="Times New Roman" w:hAnsi="Times New Roman" w:eastAsia="仿宋_GB2312" w:cs="Times New Roman"/>
          <w:sz w:val="32"/>
          <w:szCs w:val="32"/>
          <w:lang w:eastAsia="zh-CN"/>
        </w:rPr>
        <w:t>）的通知》（遂府函</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2022</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67</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蓬溪县</w:t>
      </w:r>
      <w:r>
        <w:rPr>
          <w:rFonts w:hint="default" w:ascii="Times New Roman" w:hAnsi="Times New Roman" w:eastAsia="仿宋_GB2312" w:cs="Times New Roman"/>
          <w:sz w:val="32"/>
          <w:szCs w:val="32"/>
        </w:rPr>
        <w:t>国民经济和社会发展第十四个五年规划和二</w:t>
      </w:r>
      <w:r>
        <w:rPr>
          <w:rFonts w:ascii="宋体" w:hAnsi="宋体" w:eastAsia="宋体" w:cs="宋体"/>
          <w:sz w:val="24"/>
          <w:szCs w:val="24"/>
        </w:rPr>
        <w:t>〇</w:t>
      </w:r>
      <w:bookmarkStart w:id="25" w:name="_GoBack"/>
      <w:bookmarkEnd w:id="25"/>
      <w:r>
        <w:rPr>
          <w:rFonts w:hint="default" w:ascii="Times New Roman" w:hAnsi="Times New Roman" w:eastAsia="仿宋_GB2312" w:cs="Times New Roman"/>
          <w:sz w:val="32"/>
          <w:szCs w:val="32"/>
        </w:rPr>
        <w:t>三五年远景目标纲要》等文件，制定本规划，规划期为2021-2025年。</w:t>
      </w:r>
    </w:p>
    <w:p w14:paraId="25C994AC">
      <w:pPr>
        <w:keepNext w:val="0"/>
        <w:keepLines w:val="0"/>
        <w:pageBreakBefore w:val="0"/>
        <w:widowControl w:val="0"/>
        <w:kinsoku/>
        <w:wordWrap/>
        <w:overflowPunct/>
        <w:topLinePunct w:val="0"/>
        <w:bidi w:val="0"/>
        <w:adjustRightInd/>
        <w:snapToGrid/>
        <w:spacing w:before="0" w:line="560" w:lineRule="exact"/>
        <w:ind w:left="0" w:leftChars="0"/>
        <w:jc w:val="center"/>
        <w:textAlignment w:val="auto"/>
        <w:outlineLvl w:val="0"/>
        <w:rPr>
          <w:rFonts w:hint="default" w:ascii="Times New Roman" w:hAnsi="Times New Roman" w:eastAsia="方正小标宋简体" w:cs="Times New Roman"/>
          <w:sz w:val="44"/>
          <w:szCs w:val="44"/>
        </w:rPr>
      </w:pPr>
      <w:bookmarkStart w:id="1" w:name="_TOC_300002"/>
      <w:r>
        <w:rPr>
          <w:rFonts w:hint="default" w:ascii="Times New Roman" w:hAnsi="Times New Roman" w:eastAsia="方正小标宋简体" w:cs="Times New Roman"/>
          <w:sz w:val="44"/>
          <w:szCs w:val="44"/>
        </w:rPr>
        <w:t>第一章</w:t>
      </w:r>
      <w:bookmarkEnd w:id="1"/>
      <w:r>
        <w:rPr>
          <w:rFonts w:hint="default" w:ascii="Times New Roman" w:hAnsi="Times New Roman" w:eastAsia="方正小标宋简体" w:cs="Times New Roman"/>
          <w:sz w:val="44"/>
          <w:szCs w:val="44"/>
        </w:rPr>
        <w:t xml:space="preserve"> </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数字经济发展基础</w:t>
      </w:r>
    </w:p>
    <w:p w14:paraId="255535FA">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p>
    <w:p w14:paraId="0066443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outlineLvl w:val="1"/>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第一节</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发展现状</w:t>
      </w:r>
    </w:p>
    <w:p w14:paraId="08FBD92D">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“十三五”期间，</w:t>
      </w:r>
      <w:r>
        <w:rPr>
          <w:rFonts w:hint="default" w:ascii="Times New Roman" w:hAnsi="Times New Roman" w:eastAsia="仿宋_GB2312" w:cs="Times New Roman"/>
          <w:sz w:val="32"/>
          <w:szCs w:val="32"/>
          <w:lang w:eastAsia="zh-CN"/>
        </w:rPr>
        <w:t>蓬溪县始终坚持以习近平新时代中国特色社会主义思想为指导，全面贯彻落实党中央关于建设网络强国、数字中国、智慧城市的重大决策部署，深入实施数字经济领跑行动，加快推进数字产业化和产业数字化。全县</w:t>
      </w:r>
      <w:r>
        <w:rPr>
          <w:rFonts w:hint="default" w:ascii="Times New Roman" w:hAnsi="Times New Roman" w:eastAsia="仿宋_GB2312" w:cs="Times New Roman"/>
          <w:sz w:val="32"/>
          <w:szCs w:val="32"/>
        </w:rPr>
        <w:t>数字经济发展取得显著进展，数字经济核心企业数量不断增加，电子信息产业规模不断壮大，电子商务交易额不断攀升，数字经济与实体经济融合发展，新业态、新模式不断涌现</w:t>
      </w:r>
      <w:r>
        <w:rPr>
          <w:rFonts w:hint="default" w:ascii="Times New Roman" w:hAnsi="Times New Roman" w:eastAsia="仿宋_GB2312" w:cs="Times New Roman"/>
          <w:sz w:val="32"/>
          <w:szCs w:val="32"/>
          <w:lang w:eastAsia="zh-CN"/>
        </w:rPr>
        <w:t>。</w:t>
      </w:r>
    </w:p>
    <w:p w14:paraId="2B39DFA6">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数字基础设施不断完善</w:t>
      </w:r>
    </w:p>
    <w:p w14:paraId="117B0DD1">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bidi="ar-SA"/>
        </w:rPr>
        <w:t>数字化</w:t>
      </w:r>
      <w:r>
        <w:rPr>
          <w:rFonts w:hint="default" w:ascii="Times New Roman" w:hAnsi="Times New Roman" w:eastAsia="仿宋_GB2312" w:cs="Times New Roman"/>
          <w:b/>
          <w:bCs/>
          <w:sz w:val="32"/>
          <w:szCs w:val="32"/>
          <w:lang w:bidi="ar-SA"/>
        </w:rPr>
        <w:t>信息网络设施不断优化。</w:t>
      </w:r>
      <w:r>
        <w:rPr>
          <w:rFonts w:hint="default" w:ascii="Times New Roman" w:hAnsi="Times New Roman" w:eastAsia="仿宋_GB2312" w:cs="Times New Roman"/>
          <w:sz w:val="32"/>
          <w:szCs w:val="32"/>
        </w:rPr>
        <w:t>实施电信普遍服务试点项目，完成</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个行政村</w:t>
      </w:r>
      <w:r>
        <w:rPr>
          <w:rFonts w:hint="default" w:ascii="Times New Roman" w:hAnsi="Times New Roman" w:eastAsia="仿宋_GB2312" w:cs="Times New Roman"/>
          <w:sz w:val="32"/>
          <w:szCs w:val="32"/>
          <w:lang w:val="en-US" w:eastAsia="zh-CN"/>
        </w:rPr>
        <w:t>光纤宽带巩固提升</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val="en-US" w:eastAsia="zh-CN"/>
        </w:rPr>
        <w:t>,实现全县100％行政村通宽带</w:t>
      </w:r>
      <w:r>
        <w:rPr>
          <w:rFonts w:hint="default" w:ascii="Times New Roman" w:hAnsi="Times New Roman" w:eastAsia="仿宋_GB2312" w:cs="Times New Roman"/>
          <w:sz w:val="32"/>
          <w:szCs w:val="32"/>
        </w:rPr>
        <w:t>。新建或升级改建物联网宏基站</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个，扩大窄带物联网覆盖范围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4G网络实现城乡全面覆盖</w:t>
      </w:r>
      <w:r>
        <w:rPr>
          <w:rFonts w:hint="default" w:ascii="Times New Roman" w:hAnsi="Times New Roman" w:eastAsia="仿宋_GB2312" w:cs="Times New Roman"/>
          <w:sz w:val="32"/>
          <w:szCs w:val="32"/>
          <w:lang w:eastAsia="zh-CN"/>
        </w:rPr>
        <w:t>。电子政务外网实现县、乡（镇）、村（社区）全覆盖，</w:t>
      </w:r>
      <w:r>
        <w:rPr>
          <w:rFonts w:hint="default" w:ascii="Times New Roman" w:hAnsi="Times New Roman" w:eastAsia="仿宋_GB2312" w:cs="Times New Roman"/>
          <w:sz w:val="32"/>
          <w:szCs w:val="32"/>
          <w:lang w:val="en-US" w:eastAsia="zh-CN"/>
        </w:rPr>
        <w:t>为全县政务系统运行提供了良好网络基础，政府门户网站已完成IPV6改造工作。</w:t>
      </w:r>
    </w:p>
    <w:p w14:paraId="421B212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新型基础设施建设加快实施。</w:t>
      </w:r>
      <w:r>
        <w:rPr>
          <w:rFonts w:hint="default" w:ascii="Times New Roman" w:hAnsi="Times New Roman" w:eastAsia="仿宋_GB2312" w:cs="Times New Roman"/>
          <w:b w:val="0"/>
          <w:bCs w:val="0"/>
          <w:sz w:val="32"/>
          <w:szCs w:val="32"/>
          <w:lang w:val="en-US" w:eastAsia="zh-CN"/>
        </w:rPr>
        <w:t>全县</w:t>
      </w:r>
      <w:r>
        <w:rPr>
          <w:rFonts w:hint="default" w:ascii="Times New Roman" w:hAnsi="Times New Roman" w:eastAsia="仿宋_GB2312" w:cs="Times New Roman"/>
          <w:sz w:val="32"/>
          <w:szCs w:val="32"/>
          <w:lang w:val="en-US" w:eastAsia="zh-CN"/>
        </w:rPr>
        <w:t>已建成并开通5G基站278个，</w:t>
      </w:r>
      <w:r>
        <w:rPr>
          <w:rFonts w:hint="default" w:ascii="Times New Roman" w:hAnsi="Times New Roman" w:eastAsia="仿宋_GB2312" w:cs="Times New Roman"/>
          <w:sz w:val="32"/>
          <w:szCs w:val="32"/>
          <w:lang w:eastAsia="zh-CN"/>
        </w:rPr>
        <w:t>主城区和重点乡镇已实现区域覆盖，</w:t>
      </w:r>
      <w:r>
        <w:rPr>
          <w:rFonts w:hint="default" w:ascii="Times New Roman" w:hAnsi="Times New Roman" w:eastAsia="仿宋_GB2312" w:cs="Times New Roman"/>
          <w:sz w:val="32"/>
          <w:szCs w:val="32"/>
        </w:rPr>
        <w:t>信息通信基础支撑能力进一步增强</w:t>
      </w:r>
      <w:r>
        <w:rPr>
          <w:rFonts w:hint="default" w:ascii="Times New Roman" w:hAnsi="Times New Roman" w:eastAsia="仿宋_GB2312" w:cs="Times New Roman"/>
          <w:sz w:val="32"/>
          <w:szCs w:val="32"/>
          <w:lang w:eastAsia="zh-CN"/>
        </w:rPr>
        <w:t>。蓬溪县智慧城市项目已正式启动，打造“城市大脑”和“数据中心”，依托智慧指挥中心平台，实现城市运行“一网统管”。</w:t>
      </w:r>
    </w:p>
    <w:p w14:paraId="631DB39B">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楷体" w:cs="Times New Roman"/>
          <w:sz w:val="32"/>
          <w:szCs w:val="32"/>
          <w:lang w:val="en-US" w:eastAsia="zh-CN"/>
        </w:rPr>
        <w:t>数字经济发展初具规模</w:t>
      </w:r>
    </w:p>
    <w:p w14:paraId="101DAA5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农业现代化建设稳步推进。</w:t>
      </w:r>
      <w:r>
        <w:rPr>
          <w:rFonts w:hint="default" w:ascii="Times New Roman" w:hAnsi="Times New Roman" w:eastAsia="仿宋_GB2312" w:cs="Times New Roman"/>
          <w:bCs/>
          <w:color w:val="000000"/>
          <w:kern w:val="2"/>
          <w:sz w:val="32"/>
          <w:szCs w:val="32"/>
          <w:lang w:val="en-US" w:eastAsia="zh-CN" w:bidi="ar-SA"/>
        </w:rPr>
        <w:t>做大两个“百万工程”，培育优质菌菜、精品水果、健康水产、高效林产、道地中药等五大特色产业，初</w:t>
      </w:r>
      <w:r>
        <w:rPr>
          <w:rFonts w:hint="default" w:ascii="Times New Roman" w:hAnsi="Times New Roman" w:eastAsia="仿宋_GB2312" w:cs="Times New Roman"/>
          <w:sz w:val="32"/>
          <w:szCs w:val="32"/>
          <w:lang w:val="en-US" w:eastAsia="zh-CN"/>
        </w:rPr>
        <w:t>步建成“2+5”现代农业产业体系。成功打造天福红江、大石宝梵、任隆高升3个10万亩现代农业园区，天福红江食用菌蔬菜现代农业园区创建为省四星级现代农业园区。现代农业示范区</w:t>
      </w:r>
      <w:r>
        <w:rPr>
          <w:rFonts w:hint="default" w:ascii="Times New Roman" w:hAnsi="Times New Roman" w:eastAsia="仿宋_GB2312" w:cs="Times New Roman"/>
          <w:bCs/>
          <w:color w:val="000000"/>
          <w:kern w:val="2"/>
          <w:sz w:val="32"/>
          <w:szCs w:val="32"/>
          <w:lang w:val="en-US" w:eastAsia="zh-CN" w:bidi="ar-SA"/>
        </w:rPr>
        <w:t>已建益农信息社7个,实现全覆盖，持续运营率100%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color w:val="000000"/>
          <w:kern w:val="2"/>
          <w:sz w:val="32"/>
          <w:szCs w:val="32"/>
          <w:lang w:val="en-US" w:eastAsia="zh-CN" w:bidi="ar-SA"/>
        </w:rPr>
        <w:t>建有电子商务中心1个，商贸、供销、银行、物流与电商实现了互联互通；因地制宜推动数字化农业与旅游、教育、文创等产业深度融合，休闲旅游设施完善，绿然农庄、中遂农业等实施蔬果有机化、数字化、智能化栽培，常年开展蔬菜、水果采摘等线上线下体验活动，带动了园区乡村旅游快速发展。天福镇、红江镇建有“一站式”农业服务中心，为园区提供农技推广、质量安全、动植物疫病防控、农业信息等公益性服务。</w:t>
      </w:r>
    </w:p>
    <w:p w14:paraId="31D23632">
      <w:pPr>
        <w:pStyle w:val="1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bCs/>
          <w:spacing w:val="0"/>
          <w:sz w:val="32"/>
          <w:szCs w:val="32"/>
          <w:lang w:eastAsia="zh-CN"/>
        </w:rPr>
        <w:t>新型工业加速推进。</w:t>
      </w:r>
      <w:r>
        <w:rPr>
          <w:rFonts w:hint="default" w:ascii="Times New Roman" w:hAnsi="Times New Roman" w:eastAsia="仿宋_GB2312" w:cs="Times New Roman"/>
          <w:b w:val="0"/>
          <w:bCs/>
          <w:spacing w:val="4"/>
          <w:sz w:val="32"/>
          <w:szCs w:val="32"/>
          <w:lang w:eastAsia="zh-CN"/>
        </w:rPr>
        <w:t>初步形成智能家居、绿色食品饮料、先进材料、线缆线束四大主导产业。蓬溪经开区成功创建省级经济开发区，“中国西部门都”晋升为“中国门都”；</w:t>
      </w:r>
      <w:r>
        <w:rPr>
          <w:rFonts w:hint="default" w:ascii="Times New Roman" w:hAnsi="Times New Roman" w:eastAsia="仿宋_GB2312" w:cs="Times New Roman"/>
          <w:bCs/>
          <w:color w:val="000000"/>
          <w:kern w:val="2"/>
          <w:sz w:val="32"/>
          <w:szCs w:val="32"/>
          <w:lang w:val="en-US" w:eastAsia="zh-CN" w:bidi="ar-SA"/>
        </w:rPr>
        <w:t>加快推进“两化融合，万企上云”行动计划，组织企业积极申报国家级、省级两化融合示范（试点）企业,累计30户企业上云实现大数据“云服务”;工业化和信息化“两化深度融合”，扎实抓好两化融合管理体系贯标，耐德尔、新新门业、美立方门业、华顺海天化纤成功申报两化融合省级贯标试点企业。</w:t>
      </w:r>
    </w:p>
    <w:p w14:paraId="5254DBD6">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现代服务业加快发展。</w:t>
      </w:r>
      <w:r>
        <w:rPr>
          <w:rFonts w:hint="default" w:ascii="Times New Roman" w:hAnsi="Times New Roman" w:eastAsia="仿宋_GB2312" w:cs="Times New Roman"/>
          <w:b w:val="0"/>
          <w:bCs w:val="0"/>
          <w:sz w:val="32"/>
          <w:szCs w:val="32"/>
          <w:lang w:val="en-US" w:eastAsia="zh-CN"/>
        </w:rPr>
        <w:t>连续五次被文化和旅游部评为“中国书法之乡”。成功举办旷继勋蓬溪起义90周年、“中国书法 蓬溪雅集”、遂宁市成渝地区双城经济圈红色场馆联盟联展暨“红色精神走进新时代”全国图片巡展等重大活动；旷继勋蓬溪起义遗址纳入全省第二批“红色旅游重点线路”、知名文旅县建设加快，带动经济发展质量和效益明显提升。</w:t>
      </w:r>
    </w:p>
    <w:p w14:paraId="0106BF2F">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楷体" w:cs="Times New Roman"/>
          <w:sz w:val="32"/>
          <w:szCs w:val="32"/>
          <w:lang w:val="en-US" w:eastAsia="zh-CN"/>
        </w:rPr>
        <w:t>数据生产要素初步汇聚</w:t>
      </w:r>
    </w:p>
    <w:p w14:paraId="5FB2DE15">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依托遂宁资源目录管理系统，组织全县27个县直部门开展政务资源目录编制和数据汇聚工作。截至目前，共汇聚1751条目录，其中对外共享1712条，对外开放1702条，累计对外提供下载服务次数212次。砂石改革有序推进，国有公司率先开展经营、建成标准化厂房。完成爱文思水务资产收购，顺利收回县城区供水特许经营权。创新创业体系不断完善，获省科技进步奖4项，授权专利415件，培育国家高新技术企业6家、国省知识产权试点企业2家，累计实现高新技术产业总产值150亿元，入围国家知识产权强县工程试点县，获评全省农村集体产权改革试点县。</w:t>
      </w:r>
    </w:p>
    <w:p w14:paraId="028FBF8D">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楷体" w:cs="Times New Roman"/>
          <w:sz w:val="32"/>
          <w:szCs w:val="32"/>
          <w:lang w:val="en-US" w:eastAsia="zh-CN"/>
        </w:rPr>
        <w:t>数字政府建设卓有成效</w:t>
      </w:r>
    </w:p>
    <w:p w14:paraId="064FC64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b w:val="0"/>
          <w:bCs w:val="0"/>
          <w:sz w:val="32"/>
          <w:szCs w:val="32"/>
          <w:lang w:val="en-US" w:eastAsia="zh-CN" w:bidi="ar-SA"/>
        </w:rPr>
        <w:t>营商环境持续优化，行政许可“最多跑一次”事项达85%。完成机构改革、乡镇行政区划调整、村建制调整、村党支部书记、村主任“一肩挑”和村民小组优化等重大改革。</w:t>
      </w:r>
      <w:r>
        <w:rPr>
          <w:rFonts w:hint="default" w:ascii="Times New Roman" w:hAnsi="Times New Roman" w:eastAsia="仿宋_GB2312" w:cs="Times New Roman"/>
          <w:sz w:val="32"/>
          <w:szCs w:val="32"/>
          <w:lang w:val="en-US" w:eastAsia="zh-CN" w:bidi="ar-SA"/>
        </w:rPr>
        <w:t>推广使用市、县、乡统一的遂宁市机关办公自动化系统实现全年网上收发公文306254件；利用四川省政务服务一体化平台实现全流程网上办理事项475778件；使用蓬溪县政府门户网站发布信息7048条。</w:t>
      </w:r>
    </w:p>
    <w:p w14:paraId="5E12430E">
      <w:pPr>
        <w:pStyle w:val="1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outlineLvl w:val="1"/>
        <w:rPr>
          <w:rFonts w:hint="default" w:ascii="Times New Roman" w:hAnsi="Times New Roman" w:eastAsia="黑体" w:cs="Times New Roman"/>
          <w:lang w:val="en-US" w:eastAsia="zh-CN"/>
        </w:rPr>
      </w:pPr>
      <w:r>
        <w:rPr>
          <w:rFonts w:hint="eastAsia" w:ascii="Times New Roman" w:hAnsi="Times New Roman" w:eastAsia="黑体" w:cs="Times New Roman"/>
          <w:sz w:val="32"/>
          <w:szCs w:val="32"/>
          <w:lang w:val="en-US" w:eastAsia="zh-CN" w:bidi="ar-SA"/>
        </w:rPr>
        <w:t xml:space="preserve">第二节 </w:t>
      </w:r>
      <w:r>
        <w:rPr>
          <w:rFonts w:hint="default" w:ascii="Times New Roman" w:hAnsi="Times New Roman" w:eastAsia="黑体" w:cs="Times New Roman"/>
          <w:sz w:val="32"/>
          <w:szCs w:val="32"/>
          <w:lang w:val="en-US" w:eastAsia="zh-CN" w:bidi="ar-SA"/>
        </w:rPr>
        <w:t>面临形势</w:t>
      </w:r>
    </w:p>
    <w:p w14:paraId="775B3FDA">
      <w:pPr>
        <w:keepNext w:val="0"/>
        <w:keepLines w:val="0"/>
        <w:pageBreakBefore w:val="0"/>
        <w:widowControl w:val="0"/>
        <w:numPr>
          <w:ilvl w:val="0"/>
          <w:numId w:val="0"/>
        </w:numPr>
        <w:kinsoku/>
        <w:wordWrap/>
        <w:overflowPunct/>
        <w:topLinePunct w:val="0"/>
        <w:bidi w:val="0"/>
        <w:adjustRightInd/>
        <w:snapToGrid/>
        <w:spacing w:before="0" w:line="560" w:lineRule="exact"/>
        <w:ind w:left="0" w:leftChars="0" w:right="0" w:righ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(一）发展机遇</w:t>
      </w:r>
    </w:p>
    <w:p w14:paraId="0C9338EC">
      <w:pPr>
        <w:keepNext w:val="0"/>
        <w:keepLines w:val="0"/>
        <w:pageBreakBefore w:val="0"/>
        <w:widowControl w:val="0"/>
        <w:numPr>
          <w:ilvl w:val="0"/>
          <w:numId w:val="0"/>
        </w:numPr>
        <w:kinsoku/>
        <w:wordWrap/>
        <w:overflowPunct/>
        <w:topLinePunct w:val="0"/>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数字经济作为农业经济、工业经济之后一种新的经济形态，已经成为经济社会转型升级的重要驱动力，成为全球新一轮信息化战略制定和产业竞争的制高点。蓬溪必须抓准这个制高点，审时度势，乘势而上。</w:t>
      </w:r>
    </w:p>
    <w:p w14:paraId="49999A71">
      <w:pPr>
        <w:pStyle w:val="1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一是</w:t>
      </w:r>
      <w:r>
        <w:rPr>
          <w:rFonts w:hint="default" w:ascii="Times New Roman" w:hAnsi="Times New Roman" w:eastAsia="仿宋_GB2312" w:cs="Times New Roman"/>
          <w:lang w:val="en-US" w:eastAsia="zh-CN"/>
        </w:rPr>
        <w:t>我国经济社会进入高质量发展新阶段。“十四五”时期是我国全面建成小康社会、实现第一个百年奋斗目标之后，乘势而上开启全面建设社会主义现代化国家新征程、向第二个百年奋斗目标进军的第一个五年。同时，当今世界正经历百年未有之大变局，经济全球化遭遇逆流，世界进入动荡变革期。我国已转向高质量发展阶段，经济长期向好、市场空间广阔、发展韧性强劲</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社会大局稳定，继续发展具有多方面优势和条件。面向未来，在危机中育新机，于变局中开新局</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习近平总书记指出，要把满足国内需求作为发展的出发点和落脚点，加快构建完整的内需体系，逐步形成以国内大循环为主体、国内国际双循环相互促进的新发展格局，培育新形势下我国参与国际合作和竞争新优势。</w:t>
      </w:r>
    </w:p>
    <w:p w14:paraId="1E71D680">
      <w:pPr>
        <w:pStyle w:val="6"/>
        <w:keepNext w:val="0"/>
        <w:keepLines w:val="0"/>
        <w:pageBreakBefore w:val="0"/>
        <w:widowControl w:val="0"/>
        <w:kinsoku/>
        <w:wordWrap/>
        <w:overflowPunct/>
        <w:topLinePunct w:val="0"/>
        <w:bidi w:val="0"/>
        <w:adjustRightInd/>
        <w:snapToGrid/>
        <w:spacing w:before="0" w:line="560" w:lineRule="exact"/>
        <w:ind w:left="0" w:leftChars="0"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二是</w:t>
      </w:r>
      <w:r>
        <w:rPr>
          <w:rFonts w:hint="default" w:ascii="Times New Roman" w:hAnsi="Times New Roman" w:eastAsia="仿宋_GB2312" w:cs="Times New Roman"/>
          <w:lang w:val="en-US" w:eastAsia="zh-CN"/>
        </w:rPr>
        <w:t>数字经济成为驱动高质量发展的新引擎。当前，以数字化、网络化、智能化为特征的信息化浪潮蓬勃兴起，全球新一轮科技革命和产业变革深入发展。面对日新月异的信息革命与中华民族伟大复兴进程的历史性交汇，党的十九大作出建设网络强国</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数字中国、智慧城市的重大决策部署。在新的历史方位，我国数字经济发展进入快车道，数字技术与实体经济加速融合，新旧发展动能接续转换、数字经济规模高速增长，新技术、新产业、新模式、新业态层出不穷，四川成为全国首批国家数字经济创新发展试验区，</w:t>
      </w:r>
      <w:r>
        <w:rPr>
          <w:rFonts w:hint="eastAsia" w:ascii="Times New Roman" w:hAnsi="Times New Roman" w:eastAsia="仿宋_GB2312" w:cs="Times New Roman"/>
          <w:lang w:val="en-US" w:eastAsia="zh-CN"/>
        </w:rPr>
        <w:t>国家超算成都中心</w:t>
      </w:r>
      <w:r>
        <w:rPr>
          <w:rFonts w:hint="default" w:ascii="Times New Roman" w:hAnsi="Times New Roman" w:eastAsia="仿宋_GB2312" w:cs="Times New Roman"/>
          <w:lang w:val="en-US" w:eastAsia="zh-CN"/>
        </w:rPr>
        <w:t>等一批重大项目开工建设。数字经济已成为国家和地区应对经济下行压力、驱动经济包容性增长和可持续性发展的新引擎。</w:t>
      </w:r>
    </w:p>
    <w:p w14:paraId="5657A572">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区域优势和特色产业突出。</w:t>
      </w:r>
      <w:r>
        <w:rPr>
          <w:rFonts w:hint="default" w:ascii="Times New Roman" w:hAnsi="Times New Roman" w:eastAsia="仿宋_GB2312" w:cs="Times New Roman"/>
          <w:sz w:val="32"/>
          <w:szCs w:val="32"/>
          <w:lang w:val="en-US" w:eastAsia="zh-CN"/>
        </w:rPr>
        <w:t>多年的产业发展，“中国门都”已经形成集群效应，建成全国唯一的县级门业研发制造基地、西部最大的门业基地。绿色食品饮料、先进材料、线缆线束等产业初具规模。蓬溪经开区金桥片区正与四川最大的国有平台公司川发展公司合作，正积极融入遂潼涪江创新产业园一体规划建设。食用菌产业优势明显，琪英菌业已发展为全国最大的杏鲍菇工厂化生产企业和虫草花工厂化生产基地，杏鲍菇市场份额占全国六分之一，已形成龙头企业引领、资源整合利用、产业链条完整的产业集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盟遂</w:t>
      </w:r>
      <w:r>
        <w:rPr>
          <w:rFonts w:hint="default" w:ascii="Times New Roman" w:hAnsi="Times New Roman" w:eastAsia="仿宋_GB2312" w:cs="Times New Roman"/>
          <w:sz w:val="32"/>
          <w:szCs w:val="32"/>
          <w:lang w:val="en-US" w:eastAsia="zh-CN"/>
        </w:rPr>
        <w:t>合作乡村振兴示范区有序推进，将建设为成渝中部丘陵地区具有代表性的乡村振兴先进案例。区位优势的充分利用和特色产业的进一步提升，必将推动蓬溪实现更高质量、更可持续发展。</w:t>
      </w:r>
    </w:p>
    <w:p w14:paraId="75BAED85">
      <w:pPr>
        <w:pStyle w:val="14"/>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面临问题</w:t>
      </w:r>
    </w:p>
    <w:p w14:paraId="0B0A8352">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与发达城市相比，蓬溪县数字经济全省排名比较靠后，基础弱、底子薄、体量小、自主创新能力不强，数字基础设施建设和信息安全保障还有不少短板，数字经济发展环境仍需进一步优化，高质量发展任重道远。</w:t>
      </w:r>
    </w:p>
    <w:p w14:paraId="276990FB">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数字经济规模较小。蓬溪县数字经济发展还处于起步阶</w:t>
      </w:r>
    </w:p>
    <w:p w14:paraId="7ED2F086">
      <w:pPr>
        <w:keepNext w:val="0"/>
        <w:keepLines w:val="0"/>
        <w:pageBreakBefore w:val="0"/>
        <w:widowControl w:val="0"/>
        <w:kinsoku/>
        <w:wordWrap/>
        <w:overflowPunct/>
        <w:topLinePunct w:val="0"/>
        <w:autoSpaceDE w:val="0"/>
        <w:autoSpaceDN w:val="0"/>
        <w:bidi w:val="0"/>
        <w:adjustRightInd/>
        <w:snapToGrid/>
        <w:spacing w:line="560" w:lineRule="exact"/>
        <w:ind w:left="0"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段，与省内其他地区相比差距较大，数字经济主营业务收入仅为20亿元。数字经济总体规模小，全县数字经济类企业仅为20家，缺乏龙头企业和平台型企业，产业集聚度低，市场应用面窄，新业态新模式发展比较缓慢，对经济社会发展的带动能力不强。</w:t>
      </w:r>
    </w:p>
    <w:p w14:paraId="2455C99C">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传统产业数字化水平较低。制造业、农业等传统产业的</w:t>
      </w:r>
    </w:p>
    <w:p w14:paraId="6D91A522">
      <w:pPr>
        <w:keepNext w:val="0"/>
        <w:keepLines w:val="0"/>
        <w:pageBreakBefore w:val="0"/>
        <w:widowControl w:val="0"/>
        <w:kinsoku/>
        <w:wordWrap/>
        <w:overflowPunct/>
        <w:topLinePunct w:val="0"/>
        <w:autoSpaceDE w:val="0"/>
        <w:autoSpaceDN w:val="0"/>
        <w:bidi w:val="0"/>
        <w:adjustRightInd/>
        <w:snapToGrid/>
        <w:spacing w:line="560" w:lineRule="exact"/>
        <w:ind w:left="0"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整体水平仍然较低。中小企业有些对数字化转型的必要性和重要性认识不够、数字化改造动力不足，有些受资金短缺、本地化的技术支撑不足和数字化人才缺乏所制约，数字化、网络化、智能化程度仍有较大提升空间。</w:t>
      </w:r>
    </w:p>
    <w:p w14:paraId="359E9138">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科技创新能力薄弱。截至2022年，蓬溪数字经济企业中</w:t>
      </w:r>
      <w:r>
        <w:rPr>
          <w:rFonts w:hint="default" w:ascii="Times New Roman" w:hAnsi="Times New Roman" w:eastAsia="仿宋_GB2312" w:cs="Times New Roman"/>
          <w:b w:val="0"/>
          <w:bCs w:val="0"/>
          <w:sz w:val="32"/>
          <w:szCs w:val="32"/>
          <w:lang w:val="en-US" w:eastAsia="zh-CN" w:bidi="ar-SA"/>
        </w:rPr>
        <w:t>获省科技进步奖4项，授权专利415件，培育国家高新技术企业6家、国省知识产权试点企业2家；</w:t>
      </w:r>
      <w:r>
        <w:rPr>
          <w:rFonts w:hint="default" w:ascii="Times New Roman" w:hAnsi="Times New Roman" w:eastAsia="仿宋_GB2312" w:cs="Times New Roman"/>
          <w:sz w:val="32"/>
          <w:szCs w:val="32"/>
          <w:lang w:val="en-US" w:eastAsia="zh-CN"/>
        </w:rPr>
        <w:t>耐德尔、新新门业、美立方门业、华顺海天化纤成功申报两化融合省级贯标试点企业，</w:t>
      </w:r>
      <w:r>
        <w:rPr>
          <w:rFonts w:hint="eastAsia" w:ascii="Times New Roman" w:hAnsi="Times New Roman" w:eastAsia="仿宋_GB2312" w:cs="Times New Roman"/>
          <w:sz w:val="32"/>
          <w:szCs w:val="32"/>
          <w:lang w:val="en-US" w:eastAsia="zh-CN"/>
        </w:rPr>
        <w:t>其余</w:t>
      </w:r>
      <w:r>
        <w:rPr>
          <w:rFonts w:hint="default" w:ascii="Times New Roman" w:hAnsi="Times New Roman" w:eastAsia="仿宋_GB2312" w:cs="Times New Roman"/>
          <w:sz w:val="32"/>
          <w:szCs w:val="32"/>
          <w:lang w:val="en-US" w:eastAsia="zh-CN"/>
        </w:rPr>
        <w:t>大部分企业数字化研发能力较为薄弱。</w:t>
      </w:r>
    </w:p>
    <w:p w14:paraId="7D7B7C65">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数字经济人才紧缺。发展数字经济的人力智力资源紧缺，尤其是高层次、高技能、复合型人才缺口较大。对外吸引力不够，对内培养力度不足，大学毕业生普遍外流，本地企业招人困难，人才引不进、留不住问题突出，难以支撑数字经济发展需求。</w:t>
      </w:r>
    </w:p>
    <w:p w14:paraId="73E58541">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sectPr>
          <w:pgSz w:w="11906" w:h="16838"/>
          <w:pgMar w:top="2154" w:right="1474" w:bottom="2041" w:left="1587" w:header="851" w:footer="992" w:gutter="0"/>
          <w:pgNumType w:fmt="decimal"/>
          <w:cols w:space="425" w:num="1"/>
          <w:docGrid w:type="lines" w:linePitch="312" w:charSpace="0"/>
        </w:sectPr>
      </w:pP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发展环境有待优化。对数字经济发展政策设计前瞻性不够，推动数字红利释放的体制机制仍有提升空间，与数字经济发展相适应的监管制度有待健全，创新创业环境不足以支撑新业态新模式发展，对项目、资金、人才、技术引进和企业创新发展激励与</w:t>
      </w:r>
      <w:r>
        <w:rPr>
          <w:rFonts w:hint="default" w:ascii="Times New Roman" w:hAnsi="Times New Roman" w:eastAsia="仿宋_GB2312" w:cs="Times New Roman"/>
          <w:sz w:val="32"/>
          <w:szCs w:val="32"/>
          <w:lang w:eastAsia="zh-CN"/>
        </w:rPr>
        <w:t>同级地区</w:t>
      </w:r>
      <w:r>
        <w:rPr>
          <w:rFonts w:hint="default" w:ascii="Times New Roman" w:hAnsi="Times New Roman" w:eastAsia="仿宋_GB2312" w:cs="Times New Roman"/>
          <w:sz w:val="32"/>
          <w:szCs w:val="32"/>
          <w:lang w:val="en-US" w:eastAsia="zh-CN"/>
        </w:rPr>
        <w:t>相比还有较大差距。</w:t>
      </w:r>
    </w:p>
    <w:p w14:paraId="7D9F12E4">
      <w:pPr>
        <w:pStyle w:val="14"/>
        <w:keepNext w:val="0"/>
        <w:keepLines w:val="0"/>
        <w:pageBreakBefore w:val="0"/>
        <w:numPr>
          <w:ilvl w:val="0"/>
          <w:numId w:val="4"/>
        </w:numPr>
        <w:kinsoku/>
        <w:wordWrap/>
        <w:overflowPunct/>
        <w:topLinePunct w:val="0"/>
        <w:bidi w:val="0"/>
        <w:adjustRightIn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总体要求</w:t>
      </w:r>
    </w:p>
    <w:p w14:paraId="02E9D7EF">
      <w:pPr>
        <w:keepNext w:val="0"/>
        <w:keepLines w:val="0"/>
        <w:pageBreakBefore w:val="0"/>
        <w:kinsoku/>
        <w:wordWrap/>
        <w:overflowPunct/>
        <w:topLinePunct w:val="0"/>
        <w:autoSpaceDE/>
        <w:autoSpaceDN/>
        <w:bidi w:val="0"/>
        <w:adjustRightInd/>
        <w:spacing w:line="560" w:lineRule="exact"/>
        <w:ind w:left="0" w:leftChars="0" w:firstLine="643" w:firstLineChars="200"/>
        <w:jc w:val="both"/>
        <w:textAlignment w:val="auto"/>
        <w:outlineLvl w:val="1"/>
        <w:rPr>
          <w:rFonts w:hint="default" w:ascii="Times New Roman" w:hAnsi="Times New Roman" w:eastAsia="楷体_GB2312" w:cs="Times New Roman"/>
          <w:b/>
          <w:bCs/>
          <w:sz w:val="32"/>
          <w:szCs w:val="32"/>
        </w:rPr>
      </w:pPr>
      <w:bookmarkStart w:id="2" w:name="_Toc19705"/>
    </w:p>
    <w:p w14:paraId="72707C8C">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第一节 指导思想</w:t>
      </w:r>
      <w:bookmarkEnd w:id="2"/>
    </w:p>
    <w:p w14:paraId="206D1EC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以习近平新时代中国特色社会主义思想为指导，深入践行省市县数字化改革部署，</w:t>
      </w:r>
      <w:r>
        <w:rPr>
          <w:rFonts w:hint="default" w:ascii="Times New Roman" w:hAnsi="Times New Roman" w:eastAsia="仿宋_GB2312" w:cs="Times New Roman"/>
          <w:sz w:val="32"/>
          <w:szCs w:val="32"/>
          <w:highlight w:val="none"/>
          <w:lang w:eastAsia="zh-CN"/>
        </w:rPr>
        <w:t>抓好“一带两翼”发展布局中</w:t>
      </w:r>
      <w:r>
        <w:rPr>
          <w:rFonts w:hint="default" w:ascii="Times New Roman" w:hAnsi="Times New Roman" w:eastAsia="仿宋_GB2312" w:cs="Times New Roman"/>
          <w:sz w:val="32"/>
          <w:szCs w:val="32"/>
          <w:highlight w:val="none"/>
          <w:lang w:val="en-US" w:eastAsia="zh-CN"/>
        </w:rPr>
        <w:t>东</w:t>
      </w:r>
      <w:r>
        <w:rPr>
          <w:rFonts w:hint="default" w:ascii="Times New Roman" w:hAnsi="Times New Roman" w:eastAsia="仿宋_GB2312" w:cs="Times New Roman"/>
          <w:sz w:val="32"/>
          <w:szCs w:val="32"/>
          <w:highlight w:val="none"/>
          <w:lang w:eastAsia="zh-CN"/>
        </w:rPr>
        <w:t>翼的支点工作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以“数字产业化、产业数字化、治理数字化、数据价值化”为主线，以数字经济生态培育和数字新基建为支撑，贯通供需两侧、协同政企两端、深化改革创新，建成</w:t>
      </w:r>
      <w:r>
        <w:rPr>
          <w:rFonts w:hint="default" w:ascii="Times New Roman" w:hAnsi="Times New Roman" w:eastAsia="仿宋_GB2312" w:cs="Times New Roman"/>
          <w:sz w:val="32"/>
          <w:szCs w:val="32"/>
          <w:lang w:eastAsia="zh-CN"/>
        </w:rPr>
        <w:t>遂宁市</w:t>
      </w:r>
      <w:r>
        <w:rPr>
          <w:rFonts w:hint="default" w:ascii="Times New Roman" w:hAnsi="Times New Roman" w:eastAsia="仿宋_GB2312" w:cs="Times New Roman"/>
          <w:sz w:val="32"/>
          <w:szCs w:val="32"/>
        </w:rPr>
        <w:t>加快发展地区数字经济高质量发展示范区、</w:t>
      </w:r>
      <w:r>
        <w:rPr>
          <w:rFonts w:hint="eastAsia" w:ascii="Times New Roman" w:hAnsi="Times New Roman" w:eastAsia="仿宋_GB2312" w:cs="Times New Roman"/>
          <w:sz w:val="32"/>
          <w:szCs w:val="32"/>
          <w:lang w:eastAsia="zh-CN"/>
        </w:rPr>
        <w:t>遂宁</w:t>
      </w:r>
      <w:r>
        <w:rPr>
          <w:rFonts w:hint="default" w:ascii="Times New Roman" w:hAnsi="Times New Roman" w:eastAsia="仿宋_GB2312" w:cs="Times New Roman"/>
          <w:sz w:val="32"/>
          <w:szCs w:val="32"/>
        </w:rPr>
        <w:t>数字化改革实践高地，努力将数字经济打造成为蓬溪高质量发展的新引擎。以新一代信息技术与实体经济深度融合为主战场，以实施（新型数字基础设施建设工程、数字产业培育壮大工程、传统产业数字赋能转型工程、数字政府建设工程）“四大重点工程”为路径，围绕数字主题构建具有蓬溪特色的现代化产业体系，促进互联网、大数据、人工智能与实体经济深度融合，积极培育新产业新业态新模式，为蓬溪经济发展质量变革、效率变革、动力变革提供持续动力。</w:t>
      </w:r>
    </w:p>
    <w:p w14:paraId="457CA89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3" w:name="_Toc30121"/>
      <w:r>
        <w:rPr>
          <w:rFonts w:hint="eastAsia" w:ascii="黑体" w:hAnsi="黑体" w:eastAsia="黑体" w:cs="黑体"/>
          <w:b w:val="0"/>
          <w:bCs w:val="0"/>
          <w:sz w:val="32"/>
          <w:szCs w:val="32"/>
        </w:rPr>
        <w:t>第二节 基本原则</w:t>
      </w:r>
      <w:bookmarkEnd w:id="3"/>
    </w:p>
    <w:p w14:paraId="7B1D81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创新驱动，融合发展。</w:t>
      </w:r>
      <w:r>
        <w:rPr>
          <w:rFonts w:hint="default" w:ascii="Times New Roman" w:hAnsi="Times New Roman" w:eastAsia="仿宋_GB2312" w:cs="Times New Roman"/>
          <w:sz w:val="32"/>
          <w:szCs w:val="32"/>
        </w:rPr>
        <w:t>坚持创新是引领发展的第一动力，发挥数字化推动创新的先导作用，以理念创新、制度创新、机制创新、方法创新和空间创新为出发点，以技术创新、产业创新、业态创新、市场创新和管理创新为落脚点，最大限度激发创新活力。推动数字经济与实体经济融合发展，把握“互联网+”“大数据+”“智能+”“区块链+”等发展新趋势，面向蓬溪产业体系和金融、物流、供应链、医疗健康、数字政务等领域应用场景，全面推进技术融合、业务融合、数据融合、产业融合，促进数字产业化、产业数字化，适时催生新技术、新产业、新业态、新模式，培育发展新动能。</w:t>
      </w:r>
    </w:p>
    <w:p w14:paraId="536611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筑牢基础，树立标杆。</w:t>
      </w:r>
      <w:r>
        <w:rPr>
          <w:rFonts w:hint="default" w:ascii="Times New Roman" w:hAnsi="Times New Roman" w:eastAsia="仿宋_GB2312" w:cs="Times New Roman"/>
          <w:sz w:val="32"/>
          <w:szCs w:val="32"/>
        </w:rPr>
        <w:t>打造集数据、算力、存储、网络、研判、指挥、技术人才为一体的县级数据中心，支持电信、移动、联通、广电等网络公司发展光纤网络、5G网络建设，提升物联网宏基站数量，夯实数字化发展的物质基础和人才</w:t>
      </w:r>
      <w:r>
        <w:rPr>
          <w:rFonts w:hint="default" w:ascii="Times New Roman" w:hAnsi="Times New Roman" w:eastAsia="仿宋_GB2312" w:cs="Times New Roman"/>
          <w:sz w:val="32"/>
          <w:szCs w:val="32"/>
          <w:lang w:val="en-US" w:eastAsia="zh-CN"/>
        </w:rPr>
        <w:t>储备</w:t>
      </w:r>
      <w:r>
        <w:rPr>
          <w:rFonts w:hint="default" w:ascii="Times New Roman" w:hAnsi="Times New Roman" w:eastAsia="仿宋_GB2312" w:cs="Times New Roman"/>
          <w:sz w:val="32"/>
          <w:szCs w:val="32"/>
        </w:rPr>
        <w:t>。积极推动数字技术与农业、工业和服务业等产业融合发展，打造示范项目，加快传统产业数字化转型。以新型智慧城市建设为契机，推动交通、教育、医疗、旅游、社区管理、城市治理等领域数字创新应用协调发展。</w:t>
      </w:r>
    </w:p>
    <w:p w14:paraId="5DAD15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政府引导，市场主体。</w:t>
      </w:r>
      <w:r>
        <w:rPr>
          <w:rFonts w:hint="default" w:ascii="Times New Roman" w:hAnsi="Times New Roman" w:eastAsia="仿宋_GB2312" w:cs="Times New Roman"/>
          <w:sz w:val="32"/>
          <w:szCs w:val="32"/>
        </w:rPr>
        <w:t>充分发挥市场在资源配置中的决定性作用，树立企业在蓬溪数字经济发展中的主体地位，激发放大企业家精神和科研人才创新精神的价值创造活力。发挥政府在产业公共服务和发展环境上的作用，以市场需求为导向加快各领域数字化项目培育和应用示范，以产业生态为导向加快产业基础设施和公共服务平台的供给，加快财税、投融资、人才、招商引资、数据共享和业务协同等领域制度建设，为数字经济发展营造良好市场环境。</w:t>
      </w:r>
    </w:p>
    <w:p w14:paraId="52DC6C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第三节 发展愿景和目标</w:t>
      </w:r>
    </w:p>
    <w:p w14:paraId="1599122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通过五年努力，基本确立数字产业引领、数字技术驱动的跨越式发展新局面，数字经济生产力大幅提升，到2025年，成为</w:t>
      </w:r>
      <w:r>
        <w:rPr>
          <w:rFonts w:hint="default" w:ascii="Times New Roman" w:hAnsi="Times New Roman" w:eastAsia="仿宋_GB2312" w:cs="Times New Roman"/>
          <w:sz w:val="32"/>
          <w:szCs w:val="32"/>
          <w:lang w:eastAsia="zh-CN"/>
        </w:rPr>
        <w:t>遂宁</w:t>
      </w:r>
      <w:r>
        <w:rPr>
          <w:rFonts w:hint="default" w:ascii="Times New Roman" w:hAnsi="Times New Roman" w:eastAsia="仿宋_GB2312" w:cs="Times New Roman"/>
          <w:sz w:val="32"/>
          <w:szCs w:val="32"/>
        </w:rPr>
        <w:t>市数字经济高质量发展示范区、数字化改革实践高地。</w:t>
      </w:r>
    </w:p>
    <w:p w14:paraId="3F452F28">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1.产业规模持续提升。到2025年，</w:t>
      </w:r>
      <w:r>
        <w:rPr>
          <w:rFonts w:hint="default" w:ascii="Times New Roman" w:hAnsi="Times New Roman" w:eastAsia="仿宋_GB2312" w:cs="Times New Roman"/>
          <w:sz w:val="32"/>
          <w:szCs w:val="32"/>
          <w:lang w:eastAsia="zh-CN"/>
        </w:rPr>
        <w:t>数字门业</w:t>
      </w:r>
      <w:r>
        <w:rPr>
          <w:rFonts w:hint="default" w:ascii="Times New Roman" w:hAnsi="Times New Roman" w:eastAsia="仿宋_GB2312" w:cs="Times New Roman"/>
          <w:sz w:val="32"/>
          <w:szCs w:val="32"/>
        </w:rPr>
        <w:t>、数字</w:t>
      </w:r>
      <w:r>
        <w:rPr>
          <w:rFonts w:hint="default" w:ascii="Times New Roman" w:hAnsi="Times New Roman" w:eastAsia="仿宋_GB2312" w:cs="Times New Roman"/>
          <w:sz w:val="32"/>
          <w:szCs w:val="32"/>
          <w:lang w:eastAsia="zh-CN"/>
        </w:rPr>
        <w:t>锂电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数字农业、数字文旅</w:t>
      </w:r>
      <w:r>
        <w:rPr>
          <w:rFonts w:hint="default" w:ascii="Times New Roman" w:hAnsi="Times New Roman" w:eastAsia="仿宋_GB2312" w:cs="Times New Roman"/>
          <w:sz w:val="32"/>
          <w:szCs w:val="32"/>
        </w:rPr>
        <w:t>等数字经济核心产业集群，形成一批自主创新成果，数字经济产业生态进一步完善，数字经济总量在2020年基础上“翻一番”，力争规上数字经济核心产业实现营业收入</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亿元。</w:t>
      </w:r>
    </w:p>
    <w:p w14:paraId="56D34A04">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2.数字赋能成效明显。到2025年，区域“两化”融合指数突破</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，重点企业装备数字化率和工业设备联网率提升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个百分点以上、重点农业企业数字化率和农业生产设施联网率提升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个百分点以上，实现数字工业、数字农业、数字</w:t>
      </w:r>
      <w:r>
        <w:rPr>
          <w:rFonts w:hint="eastAsia" w:ascii="Times New Roman" w:hAnsi="Times New Roman" w:eastAsia="仿宋_GB2312" w:cs="Times New Roman"/>
          <w:sz w:val="32"/>
          <w:szCs w:val="32"/>
          <w:lang w:eastAsia="zh-CN"/>
        </w:rPr>
        <w:t>服务业</w:t>
      </w:r>
      <w:r>
        <w:rPr>
          <w:rFonts w:hint="default" w:ascii="Times New Roman" w:hAnsi="Times New Roman" w:eastAsia="仿宋_GB2312" w:cs="Times New Roman"/>
          <w:sz w:val="32"/>
          <w:szCs w:val="32"/>
        </w:rPr>
        <w:t>等新业态蓬勃发展，实现网络线上零售额</w:t>
      </w:r>
      <w:r>
        <w:rPr>
          <w:rFonts w:hint="default" w:ascii="Times New Roman" w:hAnsi="Times New Roman" w:eastAsia="仿宋_GB2312" w:cs="Times New Roman"/>
          <w:sz w:val="32"/>
          <w:szCs w:val="32"/>
          <w:lang w:val="en-US" w:eastAsia="zh-CN"/>
        </w:rPr>
        <w:t>15.13</w:t>
      </w:r>
      <w:r>
        <w:rPr>
          <w:rFonts w:hint="default" w:ascii="Times New Roman" w:hAnsi="Times New Roman" w:eastAsia="仿宋_GB2312" w:cs="Times New Roman"/>
          <w:sz w:val="32"/>
          <w:szCs w:val="32"/>
        </w:rPr>
        <w:t>亿元。</w:t>
      </w:r>
    </w:p>
    <w:p w14:paraId="15A108F4">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3.发展环境更加优化。到2025年，全面形成党建统领的整体数字治理体系，建成蓬溪县新型智慧城市体系，在数字技术赋能数字政府、民生服务、城市治理、</w:t>
      </w:r>
      <w:r>
        <w:rPr>
          <w:rFonts w:hint="default" w:ascii="Times New Roman" w:hAnsi="Times New Roman" w:eastAsia="仿宋_GB2312" w:cs="Times New Roman"/>
          <w:sz w:val="32"/>
          <w:szCs w:val="32"/>
          <w:lang w:eastAsia="zh-CN"/>
        </w:rPr>
        <w:t>数字</w:t>
      </w:r>
      <w:r>
        <w:rPr>
          <w:rFonts w:hint="default" w:ascii="Times New Roman" w:hAnsi="Times New Roman" w:eastAsia="仿宋_GB2312" w:cs="Times New Roman"/>
          <w:sz w:val="32"/>
          <w:szCs w:val="32"/>
        </w:rPr>
        <w:t>经济、生态宜居等领域发展形成一批具有典型意义的应用成果。</w:t>
      </w:r>
    </w:p>
    <w:p w14:paraId="5007C195">
      <w:pPr>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4.支撑体系更加坚实。到2025年，以5G网络设施、算力设施、数字融合设施为核心的数字基础设施和以数据资源为核心的产业要素建设扎实推进，高速、泛在、融合、智敏的高水平发展格局全面形成，建成5G基站</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个、建成县</w:t>
      </w:r>
      <w:r>
        <w:rPr>
          <w:rFonts w:hint="eastAsia"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数据</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w:t>
      </w:r>
    </w:p>
    <w:p w14:paraId="02E260C6">
      <w:pPr>
        <w:pStyle w:val="2"/>
        <w:spacing w:line="560" w:lineRule="exact"/>
        <w:rPr>
          <w:rFonts w:hint="default" w:ascii="Times New Roman" w:hAnsi="Times New Roman" w:cs="Times New Roma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080"/>
        <w:gridCol w:w="1470"/>
        <w:gridCol w:w="2014"/>
      </w:tblGrid>
      <w:tr w14:paraId="246B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4"/>
            <w:vAlign w:val="top"/>
          </w:tcPr>
          <w:p w14:paraId="2068B9D6">
            <w:pPr>
              <w:pStyle w:val="2"/>
              <w:keepNext w:val="0"/>
              <w:keepLines w:val="0"/>
              <w:suppressLineNumbers w:val="0"/>
              <w:spacing w:beforeAutospacing="0" w:line="560" w:lineRule="exact"/>
              <w:ind w:firstLine="1680" w:firstLineChars="8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表1 蓬溪县“十四五”数字经济发展主要指标</w:t>
            </w:r>
          </w:p>
        </w:tc>
      </w:tr>
      <w:tr w14:paraId="7FA8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Align w:val="center"/>
          </w:tcPr>
          <w:p w14:paraId="7778C0AB">
            <w:pPr>
              <w:pStyle w:val="2"/>
              <w:keepNext w:val="0"/>
              <w:keepLines w:val="0"/>
              <w:suppressLineNumbers w:val="0"/>
              <w:spacing w:beforeAutospacing="0" w:line="560" w:lineRule="exact"/>
              <w:ind w:left="0" w:left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类别</w:t>
            </w:r>
          </w:p>
        </w:tc>
        <w:tc>
          <w:tcPr>
            <w:tcW w:w="4080" w:type="dxa"/>
            <w:vAlign w:val="center"/>
          </w:tcPr>
          <w:p w14:paraId="60B5FF30">
            <w:pPr>
              <w:pStyle w:val="2"/>
              <w:keepNext w:val="0"/>
              <w:keepLines w:val="0"/>
              <w:suppressLineNumbers w:val="0"/>
              <w:spacing w:beforeAutospacing="0" w:line="560" w:lineRule="exact"/>
              <w:ind w:firstLine="1260" w:firstLineChars="6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指标</w:t>
            </w:r>
          </w:p>
        </w:tc>
        <w:tc>
          <w:tcPr>
            <w:tcW w:w="1470" w:type="dxa"/>
            <w:vAlign w:val="center"/>
          </w:tcPr>
          <w:p w14:paraId="018985D9">
            <w:pPr>
              <w:pStyle w:val="2"/>
              <w:keepNext w:val="0"/>
              <w:keepLines w:val="0"/>
              <w:suppressLineNumbers w:val="0"/>
              <w:spacing w:beforeAutospacing="0" w:line="560" w:lineRule="exact"/>
              <w:ind w:left="0" w:leftChars="0" w:firstLine="210" w:firstLineChars="1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2025年</w:t>
            </w:r>
          </w:p>
        </w:tc>
        <w:tc>
          <w:tcPr>
            <w:tcW w:w="2014" w:type="dxa"/>
            <w:vAlign w:val="center"/>
          </w:tcPr>
          <w:p w14:paraId="6BBB22EE">
            <w:pPr>
              <w:pStyle w:val="2"/>
              <w:keepNext w:val="0"/>
              <w:keepLines w:val="0"/>
              <w:suppressLineNumbers w:val="0"/>
              <w:spacing w:beforeAutospacing="0" w:line="560" w:lineRule="exact"/>
              <w:ind w:left="0" w:leftChars="0" w:firstLine="630" w:firstLineChars="3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属性</w:t>
            </w:r>
          </w:p>
        </w:tc>
      </w:tr>
      <w:tr w14:paraId="68BA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14:paraId="3835E520">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数字产业化</w:t>
            </w:r>
          </w:p>
        </w:tc>
        <w:tc>
          <w:tcPr>
            <w:tcW w:w="4080" w:type="dxa"/>
            <w:vAlign w:val="top"/>
          </w:tcPr>
          <w:p w14:paraId="1B09F4A7">
            <w:pPr>
              <w:pStyle w:val="2"/>
              <w:keepNext w:val="0"/>
              <w:keepLines w:val="0"/>
              <w:suppressLineNumbers w:val="0"/>
              <w:spacing w:beforeAutospacing="0" w:line="560" w:lineRule="exact"/>
              <w:ind w:left="0" w:leftChars="0" w:firstLine="0" w:firstLine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规上</w:t>
            </w:r>
            <w:r>
              <w:rPr>
                <w:rFonts w:hint="default" w:ascii="Times New Roman" w:hAnsi="Times New Roman" w:eastAsia="微软雅黑" w:cs="Times New Roman"/>
                <w:color w:val="333333"/>
                <w:kern w:val="0"/>
                <w:sz w:val="21"/>
                <w:szCs w:val="21"/>
              </w:rPr>
              <w:t>数字经济核心产业营业收入（亿元）</w:t>
            </w:r>
          </w:p>
        </w:tc>
        <w:tc>
          <w:tcPr>
            <w:tcW w:w="1470" w:type="dxa"/>
            <w:vAlign w:val="top"/>
          </w:tcPr>
          <w:p w14:paraId="02DAACCB">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vertAlign w:val="baseline"/>
                <w:lang w:val="en-US" w:eastAsia="zh-CN"/>
              </w:rPr>
              <w:t>40</w:t>
            </w:r>
          </w:p>
        </w:tc>
        <w:tc>
          <w:tcPr>
            <w:tcW w:w="2014" w:type="dxa"/>
            <w:vAlign w:val="center"/>
          </w:tcPr>
          <w:p w14:paraId="649B95ED">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eastAsia="zh-CN"/>
              </w:rPr>
              <w:t>预期性</w:t>
            </w:r>
          </w:p>
        </w:tc>
      </w:tr>
      <w:tr w14:paraId="51B6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65AFADEA">
            <w:pPr>
              <w:pStyle w:val="2"/>
              <w:keepNext w:val="0"/>
              <w:keepLines w:val="0"/>
              <w:suppressLineNumbers w:val="0"/>
              <w:spacing w:beforeAutospacing="0" w:line="560" w:lineRule="exact"/>
              <w:jc w:val="both"/>
              <w:rPr>
                <w:rFonts w:hint="default" w:ascii="Times New Roman" w:hAnsi="Times New Roman" w:eastAsia="仿宋_GB2312" w:cs="Times New Roman"/>
                <w:kern w:val="0"/>
                <w:sz w:val="21"/>
                <w:szCs w:val="21"/>
                <w:vertAlign w:val="baseline"/>
              </w:rPr>
            </w:pPr>
          </w:p>
        </w:tc>
        <w:tc>
          <w:tcPr>
            <w:tcW w:w="4080" w:type="dxa"/>
            <w:vAlign w:val="top"/>
          </w:tcPr>
          <w:p w14:paraId="463E5D61">
            <w:pPr>
              <w:pStyle w:val="2"/>
              <w:keepNext w:val="0"/>
              <w:keepLines w:val="0"/>
              <w:suppressLineNumbers w:val="0"/>
              <w:spacing w:beforeAutospacing="0" w:line="560" w:lineRule="exact"/>
              <w:ind w:left="0" w:leftChars="0" w:firstLine="0" w:firstLine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规上</w:t>
            </w:r>
            <w:r>
              <w:rPr>
                <w:rFonts w:hint="default" w:ascii="Times New Roman" w:hAnsi="Times New Roman" w:eastAsia="微软雅黑" w:cs="Times New Roman"/>
                <w:color w:val="333333"/>
                <w:kern w:val="0"/>
                <w:sz w:val="21"/>
                <w:szCs w:val="21"/>
              </w:rPr>
              <w:t>数字经济核心产业企业数量（家）</w:t>
            </w:r>
          </w:p>
        </w:tc>
        <w:tc>
          <w:tcPr>
            <w:tcW w:w="1470" w:type="dxa"/>
            <w:vAlign w:val="top"/>
          </w:tcPr>
          <w:p w14:paraId="7404586F">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vertAlign w:val="baseline"/>
                <w:lang w:val="en-US" w:eastAsia="zh-CN"/>
              </w:rPr>
              <w:t>30</w:t>
            </w:r>
          </w:p>
        </w:tc>
        <w:tc>
          <w:tcPr>
            <w:tcW w:w="2014" w:type="dxa"/>
            <w:vAlign w:val="center"/>
          </w:tcPr>
          <w:p w14:paraId="649ACA3D">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7AE0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38B4022B">
            <w:pPr>
              <w:pStyle w:val="2"/>
              <w:keepNext w:val="0"/>
              <w:keepLines w:val="0"/>
              <w:suppressLineNumbers w:val="0"/>
              <w:spacing w:beforeAutospacing="0" w:line="560" w:lineRule="exact"/>
              <w:jc w:val="both"/>
              <w:rPr>
                <w:rFonts w:hint="default" w:ascii="Times New Roman" w:hAnsi="Times New Roman" w:eastAsia="仿宋_GB2312" w:cs="Times New Roman"/>
                <w:kern w:val="0"/>
                <w:sz w:val="21"/>
                <w:szCs w:val="21"/>
                <w:vertAlign w:val="baseline"/>
              </w:rPr>
            </w:pPr>
          </w:p>
        </w:tc>
        <w:tc>
          <w:tcPr>
            <w:tcW w:w="4080" w:type="dxa"/>
            <w:vAlign w:val="top"/>
          </w:tcPr>
          <w:p w14:paraId="73380F1C">
            <w:pPr>
              <w:pStyle w:val="2"/>
              <w:keepNext w:val="0"/>
              <w:keepLines w:val="0"/>
              <w:suppressLineNumbers w:val="0"/>
              <w:spacing w:beforeAutospacing="0" w:line="560" w:lineRule="exact"/>
              <w:ind w:left="0" w:leftChars="0" w:firstLine="0" w:firstLine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数字经济核心产业增加值占GDP比重（%）</w:t>
            </w:r>
          </w:p>
        </w:tc>
        <w:tc>
          <w:tcPr>
            <w:tcW w:w="1470" w:type="dxa"/>
            <w:vAlign w:val="center"/>
          </w:tcPr>
          <w:p w14:paraId="6266365C">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eastAsia="zh-CN"/>
              </w:rPr>
              <w:t>达到全省</w:t>
            </w:r>
            <w:r>
              <w:rPr>
                <w:rFonts w:hint="default" w:ascii="Times New Roman" w:hAnsi="Times New Roman" w:eastAsia="微软雅黑" w:cs="Times New Roman"/>
                <w:color w:val="333333"/>
                <w:kern w:val="0"/>
                <w:sz w:val="23"/>
                <w:szCs w:val="23"/>
                <w:lang w:eastAsia="zh-CN"/>
              </w:rPr>
              <w:br w:type="textWrapping"/>
            </w:r>
            <w:r>
              <w:rPr>
                <w:rFonts w:hint="default" w:ascii="Times New Roman" w:hAnsi="Times New Roman" w:eastAsia="微软雅黑" w:cs="Times New Roman"/>
                <w:color w:val="333333"/>
                <w:kern w:val="0"/>
                <w:sz w:val="23"/>
                <w:szCs w:val="23"/>
                <w:lang w:eastAsia="zh-CN"/>
              </w:rPr>
              <w:t>平均水平</w:t>
            </w:r>
          </w:p>
        </w:tc>
        <w:tc>
          <w:tcPr>
            <w:tcW w:w="2014" w:type="dxa"/>
            <w:vAlign w:val="center"/>
          </w:tcPr>
          <w:p w14:paraId="75A38C76">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eastAsia="zh-CN"/>
              </w:rPr>
              <w:t>预期性</w:t>
            </w:r>
          </w:p>
        </w:tc>
      </w:tr>
      <w:tr w14:paraId="186F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14:paraId="245CA56B">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产业数字化</w:t>
            </w:r>
          </w:p>
        </w:tc>
        <w:tc>
          <w:tcPr>
            <w:tcW w:w="4080" w:type="dxa"/>
            <w:vAlign w:val="top"/>
          </w:tcPr>
          <w:p w14:paraId="31FF5E2B">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两化融合发展指数</w:t>
            </w:r>
          </w:p>
        </w:tc>
        <w:tc>
          <w:tcPr>
            <w:tcW w:w="1470" w:type="dxa"/>
            <w:vAlign w:val="top"/>
          </w:tcPr>
          <w:p w14:paraId="777F5E13">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vertAlign w:val="baseline"/>
                <w:lang w:val="en-US" w:eastAsia="zh-CN"/>
              </w:rPr>
              <w:t>85</w:t>
            </w:r>
          </w:p>
        </w:tc>
        <w:tc>
          <w:tcPr>
            <w:tcW w:w="2014" w:type="dxa"/>
            <w:vAlign w:val="center"/>
          </w:tcPr>
          <w:p w14:paraId="06222DA1">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4133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1A5649A2">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14:paraId="341284EB">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上云上平台企业数（家）</w:t>
            </w:r>
          </w:p>
        </w:tc>
        <w:tc>
          <w:tcPr>
            <w:tcW w:w="1470" w:type="dxa"/>
            <w:vAlign w:val="center"/>
          </w:tcPr>
          <w:p w14:paraId="6B2A802B">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3"/>
                <w:szCs w:val="23"/>
                <w:lang w:val="en-US" w:eastAsia="zh-CN"/>
              </w:rPr>
              <w:t>50</w:t>
            </w:r>
          </w:p>
        </w:tc>
        <w:tc>
          <w:tcPr>
            <w:tcW w:w="2014" w:type="dxa"/>
            <w:vAlign w:val="center"/>
          </w:tcPr>
          <w:p w14:paraId="1F7892A6">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09DC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384C3156">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14:paraId="51F0312A">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智能工厂（数字化车间）数量（家）</w:t>
            </w:r>
          </w:p>
        </w:tc>
        <w:tc>
          <w:tcPr>
            <w:tcW w:w="1470" w:type="dxa"/>
            <w:vAlign w:val="center"/>
          </w:tcPr>
          <w:p w14:paraId="6676D3C9">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2</w:t>
            </w:r>
          </w:p>
        </w:tc>
        <w:tc>
          <w:tcPr>
            <w:tcW w:w="2014" w:type="dxa"/>
            <w:vAlign w:val="center"/>
          </w:tcPr>
          <w:p w14:paraId="3401ED5E">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137D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109B77F3">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14:paraId="1CC9BA1F">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网络零售额（亿元）</w:t>
            </w:r>
          </w:p>
        </w:tc>
        <w:tc>
          <w:tcPr>
            <w:tcW w:w="1470" w:type="dxa"/>
            <w:vAlign w:val="center"/>
          </w:tcPr>
          <w:p w14:paraId="0DEE9EA9">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15.13</w:t>
            </w:r>
          </w:p>
        </w:tc>
        <w:tc>
          <w:tcPr>
            <w:tcW w:w="2014" w:type="dxa"/>
            <w:vAlign w:val="center"/>
          </w:tcPr>
          <w:p w14:paraId="68C0A73C">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7493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14:paraId="056FE86A">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治理数字化</w:t>
            </w:r>
          </w:p>
        </w:tc>
        <w:tc>
          <w:tcPr>
            <w:tcW w:w="4080" w:type="dxa"/>
            <w:vAlign w:val="top"/>
          </w:tcPr>
          <w:p w14:paraId="1CCD3A33">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政务数据汇聚量（亿条）</w:t>
            </w:r>
          </w:p>
        </w:tc>
        <w:tc>
          <w:tcPr>
            <w:tcW w:w="1470" w:type="dxa"/>
            <w:vAlign w:val="center"/>
          </w:tcPr>
          <w:p w14:paraId="1A15271E">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5</w:t>
            </w:r>
          </w:p>
        </w:tc>
        <w:tc>
          <w:tcPr>
            <w:tcW w:w="2014" w:type="dxa"/>
            <w:vAlign w:val="center"/>
          </w:tcPr>
          <w:p w14:paraId="31A68D87">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2B03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629C96D3">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14:paraId="163FD618">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依申请政务服务“一网通办”率（%）</w:t>
            </w:r>
          </w:p>
        </w:tc>
        <w:tc>
          <w:tcPr>
            <w:tcW w:w="1470" w:type="dxa"/>
            <w:vAlign w:val="center"/>
          </w:tcPr>
          <w:p w14:paraId="6768FB99">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达到全省</w:t>
            </w:r>
            <w:r>
              <w:rPr>
                <w:rFonts w:hint="default" w:ascii="Times New Roman" w:hAnsi="Times New Roman" w:eastAsia="微软雅黑" w:cs="Times New Roman"/>
                <w:color w:val="333333"/>
                <w:kern w:val="0"/>
                <w:sz w:val="23"/>
                <w:szCs w:val="23"/>
                <w:lang w:eastAsia="zh-CN"/>
              </w:rPr>
              <w:br w:type="textWrapping"/>
            </w:r>
            <w:r>
              <w:rPr>
                <w:rFonts w:hint="default" w:ascii="Times New Roman" w:hAnsi="Times New Roman" w:eastAsia="微软雅黑" w:cs="Times New Roman"/>
                <w:color w:val="333333"/>
                <w:kern w:val="0"/>
                <w:sz w:val="23"/>
                <w:szCs w:val="23"/>
                <w:lang w:eastAsia="zh-CN"/>
              </w:rPr>
              <w:t>平均水平</w:t>
            </w:r>
          </w:p>
        </w:tc>
        <w:tc>
          <w:tcPr>
            <w:tcW w:w="2014" w:type="dxa"/>
            <w:vAlign w:val="center"/>
          </w:tcPr>
          <w:p w14:paraId="0AADCA54">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14BB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top"/>
          </w:tcPr>
          <w:p w14:paraId="7BC81803">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lang w:eastAsia="zh-CN"/>
              </w:rPr>
            </w:pPr>
          </w:p>
          <w:p w14:paraId="07DA54D3">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数字基础设施</w:t>
            </w:r>
          </w:p>
        </w:tc>
        <w:tc>
          <w:tcPr>
            <w:tcW w:w="4080" w:type="dxa"/>
            <w:vAlign w:val="top"/>
          </w:tcPr>
          <w:p w14:paraId="700F2C08">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数据中心机柜数量（个）</w:t>
            </w:r>
          </w:p>
        </w:tc>
        <w:tc>
          <w:tcPr>
            <w:tcW w:w="1470" w:type="dxa"/>
            <w:vAlign w:val="center"/>
          </w:tcPr>
          <w:p w14:paraId="5A83A1FA">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30</w:t>
            </w:r>
          </w:p>
        </w:tc>
        <w:tc>
          <w:tcPr>
            <w:tcW w:w="2014" w:type="dxa"/>
            <w:vAlign w:val="center"/>
          </w:tcPr>
          <w:p w14:paraId="247C8B5B">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1D52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3AD3068B">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14:paraId="4628348F">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互联网实际出口带宽（</w:t>
            </w:r>
            <w:r>
              <w:rPr>
                <w:rFonts w:hint="default" w:ascii="Times New Roman" w:hAnsi="Times New Roman" w:eastAsia="微软雅黑" w:cs="Times New Roman"/>
                <w:color w:val="333333"/>
                <w:kern w:val="0"/>
                <w:sz w:val="21"/>
                <w:szCs w:val="21"/>
                <w:lang w:val="en-US" w:eastAsia="zh-CN"/>
              </w:rPr>
              <w:t>Tbps</w:t>
            </w:r>
            <w:r>
              <w:rPr>
                <w:rFonts w:hint="default" w:ascii="Times New Roman" w:hAnsi="Times New Roman" w:eastAsia="微软雅黑" w:cs="Times New Roman"/>
                <w:color w:val="333333"/>
                <w:kern w:val="0"/>
                <w:sz w:val="21"/>
                <w:szCs w:val="21"/>
                <w:lang w:eastAsia="zh-CN"/>
              </w:rPr>
              <w:t>）</w:t>
            </w:r>
          </w:p>
        </w:tc>
        <w:tc>
          <w:tcPr>
            <w:tcW w:w="1470" w:type="dxa"/>
            <w:vAlign w:val="center"/>
          </w:tcPr>
          <w:p w14:paraId="4BAB3ADC">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0.38</w:t>
            </w:r>
          </w:p>
        </w:tc>
        <w:tc>
          <w:tcPr>
            <w:tcW w:w="2014" w:type="dxa"/>
            <w:vAlign w:val="center"/>
          </w:tcPr>
          <w:p w14:paraId="65038DB4">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14:paraId="7911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14:paraId="1E75C715">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14:paraId="541BB116">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5G基站数量（个）</w:t>
            </w:r>
          </w:p>
        </w:tc>
        <w:tc>
          <w:tcPr>
            <w:tcW w:w="1470" w:type="dxa"/>
            <w:vAlign w:val="center"/>
          </w:tcPr>
          <w:p w14:paraId="77F93976">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1000</w:t>
            </w:r>
          </w:p>
        </w:tc>
        <w:tc>
          <w:tcPr>
            <w:tcW w:w="2014" w:type="dxa"/>
            <w:vAlign w:val="center"/>
          </w:tcPr>
          <w:p w14:paraId="0624F2B3">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bl>
    <w:p w14:paraId="54C6EE11">
      <w:pPr>
        <w:pStyle w:val="2"/>
        <w:spacing w:line="560" w:lineRule="exact"/>
        <w:ind w:left="0" w:leftChars="0" w:firstLine="0" w:firstLineChars="0"/>
        <w:rPr>
          <w:rFonts w:hint="default" w:ascii="Times New Roman" w:hAnsi="Times New Roman" w:eastAsia="仿宋_GB2312" w:cs="Times New Roman"/>
          <w:sz w:val="32"/>
          <w:szCs w:val="32"/>
        </w:rPr>
      </w:pPr>
    </w:p>
    <w:p w14:paraId="4AFBB8CD">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both"/>
        <w:textAlignment w:val="auto"/>
        <w:outlineLvl w:val="0"/>
        <w:rPr>
          <w:rFonts w:hint="default" w:ascii="Times New Roman" w:hAnsi="Times New Roman" w:eastAsia="华文中宋" w:cs="Times New Roman"/>
          <w:sz w:val="44"/>
          <w:szCs w:val="44"/>
        </w:rPr>
        <w:sectPr>
          <w:pgSz w:w="11906" w:h="16838"/>
          <w:pgMar w:top="2154" w:right="1474" w:bottom="2041" w:left="1587" w:header="851" w:footer="992" w:gutter="0"/>
          <w:pgNumType w:fmt="decimal"/>
          <w:cols w:space="425" w:num="1"/>
          <w:docGrid w:type="lines" w:linePitch="312" w:charSpace="0"/>
        </w:sectPr>
      </w:pPr>
      <w:bookmarkStart w:id="4" w:name="_Toc12499"/>
    </w:p>
    <w:p w14:paraId="632D95AD">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布局数字经济发展新格局</w:t>
      </w:r>
      <w:bookmarkEnd w:id="4"/>
    </w:p>
    <w:p w14:paraId="3708857E">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default" w:ascii="Times New Roman" w:hAnsi="Times New Roman" w:eastAsia="楷体_GB2312" w:cs="Times New Roman"/>
          <w:b/>
          <w:bCs/>
          <w:sz w:val="32"/>
          <w:szCs w:val="32"/>
        </w:rPr>
      </w:pPr>
    </w:p>
    <w:p w14:paraId="00A3D486">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5" w:name="_Toc31449"/>
      <w:r>
        <w:rPr>
          <w:rFonts w:hint="eastAsia" w:ascii="黑体" w:hAnsi="黑体" w:eastAsia="黑体" w:cs="黑体"/>
          <w:b w:val="0"/>
          <w:bCs w:val="0"/>
          <w:sz w:val="32"/>
          <w:szCs w:val="32"/>
        </w:rPr>
        <w:t>第一节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空间规划体系</w:t>
      </w:r>
      <w:bookmarkEnd w:id="5"/>
    </w:p>
    <w:p w14:paraId="42A066E0">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根据省、市数字经济统一规划，我县以发展</w:t>
      </w:r>
      <w:r>
        <w:rPr>
          <w:rFonts w:hint="default" w:ascii="Times New Roman" w:hAnsi="Times New Roman" w:eastAsia="仿宋_GB2312" w:cs="Times New Roman"/>
          <w:b w:val="0"/>
          <w:bCs/>
          <w:spacing w:val="4"/>
          <w:sz w:val="32"/>
          <w:szCs w:val="32"/>
          <w:lang w:eastAsia="zh-CN"/>
        </w:rPr>
        <w:t>智能家居、绿色食品饮料、先进材料、线缆线束</w:t>
      </w:r>
      <w:r>
        <w:rPr>
          <w:rFonts w:hint="default" w:ascii="Times New Roman" w:hAnsi="Times New Roman" w:eastAsia="仿宋_GB2312" w:cs="Times New Roman"/>
          <w:sz w:val="32"/>
          <w:szCs w:val="32"/>
          <w:lang w:val="en-US" w:eastAsia="zh-CN"/>
        </w:rPr>
        <w:t>为主导，推动特色产业调结构、快转型、提质量，打造成渝地区具有重要影响力的绿色智造先进县。推动智慧城市建设，全面提升城市智慧化水平，推动指挥交通、智慧教育、智慧医疗、智慧旅游、智慧社区、智慧家居等领域数字创新应用，提升蓬溪县经济社会管理和治理水平。建设数字蓬溪，升级全县光网和提高5G网络覆盖度，夯实数据经济基础</w:t>
      </w:r>
      <w:r>
        <w:rPr>
          <w:rFonts w:hint="default" w:ascii="Times New Roman" w:hAnsi="Times New Roman" w:eastAsia="仿宋_GB2312" w:cs="Times New Roman"/>
          <w:sz w:val="32"/>
          <w:szCs w:val="32"/>
        </w:rPr>
        <w:t>，促进数字资源的有效流动，构建协同共进的数字经济发展空间布局，通过典型</w:t>
      </w:r>
      <w:r>
        <w:rPr>
          <w:rFonts w:hint="default" w:ascii="Times New Roman" w:hAnsi="Times New Roman" w:eastAsia="仿宋_GB2312" w:cs="Times New Roman"/>
          <w:sz w:val="32"/>
          <w:szCs w:val="32"/>
          <w:lang w:val="en-US" w:eastAsia="zh-CN"/>
        </w:rPr>
        <w:t>应用</w:t>
      </w:r>
      <w:r>
        <w:rPr>
          <w:rFonts w:hint="default" w:ascii="Times New Roman" w:hAnsi="Times New Roman" w:eastAsia="仿宋_GB2312" w:cs="Times New Roman"/>
          <w:sz w:val="32"/>
          <w:szCs w:val="32"/>
        </w:rPr>
        <w:t>带动，加快推动全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数字经济资源、技术和人才等核心资源的集聚。</w:t>
      </w:r>
    </w:p>
    <w:p w14:paraId="47AED7DB">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（一）构建“</w:t>
      </w:r>
      <w:r>
        <w:rPr>
          <w:rFonts w:hint="default" w:ascii="Times New Roman" w:hAnsi="Times New Roman" w:eastAsia="楷体" w:cs="Times New Roman"/>
          <w:sz w:val="32"/>
          <w:szCs w:val="32"/>
        </w:rPr>
        <w:t>一核一极两带三中心多点</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新格局</w:t>
      </w:r>
    </w:p>
    <w:p w14:paraId="42D3FC31">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default" w:ascii="Times New Roman" w:hAnsi="Times New Roman" w:eastAsia="仿宋_GB2312" w:cs="Times New Roman"/>
          <w:sz w:val="32"/>
          <w:szCs w:val="32"/>
          <w:lang w:val="en-US" w:eastAsia="en-US" w:bidi="ar-SA"/>
        </w:rPr>
      </w:pPr>
      <w:r>
        <w:rPr>
          <w:rFonts w:hint="default" w:ascii="Times New Roman" w:hAnsi="Times New Roman" w:eastAsia="仿宋_GB2312" w:cs="Times New Roman"/>
          <w:sz w:val="32"/>
          <w:szCs w:val="32"/>
          <w:lang w:val="en-US" w:eastAsia="en-US" w:bidi="ar-SA"/>
        </w:rPr>
        <w:t>围绕</w:t>
      </w:r>
      <w:r>
        <w:rPr>
          <w:rFonts w:hint="default" w:ascii="Times New Roman" w:hAnsi="Times New Roman" w:eastAsia="仿宋_GB2312" w:cs="Times New Roman"/>
          <w:sz w:val="32"/>
          <w:szCs w:val="32"/>
          <w:lang w:val="en-US" w:eastAsia="zh-CN" w:bidi="ar-SA"/>
        </w:rPr>
        <w:t>省、市</w:t>
      </w:r>
      <w:r>
        <w:rPr>
          <w:rFonts w:hint="default" w:ascii="Times New Roman" w:hAnsi="Times New Roman" w:eastAsia="仿宋_GB2312" w:cs="Times New Roman"/>
          <w:sz w:val="32"/>
          <w:szCs w:val="32"/>
          <w:lang w:val="en-US" w:eastAsia="en-US" w:bidi="ar-SA"/>
        </w:rPr>
        <w:t>数字经济发展重点，</w:t>
      </w:r>
      <w:r>
        <w:rPr>
          <w:rFonts w:hint="default" w:ascii="Times New Roman" w:hAnsi="Times New Roman" w:eastAsia="仿宋_GB2312" w:cs="Times New Roman"/>
          <w:sz w:val="32"/>
          <w:szCs w:val="32"/>
          <w:lang w:val="en-US" w:eastAsia="zh-CN" w:bidi="ar-SA"/>
        </w:rPr>
        <w:t>根据全市数字经济</w:t>
      </w:r>
      <w:r>
        <w:rPr>
          <w:rFonts w:hint="default" w:ascii="Times New Roman" w:hAnsi="Times New Roman" w:eastAsia="仿宋_GB2312" w:cs="Times New Roman"/>
          <w:sz w:val="32"/>
          <w:szCs w:val="32"/>
          <w:lang w:val="en-US" w:eastAsia="en-US" w:bidi="ar-SA"/>
        </w:rPr>
        <w:t>统筹空间布局、功能定位和产业发展。积极落实主体功能区战略，将县城作为发展建设核心区，引导人口和产业集聚发展；将经开区金桥片区打造为县域经济新的增长极；打造农环线蓬溪产业带和县城至高峰山产业发展带；将蓬南镇、天福镇、文井镇作为引领带动周边乡镇发展的三大区域中心镇，着力建设大石、任隆、常乐等重点特色小镇，构建“一核一极两带三中心多点”发展新格局，全力优化县域空间布局。</w:t>
      </w:r>
    </w:p>
    <w:p w14:paraId="1FA280E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en-US" w:bidi="ar-SA"/>
        </w:rPr>
      </w:pPr>
      <w:r>
        <w:rPr>
          <w:rFonts w:hint="default" w:ascii="Times New Roman" w:hAnsi="Times New Roman" w:eastAsia="仿宋_GB2312" w:cs="Times New Roman"/>
          <w:sz w:val="32"/>
          <w:szCs w:val="32"/>
          <w:lang w:val="en-US" w:eastAsia="en-US" w:bidi="ar-SA"/>
        </w:rPr>
        <w:t>加快建设县域经济发展极核区，按照“东进、西拓、南联、北特、中优”的思路，不断提升城市品质和人居环境，增强县城辐射引领作用，形成全县高质量发展“主引擎”。依托蓬溪经开区金桥片区紧邻遂宁主城区的区位优势，深度参与遂潼一体化建设，聚力借“市”发展，进一步明确金桥片区在遂潼一体化中的定位和作用，主动承接成渝两地产业转移和遂宁主城区产业外溢。</w:t>
      </w:r>
    </w:p>
    <w:p w14:paraId="4E4C4E89">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en-US" w:bidi="ar-SA"/>
        </w:rPr>
      </w:pPr>
      <w:r>
        <w:rPr>
          <w:rFonts w:hint="eastAsia"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lang w:eastAsia="en-US"/>
        </w:rPr>
        <w:t>做强特色农业及农旅融合发展带。</w:t>
      </w:r>
      <w:r>
        <w:rPr>
          <w:rFonts w:hint="default" w:ascii="Times New Roman" w:hAnsi="Times New Roman" w:eastAsia="仿宋_GB2312" w:cs="Times New Roman"/>
          <w:sz w:val="32"/>
          <w:szCs w:val="32"/>
          <w:lang w:val="en-US" w:eastAsia="en-US" w:bidi="ar-SA"/>
        </w:rPr>
        <w:t>依托全市一体化农业大环线蓬溪段，按照“六位一体”的要求有效串联起天福红江、大石宝梵、任隆高升等现代农业园区，加快优质菌菜、有机粮油、精品水果等特色产业发展，统筹规划建设一体化大环线乡村旅游精品线路，做强特色农业及农旅融合发展带。</w:t>
      </w:r>
    </w:p>
    <w:p w14:paraId="0768B1D3">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en-US" w:bidi="ar-SA"/>
        </w:rPr>
      </w:pPr>
      <w:r>
        <w:rPr>
          <w:rFonts w:hint="eastAsia"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lang w:eastAsia="en-US"/>
        </w:rPr>
        <w:t>扶持建设特色乡镇产业。</w:t>
      </w:r>
      <w:r>
        <w:rPr>
          <w:rFonts w:hint="default" w:ascii="Times New Roman" w:hAnsi="Times New Roman" w:eastAsia="仿宋_GB2312" w:cs="Times New Roman"/>
          <w:sz w:val="32"/>
          <w:szCs w:val="32"/>
          <w:lang w:val="en-US" w:eastAsia="en-US" w:bidi="ar-SA"/>
        </w:rPr>
        <w:t>推动蓬南镇完善商贸物流基础设施，重点发展商贸流通，打造为衔接五区县的区域性小城市和全省首批具有“商贸流通”特色中心镇，建设国家级重点小城镇。推动天福镇以菌菜农业园区为核心，重点发展现代农业，打造全国知名的菌香小镇、农业产业强镇，辐射带动红江镇发展。</w:t>
      </w:r>
    </w:p>
    <w:p w14:paraId="27BF9880">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en-US" w:bidi="ar-SA"/>
        </w:rPr>
      </w:pPr>
      <w:r>
        <w:rPr>
          <w:rFonts w:hint="eastAsia"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val="en-US" w:eastAsia="en-US" w:bidi="ar-SA"/>
        </w:rPr>
        <w:t>推动生态文化旅游强镇建设。文井镇依托高峰山旅游资源和白鹤林水美新村建设，加快生态、文化、旅游融合发展，打造生态文化旅游强镇。按照放权活镇，发挥优势，做实特色、差异化竞争、协同发展的要求，高标准打造功能配套完善、产业特色突出、地域文化彰显、生态环境优美、人口聚集力强的特色小城镇，推动县域经济多点支撑发展。</w:t>
      </w:r>
    </w:p>
    <w:p w14:paraId="50E5FD7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（二）打造“</w:t>
      </w:r>
      <w:r>
        <w:rPr>
          <w:rFonts w:hint="default" w:ascii="Times New Roman" w:hAnsi="Times New Roman" w:eastAsia="楷体_GB2312" w:cs="Times New Roman"/>
          <w:color w:val="auto"/>
          <w:sz w:val="32"/>
          <w:szCs w:val="32"/>
          <w:lang w:val="en-US" w:eastAsia="zh-CN"/>
        </w:rPr>
        <w:t>绿色智造</w:t>
      </w:r>
      <w:r>
        <w:rPr>
          <w:rFonts w:hint="default" w:ascii="Times New Roman" w:hAnsi="Times New Roman" w:eastAsia="楷体_GB2312" w:cs="Times New Roman"/>
          <w:color w:val="auto"/>
          <w:sz w:val="32"/>
          <w:szCs w:val="32"/>
        </w:rPr>
        <w:t>”产业核心</w:t>
      </w:r>
      <w:r>
        <w:rPr>
          <w:rFonts w:hint="default" w:ascii="Times New Roman" w:hAnsi="Times New Roman" w:eastAsia="楷体_GB2312" w:cs="Times New Roman"/>
          <w:color w:val="auto"/>
          <w:sz w:val="32"/>
          <w:szCs w:val="32"/>
          <w:lang w:val="en-US" w:eastAsia="zh-CN"/>
        </w:rPr>
        <w:t>链条</w:t>
      </w:r>
    </w:p>
    <w:p w14:paraId="49C05CFB">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绿色智造</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数据资源</w:t>
      </w:r>
      <w:r>
        <w:rPr>
          <w:rFonts w:hint="default" w:ascii="Times New Roman" w:hAnsi="Times New Roman" w:eastAsia="仿宋_GB2312" w:cs="Times New Roman"/>
          <w:sz w:val="32"/>
          <w:szCs w:val="32"/>
          <w:lang w:eastAsia="zh-CN"/>
        </w:rPr>
        <w:t>和技术创新等手段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充分</w:t>
      </w:r>
      <w:r>
        <w:rPr>
          <w:rFonts w:hint="default" w:ascii="Times New Roman" w:hAnsi="Times New Roman" w:eastAsia="仿宋_GB2312" w:cs="Times New Roman"/>
          <w:sz w:val="32"/>
          <w:szCs w:val="32"/>
        </w:rPr>
        <w:t>发挥产业要素集聚优势，培育壮大区域内核心</w:t>
      </w:r>
      <w:r>
        <w:rPr>
          <w:rFonts w:hint="default" w:ascii="Times New Roman" w:hAnsi="Times New Roman" w:eastAsia="仿宋_GB2312" w:cs="Times New Roman"/>
          <w:sz w:val="32"/>
          <w:szCs w:val="32"/>
          <w:lang w:val="en-US" w:eastAsia="zh-CN"/>
        </w:rPr>
        <w:t>数字</w:t>
      </w:r>
      <w:r>
        <w:rPr>
          <w:rFonts w:hint="default" w:ascii="Times New Roman" w:hAnsi="Times New Roman" w:eastAsia="仿宋_GB2312" w:cs="Times New Roman"/>
          <w:sz w:val="32"/>
          <w:szCs w:val="32"/>
        </w:rPr>
        <w:t>产业、关联产业和融合产业主体，加快数字经济企业集聚发展。</w:t>
      </w:r>
    </w:p>
    <w:p w14:paraId="56DF5A7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808080" w:themeColor="background1" w:themeShade="8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经开区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发挥经开区作为蓬溪县工业聚集地的优势，推进工业企业数字化升级改造，重点发展智能家居制造、电子信息产业、锂电新能源、线缆线束生产线数字化等产业，推动企业大数据建设，聚焦大数据基础硬件、大数据基础软件以及大数据服务，着力打造车联网、工业制造、电子商务、数字金融、智慧物流等领域的应用场景，发展核心、关联和融合产业。加快数字技术在现代金融、物流、商贸、健康等服务业的融合应用，引领全县数字化转型升级。</w:t>
      </w:r>
    </w:p>
    <w:p w14:paraId="5ABFA5FA">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现代农业示范区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依托园区良好的农业产业基础，</w:t>
      </w:r>
      <w:r>
        <w:rPr>
          <w:rFonts w:hint="default" w:ascii="Times New Roman" w:hAnsi="Times New Roman" w:eastAsia="仿宋_GB2312" w:cs="Times New Roman"/>
          <w:color w:val="auto"/>
          <w:sz w:val="32"/>
          <w:szCs w:val="32"/>
        </w:rPr>
        <w:t>加快产业与信息化深度融合，着力推进</w:t>
      </w:r>
      <w:r>
        <w:rPr>
          <w:rFonts w:hint="default" w:ascii="Times New Roman" w:hAnsi="Times New Roman" w:eastAsia="仿宋_GB2312" w:cs="Times New Roman"/>
          <w:color w:val="auto"/>
          <w:sz w:val="32"/>
          <w:szCs w:val="32"/>
          <w:lang w:val="en-US" w:eastAsia="zh-CN"/>
        </w:rPr>
        <w:t>农业智能化生产、智能化加工、智能化运输和智能化销售</w:t>
      </w:r>
      <w:r>
        <w:rPr>
          <w:rFonts w:hint="default" w:ascii="Times New Roman" w:hAnsi="Times New Roman" w:eastAsia="仿宋_GB2312" w:cs="Times New Roman"/>
          <w:color w:val="808080" w:themeColor="background1" w:themeShade="80"/>
          <w:sz w:val="32"/>
          <w:szCs w:val="32"/>
        </w:rPr>
        <w:t>，</w:t>
      </w:r>
      <w:r>
        <w:rPr>
          <w:rFonts w:hint="default" w:ascii="Times New Roman" w:hAnsi="Times New Roman" w:eastAsia="仿宋_GB2312" w:cs="Times New Roman"/>
          <w:color w:val="auto"/>
          <w:sz w:val="32"/>
          <w:szCs w:val="32"/>
        </w:rPr>
        <w:t>积极推进服务全区</w:t>
      </w:r>
      <w:r>
        <w:rPr>
          <w:rFonts w:hint="default" w:ascii="Times New Roman" w:hAnsi="Times New Roman" w:eastAsia="仿宋_GB2312" w:cs="Times New Roman"/>
          <w:color w:val="auto"/>
          <w:sz w:val="32"/>
          <w:szCs w:val="32"/>
          <w:lang w:val="en-US" w:eastAsia="zh-CN"/>
        </w:rPr>
        <w:t>农业企业</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智慧农业</w:t>
      </w:r>
      <w:r>
        <w:rPr>
          <w:rFonts w:hint="default" w:ascii="Times New Roman" w:hAnsi="Times New Roman" w:eastAsia="仿宋_GB2312" w:cs="Times New Roman"/>
          <w:color w:val="auto"/>
          <w:sz w:val="32"/>
          <w:szCs w:val="32"/>
        </w:rPr>
        <w:t>平台建设。引导企业深度“上云”、“上平台”，以</w:t>
      </w:r>
      <w:r>
        <w:rPr>
          <w:rFonts w:hint="default" w:ascii="Times New Roman" w:hAnsi="Times New Roman" w:eastAsia="仿宋_GB2312" w:cs="Times New Roman"/>
          <w:color w:val="auto"/>
          <w:sz w:val="32"/>
          <w:szCs w:val="32"/>
          <w:lang w:val="en-US" w:eastAsia="zh-CN"/>
        </w:rPr>
        <w:t>农业智能化</w:t>
      </w:r>
      <w:r>
        <w:rPr>
          <w:rFonts w:hint="default" w:ascii="Times New Roman" w:hAnsi="Times New Roman" w:eastAsia="仿宋_GB2312" w:cs="Times New Roman"/>
          <w:color w:val="auto"/>
          <w:sz w:val="32"/>
          <w:szCs w:val="32"/>
        </w:rPr>
        <w:t>为主攻方向，加快园区内</w:t>
      </w:r>
      <w:r>
        <w:rPr>
          <w:rFonts w:hint="default" w:ascii="Times New Roman" w:hAnsi="Times New Roman" w:eastAsia="仿宋_GB2312" w:cs="Times New Roman"/>
          <w:color w:val="auto"/>
          <w:sz w:val="32"/>
          <w:szCs w:val="32"/>
          <w:lang w:val="en-US" w:eastAsia="zh-CN"/>
        </w:rPr>
        <w:t>农业生产、加工、销售企业</w:t>
      </w:r>
      <w:r>
        <w:rPr>
          <w:rFonts w:hint="default" w:ascii="Times New Roman" w:hAnsi="Times New Roman" w:eastAsia="仿宋_GB2312" w:cs="Times New Roman"/>
          <w:color w:val="auto"/>
          <w:sz w:val="32"/>
          <w:szCs w:val="32"/>
        </w:rPr>
        <w:t>的数字化、网络化、智能化发展步伐，巩固</w:t>
      </w:r>
      <w:r>
        <w:rPr>
          <w:rFonts w:hint="default" w:ascii="Times New Roman" w:hAnsi="Times New Roman" w:eastAsia="仿宋_GB2312" w:cs="Times New Roman"/>
          <w:color w:val="auto"/>
          <w:sz w:val="32"/>
          <w:szCs w:val="32"/>
          <w:lang w:val="en-US" w:eastAsia="zh-CN"/>
        </w:rPr>
        <w:t>现代农业示范区在优势产业上的</w:t>
      </w:r>
      <w:r>
        <w:rPr>
          <w:rFonts w:hint="default" w:ascii="Times New Roman" w:hAnsi="Times New Roman" w:eastAsia="仿宋_GB2312" w:cs="Times New Roman"/>
          <w:color w:val="auto"/>
          <w:sz w:val="32"/>
          <w:szCs w:val="32"/>
        </w:rPr>
        <w:t>影响力。</w:t>
      </w:r>
    </w:p>
    <w:p w14:paraId="09765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各乡镇大力推进数字乡村建设，与各大通信单位广泛合作，加快乡村信息基础设施建设步伐，大幅提升乡村网络设施水平，加速乡村基础设施数字化转型。积极推进现代信息技术与农业各领域各环节深度融合应用，推动农业生产智能化、经营网格化，助力乡村振兴，产业融合发展。进一步探索构建“一网通办”数字政府政务数据治理新模式，服务乡村“智治”工作，最大限度节约公共资源，提升服务群众和企业能力。增进与当地优质企业的合作，将本地质量优、产量高的农产品打造成当地特色品牌，并大力宣传和推广。大力挖掘人才潜力，为乡镇数字经济发展增添活力和动力。引导在外成功人士返乡投资，发展家乡经济</w:t>
      </w:r>
      <w:bookmarkStart w:id="6" w:name="_Toc25378"/>
      <w:bookmarkStart w:id="7" w:name="_Toc2383"/>
      <w:r>
        <w:rPr>
          <w:rFonts w:hint="default" w:ascii="Times New Roman" w:hAnsi="Times New Roman" w:eastAsia="仿宋_GB2312" w:cs="Times New Roman"/>
          <w:sz w:val="32"/>
          <w:szCs w:val="32"/>
          <w:lang w:val="en-US" w:eastAsia="zh-CN"/>
        </w:rPr>
        <w:t>。</w:t>
      </w:r>
    </w:p>
    <w:p w14:paraId="7EB1DFD0">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第二节 区域合作体系</w:t>
      </w:r>
      <w:bookmarkEnd w:id="6"/>
      <w:bookmarkEnd w:id="7"/>
    </w:p>
    <w:p w14:paraId="26AA174C">
      <w:pPr>
        <w:keepNext w:val="0"/>
        <w:keepLines w:val="0"/>
        <w:pageBreakBefore w:val="0"/>
        <w:kinsoku/>
        <w:wordWrap/>
        <w:overflowPunct/>
        <w:topLinePunct w:val="0"/>
        <w:autoSpaceDE/>
        <w:autoSpaceDN/>
        <w:bidi w:val="0"/>
        <w:adjustRightInd/>
        <w:spacing w:line="560" w:lineRule="exact"/>
        <w:ind w:left="6718" w:leftChars="290" w:hanging="6080" w:hangingChars="19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深化与</w:t>
      </w:r>
      <w:r>
        <w:rPr>
          <w:rFonts w:hint="default" w:ascii="Times New Roman" w:hAnsi="Times New Roman" w:eastAsia="仿宋_GB2312" w:cs="Times New Roman"/>
          <w:sz w:val="32"/>
          <w:szCs w:val="32"/>
          <w:lang w:val="en-US" w:eastAsia="zh-CN"/>
        </w:rPr>
        <w:t>全市各区县</w:t>
      </w:r>
      <w:r>
        <w:rPr>
          <w:rFonts w:hint="default" w:ascii="Times New Roman" w:hAnsi="Times New Roman" w:eastAsia="仿宋_GB2312" w:cs="Times New Roman"/>
          <w:sz w:val="32"/>
          <w:szCs w:val="32"/>
        </w:rPr>
        <w:t>数字经济领域的合作与交流，以信息资源</w:t>
      </w:r>
    </w:p>
    <w:p w14:paraId="31347F7D">
      <w:pPr>
        <w:keepNext w:val="0"/>
        <w:keepLines w:val="0"/>
        <w:pageBreakBefore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和基础设施共建共享为切入点，以数据流引领技术流、物质流、资金流、人才流汇聚流通，推进跨区域一体化发展，建设智慧产业园区。</w:t>
      </w:r>
    </w:p>
    <w:p w14:paraId="54D60CE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共同打造优势产业集群。</w:t>
      </w:r>
      <w:r>
        <w:rPr>
          <w:rFonts w:hint="default" w:ascii="Times New Roman" w:hAnsi="Times New Roman" w:eastAsia="仿宋_GB2312" w:cs="Times New Roman"/>
          <w:sz w:val="32"/>
          <w:szCs w:val="32"/>
        </w:rPr>
        <w:t>坚持培育新产业与升级传统产业兼顾，推动产业集群化、规模化和特色化。依托</w:t>
      </w:r>
      <w:r>
        <w:rPr>
          <w:rFonts w:hint="default" w:ascii="Times New Roman" w:hAnsi="Times New Roman" w:eastAsia="仿宋_GB2312" w:cs="Times New Roman"/>
          <w:sz w:val="32"/>
          <w:szCs w:val="32"/>
          <w:lang w:val="en-US" w:eastAsia="zh-CN"/>
        </w:rPr>
        <w:t>遂宁市“一体两翼”数字经济发展规划</w:t>
      </w:r>
      <w:r>
        <w:rPr>
          <w:rFonts w:hint="default" w:ascii="Times New Roman" w:hAnsi="Times New Roman" w:eastAsia="仿宋_GB2312" w:cs="Times New Roman"/>
          <w:sz w:val="32"/>
          <w:szCs w:val="32"/>
        </w:rPr>
        <w:t>，建立产业链全景图、产业发展路线图、重点企业名录等，实行补链延链强链招商，促进</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主导产业建链成群，以</w:t>
      </w:r>
      <w:r>
        <w:rPr>
          <w:rFonts w:hint="default" w:ascii="Times New Roman" w:hAnsi="Times New Roman" w:eastAsia="仿宋_GB2312" w:cs="Times New Roman"/>
          <w:sz w:val="32"/>
          <w:szCs w:val="32"/>
          <w:lang w:val="en-US" w:eastAsia="zh-CN"/>
        </w:rPr>
        <w:t>蓬溪县经</w:t>
      </w:r>
      <w:r>
        <w:rPr>
          <w:rFonts w:hint="eastAsia" w:ascii="Times New Roman" w:hAnsi="Times New Roman" w:eastAsia="仿宋_GB2312" w:cs="Times New Roman"/>
          <w:sz w:val="32"/>
          <w:szCs w:val="32"/>
          <w:lang w:val="en-US" w:eastAsia="zh-CN"/>
        </w:rPr>
        <w:t>开</w:t>
      </w:r>
      <w:r>
        <w:rPr>
          <w:rFonts w:hint="default" w:ascii="Times New Roman" w:hAnsi="Times New Roman" w:eastAsia="仿宋_GB2312" w:cs="Times New Roman"/>
          <w:sz w:val="32"/>
          <w:szCs w:val="32"/>
          <w:lang w:val="en-US" w:eastAsia="zh-CN"/>
        </w:rPr>
        <w:t>区和现代农业示范区为载体</w:t>
      </w:r>
      <w:r>
        <w:rPr>
          <w:rFonts w:hint="default" w:ascii="Times New Roman" w:hAnsi="Times New Roman" w:eastAsia="仿宋_GB2312" w:cs="Times New Roman"/>
          <w:sz w:val="32"/>
          <w:szCs w:val="32"/>
        </w:rPr>
        <w:t>，合力打造在全</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具有重要影响力、协同联动的现代产业集群。打造</w:t>
      </w:r>
      <w:r>
        <w:rPr>
          <w:rFonts w:hint="default" w:ascii="Times New Roman" w:hAnsi="Times New Roman" w:eastAsia="仿宋_GB2312" w:cs="Times New Roman"/>
          <w:sz w:val="32"/>
          <w:szCs w:val="32"/>
          <w:lang w:val="en-US" w:eastAsia="zh-CN"/>
        </w:rPr>
        <w:t>智能家居</w:t>
      </w:r>
      <w:r>
        <w:rPr>
          <w:rFonts w:hint="default" w:ascii="Times New Roman" w:hAnsi="Times New Roman" w:eastAsia="仿宋_GB2312" w:cs="Times New Roman"/>
          <w:sz w:val="32"/>
          <w:szCs w:val="32"/>
        </w:rPr>
        <w:t>配套产业集群，</w:t>
      </w:r>
      <w:r>
        <w:rPr>
          <w:rFonts w:hint="default" w:ascii="Times New Roman" w:hAnsi="Times New Roman" w:eastAsia="仿宋_GB2312" w:cs="Times New Roman"/>
          <w:sz w:val="32"/>
          <w:szCs w:val="32"/>
          <w:lang w:val="en-US" w:eastAsia="zh-CN"/>
        </w:rPr>
        <w:t>现代农业产品生产加工产业集群。</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sz w:val="32"/>
          <w:szCs w:val="32"/>
          <w:lang w:val="en-US" w:eastAsia="zh-CN"/>
        </w:rPr>
        <w:t>蓬溪门业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菌菜生产等产业</w:t>
      </w:r>
      <w:r>
        <w:rPr>
          <w:rFonts w:hint="default" w:ascii="Times New Roman" w:hAnsi="Times New Roman" w:eastAsia="仿宋_GB2312" w:cs="Times New Roman"/>
          <w:sz w:val="32"/>
          <w:szCs w:val="32"/>
        </w:rPr>
        <w:t>优势，重点发展</w:t>
      </w:r>
      <w:r>
        <w:rPr>
          <w:rFonts w:hint="default" w:ascii="Times New Roman" w:hAnsi="Times New Roman" w:eastAsia="仿宋_GB2312" w:cs="Times New Roman"/>
          <w:sz w:val="32"/>
          <w:szCs w:val="32"/>
          <w:lang w:val="en-US" w:eastAsia="zh-CN"/>
        </w:rPr>
        <w:t>智能锁、线缆线束、智慧农业生产、菌菜加工等</w:t>
      </w:r>
      <w:r>
        <w:rPr>
          <w:rFonts w:hint="default" w:ascii="Times New Roman" w:hAnsi="Times New Roman" w:eastAsia="仿宋_GB2312" w:cs="Times New Roman"/>
          <w:sz w:val="32"/>
          <w:szCs w:val="32"/>
        </w:rPr>
        <w:t>制造产业。依托遂宁</w:t>
      </w:r>
      <w:r>
        <w:rPr>
          <w:rFonts w:hint="default" w:ascii="Times New Roman" w:hAnsi="Times New Roman" w:eastAsia="仿宋_GB2312" w:cs="Times New Roman"/>
          <w:sz w:val="32"/>
          <w:szCs w:val="32"/>
          <w:lang w:val="en-US" w:eastAsia="zh-CN"/>
        </w:rPr>
        <w:t>锂电产业发展优势，在当前新能源汽车发展趋势和国家碳中和目标的大环境下，承接全市锂电产业环节，布局蓬溪锂电产业发展方向</w:t>
      </w:r>
      <w:r>
        <w:rPr>
          <w:rFonts w:hint="default" w:ascii="Times New Roman" w:hAnsi="Times New Roman" w:eastAsia="仿宋_GB2312" w:cs="Times New Roman"/>
          <w:sz w:val="32"/>
          <w:szCs w:val="3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7"/>
      </w:tblGrid>
      <w:tr w14:paraId="47C6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7" w:type="dxa"/>
          </w:tcPr>
          <w:p w14:paraId="57E3B69F">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b/>
                <w:bCs/>
                <w:kern w:val="0"/>
                <w:sz w:val="28"/>
                <w:szCs w:val="28"/>
              </w:rPr>
            </w:pPr>
            <w:r>
              <w:rPr>
                <w:rFonts w:hint="default" w:ascii="Times New Roman" w:hAnsi="Times New Roman" w:eastAsia="楷体_GB2312" w:cs="Times New Roman"/>
                <w:b/>
                <w:bCs/>
                <w:kern w:val="0"/>
                <w:sz w:val="28"/>
                <w:szCs w:val="28"/>
              </w:rPr>
              <w:t>专栏1  区域优势产业集群工程</w:t>
            </w:r>
          </w:p>
        </w:tc>
      </w:tr>
    </w:tbl>
    <w:p w14:paraId="24D158C2">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default" w:ascii="Times New Roman" w:hAnsi="Times New Roman" w:eastAsia="仿宋_GB2312" w:cs="Times New Roman"/>
          <w:sz w:val="24"/>
          <w:szCs w:val="24"/>
          <w:lang w:val="en-US" w:eastAsia="zh-CN"/>
        </w:rPr>
      </w:pPr>
      <w:bookmarkStart w:id="8" w:name="_Toc10605"/>
      <w:r>
        <w:rPr>
          <w:rFonts w:hint="default" w:ascii="Times New Roman" w:hAnsi="Times New Roman" w:eastAsia="仿宋_GB2312" w:cs="Times New Roman"/>
          <w:b/>
          <w:bCs/>
          <w:sz w:val="24"/>
          <w:szCs w:val="24"/>
          <w:lang w:val="en-US" w:eastAsia="zh-CN"/>
        </w:rPr>
        <w:t>智能家居</w:t>
      </w:r>
      <w:r>
        <w:rPr>
          <w:rFonts w:hint="default" w:ascii="Times New Roman" w:hAnsi="Times New Roman" w:eastAsia="仿宋_GB2312" w:cs="Times New Roman"/>
          <w:b/>
          <w:bCs/>
          <w:sz w:val="24"/>
          <w:szCs w:val="24"/>
        </w:rPr>
        <w:t>产业。</w:t>
      </w:r>
      <w:r>
        <w:rPr>
          <w:rFonts w:hint="default" w:ascii="Times New Roman" w:hAnsi="Times New Roman" w:eastAsia="仿宋_GB2312" w:cs="Times New Roman"/>
          <w:sz w:val="24"/>
          <w:szCs w:val="24"/>
          <w:lang w:val="en-US" w:eastAsia="zh-CN"/>
        </w:rPr>
        <w:t>以四川龙尚木业、美立方门业、新新门业、王力门业等企业为龙头，通过“规模化的工厂+智能生产设备+线上线下推广结合”的方式，建立企业信息化中心，实现远程监控和自动化办公系统，建成生产全程自动控制和联网预警系统，建立企业生产大数据平台，推进企业数字化转型。</w:t>
      </w:r>
    </w:p>
    <w:p w14:paraId="3703DCC3">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现代农业产业</w:t>
      </w:r>
      <w:r>
        <w:rPr>
          <w:rFonts w:hint="default" w:ascii="Times New Roman" w:hAnsi="Times New Roman" w:eastAsia="仿宋_GB2312" w:cs="Times New Roman"/>
          <w:b/>
          <w:bCs/>
          <w:sz w:val="24"/>
          <w:szCs w:val="24"/>
        </w:rPr>
        <w:t>集群。</w:t>
      </w:r>
      <w:r>
        <w:rPr>
          <w:rFonts w:hint="default" w:ascii="Times New Roman" w:hAnsi="Times New Roman" w:eastAsia="仿宋_GB2312" w:cs="Times New Roman"/>
          <w:sz w:val="24"/>
          <w:szCs w:val="24"/>
        </w:rPr>
        <w:t>依托天红食用菌蔬菜园区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建设益农信息社、园区电子商务中心。推进数字化农业+电商、数字化农业+旅游、数字化农业+服务，以争创省五星级现代农业园区、国家现代农业产业园区“三创”工作为目标，有力有序推动数字经济工作落地落实</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打造任高粮油数字农业产业基地，提升改造畜牧业数字化水平，示范带动全县粮油、畜牧业发展水平。</w:t>
      </w:r>
    </w:p>
    <w:p w14:paraId="1FD05F28">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锂电产业</w:t>
      </w:r>
      <w:r>
        <w:rPr>
          <w:rFonts w:hint="default" w:ascii="Times New Roman" w:hAnsi="Times New Roman" w:eastAsia="仿宋_GB2312" w:cs="Times New Roman"/>
          <w:b/>
          <w:bCs/>
          <w:sz w:val="24"/>
          <w:szCs w:val="24"/>
        </w:rPr>
        <w:t>集群。</w:t>
      </w:r>
      <w:r>
        <w:rPr>
          <w:rFonts w:hint="default" w:ascii="Times New Roman" w:hAnsi="Times New Roman" w:eastAsia="仿宋_GB2312" w:cs="Times New Roman"/>
          <w:sz w:val="24"/>
          <w:szCs w:val="24"/>
          <w:lang w:val="en-US" w:eastAsia="zh-CN"/>
        </w:rPr>
        <w:t>以龙蟠科技四川遂宁产业园生产基地项目为依托，抓住锂电新能源汽车产业发展机遇，培育以锂电、氢能产业为代表的新能源增长极，加快进入以新能源产业为前瞻方向的绿色发展赛道。</w:t>
      </w:r>
    </w:p>
    <w:p w14:paraId="00E83070">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电子信息产业。</w:t>
      </w:r>
      <w:r>
        <w:rPr>
          <w:rFonts w:hint="default" w:ascii="Times New Roman" w:hAnsi="Times New Roman" w:eastAsia="仿宋_GB2312" w:cs="Times New Roman"/>
          <w:sz w:val="24"/>
          <w:szCs w:val="24"/>
          <w:lang w:val="en-US" w:eastAsia="zh-CN"/>
        </w:rPr>
        <w:t>重点推进瑞天泰电子、依科发电子等项目。加大产业研发力度和技术创新，不断完善研发设计、供应链、生产链一体的电子产业服务支撑体系。依托川中线缆“以商招商”，高质量打造潮汕产业园。</w:t>
      </w:r>
      <w:r>
        <w:rPr>
          <w:rFonts w:hint="default" w:ascii="Times New Roman" w:hAnsi="Times New Roman" w:eastAsia="仿宋_GB2312" w:cs="Times New Roman"/>
          <w:sz w:val="24"/>
          <w:szCs w:val="24"/>
        </w:rPr>
        <w:t>。</w:t>
      </w:r>
    </w:p>
    <w:bookmarkEnd w:id="8"/>
    <w:p w14:paraId="738045D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themeColor="text1"/>
          <w:sz w:val="32"/>
          <w:szCs w:val="32"/>
          <w:shd w:val="clear" w:color="auto" w:fill="auto"/>
          <w14:textFill>
            <w14:solidFill>
              <w14:schemeClr w14:val="tx1"/>
            </w14:solidFill>
          </w14:textFill>
        </w:rPr>
        <w:t>合力发展现代高端产业。</w:t>
      </w:r>
      <w:r>
        <w:rPr>
          <w:rFonts w:hint="default" w:ascii="Times New Roman" w:hAnsi="Times New Roman" w:eastAsia="仿宋_GB2312" w:cs="Times New Roman"/>
          <w:sz w:val="32"/>
          <w:szCs w:val="32"/>
        </w:rPr>
        <w:t>加快引进培育和发展大数据、云计算、人工智能、物联网、软件服务、集成电路、智能硬件等重点产业，形成技术、产品、服务和应用协同发展格局，提高数字产业综合实力。</w:t>
      </w:r>
      <w:r>
        <w:rPr>
          <w:rFonts w:hint="default" w:ascii="Times New Roman" w:hAnsi="Times New Roman" w:eastAsia="仿宋_GB2312" w:cs="Times New Roman"/>
          <w:sz w:val="32"/>
          <w:szCs w:val="32"/>
          <w:lang w:val="en-US" w:eastAsia="zh-CN"/>
        </w:rPr>
        <w:t>在国家建设“成渝经济圈”的战略基础上，</w:t>
      </w:r>
      <w:r>
        <w:rPr>
          <w:rFonts w:hint="default" w:ascii="Times New Roman" w:hAnsi="Times New Roman" w:eastAsia="仿宋_GB2312" w:cs="Times New Roman"/>
          <w:sz w:val="32"/>
          <w:szCs w:val="32"/>
        </w:rPr>
        <w:t>建设遂潼共用的</w:t>
      </w:r>
      <w:r>
        <w:rPr>
          <w:rFonts w:hint="default"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rPr>
        <w:t>数据中心，充分利用数据中心算法、算力发展一批大数据、人工智能企业。聚焦</w:t>
      </w:r>
      <w:r>
        <w:rPr>
          <w:rFonts w:hint="default" w:ascii="Times New Roman" w:hAnsi="Times New Roman" w:eastAsia="仿宋_GB2312" w:cs="Times New Roman"/>
          <w:sz w:val="32"/>
          <w:szCs w:val="32"/>
          <w:lang w:val="en-US" w:eastAsia="zh-CN"/>
        </w:rPr>
        <w:t>电子信息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现代农业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智能家居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锂电新能源</w:t>
      </w:r>
      <w:r>
        <w:rPr>
          <w:rFonts w:hint="default" w:ascii="Times New Roman" w:hAnsi="Times New Roman" w:eastAsia="仿宋_GB2312" w:cs="Times New Roman"/>
          <w:sz w:val="32"/>
          <w:szCs w:val="32"/>
        </w:rPr>
        <w:t>等重点领域，培育一批具有竞争力的龙头企业。充分利用新一代人工智能、大数据、物联网、区块链等技术，依托5G网络、大数据中心等新型基础设施，共建共享以人工智能计算能力、数据服务能力、软件服务能力、云计算能力、云储存能力为代表的区域工业大数据服务中心，构建相互支撑、协作共兴的配套服务体系。</w:t>
      </w:r>
    </w:p>
    <w:p w14:paraId="32066A5E">
      <w:pPr>
        <w:pStyle w:val="14"/>
        <w:keepNext w:val="0"/>
        <w:keepLines w:val="0"/>
        <w:pageBreakBefore w:val="0"/>
        <w:widowControl w:val="0"/>
        <w:kinsoku/>
        <w:wordWrap/>
        <w:overflowPunct/>
        <w:topLinePunct w:val="0"/>
        <w:bidi w:val="0"/>
        <w:adjustRightInd/>
        <w:snapToGrid/>
        <w:spacing w:line="520" w:lineRule="exact"/>
        <w:ind w:left="0" w:leftChars="0"/>
        <w:jc w:val="both"/>
        <w:textAlignment w:val="auto"/>
        <w:rPr>
          <w:rFonts w:hint="default" w:ascii="Times New Roman" w:hAnsi="Times New Roman" w:cs="Times New Roman"/>
        </w:rPr>
        <w:sectPr>
          <w:pgSz w:w="11906" w:h="16838"/>
          <w:pgMar w:top="2154" w:right="1474" w:bottom="2041" w:left="1587" w:header="851" w:footer="992" w:gutter="0"/>
          <w:pgNumType w:fmt="decimal"/>
          <w:cols w:space="425" w:num="1"/>
          <w:docGrid w:type="lines" w:linePitch="312" w:charSpace="0"/>
        </w:sectPr>
      </w:pPr>
    </w:p>
    <w:p w14:paraId="1F10B381">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bookmarkStart w:id="9" w:name="_Toc20200"/>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数字经济发展的主要任务</w:t>
      </w:r>
      <w:bookmarkEnd w:id="9"/>
    </w:p>
    <w:p w14:paraId="5C2ED84A">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eastAsia" w:ascii="黑体" w:hAnsi="黑体" w:eastAsia="黑体" w:cs="黑体"/>
          <w:b w:val="0"/>
          <w:bCs w:val="0"/>
          <w:sz w:val="32"/>
          <w:szCs w:val="32"/>
        </w:rPr>
      </w:pPr>
    </w:p>
    <w:p w14:paraId="1134FB2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0" w:name="_Toc30371"/>
      <w:r>
        <w:rPr>
          <w:rFonts w:hint="eastAsia" w:ascii="黑体" w:hAnsi="黑体" w:eastAsia="黑体" w:cs="黑体"/>
          <w:b w:val="0"/>
          <w:bCs w:val="0"/>
          <w:sz w:val="32"/>
          <w:szCs w:val="32"/>
        </w:rPr>
        <w:t>第一节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新型数字基础设施建设工程</w:t>
      </w:r>
      <w:bookmarkEnd w:id="10"/>
    </w:p>
    <w:p w14:paraId="5B6FBB5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促进5G网络建设应用。</w:t>
      </w:r>
      <w:r>
        <w:rPr>
          <w:rFonts w:hint="default" w:ascii="Times New Roman" w:hAnsi="Times New Roman" w:eastAsia="仿宋_GB2312" w:cs="Times New Roman"/>
          <w:sz w:val="32"/>
          <w:szCs w:val="32"/>
        </w:rPr>
        <w:t>推动建设5G和光纤超宽带“双千兆”网络，推进跨行业共建共享、互联互通。加快5G规模部署和商用，优先实现5G网络在交通枢纽、产业园区、热门景区、核心商圈等重点区域深度覆盖，到2025年底，全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建成5G基站</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个，城区实现5G网络全覆盖，乡镇和农村重点区域实现5G网络连续覆盖。积极推行“微基站+智慧杆塔”“5G+WiFi6”等新型网络部署方式。支持在智慧城市、医疗健康、数字乡村、安全应急、社会治理、工业互联网、超高清视频等重点领域打造“5G+”融合应用示范场景，形成一批特色鲜明、亮点突出的行业应用标杆。</w:t>
      </w:r>
    </w:p>
    <w:p w14:paraId="53E9C4C2">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加快发展工业互联网。</w:t>
      </w:r>
      <w:r>
        <w:rPr>
          <w:rFonts w:hint="default" w:ascii="Times New Roman" w:hAnsi="Times New Roman" w:eastAsia="仿宋_GB2312" w:cs="Times New Roman"/>
          <w:sz w:val="32"/>
          <w:szCs w:val="32"/>
        </w:rPr>
        <w:t>推动建设低时延、高可靠、广覆盖的工业互联网络基础设施，促进制造业数字化、网络化、智能化升级。支持工业企业以互联网协议第6版（IPv6）、工业无源光网络（PON）、工业无线</w:t>
      </w:r>
      <w:r>
        <w:rPr>
          <w:rFonts w:hint="default" w:ascii="Times New Roman" w:hAnsi="Times New Roman" w:eastAsia="仿宋_GB2312" w:cs="Times New Roman"/>
          <w:sz w:val="32"/>
          <w:szCs w:val="32"/>
          <w:lang w:val="en-US" w:eastAsia="zh-CN"/>
        </w:rPr>
        <w:t>网络</w:t>
      </w:r>
      <w:r>
        <w:rPr>
          <w:rFonts w:hint="default" w:ascii="Times New Roman" w:hAnsi="Times New Roman" w:eastAsia="仿宋_GB2312" w:cs="Times New Roman"/>
          <w:sz w:val="32"/>
          <w:szCs w:val="32"/>
        </w:rPr>
        <w:t>等技术改造工业企业内网，以IPv6、窄带物联网（NB—IoT）、软件定义网络（SDN）对工业企业外网进行升级改造。围绕电子信息、锂电及新材料、</w:t>
      </w:r>
      <w:r>
        <w:rPr>
          <w:rFonts w:hint="default" w:ascii="Times New Roman" w:hAnsi="Times New Roman" w:eastAsia="仿宋_GB2312" w:cs="Times New Roman"/>
          <w:sz w:val="32"/>
          <w:szCs w:val="32"/>
          <w:lang w:val="en-US" w:eastAsia="zh-CN"/>
        </w:rPr>
        <w:t>智能家居</w:t>
      </w:r>
      <w:r>
        <w:rPr>
          <w:rFonts w:hint="default" w:ascii="Times New Roman" w:hAnsi="Times New Roman" w:eastAsia="仿宋_GB2312" w:cs="Times New Roman"/>
          <w:sz w:val="32"/>
          <w:szCs w:val="32"/>
        </w:rPr>
        <w:t>、门业、农业示范区等重要产业，支持代表企业打造一批面向垂直行业和细分领域的工业互联网平台，积极争创国家级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市级跨行业、跨领域平台。支持各重点产业园区建设工业互联网+5G宽带网络基础设施。持续开展企业上云行动，引导中小企业业务系统向云端迁移，实现大企业建平台和中小企业用平台的双向迭代、互促共进，到2025年底力争实现全县上云企业达</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家。</w:t>
      </w:r>
    </w:p>
    <w:p w14:paraId="3B4A3BD6">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u w:val="none"/>
        </w:rPr>
        <w:t>大力</w:t>
      </w:r>
      <w:r>
        <w:rPr>
          <w:rFonts w:hint="default" w:ascii="Times New Roman" w:hAnsi="Times New Roman" w:eastAsia="楷体_GB2312" w:cs="Times New Roman"/>
          <w:sz w:val="32"/>
          <w:szCs w:val="32"/>
          <w:u w:val="none"/>
          <w:lang w:val="en-US" w:eastAsia="zh-CN"/>
        </w:rPr>
        <w:t>推广城市</w:t>
      </w:r>
      <w:r>
        <w:rPr>
          <w:rFonts w:hint="default" w:ascii="Times New Roman" w:hAnsi="Times New Roman" w:eastAsia="楷体_GB2312" w:cs="Times New Roman"/>
          <w:sz w:val="32"/>
          <w:szCs w:val="32"/>
          <w:u w:val="none"/>
        </w:rPr>
        <w:t>基础设施智能化改造。</w:t>
      </w:r>
      <w:r>
        <w:rPr>
          <w:rFonts w:hint="default" w:ascii="Times New Roman" w:hAnsi="Times New Roman" w:eastAsia="仿宋_GB2312" w:cs="Times New Roman"/>
          <w:sz w:val="32"/>
          <w:szCs w:val="32"/>
        </w:rPr>
        <w:t>推动交通、管网、建筑、环保、水电气等城市基础设施的智能化改造。加强传感器、摄像头、智能标签等物联网感知设备的统筹布局和共建共享，构建安全可控、覆盖全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的感知网络体系，强化对城市运行保障、生态资源环境等的全方位实时监测和感知。探索建立全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市感知设备的数据采集、共享与应用机制，构建城市数据生态。推动智能停车场、智能仓储、综合管廊等新型物联网集成载体建设。支持行业龙头企业探索构建跨行业物联网运营和支撑公共平台，推动实施产业功能区物联网全覆盖工程，支持各重点产业园区打造建设智慧园区。</w:t>
      </w:r>
    </w:p>
    <w:p w14:paraId="6B15BE7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科学布局数据中心</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rPr>
        <w:t>IDC</w:t>
      </w:r>
      <w:r>
        <w:rPr>
          <w:rFonts w:hint="default" w:ascii="Times New Roman" w:hAnsi="Times New Roman" w:eastAsia="仿宋_GB2312" w:cs="Times New Roman"/>
          <w:sz w:val="32"/>
          <w:szCs w:val="32"/>
          <w:lang w:eastAsia="zh-CN"/>
        </w:rPr>
        <w:t>数据</w:t>
      </w:r>
      <w:r>
        <w:rPr>
          <w:rFonts w:hint="default" w:ascii="Times New Roman" w:hAnsi="Times New Roman" w:eastAsia="仿宋_GB2312" w:cs="Times New Roman"/>
          <w:sz w:val="32"/>
          <w:szCs w:val="32"/>
        </w:rPr>
        <w:t>机房</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，强化安全服务保障，打造</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数据中心。完善在规划、用地、环保、电力接入等方面的配套支持政策，</w:t>
      </w:r>
      <w:r>
        <w:rPr>
          <w:rFonts w:hint="default" w:ascii="Times New Roman" w:hAnsi="Times New Roman" w:eastAsia="仿宋_GB2312" w:cs="Times New Roman"/>
          <w:sz w:val="32"/>
          <w:szCs w:val="32"/>
          <w:lang w:val="en-US" w:eastAsia="zh-CN"/>
        </w:rPr>
        <w:t>承接</w:t>
      </w:r>
      <w:r>
        <w:rPr>
          <w:rFonts w:hint="default" w:ascii="Times New Roman" w:hAnsi="Times New Roman" w:eastAsia="仿宋_GB2312" w:cs="Times New Roman"/>
          <w:sz w:val="32"/>
          <w:szCs w:val="32"/>
        </w:rPr>
        <w:t>成渝地区双城经济圈内数据</w:t>
      </w:r>
      <w:r>
        <w:rPr>
          <w:rFonts w:hint="default" w:ascii="Times New Roman" w:hAnsi="Times New Roman" w:eastAsia="仿宋_GB2312" w:cs="Times New Roman"/>
          <w:sz w:val="32"/>
          <w:szCs w:val="32"/>
          <w:lang w:val="en-US" w:eastAsia="zh-CN"/>
        </w:rPr>
        <w:t>存储、计算、服务业务</w:t>
      </w:r>
      <w:r>
        <w:rPr>
          <w:rFonts w:hint="default" w:ascii="Times New Roman" w:hAnsi="Times New Roman" w:eastAsia="仿宋_GB2312" w:cs="Times New Roman"/>
          <w:sz w:val="32"/>
          <w:szCs w:val="32"/>
        </w:rPr>
        <w:t>，吸引</w:t>
      </w:r>
      <w:r>
        <w:rPr>
          <w:rFonts w:hint="default" w:ascii="Times New Roman" w:hAnsi="Times New Roman" w:eastAsia="仿宋_GB2312" w:cs="Times New Roman"/>
          <w:sz w:val="32"/>
          <w:szCs w:val="32"/>
          <w:lang w:val="en-US" w:eastAsia="zh-CN"/>
        </w:rPr>
        <w:t>全县和成渝地区各类</w:t>
      </w:r>
      <w:r>
        <w:rPr>
          <w:rFonts w:hint="default" w:ascii="Times New Roman" w:hAnsi="Times New Roman" w:eastAsia="仿宋_GB2312" w:cs="Times New Roman"/>
          <w:sz w:val="32"/>
          <w:szCs w:val="32"/>
        </w:rPr>
        <w:t>企业及行业机构</w:t>
      </w:r>
      <w:r>
        <w:rPr>
          <w:rFonts w:hint="default" w:ascii="Times New Roman" w:hAnsi="Times New Roman" w:eastAsia="仿宋_GB2312" w:cs="Times New Roman"/>
          <w:sz w:val="32"/>
          <w:szCs w:val="32"/>
          <w:lang w:val="en-US" w:eastAsia="zh-CN"/>
        </w:rPr>
        <w:t>使用我县数据中心服务</w:t>
      </w:r>
      <w:r>
        <w:rPr>
          <w:rFonts w:hint="default" w:ascii="Times New Roman" w:hAnsi="Times New Roman" w:eastAsia="仿宋_GB2312" w:cs="Times New Roman"/>
          <w:sz w:val="32"/>
          <w:szCs w:val="32"/>
        </w:rPr>
        <w:t>，努力打造</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数据中心</w:t>
      </w:r>
      <w:r>
        <w:rPr>
          <w:rFonts w:hint="default" w:ascii="Times New Roman" w:hAnsi="Times New Roman" w:eastAsia="仿宋_GB2312" w:cs="Times New Roman"/>
          <w:sz w:val="32"/>
          <w:szCs w:val="32"/>
          <w:lang w:val="en-US" w:eastAsia="zh-CN"/>
        </w:rPr>
        <w:t>重要</w:t>
      </w:r>
      <w:r>
        <w:rPr>
          <w:rFonts w:hint="default" w:ascii="Times New Roman" w:hAnsi="Times New Roman" w:eastAsia="仿宋_GB2312" w:cs="Times New Roman"/>
          <w:sz w:val="32"/>
          <w:szCs w:val="32"/>
        </w:rPr>
        <w:t>节点。实现数据大融合、大共享、大运营，提升城市综合治理能力现代化、信息化、数据化。</w:t>
      </w:r>
    </w:p>
    <w:p w14:paraId="7A6CB25D">
      <w:pPr>
        <w:pStyle w:val="2"/>
        <w:rPr>
          <w:rFonts w:hint="default" w:ascii="Times New Roman" w:hAnsi="Times New Roman" w:eastAsia="仿宋_GB2312" w:cs="Times New Roman"/>
          <w:sz w:val="32"/>
          <w:szCs w:val="32"/>
        </w:rPr>
      </w:pPr>
    </w:p>
    <w:p w14:paraId="371A5A08">
      <w:pPr>
        <w:pStyle w:val="2"/>
        <w:rPr>
          <w:rFonts w:hint="default" w:ascii="Times New Roman" w:hAnsi="Times New Roman" w:eastAsia="仿宋_GB2312" w:cs="Times New Roman"/>
          <w:sz w:val="32"/>
          <w:szCs w:val="32"/>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4"/>
      </w:tblGrid>
      <w:tr w14:paraId="009E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834" w:type="dxa"/>
            <w:tcBorders>
              <w:bottom w:val="single" w:color="auto" w:sz="4" w:space="0"/>
            </w:tcBorders>
            <w:vAlign w:val="center"/>
          </w:tcPr>
          <w:p w14:paraId="7022F02A">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专栏2  新型数字基础设施建设工程</w:t>
            </w:r>
          </w:p>
        </w:tc>
      </w:tr>
      <w:tr w14:paraId="4F026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2" w:hRule="atLeast"/>
          <w:jc w:val="center"/>
        </w:trPr>
        <w:tc>
          <w:tcPr>
            <w:tcW w:w="8834" w:type="dxa"/>
            <w:tcBorders>
              <w:top w:val="single" w:color="auto" w:sz="4" w:space="0"/>
            </w:tcBorders>
          </w:tcPr>
          <w:p w14:paraId="556E33DE">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物联网感知设备管理平台。</w:t>
            </w:r>
            <w:r>
              <w:rPr>
                <w:rFonts w:hint="default" w:ascii="Times New Roman" w:hAnsi="Times New Roman" w:eastAsia="仿宋_GB2312" w:cs="Times New Roman"/>
                <w:kern w:val="2"/>
                <w:sz w:val="24"/>
                <w:szCs w:val="24"/>
              </w:rPr>
              <w:t>以整合城管、住建、公安、自然资源和规划等部门已有物联网应用系统为切入点，建设全</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统一的城市物联网感知设备管理平台，面向全</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各领域、各类型感知识别设施，提供集中管理、智能控制、设备互联、远程监控与诊断等所需的各类服务。2023年，启动平台建设，在多个领域支撑一批规模化的物联网应用部署。</w:t>
            </w:r>
          </w:p>
          <w:p w14:paraId="16BAF579">
            <w:pPr>
              <w:keepNext w:val="0"/>
              <w:keepLines w:val="0"/>
              <w:pageBreakBefore w:val="0"/>
              <w:suppressLineNumbers w:val="0"/>
              <w:kinsoku/>
              <w:wordWrap/>
              <w:overflowPunct/>
              <w:topLinePunct w:val="0"/>
              <w:autoSpaceDE/>
              <w:autoSpaceDN/>
              <w:bidi w:val="0"/>
              <w:adjustRightInd/>
              <w:snapToGrid w:val="0"/>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5G基站建设。</w:t>
            </w:r>
            <w:r>
              <w:rPr>
                <w:rFonts w:hint="default" w:ascii="Times New Roman" w:hAnsi="Times New Roman" w:eastAsia="仿宋_GB2312" w:cs="Times New Roman"/>
                <w:kern w:val="2"/>
                <w:sz w:val="24"/>
                <w:szCs w:val="24"/>
              </w:rPr>
              <w:t>2023年，5G基站达到2</w:t>
            </w:r>
            <w:r>
              <w:rPr>
                <w:rFonts w:hint="default" w:ascii="Times New Roman" w:hAnsi="Times New Roman" w:eastAsia="仿宋_GB2312" w:cs="Times New Roman"/>
                <w:kern w:val="2"/>
                <w:sz w:val="24"/>
                <w:szCs w:val="24"/>
                <w:lang w:val="en-US" w:eastAsia="zh-CN"/>
              </w:rPr>
              <w:t>79</w:t>
            </w:r>
            <w:r>
              <w:rPr>
                <w:rFonts w:hint="default" w:ascii="Times New Roman" w:hAnsi="Times New Roman" w:eastAsia="仿宋_GB2312" w:cs="Times New Roman"/>
                <w:kern w:val="2"/>
                <w:sz w:val="24"/>
                <w:szCs w:val="24"/>
              </w:rPr>
              <w:t>座以上，基本实现全</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城区、乡镇和农村重点区域连续覆盖。2025年，全面建成覆盖城乡的5G网络。</w:t>
            </w:r>
          </w:p>
          <w:p w14:paraId="26BDBA8E">
            <w:pPr>
              <w:keepNext w:val="0"/>
              <w:keepLines w:val="0"/>
              <w:pageBreakBefore w:val="0"/>
              <w:suppressLineNumbers w:val="0"/>
              <w:kinsoku/>
              <w:wordWrap/>
              <w:overflowPunct/>
              <w:topLinePunct w:val="0"/>
              <w:autoSpaceDE/>
              <w:autoSpaceDN/>
              <w:bidi w:val="0"/>
              <w:adjustRightInd/>
              <w:snapToGrid w:val="0"/>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kern w:val="2"/>
                <w:sz w:val="24"/>
                <w:szCs w:val="24"/>
                <w:lang w:val="en-US" w:eastAsia="zh-CN"/>
              </w:rPr>
              <w:t>蓬溪县智慧城市</w:t>
            </w:r>
            <w:r>
              <w:rPr>
                <w:rFonts w:hint="default" w:ascii="Times New Roman" w:hAnsi="Times New Roman" w:eastAsia="仿宋_GB2312" w:cs="Times New Roman"/>
                <w:b/>
                <w:kern w:val="2"/>
                <w:sz w:val="24"/>
                <w:szCs w:val="24"/>
              </w:rPr>
              <w:t>数据中心。</w:t>
            </w:r>
            <w:r>
              <w:rPr>
                <w:rFonts w:hint="default" w:ascii="Times New Roman" w:hAnsi="Times New Roman" w:eastAsia="仿宋_GB2312" w:cs="Times New Roman"/>
                <w:kern w:val="2"/>
                <w:sz w:val="24"/>
                <w:szCs w:val="24"/>
              </w:rPr>
              <w:t>建立数据分析共享、产业规划、技术转移转化等工业发展数据中心、新建数据机房</w:t>
            </w:r>
            <w:r>
              <w:rPr>
                <w:rFonts w:hint="default" w:ascii="Times New Roman" w:hAnsi="Times New Roman" w:eastAsia="仿宋_GB2312" w:cs="Times New Roman"/>
                <w:kern w:val="2"/>
                <w:sz w:val="24"/>
                <w:szCs w:val="24"/>
                <w:lang w:val="en-US" w:eastAsia="zh-CN"/>
              </w:rPr>
              <w:t>300</w:t>
            </w:r>
            <w:r>
              <w:rPr>
                <w:rFonts w:hint="default" w:ascii="Times New Roman" w:hAnsi="Times New Roman" w:eastAsia="仿宋_GB2312" w:cs="Times New Roman"/>
                <w:kern w:val="2"/>
                <w:sz w:val="24"/>
                <w:szCs w:val="24"/>
              </w:rPr>
              <w:t>平方米，建成数据储备标准机柜</w:t>
            </w:r>
            <w:r>
              <w:rPr>
                <w:rFonts w:hint="default" w:ascii="Times New Roman" w:hAnsi="Times New Roman" w:eastAsia="仿宋_GB2312" w:cs="Times New Roman"/>
                <w:kern w:val="2"/>
                <w:sz w:val="24"/>
                <w:szCs w:val="24"/>
                <w:lang w:val="en-US" w:eastAsia="zh-CN"/>
              </w:rPr>
              <w:t>30</w:t>
            </w:r>
            <w:r>
              <w:rPr>
                <w:rFonts w:hint="default" w:ascii="Times New Roman" w:hAnsi="Times New Roman" w:eastAsia="仿宋_GB2312" w:cs="Times New Roman"/>
                <w:kern w:val="2"/>
                <w:sz w:val="24"/>
                <w:szCs w:val="24"/>
              </w:rPr>
              <w:t>个，推动工业智能化、信息化发展。</w:t>
            </w:r>
          </w:p>
        </w:tc>
      </w:tr>
    </w:tbl>
    <w:p w14:paraId="1FF71965">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1" w:name="_Toc29566"/>
      <w:r>
        <w:rPr>
          <w:rFonts w:hint="eastAsia" w:ascii="黑体" w:hAnsi="黑体" w:eastAsia="黑体" w:cs="黑体"/>
          <w:b w:val="0"/>
          <w:bCs w:val="0"/>
          <w:sz w:val="32"/>
          <w:szCs w:val="32"/>
        </w:rPr>
        <w:t>第二节 数字产业培育壮大工程</w:t>
      </w:r>
      <w:bookmarkEnd w:id="11"/>
    </w:p>
    <w:p w14:paraId="116A841C">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56" w:firstLineChars="200"/>
        <w:jc w:val="both"/>
        <w:textAlignment w:val="auto"/>
        <w:rPr>
          <w:rFonts w:hint="default" w:ascii="Times New Roman" w:hAnsi="Times New Roman" w:eastAsia="楷体_GB2312" w:cs="Times New Roman"/>
          <w:color w:val="AFABAB" w:themeColor="background2" w:themeShade="BF"/>
          <w:sz w:val="32"/>
          <w:szCs w:val="32"/>
          <w:highlight w:val="none"/>
          <w:shd w:val="clear" w:color="auto" w:fill="auto"/>
        </w:rPr>
      </w:pPr>
      <w:r>
        <w:rPr>
          <w:rFonts w:hint="default" w:ascii="Times New Roman" w:hAnsi="Times New Roman" w:eastAsia="仿宋_GB2312" w:cs="Times New Roman"/>
          <w:spacing w:val="4"/>
          <w:sz w:val="32"/>
          <w:szCs w:val="32"/>
        </w:rPr>
        <w:t>深</w:t>
      </w:r>
      <w:r>
        <w:rPr>
          <w:rFonts w:hint="default" w:ascii="Times New Roman" w:hAnsi="Times New Roman" w:eastAsia="仿宋_GB2312" w:cs="Times New Roman"/>
          <w:spacing w:val="2"/>
          <w:sz w:val="32"/>
          <w:szCs w:val="32"/>
        </w:rPr>
        <w:t>入</w:t>
      </w:r>
      <w:r>
        <w:rPr>
          <w:rFonts w:hint="default" w:ascii="Times New Roman" w:hAnsi="Times New Roman" w:eastAsia="仿宋_GB2312" w:cs="Times New Roman"/>
          <w:spacing w:val="4"/>
          <w:sz w:val="32"/>
          <w:szCs w:val="32"/>
        </w:rPr>
        <w:t>实施</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互</w:t>
      </w:r>
      <w:r>
        <w:rPr>
          <w:rFonts w:hint="default" w:ascii="Times New Roman" w:hAnsi="Times New Roman" w:eastAsia="仿宋_GB2312" w:cs="Times New Roman"/>
          <w:spacing w:val="2"/>
          <w:sz w:val="32"/>
          <w:szCs w:val="32"/>
        </w:rPr>
        <w:t>联</w:t>
      </w:r>
      <w:r>
        <w:rPr>
          <w:rFonts w:hint="default" w:ascii="Times New Roman" w:hAnsi="Times New Roman" w:eastAsia="仿宋_GB2312" w:cs="Times New Roman"/>
          <w:spacing w:val="4"/>
          <w:sz w:val="32"/>
          <w:szCs w:val="32"/>
        </w:rPr>
        <w:t>网+”</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智能+</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行</w:t>
      </w:r>
      <w:r>
        <w:rPr>
          <w:rFonts w:hint="default" w:ascii="Times New Roman" w:hAnsi="Times New Roman" w:eastAsia="仿宋_GB2312" w:cs="Times New Roman"/>
          <w:spacing w:val="2"/>
          <w:sz w:val="32"/>
          <w:szCs w:val="32"/>
        </w:rPr>
        <w:t>动</w:t>
      </w:r>
      <w:r>
        <w:rPr>
          <w:rFonts w:hint="default" w:ascii="Times New Roman" w:hAnsi="Times New Roman" w:eastAsia="仿宋_GB2312" w:cs="Times New Roman"/>
          <w:spacing w:val="4"/>
          <w:sz w:val="32"/>
          <w:szCs w:val="32"/>
        </w:rPr>
        <w:t>，推</w:t>
      </w:r>
      <w:r>
        <w:rPr>
          <w:rFonts w:hint="default" w:ascii="Times New Roman" w:hAnsi="Times New Roman" w:eastAsia="仿宋_GB2312" w:cs="Times New Roman"/>
          <w:spacing w:val="2"/>
          <w:sz w:val="32"/>
          <w:szCs w:val="32"/>
        </w:rPr>
        <w:t>动</w:t>
      </w:r>
      <w:r>
        <w:rPr>
          <w:rFonts w:hint="default" w:ascii="Times New Roman" w:hAnsi="Times New Roman" w:eastAsia="仿宋_GB2312" w:cs="Times New Roman"/>
          <w:spacing w:val="4"/>
          <w:sz w:val="32"/>
          <w:szCs w:val="32"/>
        </w:rPr>
        <w:t>互联网</w:t>
      </w:r>
      <w:r>
        <w:rPr>
          <w:rFonts w:hint="default" w:ascii="Times New Roman" w:hAnsi="Times New Roman" w:eastAsia="仿宋_GB2312" w:cs="Times New Roman"/>
          <w:spacing w:val="2"/>
          <w:sz w:val="32"/>
          <w:szCs w:val="32"/>
        </w:rPr>
        <w:t>新</w:t>
      </w:r>
      <w:r>
        <w:rPr>
          <w:rFonts w:hint="default" w:ascii="Times New Roman" w:hAnsi="Times New Roman" w:eastAsia="仿宋_GB2312" w:cs="Times New Roman"/>
          <w:spacing w:val="4"/>
          <w:sz w:val="32"/>
          <w:szCs w:val="32"/>
        </w:rPr>
        <w:t>技术</w:t>
      </w:r>
      <w:r>
        <w:rPr>
          <w:rFonts w:hint="default" w:ascii="Times New Roman" w:hAnsi="Times New Roman" w:eastAsia="仿宋_GB2312" w:cs="Times New Roman"/>
          <w:spacing w:val="2"/>
          <w:sz w:val="32"/>
          <w:szCs w:val="32"/>
        </w:rPr>
        <w:t>和</w:t>
      </w:r>
      <w:r>
        <w:rPr>
          <w:rFonts w:hint="default" w:ascii="Times New Roman" w:hAnsi="Times New Roman" w:eastAsia="仿宋_GB2312" w:cs="Times New Roman"/>
          <w:spacing w:val="4"/>
          <w:sz w:val="32"/>
          <w:szCs w:val="32"/>
        </w:rPr>
        <w:t>数</w:t>
      </w:r>
      <w:r>
        <w:rPr>
          <w:rFonts w:hint="default" w:ascii="Times New Roman" w:hAnsi="Times New Roman" w:eastAsia="仿宋_GB2312" w:cs="Times New Roman"/>
          <w:sz w:val="32"/>
          <w:szCs w:val="32"/>
        </w:rPr>
        <w:t>字</w:t>
      </w:r>
      <w:r>
        <w:rPr>
          <w:rFonts w:hint="default" w:ascii="Times New Roman" w:hAnsi="Times New Roman" w:eastAsia="仿宋_GB2312" w:cs="Times New Roman"/>
          <w:spacing w:val="4"/>
          <w:sz w:val="32"/>
          <w:szCs w:val="32"/>
        </w:rPr>
        <w:t>技</w:t>
      </w:r>
      <w:r>
        <w:rPr>
          <w:rFonts w:hint="default" w:ascii="Times New Roman" w:hAnsi="Times New Roman" w:eastAsia="仿宋_GB2312" w:cs="Times New Roman"/>
          <w:spacing w:val="2"/>
          <w:sz w:val="32"/>
          <w:szCs w:val="32"/>
        </w:rPr>
        <w:t>术</w:t>
      </w:r>
      <w:r>
        <w:rPr>
          <w:rFonts w:hint="default" w:ascii="Times New Roman" w:hAnsi="Times New Roman" w:eastAsia="仿宋_GB2312" w:cs="Times New Roman"/>
          <w:spacing w:val="4"/>
          <w:sz w:val="32"/>
          <w:szCs w:val="32"/>
        </w:rPr>
        <w:t>与农</w:t>
      </w:r>
      <w:r>
        <w:rPr>
          <w:rFonts w:hint="default" w:ascii="Times New Roman" w:hAnsi="Times New Roman" w:eastAsia="仿宋_GB2312" w:cs="Times New Roman"/>
          <w:spacing w:val="2"/>
          <w:sz w:val="32"/>
          <w:szCs w:val="32"/>
        </w:rPr>
        <w:t>业</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2"/>
          <w:sz w:val="32"/>
          <w:szCs w:val="32"/>
        </w:rPr>
        <w:t>工</w:t>
      </w:r>
      <w:r>
        <w:rPr>
          <w:rFonts w:hint="default" w:ascii="Times New Roman" w:hAnsi="Times New Roman" w:eastAsia="仿宋_GB2312" w:cs="Times New Roman"/>
          <w:spacing w:val="4"/>
          <w:sz w:val="32"/>
          <w:szCs w:val="32"/>
        </w:rPr>
        <w:t>业和</w:t>
      </w:r>
      <w:r>
        <w:rPr>
          <w:rFonts w:hint="default" w:ascii="Times New Roman" w:hAnsi="Times New Roman" w:eastAsia="仿宋_GB2312" w:cs="Times New Roman"/>
          <w:spacing w:val="2"/>
          <w:sz w:val="32"/>
          <w:szCs w:val="32"/>
        </w:rPr>
        <w:t>服</w:t>
      </w:r>
      <w:r>
        <w:rPr>
          <w:rFonts w:hint="default" w:ascii="Times New Roman" w:hAnsi="Times New Roman" w:eastAsia="仿宋_GB2312" w:cs="Times New Roman"/>
          <w:spacing w:val="4"/>
          <w:sz w:val="32"/>
          <w:szCs w:val="32"/>
        </w:rPr>
        <w:t>务业</w:t>
      </w:r>
      <w:r>
        <w:rPr>
          <w:rFonts w:hint="default" w:ascii="Times New Roman" w:hAnsi="Times New Roman" w:eastAsia="仿宋_GB2312" w:cs="Times New Roman"/>
          <w:spacing w:val="2"/>
          <w:sz w:val="32"/>
          <w:szCs w:val="32"/>
        </w:rPr>
        <w:t>等</w:t>
      </w:r>
      <w:r>
        <w:rPr>
          <w:rFonts w:hint="default" w:ascii="Times New Roman" w:hAnsi="Times New Roman" w:eastAsia="仿宋_GB2312" w:cs="Times New Roman"/>
          <w:spacing w:val="4"/>
          <w:sz w:val="32"/>
          <w:szCs w:val="32"/>
        </w:rPr>
        <w:t>产业</w:t>
      </w:r>
      <w:r>
        <w:rPr>
          <w:rFonts w:hint="default" w:ascii="Times New Roman" w:hAnsi="Times New Roman" w:eastAsia="仿宋_GB2312" w:cs="Times New Roman"/>
          <w:spacing w:val="2"/>
          <w:sz w:val="32"/>
          <w:szCs w:val="32"/>
        </w:rPr>
        <w:t>融</w:t>
      </w:r>
      <w:r>
        <w:rPr>
          <w:rFonts w:hint="default" w:ascii="Times New Roman" w:hAnsi="Times New Roman" w:eastAsia="仿宋_GB2312" w:cs="Times New Roman"/>
          <w:spacing w:val="4"/>
          <w:sz w:val="32"/>
          <w:szCs w:val="32"/>
        </w:rPr>
        <w:t>合</w:t>
      </w:r>
      <w:r>
        <w:rPr>
          <w:rFonts w:hint="default" w:ascii="Times New Roman" w:hAnsi="Times New Roman" w:eastAsia="仿宋_GB2312" w:cs="Times New Roman"/>
          <w:spacing w:val="2"/>
          <w:sz w:val="32"/>
          <w:szCs w:val="32"/>
        </w:rPr>
        <w:t>发</w:t>
      </w:r>
      <w:r>
        <w:rPr>
          <w:rFonts w:hint="default" w:ascii="Times New Roman" w:hAnsi="Times New Roman" w:eastAsia="仿宋_GB2312" w:cs="Times New Roman"/>
          <w:spacing w:val="4"/>
          <w:sz w:val="32"/>
          <w:szCs w:val="32"/>
        </w:rPr>
        <w:t>展试</w:t>
      </w:r>
      <w:r>
        <w:rPr>
          <w:rFonts w:hint="default" w:ascii="Times New Roman" w:hAnsi="Times New Roman" w:eastAsia="仿宋_GB2312" w:cs="Times New Roman"/>
          <w:spacing w:val="2"/>
          <w:sz w:val="32"/>
          <w:szCs w:val="32"/>
        </w:rPr>
        <w:t>点</w:t>
      </w:r>
      <w:r>
        <w:rPr>
          <w:rFonts w:hint="default" w:ascii="Times New Roman" w:hAnsi="Times New Roman" w:eastAsia="仿宋_GB2312" w:cs="Times New Roman"/>
          <w:spacing w:val="4"/>
          <w:sz w:val="32"/>
          <w:szCs w:val="32"/>
        </w:rPr>
        <w:t>示范</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提供</w:t>
      </w:r>
      <w:r>
        <w:rPr>
          <w:rFonts w:hint="default" w:ascii="Times New Roman" w:hAnsi="Times New Roman" w:eastAsia="仿宋_GB2312" w:cs="Times New Roman"/>
          <w:spacing w:val="2"/>
          <w:sz w:val="32"/>
          <w:szCs w:val="32"/>
        </w:rPr>
        <w:t>数</w:t>
      </w:r>
      <w:r>
        <w:rPr>
          <w:rFonts w:hint="default" w:ascii="Times New Roman" w:hAnsi="Times New Roman" w:eastAsia="仿宋_GB2312" w:cs="Times New Roman"/>
          <w:spacing w:val="4"/>
          <w:sz w:val="32"/>
          <w:szCs w:val="32"/>
        </w:rPr>
        <w:t>字</w:t>
      </w:r>
      <w:r>
        <w:rPr>
          <w:rFonts w:hint="default" w:ascii="Times New Roman" w:hAnsi="Times New Roman" w:eastAsia="仿宋_GB2312" w:cs="Times New Roman"/>
          <w:spacing w:val="2"/>
          <w:sz w:val="32"/>
          <w:szCs w:val="32"/>
        </w:rPr>
        <w:t>化</w:t>
      </w:r>
      <w:r>
        <w:rPr>
          <w:rFonts w:hint="default" w:ascii="Times New Roman" w:hAnsi="Times New Roman" w:eastAsia="仿宋_GB2312" w:cs="Times New Roman"/>
          <w:sz w:val="32"/>
          <w:szCs w:val="32"/>
        </w:rPr>
        <w:t>赋</w:t>
      </w:r>
      <w:r>
        <w:rPr>
          <w:rFonts w:hint="default" w:ascii="Times New Roman" w:hAnsi="Times New Roman" w:eastAsia="仿宋_GB2312" w:cs="Times New Roman"/>
          <w:spacing w:val="4"/>
          <w:sz w:val="32"/>
          <w:szCs w:val="32"/>
        </w:rPr>
        <w:t>能。</w:t>
      </w:r>
      <w:r>
        <w:rPr>
          <w:rFonts w:hint="default" w:ascii="Times New Roman" w:hAnsi="Times New Roman" w:eastAsia="仿宋_GB2312" w:cs="Times New Roman"/>
          <w:sz w:val="32"/>
          <w:szCs w:val="32"/>
        </w:rPr>
        <w:t>支持发展电子商务</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z w:val="32"/>
          <w:szCs w:val="32"/>
        </w:rPr>
        <w:t>数字文旅</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z w:val="32"/>
          <w:szCs w:val="32"/>
        </w:rPr>
        <w:t>智慧物流、</w:t>
      </w:r>
      <w:r>
        <w:rPr>
          <w:rFonts w:hint="default" w:ascii="Times New Roman" w:hAnsi="Times New Roman" w:eastAsia="仿宋_GB2312" w:cs="Times New Roman"/>
          <w:spacing w:val="4"/>
          <w:sz w:val="32"/>
          <w:szCs w:val="32"/>
        </w:rPr>
        <w:t>生</w:t>
      </w:r>
      <w:r>
        <w:rPr>
          <w:rFonts w:hint="default" w:ascii="Times New Roman" w:hAnsi="Times New Roman" w:eastAsia="仿宋_GB2312" w:cs="Times New Roman"/>
          <w:spacing w:val="2"/>
          <w:sz w:val="32"/>
          <w:szCs w:val="32"/>
        </w:rPr>
        <w:t>鲜</w:t>
      </w:r>
      <w:r>
        <w:rPr>
          <w:rFonts w:hint="default" w:ascii="Times New Roman" w:hAnsi="Times New Roman" w:eastAsia="仿宋_GB2312" w:cs="Times New Roman"/>
          <w:spacing w:val="4"/>
          <w:sz w:val="32"/>
          <w:szCs w:val="32"/>
        </w:rPr>
        <w:t>电商</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在</w:t>
      </w:r>
      <w:r>
        <w:rPr>
          <w:rFonts w:hint="default" w:ascii="Times New Roman" w:hAnsi="Times New Roman" w:eastAsia="仿宋_GB2312" w:cs="Times New Roman"/>
          <w:spacing w:val="2"/>
          <w:sz w:val="32"/>
          <w:szCs w:val="32"/>
        </w:rPr>
        <w:t>线</w:t>
      </w:r>
      <w:r>
        <w:rPr>
          <w:rFonts w:hint="default" w:ascii="Times New Roman" w:hAnsi="Times New Roman" w:eastAsia="仿宋_GB2312" w:cs="Times New Roman"/>
          <w:spacing w:val="4"/>
          <w:sz w:val="32"/>
          <w:szCs w:val="32"/>
        </w:rPr>
        <w:t>诊疗</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线上</w:t>
      </w:r>
      <w:r>
        <w:rPr>
          <w:rFonts w:hint="default" w:ascii="Times New Roman" w:hAnsi="Times New Roman" w:eastAsia="仿宋_GB2312" w:cs="Times New Roman"/>
          <w:spacing w:val="2"/>
          <w:sz w:val="32"/>
          <w:szCs w:val="32"/>
        </w:rPr>
        <w:t>教</w:t>
      </w:r>
      <w:r>
        <w:rPr>
          <w:rFonts w:hint="default" w:ascii="Times New Roman" w:hAnsi="Times New Roman" w:eastAsia="仿宋_GB2312" w:cs="Times New Roman"/>
          <w:spacing w:val="4"/>
          <w:sz w:val="32"/>
          <w:szCs w:val="32"/>
        </w:rPr>
        <w:t>育、</w:t>
      </w:r>
      <w:r>
        <w:rPr>
          <w:rFonts w:hint="default" w:ascii="Times New Roman" w:hAnsi="Times New Roman" w:eastAsia="仿宋_GB2312" w:cs="Times New Roman"/>
          <w:spacing w:val="2"/>
          <w:sz w:val="32"/>
          <w:szCs w:val="32"/>
        </w:rPr>
        <w:t>数</w:t>
      </w:r>
      <w:r>
        <w:rPr>
          <w:rFonts w:hint="default" w:ascii="Times New Roman" w:hAnsi="Times New Roman" w:eastAsia="仿宋_GB2312" w:cs="Times New Roman"/>
          <w:spacing w:val="4"/>
          <w:sz w:val="32"/>
          <w:szCs w:val="32"/>
        </w:rPr>
        <w:t>字</w:t>
      </w:r>
      <w:r>
        <w:rPr>
          <w:rFonts w:hint="default" w:ascii="Times New Roman" w:hAnsi="Times New Roman" w:eastAsia="仿宋_GB2312" w:cs="Times New Roman"/>
          <w:spacing w:val="2"/>
          <w:sz w:val="32"/>
          <w:szCs w:val="32"/>
        </w:rPr>
        <w:t>娱</w:t>
      </w:r>
      <w:r>
        <w:rPr>
          <w:rFonts w:hint="default" w:ascii="Times New Roman" w:hAnsi="Times New Roman" w:eastAsia="仿宋_GB2312" w:cs="Times New Roman"/>
          <w:spacing w:val="4"/>
          <w:sz w:val="32"/>
          <w:szCs w:val="32"/>
        </w:rPr>
        <w:t>乐、</w:t>
      </w:r>
      <w:r>
        <w:rPr>
          <w:rFonts w:hint="default" w:ascii="Times New Roman" w:hAnsi="Times New Roman" w:eastAsia="仿宋_GB2312" w:cs="Times New Roman"/>
          <w:spacing w:val="2"/>
          <w:sz w:val="32"/>
          <w:szCs w:val="32"/>
        </w:rPr>
        <w:t>无</w:t>
      </w:r>
      <w:r>
        <w:rPr>
          <w:rFonts w:hint="default" w:ascii="Times New Roman" w:hAnsi="Times New Roman" w:eastAsia="仿宋_GB2312" w:cs="Times New Roman"/>
          <w:spacing w:val="4"/>
          <w:sz w:val="32"/>
          <w:szCs w:val="32"/>
        </w:rPr>
        <w:t>接触</w:t>
      </w:r>
      <w:r>
        <w:rPr>
          <w:rFonts w:hint="default" w:ascii="Times New Roman" w:hAnsi="Times New Roman" w:eastAsia="仿宋_GB2312" w:cs="Times New Roman"/>
          <w:spacing w:val="2"/>
          <w:sz w:val="32"/>
          <w:szCs w:val="32"/>
        </w:rPr>
        <w:t>配</w:t>
      </w:r>
      <w:r>
        <w:rPr>
          <w:rFonts w:hint="default" w:ascii="Times New Roman" w:hAnsi="Times New Roman" w:eastAsia="仿宋_GB2312" w:cs="Times New Roman"/>
          <w:spacing w:val="4"/>
          <w:sz w:val="32"/>
          <w:szCs w:val="32"/>
        </w:rPr>
        <w:t>送等</w:t>
      </w:r>
      <w:r>
        <w:rPr>
          <w:rFonts w:hint="default" w:ascii="Times New Roman" w:hAnsi="Times New Roman" w:eastAsia="仿宋_GB2312" w:cs="Times New Roman"/>
          <w:spacing w:val="2"/>
          <w:sz w:val="32"/>
          <w:szCs w:val="32"/>
        </w:rPr>
        <w:t>新</w:t>
      </w:r>
      <w:r>
        <w:rPr>
          <w:rFonts w:hint="default" w:ascii="Times New Roman" w:hAnsi="Times New Roman" w:eastAsia="仿宋_GB2312" w:cs="Times New Roman"/>
          <w:spacing w:val="4"/>
          <w:sz w:val="32"/>
          <w:szCs w:val="32"/>
        </w:rPr>
        <w:t>业</w:t>
      </w:r>
      <w:r>
        <w:rPr>
          <w:rFonts w:hint="default" w:ascii="Times New Roman" w:hAnsi="Times New Roman" w:eastAsia="仿宋_GB2312" w:cs="Times New Roman"/>
          <w:spacing w:val="2"/>
          <w:sz w:val="32"/>
          <w:szCs w:val="32"/>
        </w:rPr>
        <w:t>态</w:t>
      </w:r>
      <w:r>
        <w:rPr>
          <w:rFonts w:hint="default" w:ascii="Times New Roman" w:hAnsi="Times New Roman" w:eastAsia="仿宋_GB2312" w:cs="Times New Roman"/>
          <w:sz w:val="32"/>
          <w:szCs w:val="32"/>
        </w:rPr>
        <w:t>新模式。加强数字经济区域合作，加快建设数字蓬溪和智慧蓬溪。</w:t>
      </w:r>
    </w:p>
    <w:p w14:paraId="45C3BBD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做强做优电子信息制造业。</w:t>
      </w:r>
      <w:r>
        <w:rPr>
          <w:rFonts w:hint="default" w:ascii="Times New Roman" w:hAnsi="Times New Roman" w:eastAsia="仿宋_GB2312" w:cs="Times New Roman"/>
          <w:color w:val="auto"/>
          <w:sz w:val="32"/>
          <w:szCs w:val="32"/>
          <w:highlight w:val="none"/>
          <w:shd w:val="clear" w:color="auto" w:fill="auto"/>
        </w:rPr>
        <w:t>围绕“强基地、补链条、引终端、壮产业”的发展思路，加强成渝地区产业协作，实现产业集群壮大和产业链条延伸，打造西部重要的电子信息产业基地和成渝双城经济圈电子信息产业配套基地。开展以行业应用为导向的</w:t>
      </w:r>
      <w:r>
        <w:rPr>
          <w:rFonts w:hint="default" w:ascii="Times New Roman" w:hAnsi="Times New Roman" w:eastAsia="仿宋_GB2312" w:cs="Times New Roman"/>
          <w:color w:val="auto"/>
          <w:sz w:val="32"/>
          <w:szCs w:val="32"/>
          <w:highlight w:val="none"/>
          <w:shd w:val="clear" w:color="auto" w:fill="auto"/>
          <w:lang w:val="en-US" w:eastAsia="zh-CN"/>
        </w:rPr>
        <w:t>电子原件</w:t>
      </w:r>
      <w:r>
        <w:rPr>
          <w:rFonts w:hint="default" w:ascii="Times New Roman" w:hAnsi="Times New Roman" w:eastAsia="仿宋_GB2312" w:cs="Times New Roman"/>
          <w:color w:val="auto"/>
          <w:sz w:val="32"/>
          <w:szCs w:val="32"/>
          <w:highlight w:val="none"/>
          <w:shd w:val="clear" w:color="auto" w:fill="auto"/>
        </w:rPr>
        <w:t>研发，进行半导体材料、设计、制造、封装、测试、整机和系统制造发展布局，</w:t>
      </w:r>
      <w:r>
        <w:rPr>
          <w:rFonts w:hint="default" w:ascii="Times New Roman" w:hAnsi="Times New Roman" w:eastAsia="仿宋_GB2312" w:cs="Times New Roman"/>
          <w:color w:val="auto"/>
          <w:sz w:val="32"/>
          <w:szCs w:val="32"/>
          <w:highlight w:val="none"/>
          <w:shd w:val="clear" w:color="auto" w:fill="auto"/>
          <w:lang w:val="en-US" w:eastAsia="zh-CN"/>
        </w:rPr>
        <w:t>建立</w:t>
      </w:r>
      <w:r>
        <w:rPr>
          <w:rFonts w:hint="default" w:ascii="Times New Roman" w:hAnsi="Times New Roman" w:eastAsia="仿宋_GB2312" w:cs="Times New Roman"/>
          <w:color w:val="auto"/>
          <w:sz w:val="32"/>
          <w:szCs w:val="32"/>
          <w:highlight w:val="none"/>
          <w:shd w:val="clear" w:color="auto" w:fill="auto"/>
        </w:rPr>
        <w:t>集成电路产业链条，形成具有</w:t>
      </w:r>
      <w:r>
        <w:rPr>
          <w:rFonts w:hint="default" w:ascii="Times New Roman" w:hAnsi="Times New Roman" w:eastAsia="仿宋_GB2312" w:cs="Times New Roman"/>
          <w:color w:val="auto"/>
          <w:sz w:val="32"/>
          <w:szCs w:val="32"/>
          <w:highlight w:val="none"/>
          <w:shd w:val="clear" w:color="auto" w:fill="auto"/>
          <w:lang w:val="en-US" w:eastAsia="zh-CN"/>
        </w:rPr>
        <w:t>蓬溪</w:t>
      </w:r>
      <w:r>
        <w:rPr>
          <w:rFonts w:hint="default" w:ascii="Times New Roman" w:hAnsi="Times New Roman" w:eastAsia="仿宋_GB2312" w:cs="Times New Roman"/>
          <w:color w:val="auto"/>
          <w:sz w:val="32"/>
          <w:szCs w:val="32"/>
          <w:highlight w:val="none"/>
          <w:shd w:val="clear" w:color="auto" w:fill="auto"/>
        </w:rPr>
        <w:t>特色的集成电路产业链，打造西南地区重要的集成电路产业基地。</w:t>
      </w:r>
    </w:p>
    <w:p w14:paraId="7BA2C39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FABAB" w:themeColor="background2" w:themeShade="BF"/>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发展软件和信息技术服务业。</w:t>
      </w:r>
      <w:r>
        <w:rPr>
          <w:rFonts w:hint="default" w:ascii="Times New Roman" w:hAnsi="Times New Roman" w:eastAsia="仿宋_GB2312" w:cs="Times New Roman"/>
          <w:color w:val="auto"/>
          <w:sz w:val="32"/>
          <w:szCs w:val="32"/>
          <w:highlight w:val="none"/>
          <w:shd w:val="clear" w:color="auto" w:fill="auto"/>
        </w:rPr>
        <w:t>发展电子政务及面向本地重点行业的应用软件，积极承接成渝两地软件与信息服务外包业务。引进软件及互联网企业，</w:t>
      </w:r>
      <w:r>
        <w:rPr>
          <w:rFonts w:hint="default" w:ascii="Times New Roman" w:hAnsi="Times New Roman" w:eastAsia="仿宋_GB2312" w:cs="Times New Roman"/>
          <w:color w:val="auto"/>
          <w:sz w:val="32"/>
          <w:szCs w:val="32"/>
          <w:highlight w:val="none"/>
          <w:shd w:val="clear" w:color="auto" w:fill="auto"/>
          <w:lang w:val="en-US" w:eastAsia="zh-CN"/>
        </w:rPr>
        <w:t>同时</w:t>
      </w:r>
      <w:r>
        <w:rPr>
          <w:rFonts w:hint="default" w:ascii="Times New Roman" w:hAnsi="Times New Roman" w:eastAsia="仿宋_GB2312" w:cs="Times New Roman"/>
          <w:color w:val="auto"/>
          <w:sz w:val="32"/>
          <w:szCs w:val="32"/>
          <w:highlight w:val="none"/>
          <w:shd w:val="clear" w:color="auto" w:fill="auto"/>
        </w:rPr>
        <w:t>扶持本地软件企业发展，组织本地公司积极参与项目调研与软件开发设计，以需求促发展，以发展拓市场，不断壮大产业规模。加强产学研深度合作，支持我</w:t>
      </w:r>
      <w:r>
        <w:rPr>
          <w:rFonts w:hint="default" w:ascii="Times New Roman" w:hAnsi="Times New Roman" w:eastAsia="仿宋_GB2312" w:cs="Times New Roman"/>
          <w:color w:val="auto"/>
          <w:sz w:val="32"/>
          <w:szCs w:val="32"/>
          <w:highlight w:val="none"/>
          <w:shd w:val="clear" w:color="auto" w:fill="auto"/>
          <w:lang w:val="en-US" w:eastAsia="zh-CN"/>
        </w:rPr>
        <w:t>县</w:t>
      </w:r>
      <w:r>
        <w:rPr>
          <w:rFonts w:hint="default" w:ascii="Times New Roman" w:hAnsi="Times New Roman" w:eastAsia="仿宋_GB2312" w:cs="Times New Roman"/>
          <w:color w:val="auto"/>
          <w:sz w:val="32"/>
          <w:szCs w:val="32"/>
          <w:highlight w:val="none"/>
          <w:shd w:val="clear" w:color="auto" w:fill="auto"/>
        </w:rPr>
        <w:t>软件企业与高校、科研院所等联合研发重点领域软件，通过市场开放、资源开发、技术采购、服务外包等方式，推动基础软件和面向商务、教育、医疗、金融、文化、旅游等领域的应用软件研发。</w:t>
      </w:r>
    </w:p>
    <w:p w14:paraId="12BD028D">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强化数字终端产品制造能力。</w:t>
      </w:r>
      <w:r>
        <w:rPr>
          <w:rFonts w:hint="default" w:ascii="Times New Roman" w:hAnsi="Times New Roman" w:eastAsia="仿宋_GB2312" w:cs="Times New Roman"/>
          <w:color w:val="auto"/>
          <w:sz w:val="32"/>
          <w:szCs w:val="32"/>
          <w:highlight w:val="none"/>
          <w:shd w:val="clear" w:color="auto" w:fill="auto"/>
        </w:rPr>
        <w:t>积极发展消费电子产品，推动智能</w:t>
      </w:r>
      <w:r>
        <w:rPr>
          <w:rFonts w:hint="default" w:ascii="Times New Roman" w:hAnsi="Times New Roman" w:eastAsia="仿宋_GB2312" w:cs="Times New Roman"/>
          <w:color w:val="auto"/>
          <w:sz w:val="32"/>
          <w:szCs w:val="32"/>
          <w:highlight w:val="none"/>
          <w:shd w:val="clear" w:color="auto" w:fill="auto"/>
          <w:lang w:val="en-US" w:eastAsia="zh-CN"/>
        </w:rPr>
        <w:t>门锁</w:t>
      </w:r>
      <w:r>
        <w:rPr>
          <w:rFonts w:hint="default" w:ascii="Times New Roman" w:hAnsi="Times New Roman" w:eastAsia="仿宋_GB2312" w:cs="Times New Roman"/>
          <w:color w:val="auto"/>
          <w:sz w:val="32"/>
          <w:szCs w:val="32"/>
          <w:highlight w:val="none"/>
          <w:shd w:val="clear" w:color="auto" w:fill="auto"/>
        </w:rPr>
        <w:t>、智能安防等新型数字家庭产品开发，推广通用产品技术标准和应用规范。鼓励支持企业发展面向定制化应用场景的智能家居“产品+服务”模式。集聚发展物联网设备、</w:t>
      </w:r>
      <w:r>
        <w:rPr>
          <w:rFonts w:hint="default" w:ascii="Times New Roman" w:hAnsi="Times New Roman" w:eastAsia="仿宋_GB2312" w:cs="Times New Roman"/>
          <w:color w:val="auto"/>
          <w:sz w:val="32"/>
          <w:szCs w:val="32"/>
          <w:highlight w:val="none"/>
          <w:shd w:val="clear" w:color="auto" w:fill="auto"/>
          <w:lang w:val="en-US" w:eastAsia="zh-CN"/>
        </w:rPr>
        <w:t>智能家居电子设备、</w:t>
      </w:r>
      <w:r>
        <w:rPr>
          <w:rFonts w:hint="default" w:ascii="Times New Roman" w:hAnsi="Times New Roman" w:eastAsia="仿宋_GB2312" w:cs="Times New Roman"/>
          <w:color w:val="auto"/>
          <w:sz w:val="32"/>
          <w:szCs w:val="32"/>
          <w:highlight w:val="none"/>
          <w:shd w:val="clear" w:color="auto" w:fill="auto"/>
        </w:rPr>
        <w:t>智能手机、智能穿戴、家用电子保健设备、汽车电子、教育电子等消费类电子终端产品产业集群，壮大智能终端应用产业规模。加强物联网设备产业发展，加快引进培育物联网设备等终端产品生产企业，围绕物联网设备产业链和应用场景，积极引进物理设备、连网设备、智能设备（智能开关、智能PDU、智能门锁、智能插座、智能空调面板）和传感器、执行器、微控制器的生产制造企业。依托</w:t>
      </w:r>
      <w:r>
        <w:rPr>
          <w:rFonts w:hint="default" w:ascii="Times New Roman" w:hAnsi="Times New Roman" w:eastAsia="仿宋_GB2312" w:cs="Times New Roman"/>
          <w:color w:val="auto"/>
          <w:sz w:val="32"/>
          <w:szCs w:val="32"/>
          <w:highlight w:val="none"/>
          <w:shd w:val="clear" w:color="auto" w:fill="auto"/>
          <w:lang w:val="en-US" w:eastAsia="zh-CN"/>
        </w:rPr>
        <w:t>蓬溪县</w:t>
      </w:r>
      <w:r>
        <w:rPr>
          <w:rFonts w:hint="default" w:ascii="Times New Roman" w:hAnsi="Times New Roman" w:eastAsia="仿宋_GB2312" w:cs="Times New Roman"/>
          <w:color w:val="auto"/>
          <w:sz w:val="32"/>
          <w:szCs w:val="32"/>
          <w:highlight w:val="none"/>
          <w:shd w:val="clear" w:color="auto" w:fill="auto"/>
        </w:rPr>
        <w:t>智慧城市建设，加强对传感器、摄像头、电子标签等物联网感知设备的统筹布局和共建共享，加快智能传感器、物联网芯片、传感器网络组网和管理等的研发与产业化。</w:t>
      </w:r>
    </w:p>
    <w:p w14:paraId="67475208">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培育大数据产业。</w:t>
      </w:r>
      <w:r>
        <w:rPr>
          <w:rFonts w:hint="default" w:ascii="Times New Roman" w:hAnsi="Times New Roman" w:eastAsia="仿宋_GB2312" w:cs="Times New Roman"/>
          <w:color w:val="auto"/>
          <w:sz w:val="32"/>
          <w:szCs w:val="32"/>
          <w:highlight w:val="none"/>
          <w:shd w:val="clear" w:color="auto" w:fill="auto"/>
        </w:rPr>
        <w:t>依托</w:t>
      </w:r>
      <w:r>
        <w:rPr>
          <w:rFonts w:hint="default" w:ascii="Times New Roman" w:hAnsi="Times New Roman" w:eastAsia="仿宋_GB2312" w:cs="Times New Roman"/>
          <w:color w:val="auto"/>
          <w:sz w:val="32"/>
          <w:szCs w:val="32"/>
          <w:highlight w:val="none"/>
          <w:shd w:val="clear" w:color="auto" w:fill="auto"/>
          <w:lang w:val="en-US" w:eastAsia="zh-CN"/>
        </w:rPr>
        <w:t>蓬溪县智慧城市建设主体</w:t>
      </w:r>
      <w:r>
        <w:rPr>
          <w:rFonts w:hint="default" w:ascii="Times New Roman" w:hAnsi="Times New Roman" w:eastAsia="仿宋_GB2312" w:cs="Times New Roman"/>
          <w:color w:val="auto"/>
          <w:sz w:val="32"/>
          <w:szCs w:val="32"/>
          <w:highlight w:val="none"/>
          <w:shd w:val="clear" w:color="auto" w:fill="auto"/>
        </w:rPr>
        <w:t>，面向成渝经济区和东部地区引进培育大数据龙头企业，聚集一批具有优良成长性的中小微创新型企业，培育具有</w:t>
      </w:r>
      <w:r>
        <w:rPr>
          <w:rFonts w:hint="default" w:ascii="Times New Roman" w:hAnsi="Times New Roman" w:eastAsia="仿宋_GB2312" w:cs="Times New Roman"/>
          <w:color w:val="auto"/>
          <w:sz w:val="32"/>
          <w:szCs w:val="32"/>
          <w:highlight w:val="none"/>
          <w:shd w:val="clear" w:color="auto" w:fill="auto"/>
          <w:lang w:val="en-US" w:eastAsia="zh-CN"/>
        </w:rPr>
        <w:t>蓬溪</w:t>
      </w:r>
      <w:r>
        <w:rPr>
          <w:rFonts w:hint="default" w:ascii="Times New Roman" w:hAnsi="Times New Roman" w:eastAsia="仿宋_GB2312" w:cs="Times New Roman"/>
          <w:color w:val="auto"/>
          <w:sz w:val="32"/>
          <w:szCs w:val="32"/>
          <w:highlight w:val="none"/>
          <w:shd w:val="clear" w:color="auto" w:fill="auto"/>
        </w:rPr>
        <w:t>本地特色的数据服务数字经济骨干企业，不断壮大大数据产业集群规模，培育打造大数据产业基地。推进数据中心建设，支持开展政府大数据、行业大数据、企业大数据、个人大数据的整合应用，打造</w:t>
      </w:r>
      <w:r>
        <w:rPr>
          <w:rFonts w:hint="default" w:ascii="Times New Roman" w:hAnsi="Times New Roman" w:eastAsia="仿宋_GB2312" w:cs="Times New Roman"/>
          <w:color w:val="auto"/>
          <w:sz w:val="32"/>
          <w:szCs w:val="32"/>
          <w:highlight w:val="none"/>
          <w:shd w:val="clear" w:color="auto" w:fill="auto"/>
          <w:lang w:val="en-US" w:eastAsia="zh-CN"/>
        </w:rPr>
        <w:t>县</w:t>
      </w:r>
      <w:r>
        <w:rPr>
          <w:rFonts w:hint="default" w:ascii="Times New Roman" w:hAnsi="Times New Roman" w:eastAsia="仿宋_GB2312" w:cs="Times New Roman"/>
          <w:color w:val="auto"/>
          <w:sz w:val="32"/>
          <w:szCs w:val="32"/>
          <w:highlight w:val="none"/>
          <w:shd w:val="clear" w:color="auto" w:fill="auto"/>
        </w:rPr>
        <w:t>级数据聚集地，形成支持智慧政务、智慧旅游、智慧康养、智慧产业等领域的数据存储、计算、传输等基础能力。加强大数据基础硬件建设，依托大数据平台和上层各种大数据应用，提供对海量、异构、快速变化数据采集、传输、存储、处理（包括计算、分析、可视化等）、交换、销毁等覆盖数据生命周期相关活动的各种数据服务。</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14:paraId="78375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0" w:type="auto"/>
            <w:tcBorders>
              <w:bottom w:val="single" w:color="auto" w:sz="4" w:space="0"/>
            </w:tcBorders>
            <w:vAlign w:val="center"/>
          </w:tcPr>
          <w:p w14:paraId="2B43A34D">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jc w:val="both"/>
              <w:textAlignment w:val="auto"/>
              <w:rPr>
                <w:rFonts w:hint="default" w:ascii="Times New Roman" w:hAnsi="Times New Roman" w:eastAsia="楷体_GB2312" w:cs="Times New Roman"/>
                <w:color w:val="auto"/>
                <w:kern w:val="2"/>
                <w:sz w:val="32"/>
                <w:szCs w:val="32"/>
                <w:highlight w:val="none"/>
                <w:shd w:val="clear" w:color="auto" w:fill="auto"/>
              </w:rPr>
            </w:pPr>
            <w:r>
              <w:rPr>
                <w:rFonts w:hint="default" w:ascii="Times New Roman" w:hAnsi="Times New Roman" w:eastAsia="楷体_GB2312" w:cs="Times New Roman"/>
                <w:b/>
                <w:bCs/>
                <w:color w:val="auto"/>
                <w:kern w:val="2"/>
                <w:sz w:val="28"/>
                <w:szCs w:val="28"/>
                <w:highlight w:val="none"/>
                <w:shd w:val="clear" w:color="auto" w:fill="auto"/>
              </w:rPr>
              <w:t>专栏3  数字产业培育壮大工程</w:t>
            </w:r>
          </w:p>
        </w:tc>
      </w:tr>
      <w:tr w14:paraId="1CA9B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14:paraId="4E42D0E5">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b/>
                <w:bCs/>
                <w:color w:val="auto"/>
                <w:kern w:val="2"/>
                <w:sz w:val="24"/>
                <w:szCs w:val="24"/>
                <w:highlight w:val="none"/>
                <w:shd w:val="clear" w:color="auto" w:fill="auto"/>
              </w:rPr>
            </w:pPr>
            <w:r>
              <w:rPr>
                <w:rFonts w:hint="default" w:ascii="Times New Roman" w:hAnsi="Times New Roman" w:eastAsia="仿宋_GB2312" w:cs="Times New Roman"/>
                <w:b/>
                <w:bCs/>
                <w:color w:val="auto"/>
                <w:kern w:val="2"/>
                <w:sz w:val="24"/>
                <w:szCs w:val="24"/>
                <w:highlight w:val="none"/>
                <w:shd w:val="clear" w:color="auto" w:fill="auto"/>
                <w:lang w:val="en-US" w:eastAsia="zh-CN"/>
              </w:rPr>
              <w:t>县</w:t>
            </w:r>
            <w:r>
              <w:rPr>
                <w:rFonts w:hint="eastAsia" w:ascii="Times New Roman" w:hAnsi="Times New Roman" w:eastAsia="仿宋_GB2312" w:cs="Times New Roman"/>
                <w:b/>
                <w:bCs/>
                <w:color w:val="auto"/>
                <w:kern w:val="2"/>
                <w:sz w:val="24"/>
                <w:szCs w:val="24"/>
                <w:highlight w:val="none"/>
                <w:shd w:val="clear" w:color="auto" w:fill="auto"/>
                <w:lang w:val="en-US" w:eastAsia="zh-CN"/>
              </w:rPr>
              <w:t>级</w:t>
            </w:r>
            <w:r>
              <w:rPr>
                <w:rFonts w:hint="default" w:ascii="Times New Roman" w:hAnsi="Times New Roman" w:eastAsia="仿宋_GB2312" w:cs="Times New Roman"/>
                <w:b/>
                <w:bCs/>
                <w:color w:val="auto"/>
                <w:kern w:val="2"/>
                <w:sz w:val="24"/>
                <w:szCs w:val="24"/>
                <w:highlight w:val="none"/>
                <w:shd w:val="clear" w:color="auto" w:fill="auto"/>
              </w:rPr>
              <w:t>数据中心。</w:t>
            </w:r>
            <w:r>
              <w:rPr>
                <w:rFonts w:hint="default" w:ascii="Times New Roman" w:hAnsi="Times New Roman" w:eastAsia="仿宋_GB2312" w:cs="Times New Roman"/>
                <w:color w:val="auto"/>
                <w:kern w:val="2"/>
                <w:sz w:val="24"/>
                <w:szCs w:val="24"/>
                <w:highlight w:val="none"/>
                <w:shd w:val="clear" w:color="auto" w:fill="auto"/>
                <w:lang w:val="en-US" w:eastAsia="zh-CN"/>
              </w:rPr>
              <w:t>通过智慧城市建设项目建立县大数据机房，在蓬溪县市民中心建设面积约300平方米的大数据机房，构建智慧城市五大基础数据库，</w:t>
            </w:r>
            <w:r>
              <w:rPr>
                <w:rFonts w:hint="default" w:ascii="Times New Roman" w:hAnsi="Times New Roman" w:eastAsia="仿宋_GB2312" w:cs="Times New Roman"/>
                <w:color w:val="auto"/>
                <w:kern w:val="2"/>
                <w:sz w:val="24"/>
                <w:szCs w:val="24"/>
                <w:highlight w:val="none"/>
                <w:shd w:val="clear" w:color="auto" w:fill="auto"/>
              </w:rPr>
              <w:t>汇聚现有社会、行业和政务等领域数据，提供存储和计算服务。承接成渝地区对于数据中心的外溢需求，提供档案类、存储类和灾备类业务能力，建设成为成渝地区重要信息</w:t>
            </w:r>
            <w:r>
              <w:rPr>
                <w:rFonts w:hint="default" w:ascii="Times New Roman" w:hAnsi="Times New Roman" w:eastAsia="仿宋_GB2312" w:cs="Times New Roman"/>
                <w:color w:val="auto"/>
                <w:kern w:val="2"/>
                <w:sz w:val="24"/>
                <w:szCs w:val="24"/>
                <w:highlight w:val="none"/>
                <w:shd w:val="clear" w:color="auto" w:fill="auto"/>
                <w:lang w:val="en-US" w:eastAsia="zh-CN"/>
              </w:rPr>
              <w:t>节点</w:t>
            </w:r>
            <w:r>
              <w:rPr>
                <w:rFonts w:hint="default" w:ascii="Times New Roman" w:hAnsi="Times New Roman" w:eastAsia="仿宋_GB2312" w:cs="Times New Roman"/>
                <w:color w:val="auto"/>
                <w:kern w:val="2"/>
                <w:sz w:val="24"/>
                <w:szCs w:val="24"/>
                <w:highlight w:val="none"/>
                <w:shd w:val="clear" w:color="auto" w:fill="auto"/>
              </w:rPr>
              <w:t>。202</w:t>
            </w:r>
            <w:r>
              <w:rPr>
                <w:rFonts w:hint="default" w:ascii="Times New Roman" w:hAnsi="Times New Roman" w:eastAsia="仿宋_GB2312" w:cs="Times New Roman"/>
                <w:color w:val="auto"/>
                <w:kern w:val="2"/>
                <w:sz w:val="24"/>
                <w:szCs w:val="24"/>
                <w:highlight w:val="none"/>
                <w:shd w:val="clear" w:color="auto" w:fill="auto"/>
                <w:lang w:val="en-US" w:eastAsia="zh-CN"/>
              </w:rPr>
              <w:t>3</w:t>
            </w:r>
            <w:r>
              <w:rPr>
                <w:rFonts w:hint="default" w:ascii="Times New Roman" w:hAnsi="Times New Roman" w:eastAsia="仿宋_GB2312" w:cs="Times New Roman"/>
                <w:color w:val="auto"/>
                <w:kern w:val="2"/>
                <w:sz w:val="24"/>
                <w:szCs w:val="24"/>
                <w:highlight w:val="none"/>
                <w:shd w:val="clear" w:color="auto" w:fill="auto"/>
              </w:rPr>
              <w:t>年，完成大数据中心</w:t>
            </w:r>
            <w:r>
              <w:rPr>
                <w:rFonts w:hint="default" w:ascii="Times New Roman" w:hAnsi="Times New Roman" w:eastAsia="仿宋_GB2312" w:cs="Times New Roman"/>
                <w:color w:val="auto"/>
                <w:kern w:val="2"/>
                <w:sz w:val="24"/>
                <w:szCs w:val="24"/>
                <w:highlight w:val="none"/>
                <w:shd w:val="clear" w:color="auto" w:fill="auto"/>
                <w:lang w:val="en-US" w:eastAsia="zh-CN"/>
              </w:rPr>
              <w:t>机房</w:t>
            </w:r>
            <w:r>
              <w:rPr>
                <w:rFonts w:hint="default" w:ascii="Times New Roman" w:hAnsi="Times New Roman" w:eastAsia="仿宋_GB2312" w:cs="Times New Roman"/>
                <w:color w:val="auto"/>
                <w:kern w:val="2"/>
                <w:sz w:val="24"/>
                <w:szCs w:val="24"/>
                <w:highlight w:val="none"/>
                <w:shd w:val="clear" w:color="auto" w:fill="auto"/>
              </w:rPr>
              <w:t>的初步</w:t>
            </w:r>
            <w:r>
              <w:rPr>
                <w:rFonts w:hint="default" w:ascii="Times New Roman" w:hAnsi="Times New Roman" w:eastAsia="仿宋_GB2312" w:cs="Times New Roman"/>
                <w:color w:val="auto"/>
                <w:kern w:val="2"/>
                <w:sz w:val="24"/>
                <w:szCs w:val="24"/>
                <w:highlight w:val="none"/>
                <w:shd w:val="clear" w:color="auto" w:fill="auto"/>
                <w:lang w:val="en-US" w:eastAsia="zh-CN"/>
              </w:rPr>
              <w:t>建设</w:t>
            </w:r>
            <w:r>
              <w:rPr>
                <w:rFonts w:hint="default" w:ascii="Times New Roman" w:hAnsi="Times New Roman" w:eastAsia="仿宋_GB2312" w:cs="Times New Roman"/>
                <w:color w:val="auto"/>
                <w:kern w:val="2"/>
                <w:sz w:val="24"/>
                <w:szCs w:val="24"/>
                <w:highlight w:val="none"/>
                <w:shd w:val="clear" w:color="auto" w:fill="auto"/>
              </w:rPr>
              <w:t>。</w:t>
            </w:r>
          </w:p>
          <w:p w14:paraId="7E0F90A6">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color w:val="auto"/>
                <w:kern w:val="2"/>
                <w:sz w:val="24"/>
                <w:szCs w:val="24"/>
                <w:highlight w:val="none"/>
                <w:shd w:val="clear" w:color="auto" w:fill="auto"/>
                <w:lang w:val="en-US" w:eastAsia="zh-CN"/>
              </w:rPr>
            </w:pPr>
            <w:r>
              <w:rPr>
                <w:rFonts w:hint="default" w:ascii="Times New Roman" w:hAnsi="Times New Roman" w:eastAsia="仿宋_GB2312" w:cs="Times New Roman"/>
                <w:b/>
                <w:bCs/>
                <w:color w:val="auto"/>
                <w:kern w:val="2"/>
                <w:sz w:val="24"/>
                <w:szCs w:val="24"/>
                <w:highlight w:val="none"/>
                <w:shd w:val="clear" w:color="auto" w:fill="auto"/>
                <w:lang w:val="en-US" w:eastAsia="zh-CN"/>
              </w:rPr>
              <w:t>智能家居产业</w:t>
            </w:r>
            <w:r>
              <w:rPr>
                <w:rFonts w:hint="default" w:ascii="Times New Roman" w:hAnsi="Times New Roman" w:eastAsia="仿宋_GB2312" w:cs="Times New Roman"/>
                <w:b/>
                <w:bCs/>
                <w:color w:val="auto"/>
                <w:kern w:val="2"/>
                <w:sz w:val="24"/>
                <w:szCs w:val="24"/>
                <w:highlight w:val="none"/>
                <w:shd w:val="clear" w:color="auto" w:fill="auto"/>
              </w:rPr>
              <w:t>。</w:t>
            </w:r>
            <w:r>
              <w:rPr>
                <w:rFonts w:hint="default" w:ascii="Times New Roman" w:hAnsi="Times New Roman" w:eastAsia="仿宋_GB2312" w:cs="Times New Roman"/>
                <w:color w:val="auto"/>
                <w:kern w:val="2"/>
                <w:sz w:val="24"/>
                <w:szCs w:val="24"/>
                <w:highlight w:val="none"/>
                <w:shd w:val="clear" w:color="auto" w:fill="auto"/>
                <w:lang w:val="en-US" w:eastAsia="zh-CN"/>
              </w:rPr>
              <w:t>按照高端、智能、品牌和集群化的要求，重点培育和发展钢质、木质、铝合金防火门、防盗门、套装门和特种门，以及智能门窗、智能家居用品、家具、竹木地板及其他相关产业，带动设计、研发、模具、型材、锁具、五金配件、装饰品、木材原料、包装、仓储物流、检验检测、广告营销、市场推广等配套企业聚集发展，有效延伸产业链条，完善配套服务体系，形成全产业链智能家居产业集群，建设西部智能家居产业基地。到2025年，实现产值120亿元。</w:t>
            </w:r>
          </w:p>
          <w:p w14:paraId="00535DCB">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color w:val="auto"/>
                <w:kern w:val="2"/>
                <w:sz w:val="24"/>
                <w:szCs w:val="24"/>
                <w:highlight w:val="none"/>
                <w:shd w:val="clear" w:color="auto" w:fill="auto"/>
                <w:lang w:val="en-US" w:eastAsia="zh-CN"/>
              </w:rPr>
            </w:pPr>
            <w:r>
              <w:rPr>
                <w:rFonts w:hint="default" w:ascii="Times New Roman" w:hAnsi="Times New Roman" w:eastAsia="仿宋_GB2312" w:cs="Times New Roman"/>
                <w:b/>
                <w:bCs/>
                <w:color w:val="auto"/>
                <w:kern w:val="2"/>
                <w:sz w:val="24"/>
                <w:szCs w:val="24"/>
                <w:highlight w:val="none"/>
                <w:shd w:val="clear" w:color="auto" w:fill="auto"/>
                <w:lang w:val="en-US" w:eastAsia="zh-CN"/>
              </w:rPr>
              <w:t>锂电及新材料产业。</w:t>
            </w:r>
            <w:r>
              <w:rPr>
                <w:rFonts w:hint="default" w:ascii="Times New Roman" w:hAnsi="Times New Roman" w:eastAsia="仿宋_GB2312" w:cs="Times New Roman"/>
                <w:color w:val="auto"/>
                <w:kern w:val="2"/>
                <w:sz w:val="24"/>
                <w:szCs w:val="24"/>
                <w:highlight w:val="none"/>
                <w:shd w:val="clear" w:color="auto" w:fill="auto"/>
                <w:lang w:val="en-US" w:eastAsia="zh-CN"/>
              </w:rPr>
              <w:t>依托之江高新、龙蟠科技等龙头企业，围绕锂电、新材料及精细化工等产业发展需要，广泛吸纳产业链上下游企业，加快建设先进材料数字化产业园，到2025年，实现年产值50亿元。</w:t>
            </w:r>
          </w:p>
          <w:p w14:paraId="772619CA">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color w:val="auto"/>
                <w:kern w:val="2"/>
                <w:sz w:val="24"/>
                <w:szCs w:val="24"/>
                <w:highlight w:val="none"/>
                <w:shd w:val="clear" w:color="auto" w:fill="auto"/>
                <w:lang w:val="en-US" w:eastAsia="zh-CN"/>
              </w:rPr>
            </w:pPr>
            <w:r>
              <w:rPr>
                <w:rFonts w:hint="default" w:ascii="Times New Roman" w:hAnsi="Times New Roman" w:eastAsia="仿宋_GB2312" w:cs="Times New Roman"/>
                <w:b/>
                <w:bCs/>
                <w:color w:val="auto"/>
                <w:kern w:val="2"/>
                <w:sz w:val="24"/>
                <w:szCs w:val="24"/>
                <w:highlight w:val="none"/>
                <w:shd w:val="clear" w:color="auto" w:fill="auto"/>
                <w:lang w:val="en-US" w:eastAsia="zh-CN"/>
              </w:rPr>
              <w:t>线缆线束产业。</w:t>
            </w:r>
            <w:r>
              <w:rPr>
                <w:rFonts w:hint="default" w:ascii="Times New Roman" w:hAnsi="Times New Roman" w:eastAsia="仿宋_GB2312" w:cs="Times New Roman"/>
                <w:color w:val="auto"/>
                <w:kern w:val="2"/>
                <w:sz w:val="24"/>
                <w:szCs w:val="24"/>
                <w:highlight w:val="none"/>
                <w:shd w:val="clear" w:color="auto" w:fill="auto"/>
                <w:lang w:val="en-US" w:eastAsia="zh-CN"/>
              </w:rPr>
              <w:t>积极承接中东部及成渝地区线缆线束及相关产业转移，加快产业</w:t>
            </w:r>
          </w:p>
          <w:p w14:paraId="79398873">
            <w:pPr>
              <w:keepNext w:val="0"/>
              <w:keepLines w:val="0"/>
              <w:pageBreakBefore w:val="0"/>
              <w:suppressLineNumbers w:val="0"/>
              <w:kinsoku/>
              <w:wordWrap/>
              <w:overflowPunct/>
              <w:topLinePunct w:val="0"/>
              <w:autoSpaceDE/>
              <w:autoSpaceDN/>
              <w:bidi w:val="0"/>
              <w:adjustRightInd/>
              <w:spacing w:beforeAutospacing="0" w:afterAutospacing="0" w:line="560" w:lineRule="exact"/>
              <w:jc w:val="both"/>
              <w:textAlignment w:val="auto"/>
              <w:rPr>
                <w:rFonts w:hint="default" w:ascii="Times New Roman" w:hAnsi="Times New Roman" w:eastAsia="仿宋_GB2312" w:cs="Times New Roman"/>
                <w:bCs/>
                <w:color w:val="auto"/>
                <w:kern w:val="2"/>
                <w:sz w:val="32"/>
                <w:szCs w:val="32"/>
                <w:highlight w:val="none"/>
                <w:shd w:val="clear" w:color="auto" w:fill="auto"/>
              </w:rPr>
            </w:pPr>
            <w:r>
              <w:rPr>
                <w:rFonts w:hint="default" w:ascii="Times New Roman" w:hAnsi="Times New Roman" w:eastAsia="仿宋_GB2312" w:cs="Times New Roman"/>
                <w:color w:val="auto"/>
                <w:kern w:val="2"/>
                <w:sz w:val="24"/>
                <w:szCs w:val="24"/>
                <w:highlight w:val="none"/>
                <w:shd w:val="clear" w:color="auto" w:fill="auto"/>
                <w:lang w:val="en-US" w:eastAsia="zh-CN"/>
              </w:rPr>
              <w:t>集聚，实现集群式数字化发展，到2025年，实现产值100亿元。</w:t>
            </w:r>
          </w:p>
        </w:tc>
      </w:tr>
    </w:tbl>
    <w:p w14:paraId="1ED5835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2" w:name="_Toc16694"/>
      <w:r>
        <w:rPr>
          <w:rFonts w:hint="eastAsia" w:ascii="黑体" w:hAnsi="黑体" w:eastAsia="黑体" w:cs="黑体"/>
          <w:b w:val="0"/>
          <w:bCs w:val="0"/>
          <w:sz w:val="32"/>
          <w:szCs w:val="32"/>
        </w:rPr>
        <w:t>第三节 传统产业数字赋能转型工程</w:t>
      </w:r>
      <w:bookmarkEnd w:id="12"/>
    </w:p>
    <w:p w14:paraId="69324DB0">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推动信息技术与蓬溪特色产业深度融合，立足农业、工业、服务业的改造升级，重点发展交通、教育、医疗、旅游、文化、电商等领域的数字化应用和产业化。</w:t>
      </w:r>
    </w:p>
    <w:p w14:paraId="1A98A7CE">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发展基础型数字经济，提升工业供给能力</w:t>
      </w:r>
    </w:p>
    <w:p w14:paraId="40470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落实《中国制造2025》《中国制造2025四川行动计划》战略部署，以信息化、智能化、绿色化为方向，积极部署垂直型工业互联网平台，促进企业数字化集成创新应用，推动蓬溪工业数字化转型升级，实现高质量发展。</w:t>
      </w:r>
    </w:p>
    <w:p w14:paraId="11A9149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推进工业互联网平台建设。</w:t>
      </w:r>
      <w:r>
        <w:rPr>
          <w:rFonts w:hint="default" w:ascii="Times New Roman" w:hAnsi="Times New Roman" w:eastAsia="仿宋_GB2312" w:cs="Times New Roman"/>
          <w:sz w:val="32"/>
          <w:szCs w:val="32"/>
        </w:rPr>
        <w:t>推动优势产业链骨干龙头企业建立企业级工业互联网平台，提升产业链协同能力。开展工业互联网试点示范，支持</w:t>
      </w:r>
      <w:r>
        <w:rPr>
          <w:rFonts w:hint="default" w:ascii="Times New Roman" w:hAnsi="Times New Roman" w:eastAsia="仿宋_GB2312" w:cs="Times New Roman"/>
          <w:sz w:val="32"/>
          <w:szCs w:val="32"/>
          <w:lang w:val="en-US" w:eastAsia="zh-CN"/>
        </w:rPr>
        <w:t>美立方门业、耐德尔智能家居、四川之江高新材料股份有限公司、遂宁鼎世生物科技有限公司</w:t>
      </w:r>
      <w:r>
        <w:rPr>
          <w:rFonts w:hint="default" w:ascii="Times New Roman" w:hAnsi="Times New Roman" w:eastAsia="仿宋_GB2312" w:cs="Times New Roman"/>
          <w:sz w:val="32"/>
          <w:szCs w:val="32"/>
        </w:rPr>
        <w:t>等一批知名企业在优势领域创建工业互联网试点示范项目，鼓励有条件的行业龙头企业与相关机构合作，建设本行业标识解析二级节点，构建多层次平台体系。推动特色产业集群工业互联网创新应用试点示范，围绕特定行业、场景推动企业上云上平台，引导企业个性化、定制化上云，培育上云上平台新业态新模式。</w:t>
      </w:r>
    </w:p>
    <w:p w14:paraId="59E88FC5">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推动企业数字化转型。</w:t>
      </w:r>
      <w:r>
        <w:rPr>
          <w:rFonts w:hint="default" w:ascii="Times New Roman" w:hAnsi="Times New Roman" w:eastAsia="仿宋_GB2312" w:cs="Times New Roman"/>
          <w:sz w:val="32"/>
          <w:szCs w:val="32"/>
        </w:rPr>
        <w:t>以蓬溪经开区、农业示范区</w:t>
      </w:r>
      <w:r>
        <w:rPr>
          <w:rFonts w:hint="eastAsia" w:ascii="Times New Roman" w:hAnsi="Times New Roman" w:eastAsia="仿宋_GB2312" w:cs="Times New Roman"/>
          <w:sz w:val="32"/>
          <w:szCs w:val="32"/>
          <w:lang w:eastAsia="zh-CN"/>
        </w:rPr>
        <w:t>大型畜牧养殖</w:t>
      </w:r>
      <w:r>
        <w:rPr>
          <w:rFonts w:hint="default" w:ascii="Times New Roman" w:hAnsi="Times New Roman" w:eastAsia="仿宋_GB2312" w:cs="Times New Roman"/>
          <w:sz w:val="32"/>
          <w:szCs w:val="32"/>
        </w:rPr>
        <w:t>的重点企业为抓手，推进传统产业改造、新兴产业培育、配套设施建设。加快设备及生产线的自动化、数字化改造，鼓励电子信息、智能装备制造等行业中小型企业采取联合采购、融资租赁等方式购买使用自动化、智能化装备，替代传统手工、半机械化装备，提高生产效率和产品质量稳定性。开展智能制造试点示范，提升企业关键工序数控化率和工业智能设备联网率，建设一批智能单元、智能生产线、智能车间、智能工厂。</w:t>
      </w:r>
    </w:p>
    <w:p w14:paraId="72758BD2">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推动工业大数据应用。</w:t>
      </w:r>
      <w:r>
        <w:rPr>
          <w:rFonts w:hint="default" w:ascii="Times New Roman" w:hAnsi="Times New Roman" w:eastAsia="仿宋_GB2312" w:cs="Times New Roman"/>
          <w:sz w:val="32"/>
          <w:szCs w:val="32"/>
        </w:rPr>
        <w:t>选择典型企业、重点行业开展工业企业大数据应用项目试点，利用大数据推动信息化和工业化深度融合，研究推动大数据在研发设计、生产制造、经营管理、市场营销、售后服务等产业链各环节的应用。创新高端装备、智能制造、高新电子等重点领域的大数据应用，支持有条件的工、农业企业推进数字化创新中心和生态系统建设。推动大数据在行业管理和经济运行中的广泛应用，引导广大中小企业在研发、生产、管理、营销过程中采用大数据服务平台开展云端开发、云端测试、云端检验、动态监控、智能决策和预测预警等大数据应用。</w:t>
      </w:r>
    </w:p>
    <w:p w14:paraId="4DBFD417">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发展技术型数字经济，推进数字乡村建设</w:t>
      </w:r>
    </w:p>
    <w:p w14:paraId="58B447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以“数字乡村”建设为抓手，积极推动农业农村数字化转型，加快农业农村数字化云平台建设，创新农产品流通服务体系，实现数字乡村建设有序推进。</w:t>
      </w:r>
    </w:p>
    <w:p w14:paraId="30A86D5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积极推动农业数字化转型。</w:t>
      </w:r>
      <w:r>
        <w:rPr>
          <w:rFonts w:hint="default" w:ascii="Times New Roman" w:hAnsi="Times New Roman" w:eastAsia="仿宋_GB2312" w:cs="Times New Roman"/>
          <w:sz w:val="32"/>
          <w:szCs w:val="32"/>
        </w:rPr>
        <w:t>开展智慧农场试点建设，试点推动激光和摄像头技术识别应用，多元化提高农业生产环节智能化，提高生产效率。加快云计算、大数据、物联网、人工智能在农业生产经营管理中的推广运用，促进新一代信息技术与种植业、畜牧业、渔业等全面深度融合，打造科技农业、智慧农业、品牌农业。支持有条件的企业开展数字化种养殖及加工，实现规模化、标准化、现代化农业生产加工，推动遂宁建设西部知名的特色农产品精深加工基地。</w:t>
      </w:r>
    </w:p>
    <w:p w14:paraId="73BBA90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完善数字农业综合服务体系。</w:t>
      </w:r>
      <w:r>
        <w:rPr>
          <w:rFonts w:hint="default" w:ascii="Times New Roman" w:hAnsi="Times New Roman" w:eastAsia="仿宋_GB2312" w:cs="Times New Roman"/>
          <w:sz w:val="32"/>
          <w:szCs w:val="32"/>
        </w:rPr>
        <w:t>依托我县现代农业示范区建设，聚集农业产业化龙头企业、智慧农场试点、农业示范合作社等农业经营主体和农业科研单位，集成生产环境实时监测、生产设备远程控制、农产品质量追溯、农业生产预警、疫病专家诊断、农民教育培训等功能。将农产品生产、加工等过程的信息进行记录并存储，为生产者和消费者提供安全生产、追溯服务，优化农产品质量安全的追溯体系，实现农业生产数据化、在线化、可视化，为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农业生产的预测分析、灾害预警、科学生产提供良好基础，打造信息化、网络化、立体化、智能化的质量安全监管网络。</w:t>
      </w:r>
    </w:p>
    <w:p w14:paraId="311AA888">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加强农业数据汇集与分析。</w:t>
      </w:r>
      <w:r>
        <w:rPr>
          <w:rFonts w:hint="default" w:ascii="Times New Roman" w:hAnsi="Times New Roman" w:eastAsia="仿宋_GB2312" w:cs="Times New Roman"/>
          <w:sz w:val="32"/>
          <w:szCs w:val="32"/>
        </w:rPr>
        <w:t>应用大数据分析技术对 “三农”数据进行价值挖掘，形成数据管理、分析、调控、可视化等机制。通过物联网、云计算等技术在农业生产等多环节的应用，整合现有各类农业信息资源，加强农业农村基础数据采集管理，开展全生产过程、加工包装过程、运输过程、销售过程等全链条数字化分析，全面推进数字技术与农业生产、经营、管理、服务融合发展，实现精准供需对接和销售，减少滞销、带动脱贫。</w:t>
      </w:r>
    </w:p>
    <w:p w14:paraId="761F766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创新农产品流通服务体系。</w:t>
      </w:r>
      <w:r>
        <w:rPr>
          <w:rFonts w:hint="default" w:ascii="Times New Roman" w:hAnsi="Times New Roman" w:eastAsia="仿宋_GB2312" w:cs="Times New Roman"/>
          <w:sz w:val="32"/>
          <w:szCs w:val="32"/>
        </w:rPr>
        <w:t>支持特色农产品做大做强，鼓励企业依托农业农村数字化云平台，积极开展大数据营销，探索线上线下一体化新零售模式。推动蓬溪特色农产品企业“抱团发展”，完善农产品品牌建设。聘请专业品牌营销运营团队，依托互联网新渠道新模式进行农产品品牌化宣传，实现农产品的数字赋能。</w:t>
      </w:r>
    </w:p>
    <w:p w14:paraId="4E34E9E4">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发展服务型数字经济，培育数字应用新业态</w:t>
      </w:r>
    </w:p>
    <w:p w14:paraId="20A58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数字技术与服务业融合发展，积极培育数字化、网络化的现代服务产业新业态，着力提升服务水平和服务质量，再造数字消费“新蓝海”。支持与数字技术相融合的商业模式和产品服务创新，为新服务业态提供宽松包容的发展环境，探索建设服务型数字经济先行先试区。</w:t>
      </w:r>
    </w:p>
    <w:p w14:paraId="2EFCE6C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大力发展智慧旅游服务。</w:t>
      </w:r>
      <w:r>
        <w:rPr>
          <w:rFonts w:hint="default" w:ascii="Times New Roman" w:hAnsi="Times New Roman" w:eastAsia="仿宋_GB2312" w:cs="Times New Roman"/>
          <w:sz w:val="32"/>
          <w:szCs w:val="32"/>
          <w:lang w:eastAsia="zh-CN"/>
        </w:rPr>
        <w:t>搭建“一体化文旅管理和服务平台”。涵盖</w:t>
      </w:r>
      <w:r>
        <w:rPr>
          <w:rFonts w:hint="default" w:ascii="Times New Roman" w:hAnsi="Times New Roman" w:eastAsia="仿宋_GB2312" w:cs="Times New Roman"/>
          <w:sz w:val="32"/>
          <w:szCs w:val="32"/>
          <w:lang w:val="en-US" w:eastAsia="zh-CN"/>
        </w:rPr>
        <w:t>旅游景区运营</w:t>
      </w:r>
      <w:r>
        <w:rPr>
          <w:rFonts w:hint="default" w:ascii="Times New Roman" w:hAnsi="Times New Roman" w:eastAsia="仿宋_GB2312" w:cs="Times New Roman"/>
          <w:sz w:val="32"/>
          <w:szCs w:val="32"/>
          <w:lang w:eastAsia="zh-CN"/>
        </w:rPr>
        <w:t>监管</w:t>
      </w:r>
      <w:r>
        <w:rPr>
          <w:rFonts w:hint="default" w:ascii="Times New Roman" w:hAnsi="Times New Roman" w:eastAsia="仿宋_GB2312" w:cs="Times New Roman"/>
          <w:sz w:val="32"/>
          <w:szCs w:val="32"/>
          <w:lang w:val="en-US" w:eastAsia="zh-CN"/>
        </w:rPr>
        <w:t>体系</w:t>
      </w:r>
      <w:r>
        <w:rPr>
          <w:rFonts w:hint="default" w:ascii="Times New Roman" w:hAnsi="Times New Roman" w:eastAsia="仿宋_GB2312" w:cs="Times New Roman"/>
          <w:sz w:val="32"/>
          <w:szCs w:val="32"/>
          <w:lang w:eastAsia="zh-CN"/>
        </w:rPr>
        <w:t>、游客一体化服务、</w:t>
      </w:r>
      <w:r>
        <w:rPr>
          <w:rFonts w:hint="default" w:ascii="Times New Roman" w:hAnsi="Times New Roman" w:eastAsia="仿宋_GB2312" w:cs="Times New Roman"/>
          <w:sz w:val="32"/>
          <w:szCs w:val="32"/>
          <w:lang w:val="en-US" w:eastAsia="zh-CN"/>
        </w:rPr>
        <w:t>旅游</w:t>
      </w:r>
      <w:r>
        <w:rPr>
          <w:rFonts w:hint="default" w:ascii="Times New Roman" w:hAnsi="Times New Roman" w:eastAsia="仿宋_GB2312" w:cs="Times New Roman"/>
          <w:sz w:val="32"/>
          <w:szCs w:val="32"/>
          <w:lang w:eastAsia="zh-CN"/>
        </w:rPr>
        <w:t>资源宣传、文化事业数字化管理和服务等方面，打通文化旅游12个要素，将</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文化、</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特产、</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美食、</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特色、</w:t>
      </w:r>
      <w:r>
        <w:rPr>
          <w:rFonts w:hint="default" w:ascii="Times New Roman" w:hAnsi="Times New Roman" w:eastAsia="仿宋_GB2312" w:cs="Times New Roman"/>
          <w:sz w:val="32"/>
          <w:szCs w:val="32"/>
          <w:lang w:val="en-US" w:eastAsia="zh-CN"/>
        </w:rPr>
        <w:t>现代农业观光</w:t>
      </w:r>
      <w:r>
        <w:rPr>
          <w:rFonts w:hint="default" w:ascii="Times New Roman" w:hAnsi="Times New Roman" w:eastAsia="仿宋_GB2312" w:cs="Times New Roman"/>
          <w:sz w:val="32"/>
          <w:szCs w:val="32"/>
          <w:lang w:eastAsia="zh-CN"/>
        </w:rPr>
        <w:t>等充分融入到</w:t>
      </w:r>
      <w:r>
        <w:rPr>
          <w:rFonts w:hint="default" w:ascii="Times New Roman" w:hAnsi="Times New Roman" w:eastAsia="仿宋_GB2312" w:cs="Times New Roman"/>
          <w:sz w:val="32"/>
          <w:szCs w:val="32"/>
          <w:lang w:val="en-US" w:eastAsia="zh-CN"/>
        </w:rPr>
        <w:t>旅游事业</w:t>
      </w:r>
      <w:r>
        <w:rPr>
          <w:rFonts w:hint="default" w:ascii="Times New Roman" w:hAnsi="Times New Roman" w:eastAsia="仿宋_GB2312" w:cs="Times New Roman"/>
          <w:sz w:val="32"/>
          <w:szCs w:val="32"/>
          <w:lang w:eastAsia="zh-CN"/>
        </w:rPr>
        <w:t>发展中，将</w:t>
      </w:r>
      <w:r>
        <w:rPr>
          <w:rFonts w:hint="default" w:ascii="Times New Roman" w:hAnsi="Times New Roman" w:eastAsia="仿宋_GB2312" w:cs="Times New Roman"/>
          <w:sz w:val="32"/>
          <w:szCs w:val="32"/>
          <w:lang w:val="en-US" w:eastAsia="zh-CN"/>
        </w:rPr>
        <w:t>旅游景点</w:t>
      </w:r>
      <w:r>
        <w:rPr>
          <w:rFonts w:hint="default" w:ascii="Times New Roman" w:hAnsi="Times New Roman" w:eastAsia="仿宋_GB2312" w:cs="Times New Roman"/>
          <w:sz w:val="32"/>
          <w:szCs w:val="32"/>
          <w:lang w:eastAsia="zh-CN"/>
        </w:rPr>
        <w:t>、文化馆、博物馆、图</w:t>
      </w:r>
      <w:r>
        <w:rPr>
          <w:rFonts w:hint="default" w:ascii="Times New Roman" w:hAnsi="Times New Roman" w:eastAsia="仿宋_GB2312" w:cs="Times New Roman"/>
          <w:sz w:val="32"/>
          <w:szCs w:val="32"/>
          <w:lang w:val="en-US" w:eastAsia="zh-CN"/>
        </w:rPr>
        <w:t>书馆、美术馆等有机串联起来，为市民和游客提供全生命周期的文化创新、日常学习、历史游览、旅游休闲的服务，为文化旅游事业的建设和开展提供全面数字化管理和监督的平台。积极推进蓬溪县文化旅游移动端应用，依托“智游天府系统”、“智游天府码”、“蓬溪文旅”微信公众平台与抖音号等外宣平台，加快蓬溪县旅游资源汇聚，逐步形成“一部手机游蓬溪”的发展模式。以宝梵镇的历史文化资源，依托宝梵壁画、中国红海、特色农家乐、“仙画农庄”等文旅加农业产业项目，将宝梵镇培育成特色文旅小镇。借力乡村振兴、乡村体验游的热潮和蓬溪特有的红色文化资源，重点培育位于蓬溪县现代农业示范区内的常乐镇拱市村、天福镇狮山村和大石镇牛角沟村，带动乡村旅游经济发展。整合小镇优势旅游资源，以满足游客信息需求为基础，通过空间整合、四季全时、互联网+、旅游+构筑成全域旅游发展模型，打开区域文化休闲生活旅游目的地发展新格局，不断完善游客服务、灯光照明、景观绿道、停车场、旅游厕所、餐饮、购物、旅游标识、智慧旅游系统等基础配套设施。搭建特色小镇综合管理平台，将景区的内部相关旅游数据进行融合，包括景区信息、景区视频、门票数据、游客数据、游客属性信息、从业人员数据、住宿信息、舆情数据、网评信息等，提供智慧化管理、智慧化服务、智慧化营销等内容，助力打造特色文化旅游智慧目的地，为管理部门、景区、旅游企业提供“多位一体”的智慧旅游监管，为游客提供“以人为本”的智慧旅游服务体系。</w:t>
      </w:r>
    </w:p>
    <w:p w14:paraId="59BD39A7">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加快推进电子商务发展</w:t>
      </w:r>
      <w:r>
        <w:rPr>
          <w:rFonts w:hint="default" w:ascii="Times New Roman" w:hAnsi="Times New Roman" w:eastAsia="仿宋_GB2312" w:cs="Times New Roman"/>
          <w:sz w:val="32"/>
          <w:szCs w:val="32"/>
          <w:lang w:val="en-US" w:eastAsia="zh-CN"/>
        </w:rPr>
        <w:t>。结合蓬溪县特色产品和优势，依托现有电子商务平台和外部电商平台（如京东商城、天猫、1号店等），加快构建覆盖农产品、工业品、服务产品等多层次、多领域的网络展示和销售体系。以打造本土平台、培育电商龙头企业为重点，构建业态丰富、模式创新活跃、配套支撑完善的电子商务产业发展体系。探索“电商+文旅+农特产品”等融合发展新模式，培育区域电商品牌、电商示范企业。促进“全企入网”，扩展电商应用领域。加快县、乡镇、村三级电商网点建设，加快农村电子商务和物流网点发展，完善村级电商驿站功能。建立电子商务大数据，实时采集城市电商、农村电商、跨境电商以及传统工业、商贸、农业、旅游、金融等领域数据，通过数据分析监测，对供应商、生产流通企业、经销商、客户等电子商务全链条进行协同管理。</w:t>
      </w:r>
    </w:p>
    <w:p w14:paraId="317E29B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加快推进数字金融发展。</w:t>
      </w:r>
      <w:r>
        <w:rPr>
          <w:rFonts w:hint="default" w:ascii="Times New Roman" w:hAnsi="Times New Roman" w:eastAsia="仿宋_GB2312" w:cs="Times New Roman"/>
          <w:sz w:val="32"/>
          <w:szCs w:val="32"/>
          <w:lang w:val="en-US" w:eastAsia="zh-CN"/>
        </w:rPr>
        <w:t>加快建设蓬溪数字金融服务平台，构建“一站式”融资服务，为全县不同发展阶段的企业提供金融产品和服务匹配、债权融资、信用评级、担保、行业咨询、政府配套扶持政策等一站式服务。支持鼓励银行、证券、保险、基金、信托和消费金融等金融机构加快互联网、云计算、大数据、区块链等技术应用，发展互联网金融、大数据金融、移动金融、供应链金融等新金融业态。</w:t>
      </w:r>
    </w:p>
    <w:p w14:paraId="3685985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加快推进智慧物流发展。</w:t>
      </w:r>
      <w:r>
        <w:rPr>
          <w:rFonts w:hint="default" w:ascii="Times New Roman" w:hAnsi="Times New Roman" w:eastAsia="仿宋_GB2312" w:cs="Times New Roman"/>
          <w:sz w:val="32"/>
          <w:szCs w:val="32"/>
          <w:lang w:val="en-US" w:eastAsia="zh-CN"/>
        </w:rPr>
        <w:t>加快现代物流体系建设，提升仓储物流配套服务能力，加快建设中农联蓬溪现代农贸城冷链仓储、蓬溪邮政分公司仓储基地、城市物流配送园区等重大项目，建设集仓储、冷链、物流、交易为一体的物流配送交易中心。推进经开区上游片区物流园区建设，提升粮食物流园建设水平。打造智慧物流信息平台，发展“互联网+车货匹配”“互联网+运力优化”“互联网+仓储交易”“互联网+供应链”等一体化、智能化综合物流服务，引导物流园区与专业市场、生产基地和现有仓储设施相结合，实现统筹发展。整合境内快递业务，优化网点布局，加快县快件集散中心及乡镇配套站点建设，打造以快递物流、消费品配送为重点、覆盖县域全境的城乡高效配送中心。加快培育引进大型物流骨干企业，重点发展一批专业配送、第三方物流等现代物流业态，推动蓬溪与毗邻地区物流业一体化发展，打造成渝腹心地带重要的仓储物流节点城市。</w:t>
      </w:r>
    </w:p>
    <w:p w14:paraId="175A238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加快推进数字文创发展。</w:t>
      </w:r>
      <w:r>
        <w:rPr>
          <w:rFonts w:hint="default" w:ascii="Times New Roman" w:hAnsi="Times New Roman" w:eastAsia="仿宋_GB2312" w:cs="Times New Roman"/>
          <w:sz w:val="32"/>
          <w:szCs w:val="32"/>
        </w:rPr>
        <w:t>充分挖掘我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特色自然资源、历史文化资源优势，构建数字文化创意产业创新平台，推动数字内容创新发展。培育数字内容消费市场，扶持一批重点文创</w:t>
      </w:r>
      <w:r>
        <w:rPr>
          <w:rFonts w:hint="default" w:ascii="Times New Roman" w:hAnsi="Times New Roman" w:eastAsia="仿宋_GB2312" w:cs="Times New Roman"/>
          <w:sz w:val="32"/>
          <w:szCs w:val="32"/>
          <w:lang w:eastAsia="zh-CN"/>
        </w:rPr>
        <w:t>新媒体</w:t>
      </w:r>
      <w:r>
        <w:rPr>
          <w:rFonts w:hint="default" w:ascii="Times New Roman" w:hAnsi="Times New Roman" w:eastAsia="仿宋_GB2312" w:cs="Times New Roman"/>
          <w:sz w:val="32"/>
          <w:szCs w:val="32"/>
        </w:rPr>
        <w:t>，拓展数字影音、动漫游戏、网络文学等数字文化内容。丰富数字媒体、数字出版、3D动漫、虚拟现实游戏和视频等数字内容供给，创新内容营销模式和营销渠道，借助数字文创产品宣传我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发展成果。支持和推进数字化广播影视作品制作与推广，制作运营“</w:t>
      </w:r>
      <w:r>
        <w:rPr>
          <w:rFonts w:hint="default" w:ascii="Times New Roman" w:hAnsi="Times New Roman" w:eastAsia="仿宋_GB2312" w:cs="Times New Roman"/>
          <w:sz w:val="32"/>
          <w:szCs w:val="32"/>
          <w:lang w:eastAsia="zh-CN"/>
        </w:rPr>
        <w:t>书乡蓬溪</w:t>
      </w:r>
      <w:r>
        <w:rPr>
          <w:rFonts w:hint="default" w:ascii="Times New Roman" w:hAnsi="Times New Roman" w:eastAsia="仿宋_GB2312" w:cs="Times New Roman"/>
          <w:sz w:val="32"/>
          <w:szCs w:val="32"/>
        </w:rPr>
        <w:t>”抖音号，培育一批蓬溪本土“网络大V”,促进数字影视、数字音乐、动漫网游、互联网新媒体、文化艺术设计等数字文化新业态发展，打响蓬溪民俗文化品牌。</w:t>
      </w:r>
    </w:p>
    <w:p w14:paraId="3D17BF1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3" w:name="_Toc27111"/>
      <w:r>
        <w:rPr>
          <w:rFonts w:hint="eastAsia" w:ascii="黑体" w:hAnsi="黑体" w:eastAsia="黑体" w:cs="黑体"/>
          <w:b w:val="0"/>
          <w:bCs w:val="0"/>
          <w:sz w:val="32"/>
          <w:szCs w:val="32"/>
        </w:rPr>
        <w:t>第四节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数字政府建设工程</w:t>
      </w:r>
      <w:bookmarkEnd w:id="13"/>
    </w:p>
    <w:p w14:paraId="5948756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（一）加快政务数据资源整合开放</w:t>
      </w:r>
    </w:p>
    <w:p w14:paraId="1A80B72D">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加强政务数据资源汇聚融合。</w:t>
      </w:r>
      <w:r>
        <w:rPr>
          <w:rFonts w:hint="default" w:ascii="Times New Roman" w:hAnsi="Times New Roman" w:eastAsia="仿宋_GB2312" w:cs="Times New Roman"/>
          <w:sz w:val="32"/>
          <w:szCs w:val="32"/>
        </w:rPr>
        <w:t>推动政务数据向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共享平台汇聚，探索建立数据回流机制。整合全县各政务部门业务数据，充实完善人口、法人、自然资源和地理空间、电子证照和社会信用五大基础数据库。构建完善自然人专题库、法人单位专题库、车辆专题库、房屋专题库等专题数据库。以各部门业务数据和行业应用数据为基础，围绕城市治理、民生服务、数字经济等领域分阶段推动社会保障、食品药品安全、能源安全、城乡建设、社区治理、生态环保等主题数据库建设。</w:t>
      </w:r>
    </w:p>
    <w:p w14:paraId="7CA25E4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促进政务数据资源共享交换。</w:t>
      </w:r>
      <w:r>
        <w:rPr>
          <w:rFonts w:hint="default" w:ascii="Times New Roman" w:hAnsi="Times New Roman" w:eastAsia="仿宋_GB2312" w:cs="Times New Roman"/>
          <w:sz w:val="32"/>
          <w:szCs w:val="32"/>
        </w:rPr>
        <w:t>制定全县统一的政务数据资源共享交换规则与流程，确保各部门政务数据资源合理有序共享。建设县级（二级）共享交换节点，并与市级平台对接，实现省、市、县区三级架构互联互通。建立政务数据资源共享考核评估机制和管理办法，定期对各部门政务数据资源共享情况进行考核评估，评估结果与部门年度信息化项目建设资金审批挂钩，以评促建，形成约束联动机制。</w:t>
      </w:r>
    </w:p>
    <w:p w14:paraId="2B58D56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强化数据管理服务和运营水平。</w:t>
      </w:r>
      <w:r>
        <w:rPr>
          <w:rFonts w:hint="default" w:ascii="Times New Roman" w:hAnsi="Times New Roman" w:eastAsia="仿宋_GB2312" w:cs="Times New Roman"/>
          <w:sz w:val="32"/>
          <w:szCs w:val="32"/>
        </w:rPr>
        <w:t>建立数据管理服务平台，实现统一数据管理及对外提供数据服务，并基于政务数据提供数据可视化、决策辅助等大数据创新应用支持，向各部门开放使用，分析结果可导出或封装成服务接口发布。构建政务大数据运营体系，成立政府授权的全县政务数据运营载体平台，面向民众、企业、政府公务人员等群体开发基于政务大数据的移动民生服务平台、移动政务服务平台、协同办公平台等应用，采取活动运营、内容运营、用户运营、联合运营和市场推广等多维立体的运营方式，紧密结合企业、媒体等外部资源，围绕政务服务、交通出行、文化教育、医疗健康等场景持续开展运营。</w:t>
      </w:r>
    </w:p>
    <w:p w14:paraId="07F60C2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（二）深入推进政务服务“一网通办”</w:t>
      </w:r>
    </w:p>
    <w:p w14:paraId="703800F5">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全面规范政务服务事项。</w:t>
      </w:r>
      <w:r>
        <w:rPr>
          <w:rFonts w:hint="default" w:ascii="Times New Roman" w:hAnsi="Times New Roman" w:eastAsia="仿宋_GB2312" w:cs="Times New Roman"/>
          <w:sz w:val="32"/>
          <w:szCs w:val="32"/>
        </w:rPr>
        <w:t>全面梳理部门政务服务事项，完善政务服务事项目录清单，加快构建全县协调统一、动态更新、共享</w:t>
      </w:r>
      <w:r>
        <w:rPr>
          <w:rFonts w:hint="default" w:ascii="Times New Roman" w:hAnsi="Times New Roman" w:eastAsia="仿宋_GB2312" w:cs="Times New Roman"/>
          <w:sz w:val="32"/>
          <w:szCs w:val="32"/>
          <w:lang w:val="en-US" w:eastAsia="zh-CN"/>
        </w:rPr>
        <w:t>交换</w:t>
      </w:r>
      <w:r>
        <w:rPr>
          <w:rFonts w:hint="default" w:ascii="Times New Roman" w:hAnsi="Times New Roman" w:eastAsia="仿宋_GB2312" w:cs="Times New Roman"/>
          <w:sz w:val="32"/>
          <w:szCs w:val="32"/>
        </w:rPr>
        <w:t>的政务数据资源目录体系，促进政务数据共享开放。完善政务服务事项办理指南，列明依据条件、流程时限、收费标准、注意事项等，明确需提交材料的名称、依据、格式、份数、签名签章等要求，并通过政府门户网站集中公开发布，实现政务服务公开透明和可追溯、可核查。</w:t>
      </w:r>
    </w:p>
    <w:p w14:paraId="27440A2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实现政务服务“秒批秒办”。</w:t>
      </w:r>
      <w:r>
        <w:rPr>
          <w:rFonts w:hint="default" w:ascii="Times New Roman" w:hAnsi="Times New Roman" w:eastAsia="仿宋_GB2312" w:cs="Times New Roman"/>
          <w:sz w:val="32"/>
          <w:szCs w:val="32"/>
        </w:rPr>
        <w:t>加快推动全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各级部门业务办理系统与</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一体化在线政务服务平台对接，推进政务数据共享，实现政务服务“单点登录、一网通办”。建设完善智慧政务服务大厅，应用智能服务机器人、自助终端等设备，提高政务服务智能程度、便捷程度。梳理“秒批”事项清单，精简优化审批流程，实现窗口“秒批秒办”。依托政务服务网、12345服务热线、“遂心办”等整合PC端、移动端、热线等便民服务渠道，实现后台互联互通，构建一体多端的城市统一服务窗口。</w:t>
      </w:r>
    </w:p>
    <w:p w14:paraId="3C12132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打通基层政务服务“最后一公里”。</w:t>
      </w:r>
      <w:r>
        <w:rPr>
          <w:rFonts w:hint="default" w:ascii="Times New Roman" w:hAnsi="Times New Roman" w:eastAsia="仿宋_GB2312" w:cs="Times New Roman"/>
          <w:sz w:val="32"/>
          <w:szCs w:val="32"/>
        </w:rPr>
        <w:t>加强乡镇（街道）政务服务中心、村（社区）便民服务点的基础设施建设，推动基本公共服务事项进驻村（社区）办理。完善政务服务村级代办服务机制，明确代办承诺事项、工作流程和监督投诉渠道，提升村级代办服务能力。通过预约上门办理、免费邮寄等方式，实现高龄老人、困难残疾人等弱势群体个人事项办理不出村。鼓励有条件的乡镇（街道）利用金融、邮政及农村电商等网点，通过政务服务一体机、自助服务终端等设备，开展代缴代办代理等便民服务，实现民生事项“就近能办、同城通办、异地可办”。</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14:paraId="2A6AC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0" w:type="auto"/>
            <w:tcBorders>
              <w:bottom w:val="single" w:color="auto" w:sz="4" w:space="0"/>
            </w:tcBorders>
            <w:vAlign w:val="center"/>
          </w:tcPr>
          <w:p w14:paraId="04155D8E">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4</w:t>
            </w:r>
            <w:r>
              <w:rPr>
                <w:rFonts w:hint="default" w:ascii="Times New Roman" w:hAnsi="Times New Roman" w:eastAsia="楷体_GB2312" w:cs="Times New Roman"/>
                <w:b/>
                <w:bCs/>
                <w:kern w:val="2"/>
                <w:sz w:val="28"/>
                <w:szCs w:val="28"/>
              </w:rPr>
              <w:t xml:space="preserve">  “互联网+政务服务”工程</w:t>
            </w:r>
          </w:p>
        </w:tc>
      </w:tr>
      <w:tr w14:paraId="0FD71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14:paraId="24C1B02F">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城市级APP建设。</w:t>
            </w:r>
            <w:r>
              <w:rPr>
                <w:rFonts w:hint="default" w:ascii="Times New Roman" w:hAnsi="Times New Roman" w:eastAsia="仿宋_GB2312" w:cs="Times New Roman"/>
                <w:kern w:val="2"/>
                <w:sz w:val="24"/>
                <w:szCs w:val="24"/>
              </w:rPr>
              <w:t>构建智慧蓬溪移动门户，以用户为中心，统一接入全县政务服务和便民服务资源，形成医、学、住、行、游、购、娱、政等多种场景产品架构。全面整合各部门已有政务服务移动端应用，完善移动端应用功能，关联身份证、社保、驾驶证等多项电子证照，围绕户政、人社、出入境等高频服务事项开展业务流程优化再造，高频服务事项掌上办理；持续引入市场化的便民生活服务，构建涵盖交通出行、气象天气、教育学习、医疗健康、住房保障、人才就业、娱乐休闲、文化旅游等各类信息服务；建立分级账号体系，实现各场景应用一号响应，单点登陆，权限分级访问便民服务、公共服务、政务服务，支持公安基础库核验、银行卡验证、人脸识别认证等多种认证方式。</w:t>
            </w:r>
          </w:p>
          <w:p w14:paraId="466DD746">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智慧政务服务大厅。</w:t>
            </w:r>
            <w:r>
              <w:rPr>
                <w:rFonts w:hint="default" w:ascii="Times New Roman" w:hAnsi="Times New Roman" w:eastAsia="仿宋_GB2312" w:cs="Times New Roman"/>
                <w:kern w:val="2"/>
                <w:sz w:val="24"/>
                <w:szCs w:val="24"/>
              </w:rPr>
              <w:t>优化升级现有政务服务实体大厅，加快推动市民中心建设，将不动产登记所有环节、税务大厅、商事登记及经营服务等业务整合纳入大厅实现一站式办理。探索人工智能技术在政务大厅服务中的应用，基于人脸识别、活体检测技术实现用户实名认证及实人检测，让百姓刷脸能办事；基于语音识别、语音合成、自然语言理解等技术帮助客户以语音方式表达需求，让百姓开口能办事。推进自助服务大厅建设，方便市民办理营业执照、税务、信用查询、公积金存贷证明打印、公积金提取、社保参保证明打印等业务，为市民提供全天候“不打烊”的政务服务。2023年，智慧政务服务大厅建设完成，市民体验感不断增强。</w:t>
            </w:r>
          </w:p>
        </w:tc>
      </w:tr>
    </w:tbl>
    <w:p w14:paraId="7A3AC579">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（三）提升城市治理数字化水平</w:t>
      </w:r>
    </w:p>
    <w:p w14:paraId="6F87C4CC">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提升社会治安防控智能化水平。</w:t>
      </w:r>
      <w:r>
        <w:rPr>
          <w:rFonts w:hint="default" w:ascii="Times New Roman" w:hAnsi="Times New Roman" w:eastAsia="仿宋_GB2312" w:cs="Times New Roman"/>
          <w:sz w:val="32"/>
          <w:szCs w:val="32"/>
        </w:rPr>
        <w:t>进一步推进</w:t>
      </w:r>
      <w:r>
        <w:rPr>
          <w:rFonts w:hint="eastAsia"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天网、“雪亮工程”和“慧眼工程”补点、升级、扩面，提高城市重点区域、街道（乡镇）、社区（村）视频监控覆盖密度。建设视频联网整合平台，统筹部署全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共安全视频监控点位，整合天网、雪亮、电子警察、公交反扒、数字城管、社会单位监控等系统的视频资源，实现各部门按职能安全有序共享共用视频资源。丰富安防手段，加强日常警务巡逻，实现嫌疑人车辆跟踪、毒植侦查、河道巡航等警务工作。建设城市大脑公安平台，对海量多维数据进行智能分析，加快情报研判、案件侦破、犯罪预防、精确打击和警务指挥智能化进程。</w:t>
      </w:r>
    </w:p>
    <w:p w14:paraId="338AC2A2">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打造高效联动的智慧应急体系。</w:t>
      </w:r>
      <w:r>
        <w:rPr>
          <w:rFonts w:hint="default" w:ascii="Times New Roman" w:hAnsi="Times New Roman" w:eastAsia="仿宋_GB2312" w:cs="Times New Roman"/>
          <w:sz w:val="32"/>
          <w:szCs w:val="32"/>
        </w:rPr>
        <w:t>在重点区域、重大隐患点部署配备卫星通信设备、光学声波探测仪等智能化装备，实现指挥通信、信息报送、视频传输、隐患检测等功能，快速上报消防、地质灾害、防汛、安全生产等突发事件。建立应急物资储备库、应急专家库、医疗资源库等应急基础资源，整合国土空间、人口、交通实时路况等数据，形成“资源共享、精确研判、全县联动、协同处置”的应急指挥网络格局。建设县级综合应急管理指挥平台和突发公共事件预警信息发布平台，对接公安、网信、水利、交通等部门，构建多方联动的应急协调指挥体系，支撑研判分析、协同调度和远程指挥，提升全县公共安全保障能力。</w:t>
      </w:r>
    </w:p>
    <w:p w14:paraId="67AE0D43">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sz w:val="32"/>
          <w:szCs w:val="32"/>
        </w:rPr>
        <w:t>健全完善社会信用系统。</w:t>
      </w:r>
      <w:r>
        <w:rPr>
          <w:rFonts w:hint="default" w:ascii="Times New Roman" w:hAnsi="Times New Roman" w:eastAsia="仿宋_GB2312" w:cs="Times New Roman"/>
          <w:sz w:val="32"/>
          <w:szCs w:val="32"/>
        </w:rPr>
        <w:t>探索基于大数据的一体化市场监管、监管预警、联合惩戒、评估分析等应用，提升市场监管风险预判和处置能力。基于人工智能实现行政审批领域的信用前置,为行政部门提供快速便捷的信用核查、信用监督等服务。</w:t>
      </w:r>
    </w:p>
    <w:p w14:paraId="099F72E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探索“互联网+监管”体系。</w:t>
      </w:r>
      <w:r>
        <w:rPr>
          <w:rFonts w:hint="default" w:ascii="Times New Roman" w:hAnsi="Times New Roman" w:eastAsia="仿宋_GB2312" w:cs="Times New Roman"/>
          <w:sz w:val="32"/>
          <w:szCs w:val="32"/>
        </w:rPr>
        <w:t>建设蓬溪县“互联网+监管”平台，运用信息化手段，加强事中事后监管，大力推广远程监管、移动监管、预警防</w:t>
      </w:r>
      <w:r>
        <w:rPr>
          <w:rFonts w:hint="default" w:ascii="Times New Roman" w:hAnsi="Times New Roman" w:eastAsia="仿宋_GB2312" w:cs="Times New Roman"/>
          <w:spacing w:val="-6"/>
          <w:sz w:val="32"/>
          <w:szCs w:val="32"/>
        </w:rPr>
        <w:t>控为特征的非现场监管，逐步实现监管信息可追溯、监管结果一网通享，实现监管工作可视、可控、可监、可追。完善食品药品企业数据库和检验检测数据库，探索建立基于区块链的食品药品防伪溯源体系，完善智慧食药安全监管平台，实现对全县食品药品的生产、流通、使用全过程的溯源和检测管理。深入实施“阳光餐饮”工程，使“后厨”成为可视、可感、可知的“阳光厨房”。</w:t>
      </w:r>
    </w:p>
    <w:p w14:paraId="1FFFADEB">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提升城市管理智慧化水平</w:t>
      </w:r>
      <w:r>
        <w:rPr>
          <w:rFonts w:hint="default" w:ascii="Times New Roman" w:hAnsi="Times New Roman" w:eastAsia="仿宋_GB2312" w:cs="Times New Roman"/>
          <w:sz w:val="32"/>
          <w:szCs w:val="32"/>
        </w:rPr>
        <w:t>。积极推进数字城管升级改造，完善城区基础数据普查，整合已有硬件资源和数据资源，拓展平台功能模块，搭建蓬溪县城市综合管理服务平台，形成感知、分析、服务、指挥、监察“五位一体”的智慧城市管理格局，着力增强城市管理统筹协调能力，构建适应高质量发展的城市综合管理大脑平台，对接城市运行全量数据，实现基于物联网、人工智能的立体精准感知、动态智能监控和预测性处置，全面提升城市管理科学化、精细化、智能化水平。</w:t>
      </w:r>
    </w:p>
    <w:p w14:paraId="41FDB4ED">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sz w:val="32"/>
          <w:szCs w:val="32"/>
        </w:rPr>
        <w:t>提升社会智慧消防火灾防控智能化水平。</w:t>
      </w:r>
      <w:r>
        <w:rPr>
          <w:rFonts w:hint="default" w:ascii="Times New Roman" w:hAnsi="Times New Roman" w:eastAsia="仿宋_GB2312" w:cs="Times New Roman"/>
          <w:sz w:val="32"/>
          <w:szCs w:val="32"/>
        </w:rPr>
        <w:t>通过建成全县统一的消防数据资源库、消防大数据平台，火灾高危单位和消防安全重点单位数据全面接入，形成“互联网+监管”模式，以信息融通和数据赋能为牵引，打造智慧联动、上下一体、统一高效的智慧消防体系，为我县火灾防控和应急救援提供智能化决策支撑。</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14:paraId="1439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0" w:type="auto"/>
            <w:tcBorders>
              <w:bottom w:val="single" w:color="auto" w:sz="4" w:space="0"/>
            </w:tcBorders>
            <w:vAlign w:val="center"/>
          </w:tcPr>
          <w:p w14:paraId="2986AA09">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5</w:t>
            </w:r>
            <w:r>
              <w:rPr>
                <w:rFonts w:hint="default" w:ascii="Times New Roman" w:hAnsi="Times New Roman" w:eastAsia="楷体_GB2312" w:cs="Times New Roman"/>
                <w:b/>
                <w:bCs/>
                <w:kern w:val="2"/>
                <w:sz w:val="28"/>
                <w:szCs w:val="28"/>
              </w:rPr>
              <w:t xml:space="preserve">  智慧安防应急工程</w:t>
            </w:r>
          </w:p>
        </w:tc>
      </w:tr>
      <w:tr w14:paraId="3E45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14:paraId="467E48CF">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eastAsia" w:ascii="Times New Roman" w:hAnsi="Times New Roman" w:eastAsia="仿宋_GB2312" w:cs="Times New Roman"/>
                <w:b/>
                <w:bCs/>
                <w:kern w:val="2"/>
                <w:sz w:val="24"/>
                <w:szCs w:val="24"/>
                <w:lang w:eastAsia="zh-CN"/>
              </w:rPr>
              <w:t>公安</w:t>
            </w:r>
            <w:r>
              <w:rPr>
                <w:rFonts w:hint="default" w:ascii="Times New Roman" w:hAnsi="Times New Roman" w:eastAsia="仿宋_GB2312" w:cs="Times New Roman"/>
                <w:b/>
                <w:bCs/>
                <w:kern w:val="2"/>
                <w:sz w:val="24"/>
                <w:szCs w:val="24"/>
              </w:rPr>
              <w:t>天网。</w:t>
            </w:r>
            <w:r>
              <w:rPr>
                <w:rFonts w:hint="default" w:ascii="Times New Roman" w:hAnsi="Times New Roman" w:eastAsia="仿宋_GB2312" w:cs="Times New Roman"/>
                <w:kern w:val="2"/>
                <w:sz w:val="24"/>
                <w:szCs w:val="24"/>
              </w:rPr>
              <w:t>持续推进天网</w:t>
            </w:r>
            <w:r>
              <w:rPr>
                <w:rFonts w:hint="eastAsia" w:ascii="Times New Roman" w:hAnsi="Times New Roman" w:eastAsia="仿宋_GB2312" w:cs="Times New Roman"/>
                <w:kern w:val="2"/>
                <w:sz w:val="24"/>
                <w:szCs w:val="24"/>
                <w:lang w:eastAsia="zh-CN"/>
              </w:rPr>
              <w:t>建设</w:t>
            </w:r>
            <w:r>
              <w:rPr>
                <w:rFonts w:hint="default" w:ascii="Times New Roman" w:hAnsi="Times New Roman" w:eastAsia="仿宋_GB2312" w:cs="Times New Roman"/>
                <w:kern w:val="2"/>
                <w:sz w:val="24"/>
                <w:szCs w:val="24"/>
              </w:rPr>
              <w:t>，实现城区所有街道、路口、小区出入口、娱乐场所100%全覆盖。在火车站、客运站等交通枢纽、重点商圈、公交车等重点区域增加人工智能人脸识别监控点位，完善基于人脸识别系统的重点人员动态布控、静态检索等功能。建设视图库，提升视频图像数据存储和解析能力。2022年，基本完成具有人脸识别功能的天网前端点位和后台建设。2025年，视频图像资源智能分析和服务能力显著提升。</w:t>
            </w:r>
          </w:p>
          <w:p w14:paraId="2C7EBE77">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公共安全视频监控建设联网应用系统。</w:t>
            </w:r>
            <w:r>
              <w:rPr>
                <w:rFonts w:hint="default" w:ascii="Times New Roman" w:hAnsi="Times New Roman" w:eastAsia="仿宋_GB2312" w:cs="Times New Roman"/>
                <w:kern w:val="2"/>
                <w:sz w:val="24"/>
                <w:szCs w:val="24"/>
              </w:rPr>
              <w:t>接入公共安全视频资源，通过统一授权管理，面向各部门分级分类共享视频监控资源。建设综治信息平台、重点特殊人群实战系统以及统一门户微信服务系统等综治业务应用系统。建设云存储系统、视频图像智能分析系统、重点特殊人群库管理系统、视频图像信息数据库等公安业务应用系统。2022年，视频图像数据共享应用平台建设完成，重点公共区域视频监控联网率达100%。</w:t>
            </w:r>
          </w:p>
          <w:p w14:paraId="512CAED9">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城市大脑公安平台。</w:t>
            </w:r>
            <w:r>
              <w:rPr>
                <w:rFonts w:hint="default" w:ascii="Times New Roman" w:hAnsi="Times New Roman" w:eastAsia="仿宋_GB2312" w:cs="Times New Roman"/>
                <w:kern w:val="2"/>
                <w:sz w:val="24"/>
                <w:szCs w:val="24"/>
              </w:rPr>
              <w:t>实施公安大数据战略，建设警务大数据平台，汇聚公安、应急、住建、卫生健康、工商、交通、食品药品监管、环境保护等部门数据，接入视频、物联网、互联网数据，通过人工智能算法应用，对案件、舆情、热点、事件等警情进行全维度分析，支撑情报研判、案件侦破、犯罪预防、精确打击和警务指挥，实现多警种跨区域信息共享、事前智能化精准预防、警务督察工作一体化。2025年，建成城市大脑公安平台，在线感知警情态势，实现智能预测预警。</w:t>
            </w:r>
          </w:p>
          <w:p w14:paraId="187471D2">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蓬溪县综合应急指挥平台。</w:t>
            </w:r>
            <w:r>
              <w:rPr>
                <w:rFonts w:hint="default" w:ascii="Times New Roman" w:hAnsi="Times New Roman" w:eastAsia="仿宋_GB2312" w:cs="Times New Roman"/>
                <w:kern w:val="2"/>
                <w:sz w:val="24"/>
                <w:szCs w:val="24"/>
              </w:rPr>
              <w:t>构建综合应急指挥平台，开发会议会商系统、视频监控图像接入、监测预警信息发布系统、应急管理综合业务管理系统、移动指挥应用系统、应急资源数据库等。建成蓬溪县突发公共事件预警信息发布平台，整合全县各级广播电视基础资源，统筹管理全县应急广播系统，调度广播电视覆盖系统进行应急信息发布。基于综合应急指挥平台升级为城市大脑应急指挥平台，开发基于数字孪生的应急仿真预案、演练和指挥调度系统。2023年，实现基于数字孪生的应急演练、动态展示各种应急资源的位置、状态，应急管理业务全面实现智能化。</w:t>
            </w:r>
          </w:p>
          <w:p w14:paraId="26827303">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数据治理平台。</w:t>
            </w:r>
            <w:r>
              <w:rPr>
                <w:rFonts w:hint="default" w:ascii="Times New Roman" w:hAnsi="Times New Roman" w:eastAsia="仿宋_GB2312" w:cs="Times New Roman"/>
                <w:kern w:val="2"/>
                <w:sz w:val="24"/>
                <w:szCs w:val="24"/>
              </w:rPr>
              <w:t>数据治理平台包括支持数据质量管理、数据建模、数据展现、脱敏、安全、审计等多个管理子系统，为城市政务数据提供全面的数据治理环境，包括元数据管理、数据质量管理、数据标准管理等功能。2024年，初步建设全县统一数据治理平台，支撑全县各部门提升挂接的数据质量，实现对元数据的规范化管理，为全县政务数据质量管控提供技术支撑。</w:t>
            </w:r>
          </w:p>
          <w:p w14:paraId="4EAA2C25">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推进城管平台智慧化升级。</w:t>
            </w:r>
            <w:r>
              <w:rPr>
                <w:rFonts w:hint="default" w:ascii="Times New Roman" w:hAnsi="Times New Roman" w:eastAsia="仿宋_GB2312" w:cs="Times New Roman"/>
                <w:kern w:val="2"/>
                <w:sz w:val="24"/>
                <w:szCs w:val="24"/>
              </w:rPr>
              <w:t>优化升级现有数字城管系统，建成业务指导、指挥协调、行业应用（智慧执法）、公众服务、数据汇集和数据交换6大标准系统和视频智能分析、感知分析决策、可视化指挥调度、视频会商、舆情监测5大拓展应用系统，实现纵向与国家级、省级平台、市级平台的联网对接，横向与县直部门相关平台资源共享。2023年，基本建成城市综合管理服务平台；2025年，依托大数据、物联网、人工智能等先进技术，将城市综合管理服务平台逐步升级为城市管理大脑平台，进一步增强城市管理信息化、智慧化服务能力。</w:t>
            </w:r>
          </w:p>
        </w:tc>
      </w:tr>
    </w:tbl>
    <w:p w14:paraId="45EBBC8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（四）提升城市公共服务数字化水平</w:t>
      </w:r>
    </w:p>
    <w:p w14:paraId="76942584">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智慧蓬溪建设，以数字技术应用优化提升公共服务、激发社会活力、促进市场化应用服务为重点，引导鼓励企业和社会机构开展创新应用实践，重点推动环保、医疗、教育、就业、交通等领域的数字化应用示范，不断释放产业机会，实现城市公共服务优化与产业培育的协同共进。</w:t>
      </w:r>
    </w:p>
    <w:p w14:paraId="4BA9D2F6">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提升智慧生态环保能力。</w:t>
      </w:r>
      <w:r>
        <w:rPr>
          <w:rFonts w:hint="default" w:ascii="Times New Roman" w:hAnsi="Times New Roman" w:eastAsia="仿宋_GB2312" w:cs="Times New Roman"/>
          <w:sz w:val="32"/>
          <w:szCs w:val="32"/>
        </w:rPr>
        <w:t>推进大数据、物联网、人工智能、卫星遥感等技术在</w:t>
      </w:r>
      <w:r>
        <w:rPr>
          <w:rFonts w:hint="default" w:ascii="Times New Roman" w:hAnsi="Times New Roman" w:eastAsia="仿宋_GB2312" w:cs="Times New Roman"/>
          <w:sz w:val="32"/>
          <w:szCs w:val="32"/>
          <w:lang w:val="en-US" w:eastAsia="zh-CN"/>
        </w:rPr>
        <w:t>生态</w:t>
      </w:r>
      <w:r>
        <w:rPr>
          <w:rFonts w:hint="default" w:ascii="Times New Roman" w:hAnsi="Times New Roman" w:eastAsia="仿宋_GB2312" w:cs="Times New Roman"/>
          <w:sz w:val="32"/>
          <w:szCs w:val="32"/>
        </w:rPr>
        <w:t>环保建设中的应用，加强对大气、水、噪声等环境质量监测。提升环保管理与综合决策信息水平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推动生态环境数据规范采集、整合与共享，实现县级各部门间生态环境监管相关信息的融合共享和深入应用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为环境质量、总量控制、污染治理、风险防范、环境监测能力建设及环境管理决策提供依据。</w:t>
      </w:r>
    </w:p>
    <w:p w14:paraId="5B1B631A">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建设智慧交通枢纽城市。</w:t>
      </w:r>
      <w:r>
        <w:rPr>
          <w:rFonts w:hint="default" w:ascii="Times New Roman" w:hAnsi="Times New Roman" w:eastAsia="仿宋_GB2312" w:cs="Times New Roman"/>
          <w:sz w:val="32"/>
          <w:szCs w:val="32"/>
        </w:rPr>
        <w:t>加快建设蓬溪县交通数据</w:t>
      </w:r>
      <w:r>
        <w:rPr>
          <w:rFonts w:hint="eastAsia"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推进交通基础设施和运输工具运行动态感知体系建设，采集公路网、道路运输、水路及船舶运行等信息，对接成南高速等成渝主要路线交通监测数据。及时全面掌握交通运行态势，实现智能化交通疏导和综合运行协调指挥。加快“缓堵保畅”攻坚，对交通信号灯进行智能改造，实现交通信号灯实时配时优化，持续推进科技治超。大力推进智能公交，推进智慧公交电子站建设，推广基于5G的公交视频在线查询服务等应用，实现车辆到站精准预测，提升公交出行实时路网信息服务水平。规范发展网约车平台、共享汽车平台和共享单车，满足市民多样化出行需求。</w:t>
      </w:r>
    </w:p>
    <w:p w14:paraId="7387BA17">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深化推进智慧教育发展。</w:t>
      </w:r>
      <w:r>
        <w:rPr>
          <w:rFonts w:hint="default" w:ascii="Times New Roman" w:hAnsi="Times New Roman" w:eastAsia="仿宋_GB2312" w:cs="Times New Roman"/>
          <w:sz w:val="32"/>
          <w:szCs w:val="32"/>
        </w:rPr>
        <w:t>深化推进智慧教育发展。继续深入推进“三通两平台”建设，实施教育信息化2.0行动计划，推动无线校园和智能设备应用逐步普及。发展远程教育、在线教育等新业态，利用专递课堂、名师课堂、名校网络课堂等方式，向资源薄弱学校精准推送优质数字教育资源，促进优质数字教育资源普惠共享。大力推进“数字校园”建设，推动智能技术与教育教学过程深度融合，促进教学内容、教学形式、学习方式、学习评价创新。深化教育大数据应用，推动差异化教学、个性化学习和智能化服务。完善校园安全防控体系，加快推进校园视频监控系统、紧急报警装置等建设，加强学校食品安全、校车安全监管。</w:t>
      </w:r>
    </w:p>
    <w:p w14:paraId="66BEA650">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推进智慧医疗建设。</w:t>
      </w:r>
      <w:r>
        <w:rPr>
          <w:rFonts w:hint="default" w:ascii="Times New Roman" w:hAnsi="Times New Roman" w:eastAsia="仿宋_GB2312" w:cs="Times New Roman"/>
          <w:sz w:val="32"/>
          <w:szCs w:val="32"/>
        </w:rPr>
        <w:t>推进居民电子健康档案、电子病历信息数据库建设，推动全县医疗机构信息系统互联互通。依托区域医疗远程诊断中心，拓展远程会诊、远程诊断等服务，构建分级诊疗服务体系。大力发展“互联网+医疗服务”，推进5G智慧医院建设，深化5G、大数据、云计算、人工智能等技术在医疗领域中的创新应用，提升医护工作效率和患者服务体验。建立城市大脑医疗平台，对接社会网络公共信息资源，完善疾病敏感信息预警机制，提高突发公共卫生事件预警与应急响应能力。</w:t>
      </w:r>
    </w:p>
    <w:p w14:paraId="303C9CB2">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提升智慧就业社保服务。</w:t>
      </w:r>
      <w:r>
        <w:rPr>
          <w:rFonts w:hint="default" w:ascii="Times New Roman" w:hAnsi="Times New Roman" w:eastAsia="仿宋_GB2312" w:cs="Times New Roman"/>
          <w:sz w:val="32"/>
          <w:szCs w:val="32"/>
        </w:rPr>
        <w:t>完善人社主题数据库，加强人社数据的共享开放和开发利用，通过对社保、就业、失业等数据分析，加强就业形式研判，支撑政府拟订应对预案及响应政策。构建“人社电子档案袋”，智能感知市民服务需求，提供就业信息推送、社保费催缴等个性化服务。建立智慧人社一体化服务平台，推动社会保险业务一站式办理。积极推广电子社保卡，拓宽电子社保卡应用场景范围，打造以实体社保卡和电子社保卡为载体的线上线下融合的人社服务体系。</w:t>
      </w:r>
    </w:p>
    <w:p w14:paraId="16B040DF">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拓展智慧健康养老服务。</w:t>
      </w:r>
      <w:r>
        <w:rPr>
          <w:rFonts w:hint="default" w:ascii="Times New Roman" w:hAnsi="Times New Roman" w:eastAsia="仿宋_GB2312" w:cs="Times New Roman"/>
          <w:sz w:val="32"/>
          <w:szCs w:val="32"/>
        </w:rPr>
        <w:t>开展新型养老服务，以在街道建设的社区养老服务综合体为枢纽，与社区的其他为老服务设施形成“一站多点、医养融合、养教结合”的设施网络，逐步打造“15分钟养老服务圈”。探索建设养老服务信息平台，实现高龄补贴线上申请和年审服务及养老服务机构线上监管功能。建设老年用品展示体验馆，拓展人工智能、物联网、云计算、大数据等新一代信息技术和智能硬件等产品在养老服务领域深度应用。引导有条件的养老服务机构和社区运用现代信息技术，探索建设智慧养老院、智慧养老社区。提升服务能力。积极推进医养相关产业跨界融合，支撑保健养生产业、健康管理服务产业等新产业发展，实现“医、养、康、护、游”融合发展。</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14:paraId="525B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0" w:type="auto"/>
            <w:tcBorders>
              <w:bottom w:val="single" w:color="auto" w:sz="4" w:space="0"/>
            </w:tcBorders>
            <w:vAlign w:val="center"/>
          </w:tcPr>
          <w:p w14:paraId="36F59FA9">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6</w:t>
            </w:r>
            <w:r>
              <w:rPr>
                <w:rFonts w:hint="default" w:ascii="Times New Roman" w:hAnsi="Times New Roman" w:eastAsia="楷体_GB2312" w:cs="Times New Roman"/>
                <w:b/>
                <w:bCs/>
                <w:kern w:val="2"/>
                <w:sz w:val="28"/>
                <w:szCs w:val="28"/>
              </w:rPr>
              <w:t xml:space="preserve">  城市公共服务数字化工程</w:t>
            </w:r>
          </w:p>
        </w:tc>
      </w:tr>
      <w:tr w14:paraId="5B11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14:paraId="49A5DF03">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数字校园示范建设。</w:t>
            </w:r>
            <w:r>
              <w:rPr>
                <w:rFonts w:hint="default" w:ascii="Times New Roman" w:hAnsi="Times New Roman" w:eastAsia="仿宋_GB2312" w:cs="Times New Roman"/>
                <w:kern w:val="2"/>
                <w:sz w:val="24"/>
                <w:szCs w:val="24"/>
              </w:rPr>
              <w:t>数字校园普及建设。以试点先行、深化应用、融合创新为原则，加强数字校园示范建设，促进区域教育均衡发展，进一步提升教育教学质量。按照《四川省中小学数字校园建设规范(试行)》,大力推动数字校园普及建设，加快部署数字教学终端，建设智慧教室、智慧实验室、虚拟仿真实训室等，为智能化条件下教学模式创新提供有力保障。加强校园安全建设，加快部署校园视频监控系统、紧急报警装置等，并接入公安机关、教育部门监控和报警平台，强化警校联动，提升校园安全防控水平。</w:t>
            </w:r>
          </w:p>
          <w:p w14:paraId="3222D741">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校车安全监管平台。</w:t>
            </w:r>
            <w:r>
              <w:rPr>
                <w:rFonts w:hint="default" w:ascii="Times New Roman" w:hAnsi="Times New Roman" w:eastAsia="仿宋_GB2312" w:cs="Times New Roman"/>
                <w:kern w:val="2"/>
                <w:sz w:val="24"/>
                <w:szCs w:val="24"/>
              </w:rPr>
              <w:t>充分运用云平台、移动互联及车载音视频监控等现代化信息技术和科技手段，加强对校车运行实时监控、车辆跟踪定位、预警和自动报警。通过对校车内人员不规范行为进行语音提醒、及时记录，实现对校车安全的动态监管，有效保障师生乘车安全。全</w:t>
            </w:r>
            <w:r>
              <w:rPr>
                <w:rFonts w:hint="default" w:ascii="Times New Roman" w:hAnsi="Times New Roman" w:eastAsia="仿宋_GB2312" w:cs="Times New Roman"/>
                <w:kern w:val="2"/>
                <w:sz w:val="24"/>
                <w:szCs w:val="24"/>
                <w:lang w:eastAsia="zh-CN"/>
              </w:rPr>
              <w:t>县</w:t>
            </w:r>
            <w:r>
              <w:rPr>
                <w:rFonts w:hint="default" w:ascii="Times New Roman" w:hAnsi="Times New Roman" w:eastAsia="仿宋_GB2312" w:cs="Times New Roman"/>
                <w:kern w:val="2"/>
                <w:sz w:val="24"/>
                <w:szCs w:val="24"/>
              </w:rPr>
              <w:t>中小学、幼儿园校车全面接入平台监管。</w:t>
            </w:r>
          </w:p>
          <w:p w14:paraId="07F25C15">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医疗保障信息化建设。</w:t>
            </w:r>
            <w:r>
              <w:rPr>
                <w:rFonts w:hint="default" w:ascii="Times New Roman" w:hAnsi="Times New Roman" w:eastAsia="仿宋_GB2312" w:cs="Times New Roman"/>
                <w:kern w:val="2"/>
                <w:sz w:val="24"/>
                <w:szCs w:val="24"/>
              </w:rPr>
              <w:t>推进医疗保障信息化建设工作。完善医保骨干网络建设，推广“互联网+”医保、医保电子凭证。推动医疗保障大数据应用以及公共服务开发，通过大数据应用加强智能审核机制实现市民脱卡就诊就医，诊间结算等一系列便民服务。统一医保参保、待遇保障、就医结算、药品和医用耗材招标采购、基金监管等标准，推动医保业务智能审核系统、医保基金智能审核系统、诊间结算系统等融入省医保大数据一体化平台。完成对医保制度运行情况实行动态监测，形成宏观决策分析工作的大数据能力。2023年，实现市民脱卡就诊就医，诊间结算等一系列便民服务。</w:t>
            </w:r>
          </w:p>
          <w:p w14:paraId="5392742A">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智慧医院建设。</w:t>
            </w:r>
            <w:r>
              <w:rPr>
                <w:rFonts w:hint="default" w:ascii="Times New Roman" w:hAnsi="Times New Roman" w:eastAsia="仿宋_GB2312" w:cs="Times New Roman"/>
                <w:kern w:val="2"/>
                <w:sz w:val="24"/>
                <w:szCs w:val="24"/>
              </w:rPr>
              <w:t>以县医院为试点，推进全县5G智慧医院建设，提高医疗服务效能。鼓励医院投入导诊机器人、一站式自助服务机等智能化设备，充分利用互联网信息技术改造优化诊前、诊中、诊后各诊疗流程，提供分时段预约诊疗、智能导医分诊、候诊提醒、检验检查结果查询、诊间结算、移动支付等服务，改善患者就医体验。鼓励有条件的医院建设5G会诊平台，让专家能随时随地开展会诊，提升诊断准确率和指导效率，促进优质医疗资源下沉。鼓励医院发展“互联网+医疗”服务，提供网上义务咨询、居家医学观察指导等服务，探索在线开展诊疗咨询、部分常见病问诊、慢性病复诊及药品配送服务。</w:t>
            </w:r>
          </w:p>
          <w:p w14:paraId="3A4ACE30">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城市大脑医疗平台。</w:t>
            </w:r>
            <w:r>
              <w:rPr>
                <w:rFonts w:hint="default" w:ascii="Times New Roman" w:hAnsi="Times New Roman" w:eastAsia="仿宋_GB2312" w:cs="Times New Roman"/>
                <w:kern w:val="2"/>
                <w:sz w:val="24"/>
                <w:szCs w:val="24"/>
              </w:rPr>
              <w:t>加快医疗机构与公共卫生机构通过城市数据大脑实现数据共享，实现公共卫生全程信息化管理。建立重大疫情疫病监测数据库、联防联控信息共享库，通过大数据分析加强对传染疾病的监测预警和处理能力，提高疫情防控实时分析、实时预测、实时管理、实时反馈能力。完善智慧急救体系，推进院前急救系统与</w:t>
            </w:r>
            <w:r>
              <w:rPr>
                <w:rFonts w:hint="default" w:ascii="Times New Roman" w:hAnsi="Times New Roman" w:eastAsia="仿宋_GB2312" w:cs="Times New Roman"/>
                <w:kern w:val="2"/>
                <w:sz w:val="24"/>
                <w:szCs w:val="24"/>
                <w:lang w:eastAsia="zh-CN"/>
              </w:rPr>
              <w:t>县</w:t>
            </w:r>
            <w:r>
              <w:rPr>
                <w:rFonts w:hint="default" w:ascii="Times New Roman" w:hAnsi="Times New Roman" w:eastAsia="仿宋_GB2312" w:cs="Times New Roman"/>
                <w:kern w:val="2"/>
                <w:sz w:val="24"/>
                <w:szCs w:val="24"/>
              </w:rPr>
              <w:t>级全民健康信息平台的数据对接，推进与公安、交通、应急管理等相关部门的应急联动，实现与城市大脑数据对接，为急救病人提供更合理的调度、救治、转送、交接方案。2025年，城市大脑医疗平台建设完成，并与城市大脑实现对接。</w:t>
            </w:r>
          </w:p>
          <w:p w14:paraId="42A2F1FA">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智慧人社一体化公共服务平台。</w:t>
            </w:r>
            <w:r>
              <w:rPr>
                <w:rFonts w:hint="default" w:ascii="Times New Roman" w:hAnsi="Times New Roman" w:eastAsia="仿宋_GB2312" w:cs="Times New Roman"/>
                <w:kern w:val="2"/>
                <w:sz w:val="24"/>
                <w:szCs w:val="24"/>
              </w:rPr>
              <w:t>运用新一代信息技术为群众提供方便快捷安全的人社服务。建设社保智能服务子平台，打造集社会保障、就业创业、考试培训、人事人才、劳动关系、行政许可等人社综合服务的网上办事大厅。建设智能就业服务子平台，推动就业信息公开化、就业服务网络化、就业数据可视化，实现对就业政策实施效果的科学评估。完善就业服务功能，为</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内外求职者、企业、人力资源服务机构提供线上线下智能招聘求职、智能培训创业及智能办事等服务，为管理机构提供业务经办与档案一体化、智能分析等服务。开展就业大数据分析，为就业政策制定提供依据。2025年，智慧人社一体化公共服务平台不断完善，实现数据一体化、业务协同化、渠道多样化。</w:t>
            </w:r>
          </w:p>
          <w:p w14:paraId="2942D5C6">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养老服务信息平台。</w:t>
            </w:r>
            <w:r>
              <w:rPr>
                <w:rFonts w:hint="default" w:ascii="Times New Roman" w:hAnsi="Times New Roman" w:eastAsia="仿宋_GB2312" w:cs="Times New Roman"/>
                <w:kern w:val="2"/>
                <w:sz w:val="24"/>
                <w:szCs w:val="24"/>
              </w:rPr>
              <w:t>建议养老服务信息平台，拓展养老服务功能，建立高龄补贴线上申报和审核；完善全县老年人基础信息和需求信息更新、养老服务机构基础信息及其他养老服务资源，精准对接需求与供给，为老年人提供“点菜式”就近便捷的养老服务。依托养老服务信息平台，加强对养老机构服务质量和运营情况的监管。加强信息统计和分析，为智慧养老工作和统筹合理匹配养老资源提供科学有效的数据支撑。</w:t>
            </w:r>
          </w:p>
        </w:tc>
      </w:tr>
    </w:tbl>
    <w:p w14:paraId="785EA439">
      <w:pPr>
        <w:keepNext w:val="0"/>
        <w:keepLines w:val="0"/>
        <w:pageBreakBefore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64F50C02">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bookmarkStart w:id="14" w:name="_Toc24123"/>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五</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营造良好的数字经济生态</w:t>
      </w:r>
      <w:bookmarkEnd w:id="14"/>
    </w:p>
    <w:p w14:paraId="49FC24C3">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default" w:ascii="Times New Roman" w:hAnsi="Times New Roman" w:eastAsia="仿宋_GB2312" w:cs="Times New Roman"/>
          <w:sz w:val="32"/>
          <w:szCs w:val="32"/>
        </w:rPr>
      </w:pPr>
    </w:p>
    <w:p w14:paraId="2CE66A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jc w:val="both"/>
        <w:textAlignment w:val="auto"/>
        <w:outlineLvl w:val="1"/>
        <w:rPr>
          <w:rFonts w:hint="eastAsia" w:ascii="黑体" w:hAnsi="黑体" w:eastAsia="黑体" w:cs="黑体"/>
          <w:b w:val="0"/>
          <w:bCs w:val="0"/>
          <w:sz w:val="32"/>
          <w:szCs w:val="32"/>
        </w:rPr>
      </w:pPr>
      <w:bookmarkStart w:id="15" w:name="_Toc2616"/>
      <w:r>
        <w:rPr>
          <w:rFonts w:hint="eastAsia" w:ascii="黑体" w:hAnsi="黑体" w:eastAsia="黑体" w:cs="黑体"/>
          <w:b w:val="0"/>
          <w:bCs w:val="0"/>
          <w:sz w:val="32"/>
          <w:szCs w:val="32"/>
          <w:lang w:val="en-US" w:eastAsia="zh-CN"/>
        </w:rPr>
        <w:t xml:space="preserve">第一节 </w:t>
      </w:r>
      <w:r>
        <w:rPr>
          <w:rFonts w:hint="eastAsia" w:ascii="黑体" w:hAnsi="黑体" w:eastAsia="黑体" w:cs="黑体"/>
          <w:b w:val="0"/>
          <w:bCs w:val="0"/>
          <w:sz w:val="32"/>
          <w:szCs w:val="32"/>
        </w:rPr>
        <w:t>构建多层次人才梯度</w:t>
      </w:r>
      <w:bookmarkEnd w:id="15"/>
    </w:p>
    <w:p w14:paraId="1529D0D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数字经济领域技术人才的引进培养，将数字经济领域引进高层次、高学历、高技能以及紧缺人才纳入政府人才支持政策体系，为其在职称评定、住房、落户、医疗保健，以及配偶就业、子女入学等方面提供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解决人才的后顾之忧。支持高等院校、科研机构、职业学校通过与企业产学研合作、共建实习实训基地等方式，培养符合数字经济发展需求的相关人才。</w:t>
      </w:r>
    </w:p>
    <w:p w14:paraId="0A1D446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6" w:name="_Toc11971"/>
      <w:r>
        <w:rPr>
          <w:rFonts w:hint="eastAsia" w:ascii="黑体" w:hAnsi="黑体" w:eastAsia="黑体" w:cs="黑体"/>
          <w:b w:val="0"/>
          <w:bCs w:val="0"/>
          <w:sz w:val="32"/>
          <w:szCs w:val="32"/>
        </w:rPr>
        <w:t>第二节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打造多途径金融服务</w:t>
      </w:r>
      <w:bookmarkEnd w:id="16"/>
    </w:p>
    <w:p w14:paraId="4CE657C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争取国家和省、市级各类专项资金支持，统筹县级数字经济发展和智慧城市建设资金、县级工业发展引导资金等各类专项资金，加大对数字经济重点领域、引领性的重大项目、应用示范项目的资金扶持力度。引导社会资本成立数字经济细分领域子基金，重点投向蓬溪或有意愿落户蓬溪的数字经济领域创业企业，为数字经济发展打造良好的投融资环境。鼓励银行、担保、小额贷款等机构创新融资方式，优先支持数字经济发展，支持符合条件的数字经济企业进入多层次资本市场进行融资。搭建数字经济发展投融资平台，加强对企业的信贷支持，拓宽投融资渠道，发挥社会资本在产业发展中的核心作用。引进和培育数字经济发展风险投资机构，扶持数字经济产业和应用项目。</w:t>
      </w:r>
    </w:p>
    <w:p w14:paraId="23C7E5CF">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0" w:firstLineChars="200"/>
        <w:jc w:val="both"/>
        <w:textAlignment w:val="auto"/>
        <w:outlineLvl w:val="1"/>
        <w:rPr>
          <w:rFonts w:hint="eastAsia" w:ascii="黑体" w:hAnsi="黑体" w:eastAsia="黑体" w:cs="黑体"/>
          <w:b w:val="0"/>
          <w:bCs w:val="0"/>
          <w:sz w:val="32"/>
          <w:szCs w:val="32"/>
        </w:rPr>
      </w:pPr>
      <w:bookmarkStart w:id="17" w:name="_Toc15694"/>
      <w:r>
        <w:rPr>
          <w:rFonts w:hint="eastAsia" w:ascii="黑体" w:hAnsi="黑体" w:eastAsia="黑体" w:cs="黑体"/>
          <w:b w:val="0"/>
          <w:bCs w:val="0"/>
          <w:sz w:val="32"/>
          <w:szCs w:val="32"/>
          <w:lang w:val="en-US" w:eastAsia="zh-CN"/>
        </w:rPr>
        <w:t xml:space="preserve">第三节 </w:t>
      </w:r>
      <w:r>
        <w:rPr>
          <w:rFonts w:hint="eastAsia" w:ascii="黑体" w:hAnsi="黑体" w:eastAsia="黑体" w:cs="黑体"/>
          <w:b w:val="0"/>
          <w:bCs w:val="0"/>
          <w:sz w:val="32"/>
          <w:szCs w:val="32"/>
          <w:lang w:eastAsia="zh-CN"/>
        </w:rPr>
        <w:t>强化</w:t>
      </w:r>
      <w:r>
        <w:rPr>
          <w:rFonts w:hint="eastAsia" w:ascii="黑体" w:hAnsi="黑体" w:eastAsia="黑体" w:cs="黑体"/>
          <w:b w:val="0"/>
          <w:bCs w:val="0"/>
          <w:sz w:val="32"/>
          <w:szCs w:val="32"/>
        </w:rPr>
        <w:t>市场主体招引培育</w:t>
      </w:r>
      <w:bookmarkEnd w:id="17"/>
    </w:p>
    <w:p w14:paraId="6B86CCA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瞄准世界500强、大型跨国企业、全国电子信息百强、软件百强、互联网百强企业，开展靶向招商、以商招商和补链招商。建立数字经济企业“白名单”制度，精准施策，做大做强骨干企业。着眼细分领域，大力培育“小巨人”“隐形冠军”“单项冠军”“独角兽”企业，推动数字经济中小企业“专精特新”发展。鼓励各类数字经济创新创业载体催生“双创”新企业，对获得国家级“双创”试点示范的数字经济企业、数字经济领域创新创业大赛获奖企业，给予奖励扶持。</w:t>
      </w:r>
    </w:p>
    <w:p w14:paraId="4BEF45A1">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w:t>
      </w:r>
      <w:r>
        <w:rPr>
          <w:rFonts w:hint="default" w:ascii="Times New Roman" w:hAnsi="Times New Roman" w:eastAsia="仿宋_GB2312" w:cs="Times New Roman"/>
          <w:sz w:val="32"/>
          <w:szCs w:val="32"/>
          <w:lang w:eastAsia="zh-CN"/>
        </w:rPr>
        <w:t>经开区、现代农业示范区</w:t>
      </w:r>
      <w:r>
        <w:rPr>
          <w:rFonts w:hint="default" w:ascii="Times New Roman" w:hAnsi="Times New Roman" w:eastAsia="仿宋_GB2312" w:cs="Times New Roman"/>
          <w:sz w:val="32"/>
          <w:szCs w:val="32"/>
        </w:rPr>
        <w:t>等建设互联网创新创业园区，在制造、商业、物流、交通、餐饮、金融、知识等领域培育一批共享经济、平台经济和新零售等企业，促进互联网经济集聚发展。推动互联网在创业创新、农业、金融、物流、交通、节能环保等领域的应用和融合创新，发展互联网与重点产业深度融合的新技术、新产品、新模式、新业态。推广“互联网+”商业模式创新成果，引导中小企业参与云设计、网络协同制造、大数据营销、网络供应链协同等新模式，提高企业的系统创新能力。</w:t>
      </w:r>
    </w:p>
    <w:p w14:paraId="1DEF89C5">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8" w:name="_Toc31772"/>
      <w:r>
        <w:rPr>
          <w:rFonts w:hint="eastAsia" w:ascii="黑体" w:hAnsi="黑体" w:eastAsia="黑体" w:cs="黑体"/>
          <w:b w:val="0"/>
          <w:bCs w:val="0"/>
          <w:sz w:val="32"/>
          <w:szCs w:val="32"/>
        </w:rPr>
        <w:t>第四节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健全产业公共服务体系</w:t>
      </w:r>
      <w:bookmarkEnd w:id="18"/>
    </w:p>
    <w:p w14:paraId="43465AE8">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搭建技术孵化服务平台。</w:t>
      </w:r>
      <w:r>
        <w:rPr>
          <w:rFonts w:hint="default" w:ascii="Times New Roman" w:hAnsi="Times New Roman" w:eastAsia="仿宋_GB2312" w:cs="Times New Roman"/>
          <w:sz w:val="32"/>
          <w:szCs w:val="32"/>
        </w:rPr>
        <w:t>建立产学研用公共服务平台，利用好</w:t>
      </w:r>
      <w:r>
        <w:rPr>
          <w:rFonts w:hint="default" w:ascii="Times New Roman" w:hAnsi="Times New Roman" w:eastAsia="仿宋_GB2312" w:cs="Times New Roman"/>
          <w:sz w:val="32"/>
          <w:szCs w:val="32"/>
          <w:lang w:eastAsia="zh-CN"/>
        </w:rPr>
        <w:t>智慧城市数据中心和数字经济孵化中心</w:t>
      </w:r>
      <w:r>
        <w:rPr>
          <w:rFonts w:hint="default" w:ascii="Times New Roman" w:hAnsi="Times New Roman" w:eastAsia="仿宋_GB2312" w:cs="Times New Roman"/>
          <w:sz w:val="32"/>
          <w:szCs w:val="32"/>
        </w:rPr>
        <w:t>，为企业和研究机构提供科研信息汇集、技术成果汇总、试验设备共享等一系列公共服务，推动核心技术领域的研发工作。建立科技项目资助扶持中心，在科技计划项目申报、科技奖励过程中，对于具有较好市场前景与较高应用价值的项目进行资助与扶持，提高项目孵化速度。</w:t>
      </w:r>
    </w:p>
    <w:p w14:paraId="79F0D56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推进技术转移体系建设。</w:t>
      </w:r>
      <w:r>
        <w:rPr>
          <w:rFonts w:hint="default" w:ascii="Times New Roman" w:hAnsi="Times New Roman" w:eastAsia="仿宋_GB2312" w:cs="Times New Roman"/>
          <w:sz w:val="32"/>
          <w:szCs w:val="32"/>
        </w:rPr>
        <w:t>建成一站式技术转移服务链，构建技术交易、协同创新、融资服务、共享服务四大功能体系；建立科技成果信息发布机制，推进各类科技服务机构提供交易撮合、融资并购等线上线下相结合的专业化服务，加强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内外科技资源共享和科技服务协同；支持企业与高校、科研院所共建研发机构，面向社会公开征集技术解决方案，提升吸纳技术和转化成果能力。</w:t>
      </w:r>
    </w:p>
    <w:p w14:paraId="466DE782">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挖掘技术应用落地场景。</w:t>
      </w:r>
      <w:r>
        <w:rPr>
          <w:rFonts w:hint="default" w:ascii="Times New Roman" w:hAnsi="Times New Roman" w:eastAsia="仿宋_GB2312" w:cs="Times New Roman"/>
          <w:sz w:val="32"/>
          <w:szCs w:val="32"/>
        </w:rPr>
        <w:t>鼓励企业试验新研发、新想法、新产品，将较为成熟且满足行业需求的技术实用化、产业化，加快实验室技术的转化速度，切实将科研成果转化为实际生产力，加速创新落地进程，打造垂直行业的隐形冠军。</w:t>
      </w:r>
    </w:p>
    <w:p w14:paraId="1D3071A1">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9" w:name="_Toc9107"/>
      <w:r>
        <w:rPr>
          <w:rFonts w:hint="eastAsia" w:ascii="黑体" w:hAnsi="黑体" w:eastAsia="黑体" w:cs="黑体"/>
          <w:b w:val="0"/>
          <w:bCs w:val="0"/>
          <w:sz w:val="32"/>
          <w:szCs w:val="32"/>
        </w:rPr>
        <w:t>第五节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加快创新平台建设</w:t>
      </w:r>
      <w:bookmarkEnd w:id="19"/>
    </w:p>
    <w:p w14:paraId="647A5C3B">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推进技术应用和商业模式创新。</w:t>
      </w:r>
      <w:r>
        <w:rPr>
          <w:rFonts w:hint="default" w:ascii="Times New Roman" w:hAnsi="Times New Roman" w:eastAsia="仿宋_GB2312" w:cs="Times New Roman"/>
          <w:sz w:val="32"/>
          <w:szCs w:val="32"/>
        </w:rPr>
        <w:t>构建以基础研究、应用研究、成果转化、项目产业化、政府奖励为关键环节的创新链条，为数字经济培育发展提供技术应用创新和产业化服务支撑。深化企业、高校、科研院所之间的合作，支持共建大数据研发机构，组建多种形式的产业联盟、研发基地和公共服务平台，建设面向技术应用服务的重点实验室或重点工程中心，开辟中小信息企业自主创新绿色阳光通道。</w:t>
      </w:r>
    </w:p>
    <w:p w14:paraId="5FA2D5BD">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搭建创新创业平台。</w:t>
      </w:r>
      <w:r>
        <w:rPr>
          <w:rFonts w:hint="default" w:ascii="Times New Roman" w:hAnsi="Times New Roman" w:eastAsia="仿宋_GB2312" w:cs="Times New Roman"/>
          <w:sz w:val="32"/>
          <w:szCs w:val="32"/>
        </w:rPr>
        <w:t>加快发展专业化、集成化、网络化的众创空间，面向电子信息、智能制造、高端服务业等产业，建立双创服务基地，形成包括孵化载体、技术平台、人才培育、梯形融资、知识产权、市场开拓等在内的产业孵化体系。加快</w:t>
      </w:r>
      <w:r>
        <w:rPr>
          <w:rFonts w:hint="default" w:ascii="Times New Roman" w:hAnsi="Times New Roman" w:eastAsia="仿宋_GB2312" w:cs="Times New Roman"/>
          <w:sz w:val="32"/>
          <w:szCs w:val="32"/>
          <w:lang w:eastAsia="zh-CN"/>
        </w:rPr>
        <w:t>数字经济孵化中心</w:t>
      </w:r>
      <w:r>
        <w:rPr>
          <w:rFonts w:hint="default" w:ascii="Times New Roman" w:hAnsi="Times New Roman" w:eastAsia="仿宋_GB2312" w:cs="Times New Roman"/>
          <w:sz w:val="32"/>
          <w:szCs w:val="32"/>
        </w:rPr>
        <w:t>建设，构建“产业、双创、科服、社区”四位一体、相互协同的创新创业生态系统。鼓励遂潼两地产业创新载体间的交流合作，推进大石、任隆、常乐等重点特色小镇等项目建设，打造创新要素集聚区。鼓励举办“大数据应用创新大赛”“ICT精英大赛”等，形成“创意+投资者+孵化器”的创新模式。支持大学科技园、各类孵化器、众创空间等设立大学生创业苗圃，建立健全创业指导服务机构。</w:t>
      </w:r>
    </w:p>
    <w:p w14:paraId="689B52C6">
      <w:pPr>
        <w:autoSpaceDE/>
        <w:autoSpaceDN/>
        <w:spacing w:line="560" w:lineRule="exact"/>
        <w:ind w:firstLine="640" w:firstLineChars="200"/>
        <w:jc w:val="both"/>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第六节 营造信息消费环境，培育数字化社会</w:t>
      </w:r>
    </w:p>
    <w:p w14:paraId="73417A05">
      <w:pPr>
        <w:pStyle w:val="6"/>
        <w:spacing w:line="560" w:lineRule="exact"/>
        <w:ind w:firstLine="560"/>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提高社会生活数字化水平。构建云端集成、便捷高效的城镇社区智慧场景，提升数字普惠服务能力。支持数字化智能化生活平台和专业服务机构建设，拓展第三方互联网服务渠道和服务内容。加大数字化智能化生活服务产品开发供给，发展直播带货、共享住宿等生活消费新场景，积极培育流量经济、无人经济、共享经济、微经济等新业态新模式。加强数字技能培训，提升全民数字素养，引导公众适应数字技术全面融入社会交往和日常生活新趋势，主动融入数字社会。</w:t>
      </w:r>
    </w:p>
    <w:p w14:paraId="6AC92B30">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促进公共服务数字化便捷化。建立健全适应数字化公共服务供给体制机制，提高公共资源配置效率和管理能力。用好用活各类已建便民系统，实现与政务服务等平台互联互通和同步升级；加快居民健康信息平台建设，开展智慧医疗和健康医疗大数据应用示范，构建覆盖诊前、诊中、诊后的线上线下一体化医疗服务体系。广泛开展全民艺术普及、全民阅读、公共文化鉴赏等活动，提升公共文化服务效能。</w:t>
      </w:r>
    </w:p>
    <w:p w14:paraId="44E9ECF2">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推进消费电子产品创新发展。积极利用5G、物联网、大数据、云计算、人工智能、区块链等技术，推动北斗终端、智能手机、平板电脑、家电音响、智能摄像头等省内特色终端产品升级换代，支持智能服务机器人、虚拟/增强现实（VR/AR）、智能可穿戴设备、消费级无人机、超高清视频终端等产品创新和产业化升级，鼓励非接触式智能消费终端推广应用，加快4K/8K应用普及，释放新兴消费潜力。大力发展可穿戴智能监护、智能医养辅助设备、医用机器人等智慧健康养老产品，满足不同应用场景下的个性化健康养老需求。</w:t>
      </w:r>
    </w:p>
    <w:p w14:paraId="264AFA01">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建设一批线上线下融合的信息消费体验中心，引导零售企业智慧化转型。培育直播带货、社交、短视频、“云逛街”“云购物”等网购新模式。引导“居家经济”合理有序发展，打造“数字化社区”，增加购物、订餐、家政等一站式服务供给。拓展互联网与政务、教育、养老、托育等领域融合的广度和深度。</w:t>
      </w:r>
    </w:p>
    <w:p w14:paraId="38457561">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加强人民银行、商业银行的对接，争取数字货币的试点应用工作，为信息消费营造支付环境。</w:t>
      </w:r>
      <w:r>
        <w:rPr>
          <w:rFonts w:hint="default" w:ascii="Times New Roman" w:hAnsi="Times New Roman" w:eastAsia="仿宋_GB2312" w:cs="Times New Roman"/>
          <w:sz w:val="32"/>
          <w:szCs w:val="32"/>
          <w:lang w:eastAsia="en-US"/>
        </w:rPr>
        <w:t>完善</w:t>
      </w:r>
      <w:r>
        <w:rPr>
          <w:rFonts w:hint="default" w:ascii="Times New Roman" w:hAnsi="Times New Roman" w:eastAsia="仿宋_GB2312" w:cs="Times New Roman"/>
          <w:color w:val="000000" w:themeColor="text1"/>
          <w:sz w:val="32"/>
          <w:szCs w:val="32"/>
          <w:lang w:eastAsia="en-US"/>
          <w14:textFill>
            <w14:solidFill>
              <w14:schemeClr w14:val="tx1"/>
            </w14:solidFill>
          </w14:textFill>
        </w:rPr>
        <w:t>消费环境，应对风险能力</w:t>
      </w:r>
      <w:r>
        <w:rPr>
          <w:rFonts w:hint="default" w:ascii="Times New Roman" w:hAnsi="Times New Roman" w:eastAsia="仿宋_GB2312" w:cs="Times New Roman"/>
          <w:sz w:val="32"/>
          <w:szCs w:val="32"/>
          <w:lang w:val="en-US" w:eastAsia="zh-CN"/>
        </w:rPr>
        <w:t>不断</w:t>
      </w:r>
      <w:r>
        <w:rPr>
          <w:rFonts w:hint="default" w:ascii="Times New Roman" w:hAnsi="Times New Roman" w:eastAsia="仿宋_GB2312" w:cs="Times New Roman"/>
          <w:color w:val="000000" w:themeColor="text1"/>
          <w:sz w:val="32"/>
          <w:szCs w:val="32"/>
          <w:lang w:eastAsia="en-US"/>
          <w14:textFill>
            <w14:solidFill>
              <w14:schemeClr w14:val="tx1"/>
            </w14:solidFill>
          </w14:textFill>
        </w:rPr>
        <w:t>增强，</w:t>
      </w:r>
      <w:r>
        <w:rPr>
          <w:rFonts w:hint="default" w:ascii="Times New Roman" w:hAnsi="Times New Roman" w:eastAsia="仿宋_GB2312" w:cs="Times New Roman"/>
          <w:sz w:val="32"/>
          <w:szCs w:val="32"/>
          <w:lang w:eastAsia="en-US"/>
        </w:rPr>
        <w:t>形成</w:t>
      </w:r>
      <w:r>
        <w:rPr>
          <w:rFonts w:hint="default" w:ascii="Times New Roman" w:hAnsi="Times New Roman" w:eastAsia="仿宋_GB2312" w:cs="Times New Roman"/>
          <w:color w:val="000000" w:themeColor="text1"/>
          <w:sz w:val="32"/>
          <w:szCs w:val="32"/>
          <w:lang w:eastAsia="en-US"/>
          <w14:textFill>
            <w14:solidFill>
              <w14:schemeClr w14:val="tx1"/>
            </w14:solidFill>
          </w14:textFill>
        </w:rPr>
        <w:t>高效、安全、诚信、有序的信息消费环境，实现消费者能消费、敢消费、愿消费。</w:t>
      </w:r>
    </w:p>
    <w:p w14:paraId="3F90BEB4">
      <w:pPr>
        <w:keepNext w:val="0"/>
        <w:keepLines w:val="0"/>
        <w:pageBreakBefore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14DBBCF5">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bookmarkStart w:id="20" w:name="_Toc22517"/>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章 数字经济发展的保障措施</w:t>
      </w:r>
      <w:bookmarkEnd w:id="20"/>
    </w:p>
    <w:p w14:paraId="067CA3E2">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default" w:ascii="Times New Roman" w:hAnsi="Times New Roman" w:eastAsia="仿宋_GB2312" w:cs="Times New Roman"/>
          <w:sz w:val="32"/>
          <w:szCs w:val="32"/>
        </w:rPr>
      </w:pPr>
    </w:p>
    <w:p w14:paraId="53A4ABE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楷体_GB2312" w:cs="Times New Roman"/>
          <w:b/>
          <w:bCs/>
          <w:sz w:val="32"/>
          <w:szCs w:val="32"/>
        </w:rPr>
      </w:pPr>
      <w:bookmarkStart w:id="21" w:name="_Toc30506"/>
      <w:r>
        <w:rPr>
          <w:rFonts w:hint="eastAsia" w:ascii="黑体" w:hAnsi="黑体" w:eastAsia="黑体" w:cs="黑体"/>
          <w:b w:val="0"/>
          <w:bCs w:val="0"/>
          <w:sz w:val="32"/>
          <w:szCs w:val="32"/>
          <w:lang w:val="en-US" w:eastAsia="zh-CN"/>
        </w:rPr>
        <w:t xml:space="preserve">第一节 </w:t>
      </w:r>
      <w:r>
        <w:rPr>
          <w:rFonts w:hint="eastAsia" w:ascii="黑体" w:hAnsi="黑体" w:eastAsia="黑体" w:cs="黑体"/>
          <w:b w:val="0"/>
          <w:bCs w:val="0"/>
          <w:sz w:val="32"/>
          <w:szCs w:val="32"/>
        </w:rPr>
        <w:t>组织保障体系</w:t>
      </w:r>
      <w:bookmarkEnd w:id="21"/>
    </w:p>
    <w:p w14:paraId="761B6459">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县委、县政府</w:t>
      </w:r>
      <w:r>
        <w:rPr>
          <w:rFonts w:hint="default" w:ascii="Times New Roman" w:hAnsi="Times New Roman" w:eastAsia="仿宋_GB2312" w:cs="Times New Roman"/>
          <w:sz w:val="32"/>
          <w:szCs w:val="32"/>
        </w:rPr>
        <w:t>的统一领导下，充分发挥</w:t>
      </w:r>
      <w:r>
        <w:rPr>
          <w:rFonts w:hint="eastAsia" w:ascii="仿宋_GB2312" w:hAnsi="仿宋_GB2312" w:eastAsia="仿宋_GB2312" w:cs="仿宋_GB2312"/>
          <w:sz w:val="32"/>
          <w:szCs w:val="32"/>
        </w:rPr>
        <w:t>蓬溪县数字化建设工作领导小组</w:t>
      </w:r>
      <w:r>
        <w:rPr>
          <w:rFonts w:hint="default" w:ascii="Times New Roman" w:hAnsi="Times New Roman" w:eastAsia="仿宋_GB2312" w:cs="Times New Roman"/>
          <w:sz w:val="32"/>
          <w:szCs w:val="32"/>
        </w:rPr>
        <w:t>作用，加强对全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数字经济发展工作的组织领导和统筹协调，研究数字经济发展重大政策，商议解决重大问题，统筹各级各部门力量，形成全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上下协同推进数字经济发展的良好格局。各</w:t>
      </w:r>
      <w:r>
        <w:rPr>
          <w:rFonts w:hint="default"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rPr>
        <w:t>部门要根据规划确定的发展思路、发展重点和任务要求，结合本部门本</w:t>
      </w:r>
      <w:r>
        <w:rPr>
          <w:rFonts w:hint="default" w:ascii="Times New Roman" w:hAnsi="Times New Roman" w:eastAsia="仿宋_GB2312" w:cs="Times New Roman"/>
          <w:sz w:val="32"/>
          <w:szCs w:val="32"/>
          <w:lang w:eastAsia="zh-CN"/>
        </w:rPr>
        <w:t>行业</w:t>
      </w:r>
      <w:r>
        <w:rPr>
          <w:rFonts w:hint="default" w:ascii="Times New Roman" w:hAnsi="Times New Roman" w:eastAsia="仿宋_GB2312" w:cs="Times New Roman"/>
          <w:sz w:val="32"/>
          <w:szCs w:val="32"/>
        </w:rPr>
        <w:t>实际认真贯彻落实，并根据各自职责，研究制定本部门本</w:t>
      </w:r>
      <w:r>
        <w:rPr>
          <w:rFonts w:hint="default" w:ascii="Times New Roman" w:hAnsi="Times New Roman" w:eastAsia="仿宋_GB2312" w:cs="Times New Roman"/>
          <w:sz w:val="32"/>
          <w:szCs w:val="32"/>
          <w:lang w:eastAsia="zh-CN"/>
        </w:rPr>
        <w:t>行业</w:t>
      </w:r>
      <w:r>
        <w:rPr>
          <w:rFonts w:hint="default" w:ascii="Times New Roman" w:hAnsi="Times New Roman" w:eastAsia="仿宋_GB2312" w:cs="Times New Roman"/>
          <w:sz w:val="32"/>
          <w:szCs w:val="32"/>
        </w:rPr>
        <w:t>推进数字经济发展的实施方案。积极引智，组建</w:t>
      </w:r>
      <w:r>
        <w:rPr>
          <w:rFonts w:hint="default" w:ascii="Times New Roman" w:hAnsi="Times New Roman" w:eastAsia="仿宋_GB2312" w:cs="Times New Roman"/>
          <w:sz w:val="32"/>
          <w:szCs w:val="32"/>
          <w:lang w:eastAsia="zh-CN"/>
        </w:rPr>
        <w:t>蓬溪县</w:t>
      </w:r>
      <w:r>
        <w:rPr>
          <w:rFonts w:hint="default" w:ascii="Times New Roman" w:hAnsi="Times New Roman" w:eastAsia="仿宋_GB2312" w:cs="Times New Roman"/>
          <w:sz w:val="32"/>
          <w:szCs w:val="32"/>
        </w:rPr>
        <w:t>数字经济发展</w:t>
      </w:r>
      <w:r>
        <w:rPr>
          <w:rFonts w:hint="default" w:ascii="Times New Roman" w:hAnsi="Times New Roman" w:eastAsia="仿宋_GB2312" w:cs="Times New Roman"/>
          <w:sz w:val="32"/>
          <w:szCs w:val="32"/>
          <w:lang w:val="en-US" w:eastAsia="zh-CN"/>
        </w:rPr>
        <w:t>研究智库和</w:t>
      </w:r>
      <w:r>
        <w:rPr>
          <w:rFonts w:hint="default" w:ascii="Times New Roman" w:hAnsi="Times New Roman" w:eastAsia="仿宋_GB2312" w:cs="Times New Roman"/>
          <w:sz w:val="32"/>
          <w:szCs w:val="32"/>
        </w:rPr>
        <w:t>专家咨询委员会，为数字经济发展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监测</w:t>
      </w:r>
      <w:r>
        <w:rPr>
          <w:rFonts w:hint="default" w:ascii="Times New Roman" w:hAnsi="Times New Roman" w:eastAsia="仿宋_GB2312" w:cs="Times New Roman"/>
          <w:sz w:val="32"/>
          <w:szCs w:val="32"/>
        </w:rPr>
        <w:t>提供决策咨询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和指导</w:t>
      </w:r>
      <w:r>
        <w:rPr>
          <w:rFonts w:hint="default" w:ascii="Times New Roman" w:hAnsi="Times New Roman" w:eastAsia="仿宋_GB2312" w:cs="Times New Roman"/>
          <w:sz w:val="32"/>
          <w:szCs w:val="32"/>
        </w:rPr>
        <w:t>。</w:t>
      </w:r>
    </w:p>
    <w:p w14:paraId="2B1087A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default" w:ascii="黑体" w:hAnsi="黑体" w:eastAsia="黑体" w:cs="黑体"/>
          <w:b w:val="0"/>
          <w:bCs w:val="0"/>
          <w:sz w:val="32"/>
          <w:szCs w:val="32"/>
          <w:lang w:val="en-US" w:eastAsia="zh-CN" w:bidi="ar-SA"/>
        </w:rPr>
      </w:pPr>
      <w:bookmarkStart w:id="22" w:name="_Toc28269"/>
      <w:r>
        <w:rPr>
          <w:rFonts w:hint="default" w:ascii="黑体" w:hAnsi="黑体" w:eastAsia="黑体" w:cs="黑体"/>
          <w:b w:val="0"/>
          <w:bCs w:val="0"/>
          <w:sz w:val="32"/>
          <w:szCs w:val="32"/>
          <w:lang w:val="en-US" w:eastAsia="zh-CN" w:bidi="ar-SA"/>
        </w:rPr>
        <w:t>第二节 政策支持体系</w:t>
      </w:r>
      <w:bookmarkEnd w:id="22"/>
    </w:p>
    <w:p w14:paraId="30558C8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把握网络技术发展新趋势，逐步完善全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数字经济发展的政策支持体系，细化政策措施，在数字经济创新能力提升、市场主体培育、数字人才队伍建设、体制机制改革、财税金融支持与要素保障、统筹组织实施等方面加大政策支持力度。积极探索数字经济地方性立法，围绕推进公共数据资源开放共享、数据全生命周期管理、数据交易和应用、个人信息保护、关键系统信息安全防护等领域，开展地方性立法探索。修订完善不适应数字经济发展的相关条款，提高数字经济政策的创新包容性。针对数字经济发展引发的各类问题，开展前瞻性法律储备研究。完善知识产权保护相关法律，将侵权行为信息纳入社会信用记录。支持数字经济企业或行业协会参与数字经济标准研制。对数字经济企业或行业协会主持起草并颁布实施的数字技术国际标准、国家标准、省级标准。</w:t>
      </w:r>
    </w:p>
    <w:p w14:paraId="3ECAB7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default" w:ascii="黑体" w:hAnsi="黑体" w:eastAsia="黑体" w:cs="黑体"/>
          <w:b w:val="0"/>
          <w:bCs w:val="0"/>
          <w:sz w:val="32"/>
          <w:szCs w:val="32"/>
          <w:lang w:val="en-US" w:eastAsia="zh-CN" w:bidi="ar-SA"/>
        </w:rPr>
      </w:pPr>
      <w:bookmarkStart w:id="23" w:name="_Toc11309"/>
      <w:r>
        <w:rPr>
          <w:rFonts w:hint="default" w:ascii="黑体" w:hAnsi="黑体" w:eastAsia="黑体" w:cs="黑体"/>
          <w:b w:val="0"/>
          <w:bCs w:val="0"/>
          <w:sz w:val="32"/>
          <w:szCs w:val="32"/>
          <w:lang w:val="en-US" w:eastAsia="zh-CN" w:bidi="ar-SA"/>
        </w:rPr>
        <w:t>第三节 数据安全体系</w:t>
      </w:r>
      <w:bookmarkEnd w:id="23"/>
    </w:p>
    <w:p w14:paraId="3F8D51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落实等级保护、</w:t>
      </w:r>
      <w:r>
        <w:rPr>
          <w:rFonts w:hint="default" w:ascii="Times New Roman" w:hAnsi="Times New Roman" w:eastAsia="仿宋_GB2312" w:cs="Times New Roman"/>
          <w:sz w:val="32"/>
          <w:szCs w:val="32"/>
          <w:lang w:val="en-US" w:eastAsia="zh-CN"/>
        </w:rPr>
        <w:t>密码应用、</w:t>
      </w:r>
      <w:r>
        <w:rPr>
          <w:rFonts w:hint="default" w:ascii="Times New Roman" w:hAnsi="Times New Roman" w:eastAsia="仿宋_GB2312" w:cs="Times New Roman"/>
          <w:sz w:val="32"/>
          <w:szCs w:val="32"/>
        </w:rPr>
        <w:t>安全测评、电子认证、应急管理等基础制度，明确数据安全的保护范围、主体、责任和措施，加强对涉及国家利益、公共安全、商业秘密、个人隐私等重要信息的保护，提升数据安全保障能力。建立采集、传输、存储、使用、开放等各环节的安全评估机制，健全安全保密管理措施。建立企业社会化数据审查机制，加强个人信息安全保护。引进或建设专业的第三方机构，开展数据应用合规性的监督和审计，加强流通环节的风险评估，保障相关主体的合法权益。强化大数据安全技术研发与推广应用，提升网络安全风险防范和数据跨境流动监管水平。开展重点行业数据安全监督检查，提升电信、互联网、工业等重点领域的数据安全保障能力。支持开展安全咨询、安全监理、电子产品认证等服务。支持发展面向基础网络运营商和国内大型信息安全供应商的网络质量监测、DDoS攻击防护、网络攻击态势感知系统。鼓励开展基于云计算和移动互联网的安全防护、审计、测评、咨询服务，鼓励建立网络安全威胁信息共享机制。</w:t>
      </w:r>
    </w:p>
    <w:p w14:paraId="6B7D327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default" w:ascii="黑体" w:hAnsi="黑体" w:eastAsia="黑体" w:cs="黑体"/>
          <w:b w:val="0"/>
          <w:bCs w:val="0"/>
          <w:sz w:val="32"/>
          <w:szCs w:val="32"/>
          <w:lang w:val="en-US" w:eastAsia="zh-CN" w:bidi="ar-SA"/>
        </w:rPr>
      </w:pPr>
      <w:bookmarkStart w:id="24" w:name="_Toc25031"/>
      <w:r>
        <w:rPr>
          <w:rFonts w:hint="default" w:ascii="黑体" w:hAnsi="黑体" w:eastAsia="黑体" w:cs="黑体"/>
          <w:b w:val="0"/>
          <w:bCs w:val="0"/>
          <w:sz w:val="32"/>
          <w:szCs w:val="32"/>
          <w:lang w:val="en-US" w:eastAsia="zh-CN" w:bidi="ar-SA"/>
        </w:rPr>
        <w:t>第四节 监测评估体系</w:t>
      </w:r>
      <w:bookmarkEnd w:id="24"/>
    </w:p>
    <w:p w14:paraId="71006A05">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在对数字经济内涵与特点准确把握的基础上，编制科学可行、准确反映</w:t>
      </w:r>
      <w:r>
        <w:rPr>
          <w:rFonts w:hint="default" w:ascii="Times New Roman" w:hAnsi="Times New Roman" w:eastAsia="仿宋_GB2312" w:cs="Times New Roman"/>
          <w:sz w:val="32"/>
          <w:szCs w:val="32"/>
          <w:lang w:eastAsia="zh-CN"/>
        </w:rPr>
        <w:t>蓬溪县</w:t>
      </w:r>
      <w:r>
        <w:rPr>
          <w:rFonts w:hint="default" w:ascii="Times New Roman" w:hAnsi="Times New Roman" w:eastAsia="仿宋_GB2312" w:cs="Times New Roman"/>
          <w:sz w:val="32"/>
          <w:szCs w:val="32"/>
        </w:rPr>
        <w:t>数字经济发展水平和趋势的指标体系，推动建设数字经济监测平台，强化日常统计、运行监测和综合评价，力求综合反映当前数字经济的波动轨迹，有效监测数字经济的发展态势，科学预测未来数字经济的发展趋势，定期发布数字经济发展评估报告，为行业分析、政策制定、政策评价等提供重要参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级各有关部门对本领域、本行业的重点建设工作任务负总责，明确责任、分工任务和完成时限。完善监管考评体制，将数字经济发展纳入经济社会发展考核体系，建立健全年度目标考核体系和激励机制。</w:t>
      </w:r>
    </w:p>
    <w:p w14:paraId="7510172B">
      <w:pPr>
        <w:keepNext w:val="0"/>
        <w:keepLines w:val="0"/>
        <w:pageBreakBefore w:val="0"/>
        <w:kinsoku/>
        <w:wordWrap/>
        <w:overflowPunct/>
        <w:topLinePunct w:val="0"/>
        <w:bidi w:val="0"/>
        <w:adjustRightInd/>
        <w:spacing w:line="560" w:lineRule="exact"/>
        <w:ind w:left="0" w:leftChars="0"/>
        <w:jc w:val="both"/>
        <w:textAlignment w:val="auto"/>
        <w:rPr>
          <w:rFonts w:hint="default" w:ascii="Times New Roman" w:hAnsi="Times New Roman" w:eastAsia="仿宋_GB2312" w:cs="Times New Roman"/>
          <w:sz w:val="32"/>
          <w:szCs w:val="32"/>
          <w:lang w:val="en-US" w:eastAsia="zh-CN"/>
        </w:rPr>
      </w:pPr>
    </w:p>
    <w:p w14:paraId="1E14D295">
      <w:pPr>
        <w:keepNext w:val="0"/>
        <w:keepLines w:val="0"/>
        <w:pageBreakBefore w:val="0"/>
        <w:widowControl w:val="0"/>
        <w:kinsoku/>
        <w:wordWrap/>
        <w:overflowPunct/>
        <w:topLinePunct w:val="0"/>
        <w:bidi w:val="0"/>
        <w:adjustRightInd/>
        <w:snapToGrid/>
        <w:spacing w:before="0" w:line="560" w:lineRule="exact"/>
        <w:ind w:left="0" w:leftChars="0" w:firstLine="640"/>
        <w:jc w:val="both"/>
        <w:textAlignment w:val="auto"/>
        <w:rPr>
          <w:rFonts w:hint="default" w:ascii="Times New Roman" w:hAnsi="Times New Roman" w:cs="Times New Roman"/>
          <w:lang w:val="en-US" w:eastAsia="zh-CN"/>
        </w:rPr>
      </w:pPr>
    </w:p>
    <w:sectPr>
      <w:pgSz w:w="11906" w:h="16838"/>
      <w:pgMar w:top="2154" w:right="1474" w:bottom="2041"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A1DF">
    <w:pPr>
      <w:pStyle w:val="6"/>
      <w:spacing w:before="0"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2C2BF">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72C2BF">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BA763"/>
    <w:multiLevelType w:val="singleLevel"/>
    <w:tmpl w:val="33BBA763"/>
    <w:lvl w:ilvl="0" w:tentative="0">
      <w:start w:val="1"/>
      <w:numFmt w:val="chineseCounting"/>
      <w:suff w:val="nothing"/>
      <w:lvlText w:val="（%1）"/>
      <w:lvlJc w:val="left"/>
      <w:pPr>
        <w:ind w:left="630" w:leftChars="0" w:firstLine="0" w:firstLineChars="0"/>
      </w:pPr>
      <w:rPr>
        <w:rFonts w:hint="eastAsia"/>
      </w:rPr>
    </w:lvl>
  </w:abstractNum>
  <w:abstractNum w:abstractNumId="1">
    <w:nsid w:val="3C57AD32"/>
    <w:multiLevelType w:val="singleLevel"/>
    <w:tmpl w:val="3C57AD32"/>
    <w:lvl w:ilvl="0" w:tentative="0">
      <w:start w:val="2"/>
      <w:numFmt w:val="chineseCounting"/>
      <w:suff w:val="space"/>
      <w:lvlText w:val="第%1章"/>
      <w:lvlJc w:val="left"/>
      <w:rPr>
        <w:rFonts w:hint="eastAsia"/>
      </w:rPr>
    </w:lvl>
  </w:abstractNum>
  <w:abstractNum w:abstractNumId="2">
    <w:nsid w:val="65377709"/>
    <w:multiLevelType w:val="multilevel"/>
    <w:tmpl w:val="6537770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2978"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4"/>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6E24661"/>
    <w:multiLevelType w:val="singleLevel"/>
    <w:tmpl w:val="66E24661"/>
    <w:lvl w:ilvl="0" w:tentative="0">
      <w:start w:val="2"/>
      <w:numFmt w:val="chineseCounting"/>
      <w:suff w:val="nothing"/>
      <w:lvlText w:val="（%1）"/>
      <w:lvlJc w:val="left"/>
      <w:rPr>
        <w:rFonts w:hint="eastAsia"/>
      </w:rPr>
    </w:lvl>
  </w:abstractNum>
  <w:abstractNum w:abstractNumId="4">
    <w:nsid w:val="6EEAE4CD"/>
    <w:multiLevelType w:val="singleLevel"/>
    <w:tmpl w:val="6EEAE4CD"/>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jJmODhkZWJmYWQxNmI2M2ZkYmE3ODU5NDM0MDkifQ=="/>
    <w:docVar w:name="DocumentID" w:val="{6B5959BB-C640-4BB3-8A59-31E8F4C4C842}"/>
    <w:docVar w:name="DocumentName" w:val="蓬溪县十四五数字经济专项规划"/>
  </w:docVars>
  <w:rsids>
    <w:rsidRoot w:val="00000000"/>
    <w:rsid w:val="003F084E"/>
    <w:rsid w:val="005C6641"/>
    <w:rsid w:val="00670321"/>
    <w:rsid w:val="00A34AA1"/>
    <w:rsid w:val="012B000B"/>
    <w:rsid w:val="013450B2"/>
    <w:rsid w:val="0154692B"/>
    <w:rsid w:val="01626EA6"/>
    <w:rsid w:val="018901B1"/>
    <w:rsid w:val="018978AA"/>
    <w:rsid w:val="01A24545"/>
    <w:rsid w:val="01AE53E3"/>
    <w:rsid w:val="02242EF4"/>
    <w:rsid w:val="024D48EB"/>
    <w:rsid w:val="025535E2"/>
    <w:rsid w:val="02AE1E3B"/>
    <w:rsid w:val="031709AE"/>
    <w:rsid w:val="031F32BA"/>
    <w:rsid w:val="03652CD9"/>
    <w:rsid w:val="036D6E46"/>
    <w:rsid w:val="03A933B4"/>
    <w:rsid w:val="03CD15A0"/>
    <w:rsid w:val="03FE4364"/>
    <w:rsid w:val="040C61A6"/>
    <w:rsid w:val="04162723"/>
    <w:rsid w:val="054F6A82"/>
    <w:rsid w:val="062502BF"/>
    <w:rsid w:val="067D0F49"/>
    <w:rsid w:val="068C57A3"/>
    <w:rsid w:val="06C615A0"/>
    <w:rsid w:val="06DA5F06"/>
    <w:rsid w:val="070A2F0D"/>
    <w:rsid w:val="071735EC"/>
    <w:rsid w:val="07424543"/>
    <w:rsid w:val="074742EF"/>
    <w:rsid w:val="075558F9"/>
    <w:rsid w:val="07674A52"/>
    <w:rsid w:val="07D25A33"/>
    <w:rsid w:val="07DA1BF5"/>
    <w:rsid w:val="07EE3397"/>
    <w:rsid w:val="07FD390F"/>
    <w:rsid w:val="080C2E66"/>
    <w:rsid w:val="0890512F"/>
    <w:rsid w:val="089909C9"/>
    <w:rsid w:val="08A94547"/>
    <w:rsid w:val="090674E1"/>
    <w:rsid w:val="0983036C"/>
    <w:rsid w:val="09B20F1D"/>
    <w:rsid w:val="09DA02C7"/>
    <w:rsid w:val="0A0C53D4"/>
    <w:rsid w:val="0A234334"/>
    <w:rsid w:val="0A601CBE"/>
    <w:rsid w:val="0AA077A3"/>
    <w:rsid w:val="0AB4594D"/>
    <w:rsid w:val="0ABE1C56"/>
    <w:rsid w:val="0AEA31E2"/>
    <w:rsid w:val="0AEB72D4"/>
    <w:rsid w:val="0B010B21"/>
    <w:rsid w:val="0B02357E"/>
    <w:rsid w:val="0B301291"/>
    <w:rsid w:val="0B360A73"/>
    <w:rsid w:val="0BF2256E"/>
    <w:rsid w:val="0C43467C"/>
    <w:rsid w:val="0C4A7740"/>
    <w:rsid w:val="0C4D43CC"/>
    <w:rsid w:val="0C910919"/>
    <w:rsid w:val="0CDF5811"/>
    <w:rsid w:val="0CF56B09"/>
    <w:rsid w:val="0CF63BF0"/>
    <w:rsid w:val="0D4021AB"/>
    <w:rsid w:val="0D65320D"/>
    <w:rsid w:val="0E3A69FC"/>
    <w:rsid w:val="0E600852"/>
    <w:rsid w:val="0E70046E"/>
    <w:rsid w:val="0F145BD2"/>
    <w:rsid w:val="0F491DA7"/>
    <w:rsid w:val="0F550744"/>
    <w:rsid w:val="10083EDC"/>
    <w:rsid w:val="101817F3"/>
    <w:rsid w:val="108C6A3D"/>
    <w:rsid w:val="10DC72EA"/>
    <w:rsid w:val="116E5E6C"/>
    <w:rsid w:val="116F7E33"/>
    <w:rsid w:val="11B93A65"/>
    <w:rsid w:val="11D45C46"/>
    <w:rsid w:val="11E5341B"/>
    <w:rsid w:val="120D02FF"/>
    <w:rsid w:val="13637121"/>
    <w:rsid w:val="138072BA"/>
    <w:rsid w:val="13AF7E22"/>
    <w:rsid w:val="14926356"/>
    <w:rsid w:val="14D041EC"/>
    <w:rsid w:val="14D940FC"/>
    <w:rsid w:val="14F540DA"/>
    <w:rsid w:val="14F840F1"/>
    <w:rsid w:val="1516739B"/>
    <w:rsid w:val="152038C1"/>
    <w:rsid w:val="158E2AD7"/>
    <w:rsid w:val="15D66C4B"/>
    <w:rsid w:val="15D81B06"/>
    <w:rsid w:val="15DE563F"/>
    <w:rsid w:val="166F5FB7"/>
    <w:rsid w:val="167849D6"/>
    <w:rsid w:val="16A021F5"/>
    <w:rsid w:val="16B7754C"/>
    <w:rsid w:val="16E277C0"/>
    <w:rsid w:val="16ED0B75"/>
    <w:rsid w:val="16F50805"/>
    <w:rsid w:val="16FC5B65"/>
    <w:rsid w:val="17047CB7"/>
    <w:rsid w:val="17995E9E"/>
    <w:rsid w:val="18176A8B"/>
    <w:rsid w:val="182E4DC6"/>
    <w:rsid w:val="18427CBF"/>
    <w:rsid w:val="18470015"/>
    <w:rsid w:val="18473177"/>
    <w:rsid w:val="18693864"/>
    <w:rsid w:val="18A83C35"/>
    <w:rsid w:val="18AA6E5D"/>
    <w:rsid w:val="18C10F75"/>
    <w:rsid w:val="18D43ECA"/>
    <w:rsid w:val="18D90FD1"/>
    <w:rsid w:val="18DA02D4"/>
    <w:rsid w:val="18FC2B59"/>
    <w:rsid w:val="197526A7"/>
    <w:rsid w:val="1979781D"/>
    <w:rsid w:val="198E4666"/>
    <w:rsid w:val="19D334F3"/>
    <w:rsid w:val="19FE3C83"/>
    <w:rsid w:val="1A6B4F52"/>
    <w:rsid w:val="1A732B49"/>
    <w:rsid w:val="1A985A5B"/>
    <w:rsid w:val="1AB76424"/>
    <w:rsid w:val="1AF6665C"/>
    <w:rsid w:val="1B0B6A35"/>
    <w:rsid w:val="1B2B3323"/>
    <w:rsid w:val="1B9B1DB6"/>
    <w:rsid w:val="1BDD0FC4"/>
    <w:rsid w:val="1C022E8D"/>
    <w:rsid w:val="1C421DB4"/>
    <w:rsid w:val="1CA44C40"/>
    <w:rsid w:val="1CCB0B6B"/>
    <w:rsid w:val="1CD77ABB"/>
    <w:rsid w:val="1CF76618"/>
    <w:rsid w:val="1D0A277D"/>
    <w:rsid w:val="1D7D2E9A"/>
    <w:rsid w:val="1D8D26E3"/>
    <w:rsid w:val="1DBE33C9"/>
    <w:rsid w:val="1DDB4931"/>
    <w:rsid w:val="1DF820D2"/>
    <w:rsid w:val="1E136FC5"/>
    <w:rsid w:val="1E834417"/>
    <w:rsid w:val="1E875DA4"/>
    <w:rsid w:val="1E931137"/>
    <w:rsid w:val="1F35743A"/>
    <w:rsid w:val="1F4E2857"/>
    <w:rsid w:val="1F4E725D"/>
    <w:rsid w:val="200B1261"/>
    <w:rsid w:val="2088378F"/>
    <w:rsid w:val="20BB0F95"/>
    <w:rsid w:val="20D0046A"/>
    <w:rsid w:val="20F9149D"/>
    <w:rsid w:val="20FE7160"/>
    <w:rsid w:val="21AB2359"/>
    <w:rsid w:val="21B12970"/>
    <w:rsid w:val="21D54D2A"/>
    <w:rsid w:val="21E00D8A"/>
    <w:rsid w:val="224309CB"/>
    <w:rsid w:val="227A4F41"/>
    <w:rsid w:val="22B72F1A"/>
    <w:rsid w:val="22C65AC0"/>
    <w:rsid w:val="22DC0689"/>
    <w:rsid w:val="22EB65E0"/>
    <w:rsid w:val="232C3A90"/>
    <w:rsid w:val="235F1EC6"/>
    <w:rsid w:val="23645B64"/>
    <w:rsid w:val="236C4938"/>
    <w:rsid w:val="23923984"/>
    <w:rsid w:val="23B85098"/>
    <w:rsid w:val="2416233C"/>
    <w:rsid w:val="241B783E"/>
    <w:rsid w:val="242B508C"/>
    <w:rsid w:val="24C61410"/>
    <w:rsid w:val="24E3779C"/>
    <w:rsid w:val="24FA547A"/>
    <w:rsid w:val="25341EAF"/>
    <w:rsid w:val="253D050D"/>
    <w:rsid w:val="2549252B"/>
    <w:rsid w:val="258C36C7"/>
    <w:rsid w:val="25A80ED8"/>
    <w:rsid w:val="25DD55FF"/>
    <w:rsid w:val="25E35EAB"/>
    <w:rsid w:val="263D7645"/>
    <w:rsid w:val="263E103D"/>
    <w:rsid w:val="265B253B"/>
    <w:rsid w:val="26844506"/>
    <w:rsid w:val="27607F49"/>
    <w:rsid w:val="27754DA7"/>
    <w:rsid w:val="27C873FC"/>
    <w:rsid w:val="285A1374"/>
    <w:rsid w:val="286D1E60"/>
    <w:rsid w:val="287E5609"/>
    <w:rsid w:val="28D328B7"/>
    <w:rsid w:val="29070B75"/>
    <w:rsid w:val="291B4C1F"/>
    <w:rsid w:val="29A735D5"/>
    <w:rsid w:val="2A033462"/>
    <w:rsid w:val="2A29132B"/>
    <w:rsid w:val="2AE5754B"/>
    <w:rsid w:val="2B2806D5"/>
    <w:rsid w:val="2B5C20C8"/>
    <w:rsid w:val="2B653ACC"/>
    <w:rsid w:val="2B692F1D"/>
    <w:rsid w:val="2B6B01D2"/>
    <w:rsid w:val="2B7612FF"/>
    <w:rsid w:val="2BF70601"/>
    <w:rsid w:val="2C3F289E"/>
    <w:rsid w:val="2C5F37A0"/>
    <w:rsid w:val="2C622E1D"/>
    <w:rsid w:val="2C80357B"/>
    <w:rsid w:val="2CAD3ECF"/>
    <w:rsid w:val="2CAE73C5"/>
    <w:rsid w:val="2CFF5C00"/>
    <w:rsid w:val="2D602248"/>
    <w:rsid w:val="2DA56403"/>
    <w:rsid w:val="2E6F21CF"/>
    <w:rsid w:val="2EA93E1A"/>
    <w:rsid w:val="2EE10E65"/>
    <w:rsid w:val="2F1A561A"/>
    <w:rsid w:val="2F4900E4"/>
    <w:rsid w:val="2F836D4B"/>
    <w:rsid w:val="2FB36FBA"/>
    <w:rsid w:val="2FCD7803"/>
    <w:rsid w:val="2FF25DDB"/>
    <w:rsid w:val="301C7A73"/>
    <w:rsid w:val="304C4E20"/>
    <w:rsid w:val="306B490E"/>
    <w:rsid w:val="30842A42"/>
    <w:rsid w:val="309C0D36"/>
    <w:rsid w:val="30D1796D"/>
    <w:rsid w:val="30DA3C04"/>
    <w:rsid w:val="30F4220F"/>
    <w:rsid w:val="313A5A69"/>
    <w:rsid w:val="314C1BB7"/>
    <w:rsid w:val="31C70637"/>
    <w:rsid w:val="31DB07AC"/>
    <w:rsid w:val="3212069E"/>
    <w:rsid w:val="32135BD3"/>
    <w:rsid w:val="32354DDC"/>
    <w:rsid w:val="32720A8A"/>
    <w:rsid w:val="328259EE"/>
    <w:rsid w:val="328A2B4D"/>
    <w:rsid w:val="33BF7380"/>
    <w:rsid w:val="33C10C80"/>
    <w:rsid w:val="33CA30E3"/>
    <w:rsid w:val="33CD2B49"/>
    <w:rsid w:val="33EA50CC"/>
    <w:rsid w:val="33F57336"/>
    <w:rsid w:val="33F90DF7"/>
    <w:rsid w:val="3415258E"/>
    <w:rsid w:val="34972420"/>
    <w:rsid w:val="34AF79C6"/>
    <w:rsid w:val="34C65138"/>
    <w:rsid w:val="34E709DB"/>
    <w:rsid w:val="34EE388B"/>
    <w:rsid w:val="35261C92"/>
    <w:rsid w:val="363526EE"/>
    <w:rsid w:val="36383F0D"/>
    <w:rsid w:val="36DA3E52"/>
    <w:rsid w:val="36F507DE"/>
    <w:rsid w:val="37330486"/>
    <w:rsid w:val="37782E90"/>
    <w:rsid w:val="378D2558"/>
    <w:rsid w:val="379437DF"/>
    <w:rsid w:val="37AB0DCE"/>
    <w:rsid w:val="37B34D17"/>
    <w:rsid w:val="37DB4C24"/>
    <w:rsid w:val="395E3DBB"/>
    <w:rsid w:val="395F7135"/>
    <w:rsid w:val="397A2EDE"/>
    <w:rsid w:val="398D05D7"/>
    <w:rsid w:val="39F44E0E"/>
    <w:rsid w:val="3A1121E0"/>
    <w:rsid w:val="3A207844"/>
    <w:rsid w:val="3AA1049B"/>
    <w:rsid w:val="3AEA33C8"/>
    <w:rsid w:val="3B7430C3"/>
    <w:rsid w:val="3B826A16"/>
    <w:rsid w:val="3BA360B3"/>
    <w:rsid w:val="3C0B1729"/>
    <w:rsid w:val="3C241CCD"/>
    <w:rsid w:val="3C4D1405"/>
    <w:rsid w:val="3C6408A5"/>
    <w:rsid w:val="3D6F06D5"/>
    <w:rsid w:val="3D887C2C"/>
    <w:rsid w:val="3DB9081F"/>
    <w:rsid w:val="3DCD185F"/>
    <w:rsid w:val="3DFA36E6"/>
    <w:rsid w:val="3E771F60"/>
    <w:rsid w:val="3EBA77F1"/>
    <w:rsid w:val="3F0B1844"/>
    <w:rsid w:val="3F2920C6"/>
    <w:rsid w:val="3F323895"/>
    <w:rsid w:val="3F9F3A35"/>
    <w:rsid w:val="3FC64F08"/>
    <w:rsid w:val="4031200E"/>
    <w:rsid w:val="40482DCB"/>
    <w:rsid w:val="40895B5D"/>
    <w:rsid w:val="409123FA"/>
    <w:rsid w:val="40A10240"/>
    <w:rsid w:val="40BA345E"/>
    <w:rsid w:val="40F400F8"/>
    <w:rsid w:val="417C7A65"/>
    <w:rsid w:val="41D60FD8"/>
    <w:rsid w:val="41E83B48"/>
    <w:rsid w:val="4214794F"/>
    <w:rsid w:val="42291ABC"/>
    <w:rsid w:val="427C0B82"/>
    <w:rsid w:val="428D2CB0"/>
    <w:rsid w:val="429707D7"/>
    <w:rsid w:val="429C2BC9"/>
    <w:rsid w:val="429E75A9"/>
    <w:rsid w:val="42AB33B4"/>
    <w:rsid w:val="42B01B28"/>
    <w:rsid w:val="43652720"/>
    <w:rsid w:val="438121B7"/>
    <w:rsid w:val="44164889"/>
    <w:rsid w:val="44AC1A42"/>
    <w:rsid w:val="45443E3F"/>
    <w:rsid w:val="457A6107"/>
    <w:rsid w:val="45A06E5A"/>
    <w:rsid w:val="464C4F3F"/>
    <w:rsid w:val="469054B2"/>
    <w:rsid w:val="46E11BE5"/>
    <w:rsid w:val="46EA72CD"/>
    <w:rsid w:val="46F41571"/>
    <w:rsid w:val="472E7F77"/>
    <w:rsid w:val="475A5416"/>
    <w:rsid w:val="475F2F4F"/>
    <w:rsid w:val="4777455E"/>
    <w:rsid w:val="47830B54"/>
    <w:rsid w:val="47D80C9C"/>
    <w:rsid w:val="47DA37A8"/>
    <w:rsid w:val="47E26B85"/>
    <w:rsid w:val="47EE385C"/>
    <w:rsid w:val="4858359F"/>
    <w:rsid w:val="48605896"/>
    <w:rsid w:val="489134C2"/>
    <w:rsid w:val="48987195"/>
    <w:rsid w:val="48CF4561"/>
    <w:rsid w:val="48EF6F3C"/>
    <w:rsid w:val="49036389"/>
    <w:rsid w:val="49352E8C"/>
    <w:rsid w:val="49761A20"/>
    <w:rsid w:val="499B773A"/>
    <w:rsid w:val="49E57D84"/>
    <w:rsid w:val="49ED77D1"/>
    <w:rsid w:val="49F66DF7"/>
    <w:rsid w:val="4A10604C"/>
    <w:rsid w:val="4A1C4758"/>
    <w:rsid w:val="4A272A8F"/>
    <w:rsid w:val="4A595D40"/>
    <w:rsid w:val="4AAE21B6"/>
    <w:rsid w:val="4B330940"/>
    <w:rsid w:val="4B76227C"/>
    <w:rsid w:val="4B861C38"/>
    <w:rsid w:val="4B965863"/>
    <w:rsid w:val="4BBD4028"/>
    <w:rsid w:val="4BBF181D"/>
    <w:rsid w:val="4C3747CF"/>
    <w:rsid w:val="4C5B76C1"/>
    <w:rsid w:val="4C7C7175"/>
    <w:rsid w:val="4CE45926"/>
    <w:rsid w:val="4CFA700E"/>
    <w:rsid w:val="4D1B6142"/>
    <w:rsid w:val="4D263642"/>
    <w:rsid w:val="4D357950"/>
    <w:rsid w:val="4D4A2D75"/>
    <w:rsid w:val="4D5B22B1"/>
    <w:rsid w:val="4D6A49AD"/>
    <w:rsid w:val="4D882318"/>
    <w:rsid w:val="4D8F6945"/>
    <w:rsid w:val="4DD442DE"/>
    <w:rsid w:val="4DFE0B91"/>
    <w:rsid w:val="4E106A7B"/>
    <w:rsid w:val="4E2763E1"/>
    <w:rsid w:val="4E445B72"/>
    <w:rsid w:val="4F425FFA"/>
    <w:rsid w:val="4F6D0ED3"/>
    <w:rsid w:val="4F7E0AF1"/>
    <w:rsid w:val="4F967A16"/>
    <w:rsid w:val="4FD14AEC"/>
    <w:rsid w:val="5024022F"/>
    <w:rsid w:val="50332FE5"/>
    <w:rsid w:val="50877873"/>
    <w:rsid w:val="508F3315"/>
    <w:rsid w:val="50B55F2B"/>
    <w:rsid w:val="51030FCF"/>
    <w:rsid w:val="51082F31"/>
    <w:rsid w:val="5170540B"/>
    <w:rsid w:val="51DA6F10"/>
    <w:rsid w:val="51E10C40"/>
    <w:rsid w:val="51E21619"/>
    <w:rsid w:val="51F54873"/>
    <w:rsid w:val="52061317"/>
    <w:rsid w:val="521A003B"/>
    <w:rsid w:val="522D49CD"/>
    <w:rsid w:val="528457C6"/>
    <w:rsid w:val="52B43935"/>
    <w:rsid w:val="52D2710D"/>
    <w:rsid w:val="53787DB1"/>
    <w:rsid w:val="54122ACF"/>
    <w:rsid w:val="54330B2C"/>
    <w:rsid w:val="543B3E2D"/>
    <w:rsid w:val="545E543A"/>
    <w:rsid w:val="547F5A6B"/>
    <w:rsid w:val="54B006AD"/>
    <w:rsid w:val="54EE32BB"/>
    <w:rsid w:val="55202158"/>
    <w:rsid w:val="55951E0B"/>
    <w:rsid w:val="55963087"/>
    <w:rsid w:val="55C22A76"/>
    <w:rsid w:val="560F53FE"/>
    <w:rsid w:val="564120A9"/>
    <w:rsid w:val="56482C45"/>
    <w:rsid w:val="56766A3B"/>
    <w:rsid w:val="567E589E"/>
    <w:rsid w:val="56905A39"/>
    <w:rsid w:val="56BF7591"/>
    <w:rsid w:val="57171F66"/>
    <w:rsid w:val="57535AA7"/>
    <w:rsid w:val="57654943"/>
    <w:rsid w:val="576E66DF"/>
    <w:rsid w:val="57A62215"/>
    <w:rsid w:val="57B02A74"/>
    <w:rsid w:val="583457FE"/>
    <w:rsid w:val="583805A3"/>
    <w:rsid w:val="588640BB"/>
    <w:rsid w:val="58A35184"/>
    <w:rsid w:val="58A92C7F"/>
    <w:rsid w:val="58FC6523"/>
    <w:rsid w:val="59101D05"/>
    <w:rsid w:val="592E15EE"/>
    <w:rsid w:val="5998741D"/>
    <w:rsid w:val="59AF1AFB"/>
    <w:rsid w:val="59B3537A"/>
    <w:rsid w:val="59EA33D9"/>
    <w:rsid w:val="5A227D0C"/>
    <w:rsid w:val="5A4A48C3"/>
    <w:rsid w:val="5A56119A"/>
    <w:rsid w:val="5B480BC2"/>
    <w:rsid w:val="5B651C60"/>
    <w:rsid w:val="5B6E6FC1"/>
    <w:rsid w:val="5B785F50"/>
    <w:rsid w:val="5C376586"/>
    <w:rsid w:val="5C4F09C5"/>
    <w:rsid w:val="5CD06B07"/>
    <w:rsid w:val="5D164265"/>
    <w:rsid w:val="5DB31AB0"/>
    <w:rsid w:val="5DC07C66"/>
    <w:rsid w:val="5DC97D7F"/>
    <w:rsid w:val="5E2D0BAA"/>
    <w:rsid w:val="5E3C184A"/>
    <w:rsid w:val="5E3D3BE7"/>
    <w:rsid w:val="5E466486"/>
    <w:rsid w:val="5E9B23EA"/>
    <w:rsid w:val="5EBF433C"/>
    <w:rsid w:val="5F791C56"/>
    <w:rsid w:val="5F7E2051"/>
    <w:rsid w:val="5FC275DD"/>
    <w:rsid w:val="600C0F16"/>
    <w:rsid w:val="60760B64"/>
    <w:rsid w:val="60E41452"/>
    <w:rsid w:val="60F653D9"/>
    <w:rsid w:val="61357BFD"/>
    <w:rsid w:val="61AF012B"/>
    <w:rsid w:val="61EB7CC3"/>
    <w:rsid w:val="626002FF"/>
    <w:rsid w:val="62BF2475"/>
    <w:rsid w:val="62DC79F7"/>
    <w:rsid w:val="62EF52CA"/>
    <w:rsid w:val="630A7C6D"/>
    <w:rsid w:val="630D08FE"/>
    <w:rsid w:val="63237829"/>
    <w:rsid w:val="634C313D"/>
    <w:rsid w:val="63576ADC"/>
    <w:rsid w:val="63B04B6E"/>
    <w:rsid w:val="63CD1707"/>
    <w:rsid w:val="63DF3044"/>
    <w:rsid w:val="63ED43D4"/>
    <w:rsid w:val="63F4142F"/>
    <w:rsid w:val="642834E4"/>
    <w:rsid w:val="642A7508"/>
    <w:rsid w:val="64485D6F"/>
    <w:rsid w:val="64542F99"/>
    <w:rsid w:val="64567416"/>
    <w:rsid w:val="646B40A7"/>
    <w:rsid w:val="64CB7E22"/>
    <w:rsid w:val="6570394B"/>
    <w:rsid w:val="65AC08E2"/>
    <w:rsid w:val="65C10B5E"/>
    <w:rsid w:val="66032371"/>
    <w:rsid w:val="662061E8"/>
    <w:rsid w:val="669847FF"/>
    <w:rsid w:val="669F3B80"/>
    <w:rsid w:val="66A12E2C"/>
    <w:rsid w:val="66DF2A44"/>
    <w:rsid w:val="6729468F"/>
    <w:rsid w:val="67483F61"/>
    <w:rsid w:val="67F81390"/>
    <w:rsid w:val="6850096D"/>
    <w:rsid w:val="68B83675"/>
    <w:rsid w:val="69300F33"/>
    <w:rsid w:val="69974565"/>
    <w:rsid w:val="69CA5D9D"/>
    <w:rsid w:val="69E72184"/>
    <w:rsid w:val="69F24625"/>
    <w:rsid w:val="6A0173B7"/>
    <w:rsid w:val="6A0807C4"/>
    <w:rsid w:val="6A501E80"/>
    <w:rsid w:val="6A5B76FE"/>
    <w:rsid w:val="6A9D1B6E"/>
    <w:rsid w:val="6AE13C1C"/>
    <w:rsid w:val="6AE46EA2"/>
    <w:rsid w:val="6AFC39B7"/>
    <w:rsid w:val="6B847887"/>
    <w:rsid w:val="6BB413D0"/>
    <w:rsid w:val="6C1C0F33"/>
    <w:rsid w:val="6D056784"/>
    <w:rsid w:val="6D36179B"/>
    <w:rsid w:val="6D3E6256"/>
    <w:rsid w:val="6D404BC3"/>
    <w:rsid w:val="6DEB0A47"/>
    <w:rsid w:val="6E073EFA"/>
    <w:rsid w:val="6E5D66FE"/>
    <w:rsid w:val="6EA6530D"/>
    <w:rsid w:val="6EAD34A8"/>
    <w:rsid w:val="6EB37328"/>
    <w:rsid w:val="6EDE3BC0"/>
    <w:rsid w:val="6F172E43"/>
    <w:rsid w:val="6F4E7053"/>
    <w:rsid w:val="6F5636B5"/>
    <w:rsid w:val="6F8648DD"/>
    <w:rsid w:val="701B3E19"/>
    <w:rsid w:val="70831E61"/>
    <w:rsid w:val="70C54A39"/>
    <w:rsid w:val="715D76A8"/>
    <w:rsid w:val="71660135"/>
    <w:rsid w:val="72022E74"/>
    <w:rsid w:val="722C1D04"/>
    <w:rsid w:val="724A2B30"/>
    <w:rsid w:val="725F7718"/>
    <w:rsid w:val="72884114"/>
    <w:rsid w:val="729568BA"/>
    <w:rsid w:val="7324343C"/>
    <w:rsid w:val="73547338"/>
    <w:rsid w:val="736A30C5"/>
    <w:rsid w:val="737815AC"/>
    <w:rsid w:val="73863F8D"/>
    <w:rsid w:val="73C15343"/>
    <w:rsid w:val="73D07973"/>
    <w:rsid w:val="73DA2DD1"/>
    <w:rsid w:val="740D298A"/>
    <w:rsid w:val="741F1541"/>
    <w:rsid w:val="744F039D"/>
    <w:rsid w:val="74AC5C36"/>
    <w:rsid w:val="74C025A1"/>
    <w:rsid w:val="74F779BC"/>
    <w:rsid w:val="7511432B"/>
    <w:rsid w:val="755E256F"/>
    <w:rsid w:val="75B54394"/>
    <w:rsid w:val="75B81749"/>
    <w:rsid w:val="75BB7F52"/>
    <w:rsid w:val="75D641A2"/>
    <w:rsid w:val="75E1278A"/>
    <w:rsid w:val="75E26C6F"/>
    <w:rsid w:val="76006A51"/>
    <w:rsid w:val="765131AD"/>
    <w:rsid w:val="77132A1E"/>
    <w:rsid w:val="773821DE"/>
    <w:rsid w:val="77386164"/>
    <w:rsid w:val="77671427"/>
    <w:rsid w:val="77705C78"/>
    <w:rsid w:val="778704A6"/>
    <w:rsid w:val="77E142F4"/>
    <w:rsid w:val="780C68A3"/>
    <w:rsid w:val="785030F6"/>
    <w:rsid w:val="78775F6C"/>
    <w:rsid w:val="787C7370"/>
    <w:rsid w:val="78BF2396"/>
    <w:rsid w:val="78EF1892"/>
    <w:rsid w:val="79103B79"/>
    <w:rsid w:val="79191789"/>
    <w:rsid w:val="79836063"/>
    <w:rsid w:val="79E0084C"/>
    <w:rsid w:val="79FE6EBA"/>
    <w:rsid w:val="7B1A1BBE"/>
    <w:rsid w:val="7BE352C7"/>
    <w:rsid w:val="7C1816B5"/>
    <w:rsid w:val="7C65209F"/>
    <w:rsid w:val="7D0118A6"/>
    <w:rsid w:val="7D3263A9"/>
    <w:rsid w:val="7D864051"/>
    <w:rsid w:val="7D8D507D"/>
    <w:rsid w:val="7D990742"/>
    <w:rsid w:val="7DC9623B"/>
    <w:rsid w:val="7DE337DA"/>
    <w:rsid w:val="7E607BDB"/>
    <w:rsid w:val="7E9E60B3"/>
    <w:rsid w:val="7EB62D6A"/>
    <w:rsid w:val="7EBD2A54"/>
    <w:rsid w:val="7ED2354C"/>
    <w:rsid w:val="7EEB377E"/>
    <w:rsid w:val="7EEE16D0"/>
    <w:rsid w:val="7F0A398B"/>
    <w:rsid w:val="7FE3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5"/>
    <w:basedOn w:val="1"/>
    <w:next w:val="1"/>
    <w:qFormat/>
    <w:uiPriority w:val="9"/>
    <w:pPr>
      <w:keepNext/>
      <w:keepLines/>
      <w:numPr>
        <w:ilvl w:val="4"/>
        <w:numId w:val="1"/>
      </w:numPr>
      <w:spacing w:before="280" w:after="290" w:line="372" w:lineRule="auto"/>
      <w:ind w:firstLine="0" w:firstLineChars="0"/>
      <w:outlineLvl w:val="4"/>
    </w:pPr>
    <w:rPr>
      <w:b/>
      <w:sz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val="0"/>
      <w:suppressLineNumbers w:val="0"/>
      <w:autoSpaceDE w:val="0"/>
      <w:autoSpaceDN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5">
    <w:name w:val="annotation text"/>
    <w:basedOn w:val="1"/>
    <w:qFormat/>
    <w:uiPriority w:val="0"/>
    <w:pPr>
      <w:jc w:val="left"/>
    </w:pPr>
  </w:style>
  <w:style w:type="paragraph" w:styleId="6">
    <w:name w:val="Body Text"/>
    <w:basedOn w:val="1"/>
    <w:next w:val="1"/>
    <w:link w:val="19"/>
    <w:qFormat/>
    <w:uiPriority w:val="1"/>
    <w:rPr>
      <w:rFonts w:ascii="宋体" w:hAnsi="宋体" w:eastAsia="宋体" w:cs="宋体"/>
      <w:sz w:val="32"/>
      <w:szCs w:val="32"/>
    </w:rPr>
  </w:style>
  <w:style w:type="paragraph" w:styleId="7">
    <w:name w:val="toc 3"/>
    <w:basedOn w:val="1"/>
    <w:next w:val="1"/>
    <w:qFormat/>
    <w:uiPriority w:val="1"/>
    <w:pPr>
      <w:ind w:left="3860"/>
    </w:pPr>
    <w:rPr>
      <w:rFonts w:ascii="宋体" w:hAnsi="宋体" w:eastAsia="宋体" w:cs="宋体"/>
      <w:sz w:val="44"/>
      <w:szCs w:val="4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ind w:left="100"/>
    </w:pPr>
    <w:rPr>
      <w:rFonts w:ascii="宋体" w:hAnsi="宋体" w:eastAsia="宋体" w:cs="宋体"/>
      <w:sz w:val="30"/>
      <w:szCs w:val="30"/>
    </w:rPr>
  </w:style>
  <w:style w:type="paragraph" w:styleId="11">
    <w:name w:val="table of figures"/>
    <w:basedOn w:val="1"/>
    <w:next w:val="1"/>
    <w:unhideWhenUsed/>
    <w:qFormat/>
    <w:uiPriority w:val="0"/>
    <w:pPr>
      <w:ind w:left="200" w:leftChars="200" w:hanging="200" w:hangingChars="200"/>
    </w:pPr>
    <w:rPr>
      <w:rFonts w:ascii="Calibri" w:hAnsi="Calibri" w:eastAsia="宋体" w:cs="Times New Roman"/>
    </w:rPr>
  </w:style>
  <w:style w:type="paragraph" w:styleId="12">
    <w:name w:val="toc 2"/>
    <w:basedOn w:val="1"/>
    <w:next w:val="1"/>
    <w:qFormat/>
    <w:uiPriority w:val="1"/>
    <w:pPr>
      <w:ind w:left="520"/>
    </w:pPr>
    <w:rPr>
      <w:rFonts w:ascii="宋体" w:hAnsi="宋体" w:eastAsia="宋体" w:cs="宋体"/>
      <w:sz w:val="30"/>
      <w:szCs w:val="30"/>
    </w:rPr>
  </w:style>
  <w:style w:type="paragraph" w:styleId="13">
    <w:name w:val="Normal (Web)"/>
    <w:basedOn w:val="1"/>
    <w:qFormat/>
    <w:uiPriority w:val="0"/>
    <w:rPr>
      <w:sz w:val="24"/>
    </w:rPr>
  </w:style>
  <w:style w:type="paragraph" w:styleId="14">
    <w:name w:val="Body Text First Indent"/>
    <w:basedOn w:val="6"/>
    <w:next w:val="4"/>
    <w:qFormat/>
    <w:uiPriority w:val="0"/>
    <w:pPr>
      <w:ind w:firstLine="420" w:firstLineChars="100"/>
    </w:pPr>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qFormat/>
    <w:uiPriority w:val="34"/>
    <w:pPr>
      <w:ind w:firstLine="420" w:firstLineChars="200"/>
    </w:pPr>
  </w:style>
  <w:style w:type="character" w:customStyle="1" w:styleId="19">
    <w:name w:val="正文文本 Char"/>
    <w:basedOn w:val="17"/>
    <w:link w:val="6"/>
    <w:qFormat/>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1542</Words>
  <Characters>1592</Characters>
  <Lines>0</Lines>
  <Paragraphs>0</Paragraphs>
  <TotalTime>1</TotalTime>
  <ScaleCrop>false</ScaleCrop>
  <LinksUpToDate>false</LinksUpToDate>
  <CharactersWithSpaces>1600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2021-06-02T02:12:00Z</dcterms:created>
  <dc:creator>Administrator</dc:creator>
  <cp:lastModifiedBy>如果百褶裙偷偷哭泣。</cp:lastModifiedBy>
  <cp:lastPrinted>2023-07-10T14:10:00Z</cp:lastPrinted>
  <dcterms:modified xsi:type="dcterms:W3CDTF">2024-12-18T06:07:17Z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AEA932623E294A1785D2CBAF31655A95_13</vt:lpwstr>
  </property>
</Properties>
</file>