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F21D0F">
      <w:pPr>
        <w:spacing w:line="240" w:lineRule="auto"/>
        <w:rPr>
          <w:rFonts w:ascii="仿宋_GB2312" w:hAnsi="仿宋_GB2312" w:eastAsia="仿宋_GB2312" w:cs="仿宋_GB2312"/>
          <w:color w:val="auto"/>
          <w:sz w:val="36"/>
          <w:szCs w:val="36"/>
        </w:rPr>
      </w:pPr>
      <w:bookmarkStart w:id="0" w:name="_Hlk57884087"/>
    </w:p>
    <w:p w14:paraId="670D37C1">
      <w:pPr>
        <w:spacing w:line="240" w:lineRule="auto"/>
        <w:rPr>
          <w:rFonts w:ascii="仿宋_GB2312" w:hAnsi="仿宋_GB2312" w:eastAsia="仿宋_GB2312" w:cs="仿宋_GB2312"/>
          <w:color w:val="auto"/>
          <w:sz w:val="36"/>
          <w:szCs w:val="36"/>
        </w:rPr>
      </w:pPr>
    </w:p>
    <w:p w14:paraId="36194C18">
      <w:pPr>
        <w:spacing w:line="240" w:lineRule="auto"/>
        <w:rPr>
          <w:rFonts w:ascii="仿宋_GB2312" w:hAnsi="仿宋_GB2312" w:eastAsia="仿宋_GB2312" w:cs="仿宋_GB2312"/>
          <w:color w:val="auto"/>
          <w:sz w:val="36"/>
          <w:szCs w:val="36"/>
        </w:rPr>
      </w:pPr>
    </w:p>
    <w:p w14:paraId="22BCB5F1">
      <w:pPr>
        <w:spacing w:line="240" w:lineRule="auto"/>
        <w:rPr>
          <w:rFonts w:ascii="仿宋_GB2312" w:hAnsi="仿宋_GB2312" w:eastAsia="仿宋_GB2312" w:cs="仿宋_GB2312"/>
          <w:color w:val="auto"/>
          <w:sz w:val="36"/>
          <w:szCs w:val="36"/>
        </w:rPr>
      </w:pPr>
    </w:p>
    <w:p w14:paraId="72EFA00B">
      <w:pPr>
        <w:spacing w:line="240" w:lineRule="auto"/>
        <w:rPr>
          <w:rFonts w:hint="eastAsia" w:ascii="仿宋_GB2312" w:hAnsi="仿宋_GB2312" w:eastAsia="仿宋_GB2312" w:cs="仿宋_GB2312"/>
          <w:color w:val="auto"/>
          <w:sz w:val="36"/>
          <w:szCs w:val="36"/>
        </w:rPr>
      </w:pPr>
    </w:p>
    <w:p w14:paraId="6577FEA5">
      <w:pPr>
        <w:adjustRightInd w:val="0"/>
        <w:snapToGrid w:val="0"/>
        <w:spacing w:line="240" w:lineRule="auto"/>
        <w:jc w:val="center"/>
        <w:outlineLvl w:val="0"/>
        <w:rPr>
          <w:rFonts w:hint="eastAsia" w:ascii="方正小标宋_GBK" w:hAnsi="Times New Roman" w:eastAsia="方正小标宋_GBK" w:cs="Times New Roman"/>
          <w:bCs/>
          <w:color w:val="auto"/>
          <w:sz w:val="72"/>
          <w:szCs w:val="72"/>
        </w:rPr>
      </w:pPr>
      <w:r>
        <w:rPr>
          <w:rFonts w:hint="eastAsia" w:ascii="方正小标宋_GBK" w:hAnsi="Times New Roman" w:eastAsia="方正小标宋_GBK" w:cs="Times New Roman"/>
          <w:bCs/>
          <w:color w:val="auto"/>
          <w:sz w:val="72"/>
          <w:szCs w:val="72"/>
        </w:rPr>
        <w:t>建设项目环境影响报告表</w:t>
      </w:r>
    </w:p>
    <w:p w14:paraId="7D9E38A2">
      <w:pPr>
        <w:adjustRightInd w:val="0"/>
        <w:snapToGrid w:val="0"/>
        <w:spacing w:before="192" w:beforeLines="80" w:line="240" w:lineRule="auto"/>
        <w:jc w:val="center"/>
        <w:rPr>
          <w:rFonts w:hint="eastAsia" w:ascii="楷体_GB2312" w:hAnsi="Times New Roman" w:eastAsia="楷体_GB2312" w:cs="Times New Roman"/>
          <w:bCs/>
          <w:color w:val="auto"/>
          <w:sz w:val="48"/>
          <w:szCs w:val="48"/>
        </w:rPr>
      </w:pPr>
      <w:r>
        <w:rPr>
          <w:rFonts w:hint="eastAsia" w:ascii="楷体_GB2312" w:hAnsi="Times New Roman" w:eastAsia="楷体_GB2312" w:cs="Times New Roman"/>
          <w:bCs/>
          <w:color w:val="auto"/>
          <w:sz w:val="48"/>
          <w:szCs w:val="48"/>
        </w:rPr>
        <w:t>（污染影响类）</w:t>
      </w:r>
    </w:p>
    <w:p w14:paraId="035EFFD7">
      <w:pPr>
        <w:adjustRightInd w:val="0"/>
        <w:snapToGrid w:val="0"/>
        <w:spacing w:line="288" w:lineRule="auto"/>
        <w:jc w:val="center"/>
        <w:outlineLvl w:val="0"/>
        <w:rPr>
          <w:rFonts w:ascii="华文仿宋" w:hAnsi="华文仿宋" w:eastAsia="华文仿宋" w:cs="华文仿宋"/>
          <w:color w:val="auto"/>
          <w:kern w:val="44"/>
          <w:sz w:val="44"/>
          <w:szCs w:val="44"/>
        </w:rPr>
      </w:pPr>
      <w:r>
        <w:rPr>
          <w:rFonts w:hint="eastAsia" w:ascii="楷体_GB2312" w:hAnsi="Times New Roman" w:eastAsia="楷体_GB2312" w:cs="Times New Roman"/>
          <w:bCs/>
          <w:color w:val="auto"/>
          <w:sz w:val="44"/>
          <w:szCs w:val="44"/>
        </w:rPr>
        <w:t>（</w:t>
      </w:r>
      <w:r>
        <w:rPr>
          <w:rFonts w:hint="eastAsia" w:ascii="楷体_GB2312" w:eastAsia="楷体_GB2312" w:cs="Times New Roman"/>
          <w:bCs/>
          <w:color w:val="auto"/>
          <w:sz w:val="44"/>
          <w:szCs w:val="44"/>
          <w:lang w:val="en-US" w:eastAsia="zh-CN"/>
        </w:rPr>
        <w:t>公示</w:t>
      </w:r>
      <w:r>
        <w:rPr>
          <w:rFonts w:hint="eastAsia" w:ascii="楷体_GB2312" w:hAnsi="Times New Roman" w:eastAsia="楷体_GB2312" w:cs="Times New Roman"/>
          <w:bCs/>
          <w:color w:val="auto"/>
          <w:sz w:val="44"/>
          <w:szCs w:val="44"/>
        </w:rPr>
        <w:t>本）</w:t>
      </w:r>
    </w:p>
    <w:p w14:paraId="67E19FDB">
      <w:pPr>
        <w:spacing w:line="240" w:lineRule="auto"/>
        <w:jc w:val="center"/>
        <w:rPr>
          <w:rFonts w:ascii="Times New Roman" w:hAnsi="Times New Roman" w:eastAsia="仿宋" w:cs="Times New Roman"/>
          <w:color w:val="auto"/>
          <w:sz w:val="52"/>
          <w:szCs w:val="52"/>
        </w:rPr>
      </w:pPr>
    </w:p>
    <w:p w14:paraId="40DF230F">
      <w:pPr>
        <w:spacing w:line="240" w:lineRule="auto"/>
        <w:ind w:firstLine="1040"/>
        <w:rPr>
          <w:rFonts w:ascii="Times New Roman" w:hAnsi="Times New Roman" w:eastAsia="仿宋" w:cs="Times New Roman"/>
          <w:color w:val="auto"/>
          <w:sz w:val="44"/>
          <w:szCs w:val="44"/>
        </w:rPr>
      </w:pPr>
    </w:p>
    <w:p w14:paraId="12638CC4">
      <w:pPr>
        <w:spacing w:line="240" w:lineRule="auto"/>
        <w:ind w:firstLine="1040"/>
        <w:rPr>
          <w:rFonts w:ascii="Times New Roman" w:hAnsi="Times New Roman" w:eastAsia="仿宋" w:cs="Times New Roman"/>
          <w:color w:val="auto"/>
          <w:sz w:val="44"/>
          <w:szCs w:val="44"/>
        </w:rPr>
      </w:pPr>
    </w:p>
    <w:p w14:paraId="1990E21E">
      <w:pPr>
        <w:adjustRightInd w:val="0"/>
        <w:snapToGrid w:val="0"/>
        <w:spacing w:line="288" w:lineRule="auto"/>
        <w:ind w:firstLine="360" w:firstLineChars="100"/>
        <w:jc w:val="both"/>
        <w:rPr>
          <w:rFonts w:hint="default" w:ascii="仿宋_GB2312" w:hAnsi="Times New Roman" w:eastAsia="仿宋_GB2312" w:cs="Times New Roman"/>
          <w:color w:val="auto"/>
          <w:sz w:val="36"/>
          <w:szCs w:val="36"/>
          <w:u w:val="single"/>
          <w:lang w:val="en-US"/>
        </w:rPr>
      </w:pPr>
      <w:r>
        <w:rPr>
          <w:rFonts w:hint="eastAsia" w:ascii="仿宋_GB2312" w:hAnsi="Times New Roman" w:eastAsia="仿宋_GB2312" w:cs="Times New Roman"/>
          <w:color w:val="auto"/>
          <w:sz w:val="36"/>
          <w:szCs w:val="36"/>
        </w:rPr>
        <w:t>项目名称：</w:t>
      </w:r>
      <w:r>
        <w:rPr>
          <w:rFonts w:hint="eastAsia" w:ascii="仿宋_GB2312" w:hAnsi="Times New Roman" w:eastAsia="仿宋_GB2312" w:cs="Times New Roman"/>
          <w:color w:val="auto"/>
          <w:sz w:val="36"/>
          <w:szCs w:val="36"/>
          <w:u w:val="single"/>
          <w:lang w:eastAsia="zh-CN"/>
        </w:rPr>
        <w:t>遂宁宜诚柏利柏木油及生物质颗粒制造项目</w:t>
      </w:r>
      <w:r>
        <w:rPr>
          <w:rFonts w:hint="eastAsia" w:ascii="仿宋_GB2312" w:hAnsi="Times New Roman" w:eastAsia="仿宋_GB2312" w:cs="Times New Roman"/>
          <w:color w:val="auto"/>
          <w:sz w:val="36"/>
          <w:szCs w:val="36"/>
          <w:u w:val="single"/>
          <w:lang w:val="en-US" w:eastAsia="zh-CN"/>
        </w:rPr>
        <w:t xml:space="preserve">        </w:t>
      </w:r>
    </w:p>
    <w:p w14:paraId="57B5130A">
      <w:pPr>
        <w:adjustRightInd w:val="0"/>
        <w:snapToGrid w:val="0"/>
        <w:spacing w:line="288" w:lineRule="auto"/>
        <w:ind w:firstLine="360" w:firstLineChars="100"/>
        <w:jc w:val="left"/>
        <w:rPr>
          <w:rFonts w:hint="default" w:ascii="仿宋_GB2312" w:hAnsi="Times New Roman" w:eastAsia="仿宋_GB2312" w:cs="Times New Roman"/>
          <w:color w:val="auto"/>
          <w:sz w:val="36"/>
          <w:szCs w:val="36"/>
          <w:u w:val="single"/>
          <w:lang w:val="en-US"/>
        </w:rPr>
      </w:pPr>
      <w:r>
        <w:rPr>
          <w:rFonts w:hint="eastAsia" w:ascii="仿宋_GB2312" w:hAnsi="Times New Roman" w:eastAsia="仿宋_GB2312" w:cs="Times New Roman"/>
          <w:color w:val="auto"/>
          <w:sz w:val="36"/>
          <w:szCs w:val="36"/>
        </w:rPr>
        <w:t>建设单位（盖章）：</w:t>
      </w:r>
      <w:r>
        <w:rPr>
          <w:rFonts w:hint="eastAsia" w:ascii="仿宋_GB2312" w:hAnsi="Times New Roman" w:eastAsia="仿宋_GB2312" w:cs="Times New Roman"/>
          <w:color w:val="auto"/>
          <w:sz w:val="36"/>
          <w:szCs w:val="36"/>
          <w:u w:val="single"/>
          <w:lang w:eastAsia="zh-CN"/>
        </w:rPr>
        <w:t>遂宁宜诚柏利香料香精有限公司</w:t>
      </w:r>
      <w:r>
        <w:rPr>
          <w:rFonts w:hint="eastAsia" w:ascii="仿宋_GB2312" w:hAnsi="Times New Roman" w:eastAsia="仿宋_GB2312" w:cs="Times New Roman"/>
          <w:color w:val="auto"/>
          <w:sz w:val="36"/>
          <w:szCs w:val="36"/>
          <w:u w:val="single"/>
          <w:lang w:val="en-US" w:eastAsia="zh-CN"/>
        </w:rPr>
        <w:t xml:space="preserve">   </w:t>
      </w:r>
    </w:p>
    <w:p w14:paraId="0D79B75E">
      <w:pPr>
        <w:adjustRightInd w:val="0"/>
        <w:snapToGrid w:val="0"/>
        <w:spacing w:line="288" w:lineRule="auto"/>
        <w:ind w:firstLine="360" w:firstLineChars="100"/>
        <w:jc w:val="both"/>
        <w:rPr>
          <w:rFonts w:hint="default" w:ascii="仿宋_GB2312" w:hAnsi="Times New Roman" w:eastAsia="仿宋_GB2312" w:cs="Times New Roman"/>
          <w:color w:val="auto"/>
          <w:sz w:val="36"/>
          <w:szCs w:val="36"/>
          <w:u w:val="single"/>
          <w:lang w:val="en-US" w:eastAsia="zh-CN"/>
        </w:rPr>
      </w:pPr>
      <w:r>
        <w:rPr>
          <w:rFonts w:hint="eastAsia" w:ascii="仿宋_GB2312" w:hAnsi="Times New Roman" w:eastAsia="仿宋_GB2312" w:cs="Times New Roman"/>
          <w:color w:val="auto"/>
          <w:sz w:val="36"/>
          <w:szCs w:val="36"/>
        </w:rPr>
        <w:t>编制日期：</w:t>
      </w:r>
      <w:r>
        <w:rPr>
          <w:rFonts w:hint="eastAsia" w:ascii="仿宋_GB2312" w:hAnsi="Times New Roman" w:eastAsia="仿宋_GB2312" w:cs="Times New Roman"/>
          <w:color w:val="auto"/>
          <w:sz w:val="36"/>
          <w:szCs w:val="36"/>
          <w:u w:val="single"/>
        </w:rPr>
        <w:t xml:space="preserve"> </w:t>
      </w:r>
      <w:r>
        <w:rPr>
          <w:rFonts w:ascii="仿宋_GB2312" w:hAnsi="Times New Roman" w:eastAsia="仿宋_GB2312" w:cs="Times New Roman"/>
          <w:color w:val="auto"/>
          <w:sz w:val="36"/>
          <w:szCs w:val="36"/>
          <w:u w:val="single"/>
        </w:rPr>
        <w:t xml:space="preserve">   </w:t>
      </w:r>
      <w:r>
        <w:rPr>
          <w:rFonts w:hint="eastAsia" w:ascii="仿宋_GB2312" w:hAnsi="Times New Roman" w:eastAsia="仿宋_GB2312" w:cs="Times New Roman"/>
          <w:color w:val="auto"/>
          <w:sz w:val="36"/>
          <w:szCs w:val="36"/>
          <w:u w:val="single"/>
          <w:lang w:val="en-US" w:eastAsia="zh-CN"/>
        </w:rPr>
        <w:t xml:space="preserve">       </w:t>
      </w:r>
      <w:r>
        <w:rPr>
          <w:rFonts w:hint="eastAsia" w:ascii="仿宋_GB2312" w:hAnsi="Times New Roman" w:eastAsia="仿宋_GB2312" w:cs="Times New Roman"/>
          <w:color w:val="auto"/>
          <w:sz w:val="36"/>
          <w:szCs w:val="36"/>
          <w:u w:val="single"/>
        </w:rPr>
        <w:t>202</w:t>
      </w:r>
      <w:r>
        <w:rPr>
          <w:rFonts w:hint="eastAsia" w:ascii="仿宋_GB2312" w:hAnsi="Times New Roman" w:eastAsia="仿宋_GB2312" w:cs="Times New Roman"/>
          <w:color w:val="auto"/>
          <w:sz w:val="36"/>
          <w:szCs w:val="36"/>
          <w:u w:val="single"/>
          <w:lang w:val="en-US" w:eastAsia="zh-CN"/>
        </w:rPr>
        <w:t>4</w:t>
      </w:r>
      <w:r>
        <w:rPr>
          <w:rFonts w:hint="eastAsia" w:ascii="仿宋_GB2312" w:hAnsi="Times New Roman" w:eastAsia="仿宋_GB2312" w:cs="Times New Roman"/>
          <w:color w:val="auto"/>
          <w:sz w:val="36"/>
          <w:szCs w:val="36"/>
          <w:u w:val="single"/>
        </w:rPr>
        <w:t>年</w:t>
      </w:r>
      <w:r>
        <w:rPr>
          <w:rFonts w:hint="eastAsia" w:ascii="仿宋_GB2312" w:hAnsi="Times New Roman" w:eastAsia="仿宋_GB2312" w:cs="Times New Roman"/>
          <w:color w:val="auto"/>
          <w:sz w:val="36"/>
          <w:szCs w:val="36"/>
          <w:u w:val="single"/>
          <w:lang w:val="en-US" w:eastAsia="zh-CN"/>
        </w:rPr>
        <w:t>1</w:t>
      </w:r>
      <w:r>
        <w:rPr>
          <w:rFonts w:hint="eastAsia" w:ascii="仿宋_GB2312" w:eastAsia="仿宋_GB2312" w:cs="Times New Roman"/>
          <w:color w:val="auto"/>
          <w:sz w:val="36"/>
          <w:szCs w:val="36"/>
          <w:u w:val="single"/>
          <w:lang w:val="en-US" w:eastAsia="zh-CN"/>
        </w:rPr>
        <w:t>2</w:t>
      </w:r>
      <w:r>
        <w:rPr>
          <w:rFonts w:hint="eastAsia" w:ascii="仿宋_GB2312" w:hAnsi="Times New Roman" w:eastAsia="仿宋_GB2312" w:cs="Times New Roman"/>
          <w:color w:val="auto"/>
          <w:sz w:val="36"/>
          <w:szCs w:val="36"/>
          <w:u w:val="single"/>
        </w:rPr>
        <w:t>月</w:t>
      </w:r>
      <w:r>
        <w:rPr>
          <w:rFonts w:hint="eastAsia" w:ascii="仿宋_GB2312" w:hAnsi="Times New Roman" w:eastAsia="仿宋_GB2312" w:cs="Times New Roman"/>
          <w:color w:val="auto"/>
          <w:sz w:val="36"/>
          <w:szCs w:val="36"/>
          <w:u w:val="single"/>
          <w:lang w:val="en-US" w:eastAsia="zh-CN"/>
        </w:rPr>
        <w:t xml:space="preserve">               </w:t>
      </w:r>
    </w:p>
    <w:p w14:paraId="045441F1">
      <w:pPr>
        <w:adjustRightInd w:val="0"/>
        <w:snapToGrid w:val="0"/>
        <w:spacing w:line="288" w:lineRule="auto"/>
        <w:ind w:firstLine="1040"/>
        <w:rPr>
          <w:rFonts w:ascii="仿宋_GB2312" w:hAnsi="Times New Roman" w:eastAsia="仿宋_GB2312" w:cs="Times New Roman"/>
          <w:color w:val="auto"/>
          <w:sz w:val="36"/>
          <w:szCs w:val="36"/>
          <w:u w:val="single"/>
        </w:rPr>
      </w:pPr>
    </w:p>
    <w:p w14:paraId="645D71C4">
      <w:pPr>
        <w:adjustRightInd w:val="0"/>
        <w:snapToGrid w:val="0"/>
        <w:spacing w:line="288" w:lineRule="auto"/>
        <w:ind w:firstLine="1040"/>
        <w:rPr>
          <w:rFonts w:ascii="仿宋_GB2312" w:hAnsi="Times New Roman" w:eastAsia="仿宋_GB2312" w:cs="Times New Roman"/>
          <w:color w:val="auto"/>
          <w:sz w:val="36"/>
          <w:szCs w:val="36"/>
        </w:rPr>
      </w:pPr>
    </w:p>
    <w:p w14:paraId="169F0319">
      <w:pPr>
        <w:adjustRightInd w:val="0"/>
        <w:snapToGrid w:val="0"/>
        <w:spacing w:line="288" w:lineRule="auto"/>
        <w:ind w:firstLine="1040"/>
        <w:rPr>
          <w:rFonts w:ascii="仿宋_GB2312" w:hAnsi="Times New Roman" w:eastAsia="仿宋_GB2312" w:cs="Times New Roman"/>
          <w:color w:val="auto"/>
          <w:sz w:val="36"/>
          <w:szCs w:val="36"/>
        </w:rPr>
      </w:pPr>
    </w:p>
    <w:p w14:paraId="390E9B0B">
      <w:pPr>
        <w:adjustRightInd w:val="0"/>
        <w:snapToGrid w:val="0"/>
        <w:spacing w:line="288" w:lineRule="auto"/>
        <w:ind w:firstLine="1040"/>
        <w:rPr>
          <w:rFonts w:hint="eastAsia" w:ascii="仿宋_GB2312" w:hAnsi="Times New Roman" w:eastAsia="仿宋_GB2312" w:cs="Times New Roman"/>
          <w:color w:val="auto"/>
          <w:sz w:val="36"/>
          <w:szCs w:val="36"/>
        </w:rPr>
      </w:pPr>
    </w:p>
    <w:p w14:paraId="0E042972">
      <w:pPr>
        <w:widowControl w:val="0"/>
        <w:autoSpaceDE w:val="0"/>
        <w:autoSpaceDN w:val="0"/>
        <w:adjustRightInd w:val="0"/>
        <w:jc w:val="both"/>
        <w:rPr>
          <w:rFonts w:hint="eastAsia" w:ascii="宋体" w:hAnsi="宋体" w:eastAsia="宋体" w:cs="宋体"/>
          <w:color w:val="auto"/>
          <w:kern w:val="2"/>
          <w:sz w:val="24"/>
          <w:szCs w:val="24"/>
          <w:lang w:val="en-US" w:eastAsia="zh-CN" w:bidi="ar-SA"/>
        </w:rPr>
      </w:pPr>
    </w:p>
    <w:p w14:paraId="66CF7EAE">
      <w:pPr>
        <w:adjustRightInd w:val="0"/>
        <w:snapToGrid w:val="0"/>
        <w:spacing w:line="288" w:lineRule="auto"/>
        <w:ind w:firstLine="1040"/>
        <w:rPr>
          <w:rFonts w:hint="eastAsia" w:ascii="仿宋_GB2312" w:hAnsi="Times New Roman" w:eastAsia="仿宋_GB2312" w:cs="Times New Roman"/>
          <w:color w:val="auto"/>
          <w:sz w:val="36"/>
          <w:szCs w:val="36"/>
        </w:rPr>
      </w:pPr>
    </w:p>
    <w:p w14:paraId="1E366810">
      <w:pPr>
        <w:adjustRightInd w:val="0"/>
        <w:snapToGrid w:val="0"/>
        <w:spacing w:line="288" w:lineRule="auto"/>
        <w:ind w:firstLine="1040"/>
        <w:rPr>
          <w:rFonts w:hint="eastAsia" w:ascii="仿宋_GB2312" w:hAnsi="Times New Roman" w:eastAsia="仿宋_GB2312" w:cs="Times New Roman"/>
          <w:color w:val="auto"/>
          <w:sz w:val="36"/>
          <w:szCs w:val="36"/>
        </w:rPr>
      </w:pPr>
    </w:p>
    <w:p w14:paraId="6700934D">
      <w:pPr>
        <w:adjustRightInd w:val="0"/>
        <w:snapToGrid w:val="0"/>
        <w:spacing w:line="288" w:lineRule="auto"/>
        <w:jc w:val="center"/>
        <w:rPr>
          <w:rFonts w:hint="eastAsia" w:ascii="楷体_GB2312" w:hAnsi="Times New Roman" w:eastAsia="楷体_GB2312" w:cs="Times New Roman"/>
          <w:color w:val="auto"/>
          <w:sz w:val="36"/>
          <w:szCs w:val="36"/>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楷体_GB2312" w:hAnsi="Times New Roman" w:eastAsia="楷体_GB2312" w:cs="Times New Roman"/>
          <w:color w:val="auto"/>
          <w:sz w:val="36"/>
          <w:szCs w:val="36"/>
        </w:rPr>
        <w:t>中华人民共和国生态环境部制</w:t>
      </w:r>
    </w:p>
    <w:bookmarkEnd w:id="0"/>
    <w:p w14:paraId="5DBFDD2A">
      <w:pPr>
        <w:pStyle w:val="25"/>
        <w:spacing w:line="240" w:lineRule="auto"/>
        <w:jc w:val="center"/>
        <w:outlineLvl w:val="0"/>
        <w:rPr>
          <w:rFonts w:hint="eastAsia" w:ascii="Times New Roman" w:hAnsi="Times New Roman" w:eastAsia="黑体" w:cs="Times New Roman"/>
          <w:snapToGrid w:val="0"/>
          <w:color w:val="auto"/>
          <w:sz w:val="30"/>
          <w:szCs w:val="30"/>
        </w:rPr>
      </w:pPr>
      <w:r>
        <w:rPr>
          <w:rFonts w:hint="eastAsia" w:ascii="Times New Roman" w:hAnsi="Times New Roman" w:eastAsia="黑体" w:cs="Times New Roman"/>
          <w:snapToGrid w:val="0"/>
          <w:color w:val="auto"/>
          <w:sz w:val="30"/>
          <w:szCs w:val="30"/>
        </w:rPr>
        <w:t>一、建设项目基本情况</w:t>
      </w:r>
    </w:p>
    <w:tbl>
      <w:tblPr>
        <w:tblStyle w:val="28"/>
        <w:tblW w:w="93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94"/>
        <w:gridCol w:w="584"/>
        <w:gridCol w:w="1911"/>
        <w:gridCol w:w="2027"/>
        <w:gridCol w:w="4033"/>
      </w:tblGrid>
      <w:tr w14:paraId="48738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8" w:type="dxa"/>
            <w:gridSpan w:val="2"/>
            <w:tcBorders>
              <w:tl2br w:val="nil"/>
              <w:tr2bl w:val="nil"/>
            </w:tcBorders>
            <w:noWrap w:val="0"/>
            <w:tcMar>
              <w:top w:w="16" w:type="dxa"/>
              <w:left w:w="16" w:type="dxa"/>
              <w:right w:w="16" w:type="dxa"/>
            </w:tcMar>
            <w:vAlign w:val="center"/>
          </w:tcPr>
          <w:p w14:paraId="4BEEA72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建设项目名称</w:t>
            </w:r>
          </w:p>
        </w:tc>
        <w:tc>
          <w:tcPr>
            <w:tcW w:w="7971" w:type="dxa"/>
            <w:gridSpan w:val="3"/>
            <w:tcBorders>
              <w:tl2br w:val="nil"/>
              <w:tr2bl w:val="nil"/>
            </w:tcBorders>
            <w:noWrap w:val="0"/>
            <w:vAlign w:val="center"/>
          </w:tcPr>
          <w:p w14:paraId="236F353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eastAsia="宋体" w:cs="Times New Roman"/>
                <w:color w:val="auto"/>
                <w:sz w:val="24"/>
                <w:szCs w:val="24"/>
                <w:lang w:eastAsia="zh-CN"/>
              </w:rPr>
              <w:t>遂宁宜诚柏利柏木油及生物质颗粒制造项目</w:t>
            </w:r>
          </w:p>
        </w:tc>
      </w:tr>
      <w:tr w14:paraId="6AD4C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8" w:type="dxa"/>
            <w:gridSpan w:val="2"/>
            <w:tcBorders>
              <w:tl2br w:val="nil"/>
              <w:tr2bl w:val="nil"/>
            </w:tcBorders>
            <w:noWrap w:val="0"/>
            <w:tcMar>
              <w:top w:w="16" w:type="dxa"/>
              <w:left w:w="16" w:type="dxa"/>
              <w:right w:w="16" w:type="dxa"/>
            </w:tcMar>
            <w:vAlign w:val="center"/>
          </w:tcPr>
          <w:p w14:paraId="1FDB648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项目代码</w:t>
            </w:r>
          </w:p>
        </w:tc>
        <w:tc>
          <w:tcPr>
            <w:tcW w:w="7971" w:type="dxa"/>
            <w:gridSpan w:val="3"/>
            <w:tcBorders>
              <w:tl2br w:val="nil"/>
              <w:tr2bl w:val="nil"/>
            </w:tcBorders>
            <w:noWrap w:val="0"/>
            <w:vAlign w:val="center"/>
          </w:tcPr>
          <w:p w14:paraId="1B16BF7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color w:val="auto"/>
                <w:sz w:val="24"/>
                <w:szCs w:val="24"/>
                <w:lang w:eastAsia="zh-CN"/>
              </w:rPr>
              <w:t>2410-510921-99-01-350736</w:t>
            </w:r>
          </w:p>
        </w:tc>
      </w:tr>
      <w:tr w14:paraId="21E31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8" w:type="dxa"/>
            <w:gridSpan w:val="2"/>
            <w:tcBorders>
              <w:tl2br w:val="nil"/>
              <w:tr2bl w:val="nil"/>
            </w:tcBorders>
            <w:noWrap w:val="0"/>
            <w:tcMar>
              <w:top w:w="16" w:type="dxa"/>
              <w:left w:w="16" w:type="dxa"/>
              <w:right w:w="16" w:type="dxa"/>
            </w:tcMar>
            <w:vAlign w:val="center"/>
          </w:tcPr>
          <w:p w14:paraId="7A06FCA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建设单位联系人</w:t>
            </w:r>
          </w:p>
        </w:tc>
        <w:tc>
          <w:tcPr>
            <w:tcW w:w="1911" w:type="dxa"/>
            <w:tcBorders>
              <w:tl2br w:val="nil"/>
              <w:tr2bl w:val="nil"/>
            </w:tcBorders>
            <w:noWrap w:val="0"/>
            <w:vAlign w:val="center"/>
          </w:tcPr>
          <w:p w14:paraId="17E4242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lang w:val="en-US"/>
              </w:rPr>
            </w:pPr>
            <w:r>
              <w:rPr>
                <w:rFonts w:hint="eastAsia" w:cs="Times New Roman"/>
                <w:color w:val="auto"/>
                <w:sz w:val="24"/>
                <w:szCs w:val="24"/>
                <w:lang w:val="en-US" w:eastAsia="zh-CN"/>
              </w:rPr>
              <w:t>*</w:t>
            </w:r>
            <w:bookmarkStart w:id="8" w:name="_GoBack"/>
            <w:bookmarkEnd w:id="8"/>
            <w:r>
              <w:rPr>
                <w:rFonts w:hint="eastAsia" w:cs="Times New Roman"/>
                <w:color w:val="auto"/>
                <w:sz w:val="24"/>
                <w:szCs w:val="24"/>
                <w:lang w:val="en-US" w:eastAsia="zh-CN"/>
              </w:rPr>
              <w:t>**</w:t>
            </w:r>
          </w:p>
        </w:tc>
        <w:tc>
          <w:tcPr>
            <w:tcW w:w="2027" w:type="dxa"/>
            <w:tcBorders>
              <w:tl2br w:val="nil"/>
              <w:tr2bl w:val="nil"/>
            </w:tcBorders>
            <w:noWrap w:val="0"/>
            <w:vAlign w:val="center"/>
          </w:tcPr>
          <w:p w14:paraId="4E7CB63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sz w:val="24"/>
                <w:szCs w:val="24"/>
              </w:rPr>
              <w:t>联系方式</w:t>
            </w:r>
          </w:p>
        </w:tc>
        <w:tc>
          <w:tcPr>
            <w:tcW w:w="4033" w:type="dxa"/>
            <w:tcBorders>
              <w:tl2br w:val="nil"/>
              <w:tr2bl w:val="nil"/>
            </w:tcBorders>
            <w:noWrap w:val="0"/>
            <w:vAlign w:val="center"/>
          </w:tcPr>
          <w:p w14:paraId="4455B1F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eastAsia" w:cs="Times New Roman"/>
                <w:color w:val="auto"/>
                <w:sz w:val="24"/>
                <w:szCs w:val="24"/>
                <w:lang w:val="en-US" w:eastAsia="zh-CN"/>
              </w:rPr>
              <w:t>****</w:t>
            </w:r>
          </w:p>
        </w:tc>
      </w:tr>
      <w:tr w14:paraId="0D63F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8" w:type="dxa"/>
            <w:gridSpan w:val="2"/>
            <w:tcBorders>
              <w:tl2br w:val="nil"/>
              <w:tr2bl w:val="nil"/>
            </w:tcBorders>
            <w:noWrap w:val="0"/>
            <w:tcMar>
              <w:top w:w="16" w:type="dxa"/>
              <w:left w:w="16" w:type="dxa"/>
              <w:right w:w="16" w:type="dxa"/>
            </w:tcMar>
            <w:vAlign w:val="center"/>
          </w:tcPr>
          <w:p w14:paraId="014A53C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建设地点</w:t>
            </w:r>
          </w:p>
        </w:tc>
        <w:tc>
          <w:tcPr>
            <w:tcW w:w="7971" w:type="dxa"/>
            <w:gridSpan w:val="3"/>
            <w:tcBorders>
              <w:tl2br w:val="nil"/>
              <w:tr2bl w:val="nil"/>
            </w:tcBorders>
            <w:noWrap w:val="0"/>
            <w:vAlign w:val="center"/>
          </w:tcPr>
          <w:p w14:paraId="189BBAF2">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4"/>
                <w:szCs w:val="24"/>
                <w:u w:val="none"/>
                <w:lang w:eastAsia="zh-CN"/>
              </w:rPr>
            </w:pPr>
            <w:r>
              <w:rPr>
                <w:rFonts w:hint="default" w:ascii="Times New Roman" w:hAnsi="Times New Roman" w:cs="Times New Roman"/>
                <w:color w:val="auto"/>
                <w:sz w:val="24"/>
                <w:szCs w:val="24"/>
                <w:u w:val="none"/>
                <w:lang w:eastAsia="zh-CN"/>
              </w:rPr>
              <w:t>四川</w:t>
            </w:r>
            <w:r>
              <w:rPr>
                <w:rFonts w:hint="default" w:ascii="Times New Roman" w:hAnsi="Times New Roman" w:cs="Times New Roman"/>
                <w:color w:val="auto"/>
                <w:sz w:val="24"/>
                <w:szCs w:val="24"/>
                <w:u w:val="none"/>
              </w:rPr>
              <w:t>省</w:t>
            </w:r>
            <w:r>
              <w:rPr>
                <w:rFonts w:hint="eastAsia" w:ascii="Times New Roman" w:hAnsi="Times New Roman" w:cs="Times New Roman"/>
                <w:color w:val="auto"/>
                <w:sz w:val="24"/>
                <w:szCs w:val="24"/>
                <w:u w:val="none"/>
                <w:lang w:val="en-US" w:eastAsia="zh-CN"/>
              </w:rPr>
              <w:t>遂宁市</w:t>
            </w:r>
            <w:r>
              <w:rPr>
                <w:rFonts w:hint="eastAsia" w:ascii="Times New Roman" w:hAnsi="Times New Roman" w:cs="Times New Roman"/>
                <w:color w:val="auto"/>
                <w:sz w:val="24"/>
                <w:szCs w:val="24"/>
                <w:u w:val="none"/>
                <w:lang w:eastAsia="zh-CN"/>
              </w:rPr>
              <w:t>蓬溪县赤城镇上游工业园区</w:t>
            </w:r>
          </w:p>
          <w:p w14:paraId="200149F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color w:val="auto"/>
                <w:kern w:val="0"/>
                <w:lang w:eastAsia="zh-CN"/>
              </w:rPr>
              <w:t>遂宁市中通实业集团节能建材有限公司</w:t>
            </w:r>
            <w:r>
              <w:rPr>
                <w:rFonts w:hint="eastAsia" w:ascii="Times New Roman" w:hAnsi="Times New Roman" w:cs="Times New Roman"/>
                <w:color w:val="auto"/>
                <w:sz w:val="24"/>
                <w:szCs w:val="24"/>
                <w:u w:val="none"/>
                <w:lang w:eastAsia="zh-CN"/>
              </w:rPr>
              <w:t>内</w:t>
            </w:r>
          </w:p>
        </w:tc>
      </w:tr>
      <w:tr w14:paraId="0F9B2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8" w:type="dxa"/>
            <w:gridSpan w:val="2"/>
            <w:tcBorders>
              <w:tl2br w:val="nil"/>
              <w:tr2bl w:val="nil"/>
            </w:tcBorders>
            <w:noWrap w:val="0"/>
            <w:tcMar>
              <w:top w:w="16" w:type="dxa"/>
              <w:left w:w="16" w:type="dxa"/>
              <w:right w:w="16" w:type="dxa"/>
            </w:tcMar>
            <w:vAlign w:val="center"/>
          </w:tcPr>
          <w:p w14:paraId="1B0E9CB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地理坐标</w:t>
            </w:r>
          </w:p>
        </w:tc>
        <w:tc>
          <w:tcPr>
            <w:tcW w:w="7971" w:type="dxa"/>
            <w:gridSpan w:val="3"/>
            <w:tcBorders>
              <w:tl2br w:val="nil"/>
              <w:tr2bl w:val="nil"/>
            </w:tcBorders>
            <w:noWrap w:val="0"/>
            <w:vAlign w:val="center"/>
          </w:tcPr>
          <w:p w14:paraId="5D46556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10</w:t>
            </w:r>
            <w:r>
              <w:rPr>
                <w:rFonts w:hint="eastAsia" w:ascii="Times New Roman" w:hAnsi="Times New Roman" w:cs="Times New Roman"/>
                <w:color w:val="auto"/>
                <w:sz w:val="24"/>
                <w:szCs w:val="24"/>
                <w:u w:val="single"/>
                <w:lang w:val="en-US" w:eastAsia="zh-CN"/>
              </w:rPr>
              <w:t>5</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w:t>
            </w:r>
            <w:r>
              <w:rPr>
                <w:rFonts w:hint="eastAsia" w:ascii="Times New Roman" w:hAnsi="Times New Roman" w:cs="Times New Roman"/>
                <w:color w:val="auto"/>
                <w:sz w:val="24"/>
                <w:szCs w:val="24"/>
                <w:u w:val="single"/>
                <w:lang w:val="en-US" w:eastAsia="zh-CN"/>
              </w:rPr>
              <w:t>41</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w:t>
            </w:r>
            <w:r>
              <w:rPr>
                <w:rFonts w:hint="eastAsia" w:ascii="Times New Roman" w:hAnsi="Times New Roman" w:cs="Times New Roman"/>
                <w:color w:val="auto"/>
                <w:sz w:val="24"/>
                <w:szCs w:val="24"/>
                <w:u w:val="single"/>
                <w:lang w:val="en-US" w:eastAsia="zh-CN"/>
              </w:rPr>
              <w:t>13.47</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3</w:t>
            </w:r>
            <w:r>
              <w:rPr>
                <w:rFonts w:hint="eastAsia" w:ascii="Times New Roman" w:hAnsi="Times New Roman" w:cs="Times New Roman"/>
                <w:color w:val="auto"/>
                <w:sz w:val="24"/>
                <w:szCs w:val="24"/>
                <w:u w:val="single"/>
                <w:lang w:val="en-US" w:eastAsia="zh-CN"/>
              </w:rPr>
              <w:t>0</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w:t>
            </w:r>
            <w:r>
              <w:rPr>
                <w:rFonts w:hint="eastAsia" w:ascii="Times New Roman" w:hAnsi="Times New Roman" w:cs="Times New Roman"/>
                <w:color w:val="auto"/>
                <w:sz w:val="24"/>
                <w:szCs w:val="24"/>
                <w:u w:val="single"/>
                <w:lang w:val="en-US" w:eastAsia="zh-CN"/>
              </w:rPr>
              <w:t>44</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w:t>
            </w:r>
            <w:r>
              <w:rPr>
                <w:rFonts w:hint="eastAsia" w:ascii="Times New Roman" w:hAnsi="Times New Roman" w:cs="Times New Roman"/>
                <w:color w:val="auto"/>
                <w:sz w:val="24"/>
                <w:szCs w:val="24"/>
                <w:u w:val="single"/>
                <w:lang w:val="en-US" w:eastAsia="zh-CN"/>
              </w:rPr>
              <w:t>24.15</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秒）</w:t>
            </w:r>
          </w:p>
        </w:tc>
      </w:tr>
      <w:tr w14:paraId="45D78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78" w:type="dxa"/>
            <w:gridSpan w:val="2"/>
            <w:tcBorders>
              <w:tl2br w:val="nil"/>
              <w:tr2bl w:val="nil"/>
            </w:tcBorders>
            <w:noWrap w:val="0"/>
            <w:tcMar>
              <w:top w:w="16" w:type="dxa"/>
              <w:left w:w="16" w:type="dxa"/>
              <w:right w:w="16" w:type="dxa"/>
            </w:tcMar>
            <w:vAlign w:val="center"/>
          </w:tcPr>
          <w:p w14:paraId="43F3662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国民经济</w:t>
            </w:r>
          </w:p>
          <w:p w14:paraId="6800FD1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行业类别</w:t>
            </w:r>
          </w:p>
        </w:tc>
        <w:tc>
          <w:tcPr>
            <w:tcW w:w="1911" w:type="dxa"/>
            <w:tcBorders>
              <w:tl2br w:val="nil"/>
              <w:tr2bl w:val="nil"/>
            </w:tcBorders>
            <w:noWrap w:val="0"/>
            <w:vAlign w:val="center"/>
          </w:tcPr>
          <w:p w14:paraId="137CD44A">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rPr>
            </w:pPr>
            <w:r>
              <w:rPr>
                <w:rFonts w:hint="eastAsia" w:ascii="Times New Roman" w:hAnsi="Times New Roman" w:cs="Times New Roman"/>
                <w:color w:val="auto"/>
                <w:sz w:val="24"/>
                <w:szCs w:val="24"/>
                <w:lang w:eastAsia="zh-CN"/>
              </w:rPr>
              <w:t>C2663</w:t>
            </w:r>
            <w:r>
              <w:rPr>
                <w:rFonts w:hint="default" w:ascii="Times New Roman" w:hAnsi="Times New Roman" w:cs="Times New Roman"/>
                <w:color w:val="auto"/>
                <w:sz w:val="24"/>
                <w:szCs w:val="24"/>
              </w:rPr>
              <w:t xml:space="preserve"> </w:t>
            </w:r>
            <w:r>
              <w:rPr>
                <w:rFonts w:hint="eastAsia" w:ascii="Times New Roman" w:hAnsi="Times New Roman" w:cs="Times New Roman"/>
                <w:color w:val="auto"/>
                <w:sz w:val="24"/>
                <w:szCs w:val="24"/>
                <w:lang w:val="en-US" w:eastAsia="zh-CN"/>
              </w:rPr>
              <w:t>林产化学产品</w:t>
            </w:r>
            <w:r>
              <w:rPr>
                <w:rFonts w:hint="default" w:ascii="Times New Roman" w:hAnsi="Times New Roman" w:cs="Times New Roman"/>
                <w:color w:val="auto"/>
                <w:sz w:val="24"/>
                <w:szCs w:val="24"/>
              </w:rPr>
              <w:t>制造</w:t>
            </w:r>
          </w:p>
        </w:tc>
        <w:tc>
          <w:tcPr>
            <w:tcW w:w="2027" w:type="dxa"/>
            <w:tcBorders>
              <w:tl2br w:val="nil"/>
              <w:tr2bl w:val="nil"/>
            </w:tcBorders>
            <w:noWrap w:val="0"/>
            <w:vAlign w:val="center"/>
          </w:tcPr>
          <w:p w14:paraId="3C6A0FC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3FC6052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sz w:val="24"/>
                <w:szCs w:val="24"/>
              </w:rPr>
              <w:t>行业类别</w:t>
            </w:r>
          </w:p>
        </w:tc>
        <w:tc>
          <w:tcPr>
            <w:tcW w:w="4033" w:type="dxa"/>
            <w:tcBorders>
              <w:tl2br w:val="nil"/>
              <w:tr2bl w:val="nil"/>
            </w:tcBorders>
            <w:noWrap w:val="0"/>
            <w:vAlign w:val="center"/>
          </w:tcPr>
          <w:p w14:paraId="2A8B80B7">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auto"/>
              </w:rPr>
            </w:pPr>
            <w:r>
              <w:rPr>
                <w:rFonts w:hint="eastAsia" w:ascii="Times New Roman" w:hAnsi="Times New Roman" w:cs="Times New Roman"/>
                <w:color w:val="auto"/>
                <w:sz w:val="24"/>
                <w:szCs w:val="24"/>
                <w:lang w:eastAsia="zh-CN"/>
              </w:rPr>
              <w:t>二十三、化学原料和化学制品制造业，“专用化学产品制造266”</w:t>
            </w:r>
          </w:p>
        </w:tc>
      </w:tr>
      <w:tr w14:paraId="370D11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78" w:type="dxa"/>
            <w:gridSpan w:val="2"/>
            <w:tcBorders>
              <w:tl2br w:val="nil"/>
              <w:tr2bl w:val="nil"/>
            </w:tcBorders>
            <w:noWrap w:val="0"/>
            <w:tcMar>
              <w:top w:w="16" w:type="dxa"/>
              <w:left w:w="16" w:type="dxa"/>
              <w:right w:w="16" w:type="dxa"/>
            </w:tcMar>
            <w:vAlign w:val="center"/>
          </w:tcPr>
          <w:p w14:paraId="0A19D57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建设性质</w:t>
            </w:r>
          </w:p>
        </w:tc>
        <w:tc>
          <w:tcPr>
            <w:tcW w:w="1911" w:type="dxa"/>
            <w:tcBorders>
              <w:tl2br w:val="nil"/>
              <w:tr2bl w:val="nil"/>
            </w:tcBorders>
            <w:noWrap w:val="0"/>
            <w:vAlign w:val="center"/>
          </w:tcPr>
          <w:p w14:paraId="611AA6BA">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rPr>
              <w:t>新建（迁建）</w:t>
            </w:r>
          </w:p>
          <w:p w14:paraId="1E083B61">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rPr>
              <w:t>改建</w:t>
            </w:r>
          </w:p>
          <w:p w14:paraId="2162C20E">
            <w:pPr>
              <w:keepNext w:val="0"/>
              <w:keepLines w:val="0"/>
              <w:suppressLineNumbers w:val="0"/>
              <w:spacing w:before="0" w:beforeAutospacing="0" w:after="0" w:afterAutospacing="0" w:line="240" w:lineRule="auto"/>
              <w:ind w:left="0" w:right="0"/>
              <w:jc w:val="left"/>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highlight w:val="none"/>
              </w:rPr>
              <w:sym w:font="Wingdings 2" w:char="00A3"/>
            </w:r>
            <w:r>
              <w:rPr>
                <w:rFonts w:hint="eastAsia" w:ascii="Times New Roman" w:hAnsi="Times New Roman" w:cs="Times New Roman"/>
                <w:color w:val="auto"/>
                <w:sz w:val="24"/>
                <w:szCs w:val="24"/>
                <w:lang w:eastAsia="zh-CN"/>
              </w:rPr>
              <w:t>扩建</w:t>
            </w:r>
          </w:p>
          <w:p w14:paraId="14BC9052">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auto"/>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rPr>
              <w:t>技术改造</w:t>
            </w:r>
          </w:p>
        </w:tc>
        <w:tc>
          <w:tcPr>
            <w:tcW w:w="2027" w:type="dxa"/>
            <w:tcBorders>
              <w:tl2br w:val="nil"/>
              <w:tr2bl w:val="nil"/>
            </w:tcBorders>
            <w:noWrap w:val="0"/>
            <w:vAlign w:val="center"/>
          </w:tcPr>
          <w:p w14:paraId="335BF68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6AB0BBB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sz w:val="24"/>
                <w:szCs w:val="24"/>
              </w:rPr>
              <w:t>申报情形</w:t>
            </w:r>
          </w:p>
        </w:tc>
        <w:tc>
          <w:tcPr>
            <w:tcW w:w="4033" w:type="dxa"/>
            <w:tcBorders>
              <w:tl2br w:val="nil"/>
              <w:tr2bl w:val="nil"/>
            </w:tcBorders>
            <w:noWrap w:val="0"/>
            <w:vAlign w:val="center"/>
          </w:tcPr>
          <w:p w14:paraId="26875DEA">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rPr>
              <w:t xml:space="preserve">首次申报项目             </w:t>
            </w:r>
          </w:p>
          <w:p w14:paraId="7D3C7AB0">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rPr>
              <w:t>不予批准后再次申报项目</w:t>
            </w:r>
          </w:p>
          <w:p w14:paraId="20D37CB9">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rPr>
              <w:t xml:space="preserve">超五年重新审核项目     </w:t>
            </w:r>
          </w:p>
          <w:p w14:paraId="15FEC2B2">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auto"/>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rPr>
              <w:t>重大变动重新报批项目</w:t>
            </w:r>
          </w:p>
        </w:tc>
      </w:tr>
      <w:tr w14:paraId="2F3AD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78" w:type="dxa"/>
            <w:gridSpan w:val="2"/>
            <w:tcBorders>
              <w:tl2br w:val="nil"/>
              <w:tr2bl w:val="nil"/>
            </w:tcBorders>
            <w:noWrap w:val="0"/>
            <w:tcMar>
              <w:top w:w="16" w:type="dxa"/>
              <w:left w:w="16" w:type="dxa"/>
              <w:right w:w="16" w:type="dxa"/>
            </w:tcMar>
            <w:vAlign w:val="center"/>
          </w:tcPr>
          <w:p w14:paraId="6CADB5E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项目审批（核准/</w:t>
            </w:r>
          </w:p>
          <w:p w14:paraId="29B3A14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备案）部门（选填）</w:t>
            </w:r>
          </w:p>
        </w:tc>
        <w:tc>
          <w:tcPr>
            <w:tcW w:w="1911" w:type="dxa"/>
            <w:tcBorders>
              <w:tl2br w:val="nil"/>
              <w:tr2bl w:val="nil"/>
            </w:tcBorders>
            <w:noWrap w:val="0"/>
            <w:vAlign w:val="center"/>
          </w:tcPr>
          <w:p w14:paraId="42237D6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color w:val="auto"/>
                <w:sz w:val="24"/>
                <w:szCs w:val="24"/>
                <w:lang w:eastAsia="zh-CN"/>
              </w:rPr>
              <w:t>蓬溪县行政审批局</w:t>
            </w:r>
          </w:p>
        </w:tc>
        <w:tc>
          <w:tcPr>
            <w:tcW w:w="2027" w:type="dxa"/>
            <w:tcBorders>
              <w:tl2br w:val="nil"/>
              <w:tr2bl w:val="nil"/>
            </w:tcBorders>
            <w:noWrap w:val="0"/>
            <w:vAlign w:val="center"/>
          </w:tcPr>
          <w:p w14:paraId="14A567A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14:paraId="53385B0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sz w:val="24"/>
                <w:szCs w:val="24"/>
              </w:rPr>
              <w:t>备案）文号（选填）</w:t>
            </w:r>
          </w:p>
        </w:tc>
        <w:tc>
          <w:tcPr>
            <w:tcW w:w="4033" w:type="dxa"/>
            <w:tcBorders>
              <w:tl2br w:val="nil"/>
              <w:tr2bl w:val="nil"/>
            </w:tcBorders>
            <w:noWrap w:val="0"/>
            <w:vAlign w:val="center"/>
          </w:tcPr>
          <w:p w14:paraId="2F9EE8E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sz w:val="24"/>
                <w:szCs w:val="24"/>
              </w:rPr>
              <w:t>川投资备【2410-510921-99-01-350736】FGQB-0457号</w:t>
            </w:r>
          </w:p>
        </w:tc>
      </w:tr>
      <w:tr w14:paraId="744DA0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8" w:type="dxa"/>
            <w:gridSpan w:val="2"/>
            <w:tcBorders>
              <w:tl2br w:val="nil"/>
              <w:tr2bl w:val="nil"/>
            </w:tcBorders>
            <w:noWrap w:val="0"/>
            <w:tcMar>
              <w:top w:w="16" w:type="dxa"/>
              <w:left w:w="16" w:type="dxa"/>
              <w:right w:w="16" w:type="dxa"/>
            </w:tcMar>
            <w:vAlign w:val="center"/>
          </w:tcPr>
          <w:p w14:paraId="32916D2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总投资（万元）</w:t>
            </w:r>
          </w:p>
        </w:tc>
        <w:tc>
          <w:tcPr>
            <w:tcW w:w="1911" w:type="dxa"/>
            <w:tcBorders>
              <w:tl2br w:val="nil"/>
              <w:tr2bl w:val="nil"/>
            </w:tcBorders>
            <w:noWrap w:val="0"/>
            <w:vAlign w:val="center"/>
          </w:tcPr>
          <w:p w14:paraId="7AE2E14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color w:val="auto"/>
                <w:sz w:val="24"/>
                <w:szCs w:val="24"/>
                <w:lang w:val="en-US" w:eastAsia="zh-CN"/>
              </w:rPr>
              <w:t>600</w:t>
            </w:r>
          </w:p>
        </w:tc>
        <w:tc>
          <w:tcPr>
            <w:tcW w:w="2027" w:type="dxa"/>
            <w:tcBorders>
              <w:tl2br w:val="nil"/>
              <w:tr2bl w:val="nil"/>
            </w:tcBorders>
            <w:noWrap w:val="0"/>
            <w:tcMar>
              <w:top w:w="16" w:type="dxa"/>
              <w:left w:w="16" w:type="dxa"/>
              <w:right w:w="16" w:type="dxa"/>
            </w:tcMar>
            <w:vAlign w:val="center"/>
          </w:tcPr>
          <w:p w14:paraId="3F3D60D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sz w:val="24"/>
                <w:szCs w:val="24"/>
              </w:rPr>
              <w:t>环保投资（万元）</w:t>
            </w:r>
          </w:p>
        </w:tc>
        <w:tc>
          <w:tcPr>
            <w:tcW w:w="4033" w:type="dxa"/>
            <w:tcBorders>
              <w:tl2br w:val="nil"/>
              <w:tr2bl w:val="nil"/>
            </w:tcBorders>
            <w:noWrap w:val="0"/>
            <w:vAlign w:val="center"/>
          </w:tcPr>
          <w:p w14:paraId="134E0B2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lang w:val="en-US"/>
              </w:rPr>
            </w:pPr>
            <w:r>
              <w:rPr>
                <w:rFonts w:hint="eastAsia" w:cs="Times New Roman"/>
                <w:color w:val="auto"/>
                <w:sz w:val="24"/>
                <w:szCs w:val="24"/>
                <w:lang w:val="en-US" w:eastAsia="zh-CN"/>
              </w:rPr>
              <w:t>50.5</w:t>
            </w:r>
          </w:p>
        </w:tc>
      </w:tr>
      <w:tr w14:paraId="35023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8" w:type="dxa"/>
            <w:gridSpan w:val="2"/>
            <w:tcBorders>
              <w:tl2br w:val="nil"/>
              <w:tr2bl w:val="nil"/>
            </w:tcBorders>
            <w:noWrap w:val="0"/>
            <w:tcMar>
              <w:top w:w="16" w:type="dxa"/>
              <w:left w:w="16" w:type="dxa"/>
              <w:right w:w="16" w:type="dxa"/>
            </w:tcMar>
            <w:vAlign w:val="center"/>
          </w:tcPr>
          <w:p w14:paraId="49B7B65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环保投资占比（%）</w:t>
            </w:r>
          </w:p>
        </w:tc>
        <w:tc>
          <w:tcPr>
            <w:tcW w:w="1911" w:type="dxa"/>
            <w:tcBorders>
              <w:tl2br w:val="nil"/>
              <w:tr2bl w:val="nil"/>
            </w:tcBorders>
            <w:noWrap w:val="0"/>
            <w:vAlign w:val="center"/>
          </w:tcPr>
          <w:p w14:paraId="655411F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lang w:val="en-US"/>
              </w:rPr>
            </w:pPr>
            <w:r>
              <w:rPr>
                <w:rFonts w:hint="eastAsia" w:cs="Times New Roman"/>
                <w:color w:val="auto"/>
                <w:sz w:val="24"/>
                <w:szCs w:val="24"/>
                <w:lang w:val="en-US" w:eastAsia="zh-CN"/>
              </w:rPr>
              <w:t>8.42</w:t>
            </w:r>
          </w:p>
        </w:tc>
        <w:tc>
          <w:tcPr>
            <w:tcW w:w="2027" w:type="dxa"/>
            <w:tcBorders>
              <w:tl2br w:val="nil"/>
              <w:tr2bl w:val="nil"/>
            </w:tcBorders>
            <w:noWrap w:val="0"/>
            <w:tcMar>
              <w:top w:w="16" w:type="dxa"/>
              <w:left w:w="16" w:type="dxa"/>
              <w:right w:w="16" w:type="dxa"/>
            </w:tcMar>
            <w:vAlign w:val="center"/>
          </w:tcPr>
          <w:p w14:paraId="269F5C1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sz w:val="24"/>
                <w:szCs w:val="24"/>
              </w:rPr>
              <w:t>施工工期</w:t>
            </w:r>
          </w:p>
        </w:tc>
        <w:tc>
          <w:tcPr>
            <w:tcW w:w="4033" w:type="dxa"/>
            <w:tcBorders>
              <w:tl2br w:val="nil"/>
              <w:tr2bl w:val="nil"/>
            </w:tcBorders>
            <w:noWrap w:val="0"/>
            <w:vAlign w:val="center"/>
          </w:tcPr>
          <w:p w14:paraId="1D633E2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lang w:val="en-US"/>
              </w:rPr>
            </w:pPr>
            <w:r>
              <w:rPr>
                <w:rFonts w:hint="eastAsia" w:ascii="Times New Roman" w:hAnsi="Times New Roman" w:cs="Times New Roman"/>
                <w:color w:val="auto"/>
                <w:sz w:val="24"/>
                <w:szCs w:val="24"/>
                <w:lang w:val="en-US" w:eastAsia="zh-CN"/>
              </w:rPr>
              <w:t>3.0</w:t>
            </w:r>
          </w:p>
        </w:tc>
      </w:tr>
      <w:tr w14:paraId="503A76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8" w:type="dxa"/>
            <w:gridSpan w:val="2"/>
            <w:tcBorders>
              <w:tl2br w:val="nil"/>
              <w:tr2bl w:val="nil"/>
            </w:tcBorders>
            <w:noWrap w:val="0"/>
            <w:tcMar>
              <w:top w:w="16" w:type="dxa"/>
              <w:left w:w="16" w:type="dxa"/>
              <w:right w:w="16" w:type="dxa"/>
            </w:tcMar>
            <w:vAlign w:val="center"/>
          </w:tcPr>
          <w:p w14:paraId="11FD0EF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是否开工建设</w:t>
            </w:r>
          </w:p>
        </w:tc>
        <w:tc>
          <w:tcPr>
            <w:tcW w:w="1911" w:type="dxa"/>
            <w:tcBorders>
              <w:tl2br w:val="nil"/>
              <w:tr2bl w:val="nil"/>
            </w:tcBorders>
            <w:noWrap w:val="0"/>
            <w:vAlign w:val="center"/>
          </w:tcPr>
          <w:p w14:paraId="5936F0E6">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rPr>
              <w:t>否</w:t>
            </w:r>
          </w:p>
          <w:p w14:paraId="4AA17840">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auto"/>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u w:val="single"/>
              </w:rPr>
              <w:t xml:space="preserve">    </w:t>
            </w:r>
          </w:p>
        </w:tc>
        <w:tc>
          <w:tcPr>
            <w:tcW w:w="2027" w:type="dxa"/>
            <w:tcBorders>
              <w:tl2br w:val="nil"/>
              <w:tr2bl w:val="nil"/>
            </w:tcBorders>
            <w:noWrap w:val="0"/>
            <w:tcMar>
              <w:top w:w="16" w:type="dxa"/>
              <w:left w:w="16" w:type="dxa"/>
              <w:right w:w="16" w:type="dxa"/>
            </w:tcMar>
            <w:vAlign w:val="center"/>
          </w:tcPr>
          <w:p w14:paraId="586808D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14:paraId="1A9C1DE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spacing w:val="-6"/>
                <w:sz w:val="24"/>
                <w:szCs w:val="24"/>
              </w:rPr>
              <w:t>面积（</w:t>
            </w:r>
            <w:r>
              <w:rPr>
                <w:rFonts w:hint="default" w:ascii="Times New Roman" w:hAnsi="Times New Roman" w:cs="Times New Roman"/>
                <w:color w:val="auto"/>
                <w:spacing w:val="-6"/>
                <w:sz w:val="24"/>
                <w:szCs w:val="24"/>
                <w:highlight w:val="none"/>
              </w:rPr>
              <w:t>m</w:t>
            </w:r>
            <w:r>
              <w:rPr>
                <w:rFonts w:hint="default" w:ascii="Times New Roman" w:hAnsi="Times New Roman" w:cs="Times New Roman"/>
                <w:color w:val="auto"/>
                <w:spacing w:val="-6"/>
                <w:sz w:val="24"/>
                <w:szCs w:val="24"/>
                <w:highlight w:val="none"/>
                <w:vertAlign w:val="superscript"/>
              </w:rPr>
              <w:t>2</w:t>
            </w:r>
            <w:r>
              <w:rPr>
                <w:rFonts w:hint="default" w:ascii="Times New Roman" w:hAnsi="Times New Roman" w:cs="Times New Roman"/>
                <w:color w:val="auto"/>
                <w:spacing w:val="-6"/>
                <w:sz w:val="24"/>
                <w:szCs w:val="24"/>
              </w:rPr>
              <w:t>）</w:t>
            </w:r>
          </w:p>
        </w:tc>
        <w:tc>
          <w:tcPr>
            <w:tcW w:w="4033" w:type="dxa"/>
            <w:tcBorders>
              <w:tl2br w:val="nil"/>
              <w:tr2bl w:val="nil"/>
            </w:tcBorders>
            <w:noWrap w:val="0"/>
            <w:vAlign w:val="center"/>
          </w:tcPr>
          <w:p w14:paraId="240A25F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eastAsia" w:cs="Times New Roman"/>
                <w:color w:val="auto"/>
                <w:sz w:val="24"/>
                <w:szCs w:val="24"/>
                <w:lang w:val="en-US" w:eastAsia="zh-CN"/>
              </w:rPr>
              <w:t>30</w:t>
            </w:r>
            <w:r>
              <w:rPr>
                <w:rFonts w:hint="eastAsia" w:ascii="Times New Roman" w:hAnsi="Times New Roman" w:cs="Times New Roman"/>
                <w:color w:val="auto"/>
                <w:sz w:val="24"/>
                <w:szCs w:val="24"/>
                <w:lang w:val="en-US" w:eastAsia="zh-CN"/>
              </w:rPr>
              <w:t>00</w:t>
            </w:r>
          </w:p>
        </w:tc>
      </w:tr>
      <w:tr w14:paraId="539CAD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94" w:type="dxa"/>
            <w:tcBorders>
              <w:tl2br w:val="nil"/>
              <w:tr2bl w:val="nil"/>
            </w:tcBorders>
            <w:noWrap w:val="0"/>
            <w:vAlign w:val="center"/>
          </w:tcPr>
          <w:p w14:paraId="2441737E">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rPr>
            </w:pPr>
            <w:r>
              <w:rPr>
                <w:rFonts w:hint="default" w:ascii="Times New Roman" w:hAnsi="Times New Roman" w:cs="Times New Roman"/>
                <w:color w:val="auto"/>
                <w:kern w:val="0"/>
              </w:rPr>
              <w:t>专项评价</w:t>
            </w:r>
          </w:p>
          <w:p w14:paraId="464DD236">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rPr>
            </w:pPr>
            <w:r>
              <w:rPr>
                <w:rFonts w:hint="default" w:ascii="Times New Roman" w:hAnsi="Times New Roman" w:cs="Times New Roman"/>
                <w:color w:val="auto"/>
                <w:kern w:val="0"/>
              </w:rPr>
              <w:t>设置情况</w:t>
            </w:r>
          </w:p>
        </w:tc>
        <w:tc>
          <w:tcPr>
            <w:tcW w:w="8555" w:type="dxa"/>
            <w:gridSpan w:val="4"/>
            <w:tcBorders>
              <w:tl2br w:val="nil"/>
              <w:tr2bl w:val="nil"/>
            </w:tcBorders>
            <w:noWrap w:val="0"/>
            <w:vAlign w:val="center"/>
          </w:tcPr>
          <w:p w14:paraId="660B18F6">
            <w:pPr>
              <w:keepNext w:val="0"/>
              <w:keepLines w:val="0"/>
              <w:suppressLineNumbers w:val="0"/>
              <w:autoSpaceDE w:val="0"/>
              <w:autoSpaceDN w:val="0"/>
              <w:adjustRightInd w:val="0"/>
              <w:snapToGrid w:val="0"/>
              <w:spacing w:before="0" w:beforeAutospacing="0" w:after="0" w:afterAutospacing="0"/>
              <w:ind w:left="0" w:right="0" w:firstLine="480"/>
              <w:rPr>
                <w:rFonts w:hint="default" w:ascii="Times New Roman" w:hAnsi="Times New Roman" w:cs="Times New Roman"/>
                <w:color w:val="auto"/>
                <w:kern w:val="0"/>
              </w:rPr>
            </w:pPr>
            <w:r>
              <w:rPr>
                <w:rFonts w:hint="default" w:ascii="Times New Roman" w:hAnsi="Times New Roman" w:cs="Times New Roman"/>
                <w:color w:val="auto"/>
                <w:kern w:val="0"/>
              </w:rPr>
              <w:t>本项目大气、地表水、环境风险、生态和海洋专项评价具体设置情况见表1-1。</w:t>
            </w:r>
          </w:p>
          <w:p w14:paraId="3046F772">
            <w:pPr>
              <w:keepNext w:val="0"/>
              <w:keepLines w:val="0"/>
              <w:suppressLineNumbers w:val="0"/>
              <w:tabs>
                <w:tab w:val="left" w:pos="662"/>
              </w:tabs>
              <w:kinsoku w:val="0"/>
              <w:overflowPunct w:val="0"/>
              <w:autoSpaceDE w:val="0"/>
              <w:autoSpaceDN w:val="0"/>
              <w:adjustRightInd w:val="0"/>
              <w:spacing w:before="120" w:beforeLines="5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rPr>
              <w:t>表1-1  本项目专项评价设置一览表</w:t>
            </w:r>
          </w:p>
          <w:tbl>
            <w:tblPr>
              <w:tblStyle w:val="28"/>
              <w:tblW w:w="5000" w:type="pct"/>
              <w:jc w:val="center"/>
              <w:tblLayout w:type="fixed"/>
              <w:tblCellMar>
                <w:top w:w="0" w:type="dxa"/>
                <w:left w:w="0" w:type="dxa"/>
                <w:bottom w:w="0" w:type="dxa"/>
                <w:right w:w="0" w:type="dxa"/>
              </w:tblCellMar>
            </w:tblPr>
            <w:tblGrid>
              <w:gridCol w:w="1173"/>
              <w:gridCol w:w="3025"/>
              <w:gridCol w:w="2861"/>
              <w:gridCol w:w="1280"/>
            </w:tblGrid>
            <w:tr w14:paraId="20EE7D86">
              <w:tblPrEx>
                <w:tblCellMar>
                  <w:top w:w="0" w:type="dxa"/>
                  <w:left w:w="0" w:type="dxa"/>
                  <w:bottom w:w="0" w:type="dxa"/>
                  <w:right w:w="0" w:type="dxa"/>
                </w:tblCellMar>
              </w:tblPrEx>
              <w:trPr>
                <w:trHeight w:val="397" w:hRule="atLeast"/>
                <w:jc w:val="center"/>
              </w:trPr>
              <w:tc>
                <w:tcPr>
                  <w:tcW w:w="703" w:type="pct"/>
                  <w:tcBorders>
                    <w:top w:val="single" w:color="000000" w:sz="12" w:space="0"/>
                    <w:bottom w:val="single" w:color="000000" w:sz="4" w:space="0"/>
                    <w:right w:val="single" w:color="000000" w:sz="4" w:space="0"/>
                  </w:tcBorders>
                  <w:noWrap w:val="0"/>
                  <w:vAlign w:val="center"/>
                </w:tcPr>
                <w:p w14:paraId="0F4DB0B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专项评价的类别</w:t>
                  </w:r>
                </w:p>
              </w:tc>
              <w:tc>
                <w:tcPr>
                  <w:tcW w:w="1813" w:type="pct"/>
                  <w:tcBorders>
                    <w:top w:val="single" w:color="000000" w:sz="12" w:space="0"/>
                    <w:left w:val="single" w:color="000000" w:sz="4" w:space="0"/>
                    <w:bottom w:val="single" w:color="000000" w:sz="4" w:space="0"/>
                    <w:right w:val="single" w:color="000000" w:sz="6" w:space="0"/>
                  </w:tcBorders>
                  <w:noWrap w:val="0"/>
                  <w:vAlign w:val="center"/>
                </w:tcPr>
                <w:p w14:paraId="01CE87B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设置原则</w:t>
                  </w:r>
                </w:p>
              </w:tc>
              <w:tc>
                <w:tcPr>
                  <w:tcW w:w="1715" w:type="pct"/>
                  <w:tcBorders>
                    <w:top w:val="single" w:color="000000" w:sz="12" w:space="0"/>
                    <w:left w:val="single" w:color="000000" w:sz="4" w:space="0"/>
                    <w:bottom w:val="single" w:color="000000" w:sz="4" w:space="0"/>
                    <w:right w:val="single" w:color="000000" w:sz="6" w:space="0"/>
                  </w:tcBorders>
                  <w:noWrap w:val="0"/>
                  <w:vAlign w:val="center"/>
                </w:tcPr>
                <w:p w14:paraId="42E185D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本项目</w:t>
                  </w:r>
                </w:p>
              </w:tc>
              <w:tc>
                <w:tcPr>
                  <w:tcW w:w="767" w:type="pct"/>
                  <w:tcBorders>
                    <w:top w:val="single" w:color="000000" w:sz="12" w:space="0"/>
                    <w:left w:val="single" w:color="000000" w:sz="4" w:space="0"/>
                    <w:bottom w:val="single" w:color="000000" w:sz="4" w:space="0"/>
                  </w:tcBorders>
                  <w:noWrap w:val="0"/>
                  <w:vAlign w:val="center"/>
                </w:tcPr>
                <w:p w14:paraId="2CC615E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是否设置</w:t>
                  </w:r>
                </w:p>
              </w:tc>
            </w:tr>
            <w:tr w14:paraId="2B3C906E">
              <w:tblPrEx>
                <w:tblCellMar>
                  <w:top w:w="0" w:type="dxa"/>
                  <w:left w:w="0" w:type="dxa"/>
                  <w:bottom w:w="0" w:type="dxa"/>
                  <w:right w:w="0" w:type="dxa"/>
                </w:tblCellMar>
              </w:tblPrEx>
              <w:trPr>
                <w:trHeight w:val="397" w:hRule="atLeast"/>
                <w:jc w:val="center"/>
              </w:trPr>
              <w:tc>
                <w:tcPr>
                  <w:tcW w:w="703" w:type="pct"/>
                  <w:tcBorders>
                    <w:top w:val="single" w:color="000000" w:sz="4" w:space="0"/>
                    <w:bottom w:val="single" w:color="000000" w:sz="4" w:space="0"/>
                    <w:right w:val="single" w:color="000000" w:sz="4" w:space="0"/>
                  </w:tcBorders>
                  <w:noWrap w:val="0"/>
                  <w:vAlign w:val="center"/>
                </w:tcPr>
                <w:p w14:paraId="73A65CD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大气</w:t>
                  </w:r>
                </w:p>
              </w:tc>
              <w:tc>
                <w:tcPr>
                  <w:tcW w:w="1813" w:type="pct"/>
                  <w:tcBorders>
                    <w:top w:val="single" w:color="000000" w:sz="4" w:space="0"/>
                    <w:left w:val="single" w:color="000000" w:sz="4" w:space="0"/>
                    <w:bottom w:val="single" w:color="000000" w:sz="4" w:space="0"/>
                    <w:right w:val="single" w:color="000000" w:sz="6" w:space="0"/>
                  </w:tcBorders>
                  <w:noWrap w:val="0"/>
                  <w:vAlign w:val="center"/>
                </w:tcPr>
                <w:p w14:paraId="090FDBFB">
                  <w:pPr>
                    <w:keepNext w:val="0"/>
                    <w:keepLines w:val="0"/>
                    <w:suppressLineNumbers w:val="0"/>
                    <w:adjustRightInd w:val="0"/>
                    <w:snapToGrid w:val="0"/>
                    <w:spacing w:before="0" w:beforeAutospacing="0" w:after="0" w:afterAutospacing="0" w:line="240" w:lineRule="auto"/>
                    <w:ind w:left="102" w:right="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排放废气含有毒有害污染物</w:t>
                  </w:r>
                  <w:r>
                    <w:rPr>
                      <w:rFonts w:hint="default" w:ascii="Times New Roman" w:hAnsi="Times New Roman" w:cs="Times New Roman"/>
                      <w:bCs/>
                      <w:color w:val="auto"/>
                      <w:sz w:val="21"/>
                      <w:szCs w:val="21"/>
                      <w:vertAlign w:val="superscript"/>
                    </w:rPr>
                    <w:t>1</w:t>
                  </w:r>
                  <w:r>
                    <w:rPr>
                      <w:rFonts w:hint="default" w:ascii="Times New Roman" w:hAnsi="Times New Roman" w:cs="Times New Roman"/>
                      <w:bCs/>
                      <w:color w:val="auto"/>
                      <w:sz w:val="21"/>
                      <w:szCs w:val="21"/>
                    </w:rPr>
                    <w:t>、二噁英、苯并[a]芘、氰化物、氯气且厂界外500米范围内有环境空气保护目标</w:t>
                  </w:r>
                  <w:r>
                    <w:rPr>
                      <w:rFonts w:hint="default" w:ascii="Times New Roman" w:hAnsi="Times New Roman" w:cs="Times New Roman"/>
                      <w:bCs/>
                      <w:color w:val="auto"/>
                      <w:sz w:val="21"/>
                      <w:szCs w:val="21"/>
                      <w:vertAlign w:val="superscript"/>
                    </w:rPr>
                    <w:t>2</w:t>
                  </w:r>
                  <w:r>
                    <w:rPr>
                      <w:rFonts w:hint="default" w:ascii="Times New Roman" w:hAnsi="Times New Roman" w:cs="Times New Roman"/>
                      <w:bCs/>
                      <w:color w:val="auto"/>
                      <w:sz w:val="21"/>
                      <w:szCs w:val="21"/>
                    </w:rPr>
                    <w:t>的建设项目</w:t>
                  </w:r>
                </w:p>
              </w:tc>
              <w:tc>
                <w:tcPr>
                  <w:tcW w:w="1715" w:type="pct"/>
                  <w:tcBorders>
                    <w:top w:val="single" w:color="000000" w:sz="4" w:space="0"/>
                    <w:left w:val="single" w:color="000000" w:sz="4" w:space="0"/>
                    <w:bottom w:val="single" w:color="000000" w:sz="4" w:space="0"/>
                    <w:right w:val="single" w:color="000000" w:sz="6" w:space="0"/>
                  </w:tcBorders>
                  <w:noWrap w:val="0"/>
                  <w:vAlign w:val="center"/>
                </w:tcPr>
                <w:p w14:paraId="26ED0730">
                  <w:pPr>
                    <w:keepNext w:val="0"/>
                    <w:keepLines w:val="0"/>
                    <w:suppressLineNumbers w:val="0"/>
                    <w:adjustRightInd w:val="0"/>
                    <w:snapToGrid w:val="0"/>
                    <w:spacing w:before="0" w:beforeAutospacing="0" w:after="0" w:afterAutospacing="0" w:line="240" w:lineRule="auto"/>
                    <w:ind w:left="102" w:right="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本项目不涉及排放含有毒有害污染物</w:t>
                  </w:r>
                  <w:r>
                    <w:rPr>
                      <w:rFonts w:hint="default" w:ascii="Times New Roman" w:hAnsi="Times New Roman" w:cs="Times New Roman"/>
                      <w:bCs/>
                      <w:color w:val="auto"/>
                      <w:sz w:val="21"/>
                      <w:szCs w:val="21"/>
                      <w:vertAlign w:val="superscript"/>
                    </w:rPr>
                    <w:t>1</w:t>
                  </w:r>
                  <w:r>
                    <w:rPr>
                      <w:rFonts w:hint="default" w:ascii="Times New Roman" w:hAnsi="Times New Roman" w:cs="Times New Roman"/>
                      <w:bCs/>
                      <w:color w:val="auto"/>
                      <w:sz w:val="21"/>
                      <w:szCs w:val="21"/>
                    </w:rPr>
                    <w:t>、二噁英、苯并[a]芘、氰化物污染物。</w:t>
                  </w:r>
                </w:p>
              </w:tc>
              <w:tc>
                <w:tcPr>
                  <w:tcW w:w="767" w:type="pct"/>
                  <w:tcBorders>
                    <w:top w:val="single" w:color="000000" w:sz="4" w:space="0"/>
                    <w:left w:val="single" w:color="000000" w:sz="4" w:space="0"/>
                    <w:bottom w:val="single" w:color="000000" w:sz="4" w:space="0"/>
                  </w:tcBorders>
                  <w:noWrap w:val="0"/>
                  <w:vAlign w:val="center"/>
                </w:tcPr>
                <w:p w14:paraId="1691902A">
                  <w:pPr>
                    <w:keepNext w:val="0"/>
                    <w:keepLines w:val="0"/>
                    <w:suppressLineNumbers w:val="0"/>
                    <w:adjustRightInd w:val="0"/>
                    <w:snapToGrid w:val="0"/>
                    <w:spacing w:before="0" w:beforeAutospacing="0" w:after="0" w:afterAutospacing="0" w:line="240" w:lineRule="auto"/>
                    <w:ind w:left="102"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否</w:t>
                  </w:r>
                </w:p>
              </w:tc>
            </w:tr>
            <w:tr w14:paraId="61E5AE3B">
              <w:tblPrEx>
                <w:tblCellMar>
                  <w:top w:w="0" w:type="dxa"/>
                  <w:left w:w="0" w:type="dxa"/>
                  <w:bottom w:w="0" w:type="dxa"/>
                  <w:right w:w="0" w:type="dxa"/>
                </w:tblCellMar>
              </w:tblPrEx>
              <w:trPr>
                <w:trHeight w:val="397" w:hRule="atLeast"/>
                <w:jc w:val="center"/>
              </w:trPr>
              <w:tc>
                <w:tcPr>
                  <w:tcW w:w="703" w:type="pct"/>
                  <w:tcBorders>
                    <w:top w:val="single" w:color="000000" w:sz="4" w:space="0"/>
                    <w:bottom w:val="single" w:color="000000" w:sz="4" w:space="0"/>
                    <w:right w:val="single" w:color="000000" w:sz="4" w:space="0"/>
                  </w:tcBorders>
                  <w:noWrap w:val="0"/>
                  <w:vAlign w:val="center"/>
                </w:tcPr>
                <w:p w14:paraId="37E9A9C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地表水</w:t>
                  </w:r>
                </w:p>
              </w:tc>
              <w:tc>
                <w:tcPr>
                  <w:tcW w:w="1813" w:type="pct"/>
                  <w:tcBorders>
                    <w:top w:val="single" w:color="000000" w:sz="4" w:space="0"/>
                    <w:left w:val="single" w:color="000000" w:sz="4" w:space="0"/>
                    <w:bottom w:val="single" w:color="000000" w:sz="4" w:space="0"/>
                    <w:right w:val="single" w:color="000000" w:sz="6" w:space="0"/>
                  </w:tcBorders>
                  <w:noWrap w:val="0"/>
                  <w:vAlign w:val="center"/>
                </w:tcPr>
                <w:p w14:paraId="686BEBD8">
                  <w:pPr>
                    <w:keepNext w:val="0"/>
                    <w:keepLines w:val="0"/>
                    <w:suppressLineNumbers w:val="0"/>
                    <w:adjustRightInd w:val="0"/>
                    <w:snapToGrid w:val="0"/>
                    <w:spacing w:before="0" w:beforeAutospacing="0" w:after="0" w:afterAutospacing="0" w:line="240" w:lineRule="auto"/>
                    <w:ind w:left="102" w:right="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新增工业废水直排建设项目（槽罐车外送污水处理厂的除外）；新增废水直排的污水集中处理厂</w:t>
                  </w:r>
                </w:p>
              </w:tc>
              <w:tc>
                <w:tcPr>
                  <w:tcW w:w="1715" w:type="pct"/>
                  <w:tcBorders>
                    <w:top w:val="single" w:color="000000" w:sz="4" w:space="0"/>
                    <w:left w:val="single" w:color="000000" w:sz="4" w:space="0"/>
                    <w:bottom w:val="single" w:color="000000" w:sz="4" w:space="0"/>
                    <w:right w:val="single" w:color="000000" w:sz="6" w:space="0"/>
                  </w:tcBorders>
                  <w:noWrap w:val="0"/>
                  <w:vAlign w:val="center"/>
                </w:tcPr>
                <w:p w14:paraId="5F003BA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不涉及</w:t>
                  </w:r>
                </w:p>
              </w:tc>
              <w:tc>
                <w:tcPr>
                  <w:tcW w:w="767" w:type="pct"/>
                  <w:tcBorders>
                    <w:top w:val="single" w:color="000000" w:sz="4" w:space="0"/>
                    <w:left w:val="single" w:color="000000" w:sz="4" w:space="0"/>
                    <w:bottom w:val="single" w:color="000000" w:sz="4" w:space="0"/>
                  </w:tcBorders>
                  <w:noWrap w:val="0"/>
                  <w:vAlign w:val="center"/>
                </w:tcPr>
                <w:p w14:paraId="2066DC40">
                  <w:pPr>
                    <w:keepNext w:val="0"/>
                    <w:keepLines w:val="0"/>
                    <w:suppressLineNumbers w:val="0"/>
                    <w:adjustRightInd w:val="0"/>
                    <w:snapToGrid w:val="0"/>
                    <w:spacing w:before="0" w:beforeAutospacing="0" w:after="0" w:afterAutospacing="0" w:line="240" w:lineRule="auto"/>
                    <w:ind w:left="102"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否</w:t>
                  </w:r>
                </w:p>
              </w:tc>
            </w:tr>
            <w:tr w14:paraId="236F66CB">
              <w:tblPrEx>
                <w:tblCellMar>
                  <w:top w:w="0" w:type="dxa"/>
                  <w:left w:w="0" w:type="dxa"/>
                  <w:bottom w:w="0" w:type="dxa"/>
                  <w:right w:w="0" w:type="dxa"/>
                </w:tblCellMar>
              </w:tblPrEx>
              <w:trPr>
                <w:trHeight w:val="397" w:hRule="atLeast"/>
                <w:jc w:val="center"/>
              </w:trPr>
              <w:tc>
                <w:tcPr>
                  <w:tcW w:w="703" w:type="pct"/>
                  <w:tcBorders>
                    <w:top w:val="single" w:color="000000" w:sz="4" w:space="0"/>
                    <w:bottom w:val="single" w:color="000000" w:sz="4" w:space="0"/>
                    <w:right w:val="single" w:color="000000" w:sz="4" w:space="0"/>
                  </w:tcBorders>
                  <w:noWrap w:val="0"/>
                  <w:vAlign w:val="center"/>
                </w:tcPr>
                <w:p w14:paraId="7E98C9C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环境风险</w:t>
                  </w:r>
                </w:p>
              </w:tc>
              <w:tc>
                <w:tcPr>
                  <w:tcW w:w="1813" w:type="pct"/>
                  <w:tcBorders>
                    <w:top w:val="single" w:color="000000" w:sz="4" w:space="0"/>
                    <w:left w:val="single" w:color="000000" w:sz="4" w:space="0"/>
                    <w:bottom w:val="single" w:color="000000" w:sz="4" w:space="0"/>
                    <w:right w:val="single" w:color="000000" w:sz="6" w:space="0"/>
                  </w:tcBorders>
                  <w:noWrap w:val="0"/>
                  <w:vAlign w:val="center"/>
                </w:tcPr>
                <w:p w14:paraId="6D32D3F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有毒有害和易燃易爆危险物质存储量超过临界量</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的建设项目</w:t>
                  </w:r>
                </w:p>
              </w:tc>
              <w:tc>
                <w:tcPr>
                  <w:tcW w:w="1715" w:type="pct"/>
                  <w:tcBorders>
                    <w:top w:val="single" w:color="000000" w:sz="4" w:space="0"/>
                    <w:left w:val="single" w:color="000000" w:sz="4" w:space="0"/>
                    <w:bottom w:val="single" w:color="000000" w:sz="4" w:space="0"/>
                    <w:right w:val="single" w:color="000000" w:sz="6" w:space="0"/>
                  </w:tcBorders>
                  <w:noWrap w:val="0"/>
                  <w:vAlign w:val="center"/>
                </w:tcPr>
                <w:p w14:paraId="3DA2DB9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不涉及</w:t>
                  </w:r>
                </w:p>
              </w:tc>
              <w:tc>
                <w:tcPr>
                  <w:tcW w:w="767" w:type="pct"/>
                  <w:tcBorders>
                    <w:top w:val="single" w:color="000000" w:sz="4" w:space="0"/>
                    <w:left w:val="single" w:color="000000" w:sz="4" w:space="0"/>
                    <w:bottom w:val="single" w:color="000000" w:sz="4" w:space="0"/>
                  </w:tcBorders>
                  <w:noWrap w:val="0"/>
                  <w:vAlign w:val="center"/>
                </w:tcPr>
                <w:p w14:paraId="47D49B4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否</w:t>
                  </w:r>
                </w:p>
              </w:tc>
            </w:tr>
            <w:tr w14:paraId="1CE1D929">
              <w:tblPrEx>
                <w:tblCellMar>
                  <w:top w:w="0" w:type="dxa"/>
                  <w:left w:w="0" w:type="dxa"/>
                  <w:bottom w:w="0" w:type="dxa"/>
                  <w:right w:w="0" w:type="dxa"/>
                </w:tblCellMar>
              </w:tblPrEx>
              <w:trPr>
                <w:trHeight w:val="397" w:hRule="atLeast"/>
                <w:jc w:val="center"/>
              </w:trPr>
              <w:tc>
                <w:tcPr>
                  <w:tcW w:w="703" w:type="pct"/>
                  <w:tcBorders>
                    <w:top w:val="single" w:color="000000" w:sz="4" w:space="0"/>
                    <w:bottom w:val="single" w:color="000000" w:sz="4" w:space="0"/>
                    <w:right w:val="single" w:color="000000" w:sz="4" w:space="0"/>
                  </w:tcBorders>
                  <w:noWrap w:val="0"/>
                  <w:vAlign w:val="center"/>
                </w:tcPr>
                <w:p w14:paraId="7B4E8B0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生态</w:t>
                  </w:r>
                </w:p>
              </w:tc>
              <w:tc>
                <w:tcPr>
                  <w:tcW w:w="1813" w:type="pct"/>
                  <w:tcBorders>
                    <w:top w:val="single" w:color="000000" w:sz="4" w:space="0"/>
                    <w:left w:val="single" w:color="000000" w:sz="4" w:space="0"/>
                    <w:bottom w:val="single" w:color="000000" w:sz="4" w:space="0"/>
                    <w:right w:val="single" w:color="000000" w:sz="6" w:space="0"/>
                  </w:tcBorders>
                  <w:noWrap w:val="0"/>
                  <w:vAlign w:val="center"/>
                </w:tcPr>
                <w:p w14:paraId="67121537">
                  <w:pPr>
                    <w:keepNext w:val="0"/>
                    <w:keepLines w:val="0"/>
                    <w:suppressLineNumbers w:val="0"/>
                    <w:adjustRightInd w:val="0"/>
                    <w:snapToGrid w:val="0"/>
                    <w:spacing w:before="0" w:beforeAutospacing="0" w:after="0" w:afterAutospacing="0" w:line="240" w:lineRule="auto"/>
                    <w:ind w:left="102" w:right="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取水口下游500米范围内有重要水生生物的自然产卵场、索饵场、越冬场和洄游通道的新增河道取水的污染类建设项目</w:t>
                  </w:r>
                </w:p>
              </w:tc>
              <w:tc>
                <w:tcPr>
                  <w:tcW w:w="1715" w:type="pct"/>
                  <w:tcBorders>
                    <w:top w:val="single" w:color="000000" w:sz="4" w:space="0"/>
                    <w:left w:val="single" w:color="000000" w:sz="4" w:space="0"/>
                    <w:bottom w:val="single" w:color="000000" w:sz="4" w:space="0"/>
                    <w:right w:val="single" w:color="000000" w:sz="6" w:space="0"/>
                  </w:tcBorders>
                  <w:noWrap w:val="0"/>
                  <w:vAlign w:val="center"/>
                </w:tcPr>
                <w:p w14:paraId="2D9CC6C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不涉及</w:t>
                  </w:r>
                </w:p>
              </w:tc>
              <w:tc>
                <w:tcPr>
                  <w:tcW w:w="767" w:type="pct"/>
                  <w:tcBorders>
                    <w:top w:val="single" w:color="000000" w:sz="4" w:space="0"/>
                    <w:left w:val="single" w:color="000000" w:sz="4" w:space="0"/>
                    <w:bottom w:val="single" w:color="000000" w:sz="4" w:space="0"/>
                  </w:tcBorders>
                  <w:noWrap w:val="0"/>
                  <w:vAlign w:val="center"/>
                </w:tcPr>
                <w:p w14:paraId="2DE5789F">
                  <w:pPr>
                    <w:keepNext w:val="0"/>
                    <w:keepLines w:val="0"/>
                    <w:suppressLineNumbers w:val="0"/>
                    <w:adjustRightInd w:val="0"/>
                    <w:snapToGrid w:val="0"/>
                    <w:spacing w:before="0" w:beforeAutospacing="0" w:after="0" w:afterAutospacing="0" w:line="240" w:lineRule="auto"/>
                    <w:ind w:left="102"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否</w:t>
                  </w:r>
                </w:p>
              </w:tc>
            </w:tr>
            <w:tr w14:paraId="504D07F1">
              <w:tblPrEx>
                <w:tblCellMar>
                  <w:top w:w="0" w:type="dxa"/>
                  <w:left w:w="0" w:type="dxa"/>
                  <w:bottom w:w="0" w:type="dxa"/>
                  <w:right w:w="0" w:type="dxa"/>
                </w:tblCellMar>
              </w:tblPrEx>
              <w:trPr>
                <w:trHeight w:val="397" w:hRule="atLeast"/>
                <w:jc w:val="center"/>
              </w:trPr>
              <w:tc>
                <w:tcPr>
                  <w:tcW w:w="703" w:type="pct"/>
                  <w:tcBorders>
                    <w:top w:val="single" w:color="000000" w:sz="4" w:space="0"/>
                    <w:bottom w:val="single" w:color="000000" w:sz="12" w:space="0"/>
                    <w:right w:val="single" w:color="000000" w:sz="4" w:space="0"/>
                  </w:tcBorders>
                  <w:noWrap w:val="0"/>
                  <w:vAlign w:val="center"/>
                </w:tcPr>
                <w:p w14:paraId="0B9F128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海洋</w:t>
                  </w:r>
                </w:p>
              </w:tc>
              <w:tc>
                <w:tcPr>
                  <w:tcW w:w="1813" w:type="pct"/>
                  <w:tcBorders>
                    <w:top w:val="single" w:color="000000" w:sz="4" w:space="0"/>
                    <w:left w:val="single" w:color="000000" w:sz="4" w:space="0"/>
                    <w:bottom w:val="single" w:color="000000" w:sz="12" w:space="0"/>
                    <w:right w:val="single" w:color="000000" w:sz="6" w:space="0"/>
                  </w:tcBorders>
                  <w:noWrap w:val="0"/>
                  <w:vAlign w:val="center"/>
                </w:tcPr>
                <w:p w14:paraId="66A42A77">
                  <w:pPr>
                    <w:keepNext w:val="0"/>
                    <w:keepLines w:val="0"/>
                    <w:suppressLineNumbers w:val="0"/>
                    <w:adjustRightInd w:val="0"/>
                    <w:snapToGrid w:val="0"/>
                    <w:spacing w:before="0" w:beforeAutospacing="0" w:after="0" w:afterAutospacing="0" w:line="240" w:lineRule="auto"/>
                    <w:ind w:left="102" w:right="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直接向海排放污染物的海洋工程建设项目</w:t>
                  </w:r>
                </w:p>
              </w:tc>
              <w:tc>
                <w:tcPr>
                  <w:tcW w:w="1715" w:type="pct"/>
                  <w:tcBorders>
                    <w:top w:val="single" w:color="000000" w:sz="4" w:space="0"/>
                    <w:left w:val="single" w:color="000000" w:sz="4" w:space="0"/>
                    <w:bottom w:val="single" w:color="000000" w:sz="12" w:space="0"/>
                    <w:right w:val="single" w:color="000000" w:sz="6" w:space="0"/>
                  </w:tcBorders>
                  <w:noWrap w:val="0"/>
                  <w:vAlign w:val="center"/>
                </w:tcPr>
                <w:p w14:paraId="6D92DF5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不涉及</w:t>
                  </w:r>
                </w:p>
              </w:tc>
              <w:tc>
                <w:tcPr>
                  <w:tcW w:w="767" w:type="pct"/>
                  <w:tcBorders>
                    <w:top w:val="single" w:color="000000" w:sz="4" w:space="0"/>
                    <w:left w:val="single" w:color="000000" w:sz="4" w:space="0"/>
                    <w:bottom w:val="single" w:color="000000" w:sz="12" w:space="0"/>
                  </w:tcBorders>
                  <w:noWrap w:val="0"/>
                  <w:vAlign w:val="center"/>
                </w:tcPr>
                <w:p w14:paraId="3E81DCDB">
                  <w:pPr>
                    <w:keepNext w:val="0"/>
                    <w:keepLines w:val="0"/>
                    <w:suppressLineNumbers w:val="0"/>
                    <w:adjustRightInd w:val="0"/>
                    <w:snapToGrid w:val="0"/>
                    <w:spacing w:before="0" w:beforeAutospacing="0" w:after="0" w:afterAutospacing="0" w:line="240" w:lineRule="auto"/>
                    <w:ind w:left="102"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否</w:t>
                  </w:r>
                </w:p>
              </w:tc>
            </w:tr>
          </w:tbl>
          <w:p w14:paraId="563075E0">
            <w:pPr>
              <w:keepNext w:val="0"/>
              <w:keepLines w:val="0"/>
              <w:suppressLineNumbers w:val="0"/>
              <w:kinsoku w:val="0"/>
              <w:overflowPunct w:val="0"/>
              <w:autoSpaceDE w:val="0"/>
              <w:autoSpaceDN w:val="0"/>
              <w:adjustRightInd w:val="0"/>
              <w:snapToGrid w:val="0"/>
              <w:spacing w:before="0" w:beforeAutospacing="0" w:after="0" w:afterAutospacing="0" w:line="240" w:lineRule="auto"/>
              <w:ind w:left="0" w:right="0" w:firstLine="420" w:firstLineChars="20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注：1.废气中有毒有害污染物指纳入《有毒有害大气污染物名录》的污染物（不包括无排放标准的污染物）。</w:t>
            </w:r>
          </w:p>
          <w:p w14:paraId="731DE97A">
            <w:pPr>
              <w:keepNext w:val="0"/>
              <w:keepLines w:val="0"/>
              <w:suppressLineNumbers w:val="0"/>
              <w:overflowPunct w:val="0"/>
              <w:autoSpaceDE w:val="0"/>
              <w:autoSpaceDN w:val="0"/>
              <w:adjustRightInd w:val="0"/>
              <w:snapToGrid w:val="0"/>
              <w:spacing w:before="0" w:beforeAutospacing="0" w:after="0" w:afterAutospacing="0" w:line="240" w:lineRule="auto"/>
              <w:ind w:left="0" w:right="0" w:firstLine="420" w:firstLineChars="20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r>
              <w:rPr>
                <w:rFonts w:hint="eastAsia" w:ascii="Times New Roman" w:hAnsi="Times New Roman" w:cs="Times New Roman"/>
                <w:color w:val="auto"/>
                <w:kern w:val="0"/>
                <w:sz w:val="21"/>
                <w:szCs w:val="21"/>
              </w:rPr>
              <w:t>.</w:t>
            </w:r>
            <w:r>
              <w:rPr>
                <w:rFonts w:hint="default" w:ascii="Times New Roman" w:hAnsi="Times New Roman" w:cs="Times New Roman"/>
                <w:color w:val="auto"/>
                <w:kern w:val="0"/>
                <w:sz w:val="21"/>
                <w:szCs w:val="21"/>
              </w:rPr>
              <w:t>环境空气保护目标指自然保护区、风景名胜区、居住区、文化区和农村地区中人群较集中的区域。</w:t>
            </w:r>
          </w:p>
          <w:p w14:paraId="5D4E2688">
            <w:pPr>
              <w:keepNext w:val="0"/>
              <w:keepLines w:val="0"/>
              <w:suppressLineNumbers w:val="0"/>
              <w:overflowPunct w:val="0"/>
              <w:autoSpaceDE w:val="0"/>
              <w:autoSpaceDN w:val="0"/>
              <w:adjustRightInd w:val="0"/>
              <w:snapToGrid w:val="0"/>
              <w:spacing w:before="0" w:beforeAutospacing="0" w:after="0" w:afterAutospacing="0" w:line="240" w:lineRule="auto"/>
              <w:ind w:left="0" w:right="0" w:firstLine="420" w:firstLineChars="20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3.临界量及其计算方法可参考《建设项目环境风险评价技术导则》（HJ169）附录B、附录C。</w:t>
            </w:r>
          </w:p>
          <w:p w14:paraId="2095F99D">
            <w:pPr>
              <w:keepNext w:val="0"/>
              <w:keepLines w:val="0"/>
              <w:suppressLineNumbers w:val="0"/>
              <w:overflowPunct w:val="0"/>
              <w:autoSpaceDE w:val="0"/>
              <w:autoSpaceDN w:val="0"/>
              <w:adjustRightInd w:val="0"/>
              <w:snapToGrid w:val="0"/>
              <w:spacing w:before="0" w:beforeAutospacing="0" w:after="0" w:afterAutospacing="0"/>
              <w:ind w:left="0" w:right="0" w:firstLine="480" w:firstLineChars="200"/>
              <w:rPr>
                <w:rFonts w:hint="default" w:ascii="Times New Roman" w:hAnsi="Times New Roman" w:cs="Times New Roman"/>
                <w:color w:val="auto"/>
                <w:kern w:val="0"/>
              </w:rPr>
            </w:pPr>
            <w:r>
              <w:rPr>
                <w:rFonts w:hint="eastAsia" w:ascii="Times New Roman" w:hAnsi="Times New Roman" w:eastAsia="宋体" w:cs="Times New Roman"/>
                <w:color w:val="auto"/>
                <w:kern w:val="0"/>
                <w:sz w:val="24"/>
                <w:szCs w:val="24"/>
                <w:lang w:eastAsia="zh-CN"/>
              </w:rPr>
              <w:t>本项目为柏木油及生物质颗粒制造，不涉及以上内容。</w:t>
            </w:r>
            <w:r>
              <w:rPr>
                <w:rFonts w:hint="default" w:ascii="Times New Roman" w:hAnsi="Times New Roman" w:cs="Times New Roman"/>
                <w:color w:val="auto"/>
                <w:spacing w:val="-7"/>
              </w:rPr>
              <w:t>此外，本项目土壤、声环境</w:t>
            </w:r>
            <w:r>
              <w:rPr>
                <w:rFonts w:hint="default" w:ascii="Times New Roman" w:hAnsi="Times New Roman" w:cs="Times New Roman"/>
                <w:color w:val="auto"/>
                <w:spacing w:val="4"/>
              </w:rPr>
              <w:t>不开展专项评价，项目不涉及集中式饮用水水源和热水、矿泉水、温泉等特殊地下水资源保护区，因此不开展地下水专项评价。</w:t>
            </w:r>
          </w:p>
          <w:p w14:paraId="5C2F3CB9">
            <w:pPr>
              <w:keepNext w:val="0"/>
              <w:keepLines w:val="0"/>
              <w:suppressLineNumbers w:val="0"/>
              <w:autoSpaceDE w:val="0"/>
              <w:autoSpaceDN w:val="0"/>
              <w:adjustRightInd w:val="0"/>
              <w:snapToGrid w:val="0"/>
              <w:spacing w:before="0" w:beforeAutospacing="0" w:after="0" w:afterAutospacing="0"/>
              <w:ind w:left="0" w:right="0" w:firstLine="482" w:firstLineChars="200"/>
              <w:rPr>
                <w:rFonts w:hint="default" w:ascii="Times New Roman" w:hAnsi="Times New Roman" w:cs="Times New Roman"/>
                <w:color w:val="auto"/>
                <w:kern w:val="0"/>
              </w:rPr>
            </w:pPr>
            <w:r>
              <w:rPr>
                <w:rFonts w:hint="default" w:ascii="Times New Roman" w:hAnsi="Times New Roman" w:cs="Times New Roman"/>
                <w:b/>
                <w:bCs/>
                <w:color w:val="auto"/>
                <w:kern w:val="0"/>
              </w:rPr>
              <w:t>综上，本项目不需要设置专项评价。</w:t>
            </w:r>
          </w:p>
        </w:tc>
      </w:tr>
      <w:tr w14:paraId="63FB0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94" w:type="dxa"/>
            <w:tcBorders>
              <w:tl2br w:val="nil"/>
              <w:tr2bl w:val="nil"/>
            </w:tcBorders>
            <w:noWrap w:val="0"/>
            <w:vAlign w:val="center"/>
          </w:tcPr>
          <w:p w14:paraId="72447B1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rPr>
            </w:pPr>
            <w:r>
              <w:rPr>
                <w:rFonts w:hint="default" w:ascii="Times New Roman" w:hAnsi="Times New Roman" w:cs="Times New Roman"/>
                <w:color w:val="auto"/>
              </w:rPr>
              <w:t>规划情况</w:t>
            </w:r>
          </w:p>
        </w:tc>
        <w:tc>
          <w:tcPr>
            <w:tcW w:w="8555" w:type="dxa"/>
            <w:gridSpan w:val="4"/>
            <w:tcBorders>
              <w:tl2br w:val="nil"/>
              <w:tr2bl w:val="nil"/>
            </w:tcBorders>
            <w:noWrap w:val="0"/>
            <w:vAlign w:val="center"/>
          </w:tcPr>
          <w:p w14:paraId="0B255554">
            <w:pPr>
              <w:keepNext w:val="0"/>
              <w:keepLines w:val="0"/>
              <w:suppressLineNumbers w:val="0"/>
              <w:overflowPunct w:val="0"/>
              <w:autoSpaceDE w:val="0"/>
              <w:autoSpaceDN w:val="0"/>
              <w:adjustRightInd w:val="0"/>
              <w:snapToGrid w:val="0"/>
              <w:spacing w:before="0" w:beforeAutospacing="0" w:after="0" w:afterAutospacing="0"/>
              <w:ind w:left="0" w:right="0" w:firstLine="452" w:firstLineChars="200"/>
              <w:rPr>
                <w:rFonts w:hint="eastAsia" w:ascii="Times New Roman" w:hAnsi="Times New Roman" w:cs="Times New Roman"/>
                <w:color w:val="auto"/>
                <w:spacing w:val="-7"/>
              </w:rPr>
            </w:pPr>
            <w:r>
              <w:rPr>
                <w:rFonts w:hint="eastAsia" w:ascii="Times New Roman" w:hAnsi="Times New Roman" w:cs="Times New Roman"/>
                <w:color w:val="auto"/>
                <w:spacing w:val="-7"/>
              </w:rPr>
              <w:t>规划名称：《四川蓬溪经济开发区（上游片区）（暨蓬溪县上游工业园产业聚集区）产业规划》</w:t>
            </w:r>
          </w:p>
          <w:p w14:paraId="5F907CE0">
            <w:pPr>
              <w:keepNext w:val="0"/>
              <w:keepLines w:val="0"/>
              <w:suppressLineNumbers w:val="0"/>
              <w:overflowPunct w:val="0"/>
              <w:autoSpaceDE w:val="0"/>
              <w:autoSpaceDN w:val="0"/>
              <w:adjustRightInd w:val="0"/>
              <w:snapToGrid w:val="0"/>
              <w:spacing w:before="0" w:beforeAutospacing="0" w:after="0" w:afterAutospacing="0"/>
              <w:ind w:left="0" w:right="0" w:firstLine="452" w:firstLineChars="200"/>
              <w:rPr>
                <w:rFonts w:hint="eastAsia" w:ascii="Times New Roman" w:hAnsi="Times New Roman" w:cs="Times New Roman"/>
                <w:color w:val="auto"/>
                <w:spacing w:val="-7"/>
              </w:rPr>
            </w:pPr>
            <w:r>
              <w:rPr>
                <w:rFonts w:hint="eastAsia" w:ascii="Times New Roman" w:hAnsi="Times New Roman" w:cs="Times New Roman"/>
                <w:color w:val="auto"/>
                <w:spacing w:val="-7"/>
              </w:rPr>
              <w:t>审批机关：四川省人民政府</w:t>
            </w:r>
          </w:p>
          <w:p w14:paraId="56CB939F">
            <w:pPr>
              <w:keepNext w:val="0"/>
              <w:keepLines w:val="0"/>
              <w:suppressLineNumbers w:val="0"/>
              <w:overflowPunct w:val="0"/>
              <w:autoSpaceDE w:val="0"/>
              <w:autoSpaceDN w:val="0"/>
              <w:adjustRightInd w:val="0"/>
              <w:snapToGrid w:val="0"/>
              <w:spacing w:before="0" w:beforeAutospacing="0" w:after="0" w:afterAutospacing="0"/>
              <w:ind w:left="0" w:right="0" w:firstLine="452" w:firstLineChars="200"/>
              <w:rPr>
                <w:rFonts w:hint="default" w:ascii="Times New Roman" w:hAnsi="Times New Roman" w:cs="Times New Roman"/>
                <w:color w:val="auto"/>
                <w:spacing w:val="-7"/>
              </w:rPr>
            </w:pPr>
            <w:r>
              <w:rPr>
                <w:rFonts w:hint="eastAsia" w:ascii="Times New Roman" w:hAnsi="Times New Roman" w:cs="Times New Roman"/>
                <w:color w:val="auto"/>
                <w:spacing w:val="-7"/>
              </w:rPr>
              <w:t>审批文件及文号：四川省人民政府《关于设立四川蒲江经济开发区等64家省级开发区的批复》（川府函〔2019〕20号）</w:t>
            </w:r>
          </w:p>
        </w:tc>
      </w:tr>
      <w:tr w14:paraId="3F989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tcBorders>
              <w:tl2br w:val="nil"/>
              <w:tr2bl w:val="nil"/>
            </w:tcBorders>
            <w:noWrap w:val="0"/>
            <w:vAlign w:val="center"/>
          </w:tcPr>
          <w:p w14:paraId="20420F6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rPr>
            </w:pPr>
            <w:r>
              <w:rPr>
                <w:rFonts w:hint="default" w:ascii="Times New Roman" w:hAnsi="Times New Roman" w:cs="Times New Roman"/>
                <w:color w:val="auto"/>
              </w:rPr>
              <w:t>规划环境影响评价情况</w:t>
            </w:r>
          </w:p>
        </w:tc>
        <w:tc>
          <w:tcPr>
            <w:tcW w:w="8555" w:type="dxa"/>
            <w:gridSpan w:val="4"/>
            <w:tcBorders>
              <w:tl2br w:val="nil"/>
              <w:tr2bl w:val="nil"/>
            </w:tcBorders>
            <w:noWrap w:val="0"/>
            <w:vAlign w:val="center"/>
          </w:tcPr>
          <w:p w14:paraId="6180E60C">
            <w:pPr>
              <w:keepNext w:val="0"/>
              <w:keepLines w:val="0"/>
              <w:suppressLineNumbers w:val="0"/>
              <w:overflowPunct w:val="0"/>
              <w:autoSpaceDE w:val="0"/>
              <w:autoSpaceDN w:val="0"/>
              <w:adjustRightInd w:val="0"/>
              <w:snapToGrid w:val="0"/>
              <w:spacing w:before="0" w:beforeAutospacing="0" w:after="0" w:afterAutospacing="0"/>
              <w:ind w:left="0" w:right="0" w:firstLine="452" w:firstLineChars="200"/>
              <w:rPr>
                <w:rFonts w:hint="default" w:ascii="Times New Roman" w:hAnsi="Times New Roman" w:cs="Times New Roman"/>
                <w:color w:val="auto"/>
                <w:spacing w:val="-7"/>
              </w:rPr>
            </w:pPr>
            <w:r>
              <w:rPr>
                <w:rFonts w:hint="default" w:ascii="Times New Roman" w:hAnsi="Times New Roman" w:cs="Times New Roman"/>
                <w:color w:val="auto"/>
                <w:spacing w:val="-7"/>
              </w:rPr>
              <w:t>规划环评名称：</w:t>
            </w:r>
            <w:r>
              <w:rPr>
                <w:rFonts w:hint="eastAsia" w:ascii="Times New Roman" w:hAnsi="Times New Roman" w:cs="Times New Roman"/>
                <w:color w:val="auto"/>
                <w:spacing w:val="-7"/>
              </w:rPr>
              <w:t>《</w:t>
            </w:r>
            <w:r>
              <w:rPr>
                <w:rFonts w:hint="default" w:ascii="Times New Roman" w:hAnsi="Times New Roman" w:cs="Times New Roman"/>
                <w:color w:val="auto"/>
                <w:spacing w:val="-7"/>
              </w:rPr>
              <w:t>四川蓬溪经济开发区（上游片区）（暨蓬溪县上游工业园产业聚集区）规划修编环境影响报告书</w:t>
            </w:r>
            <w:r>
              <w:rPr>
                <w:rFonts w:hint="eastAsia" w:ascii="Times New Roman" w:hAnsi="Times New Roman" w:cs="Times New Roman"/>
                <w:color w:val="auto"/>
                <w:spacing w:val="-7"/>
              </w:rPr>
              <w:t>》</w:t>
            </w:r>
          </w:p>
          <w:p w14:paraId="25266708">
            <w:pPr>
              <w:keepNext w:val="0"/>
              <w:keepLines w:val="0"/>
              <w:suppressLineNumbers w:val="0"/>
              <w:overflowPunct w:val="0"/>
              <w:autoSpaceDE w:val="0"/>
              <w:autoSpaceDN w:val="0"/>
              <w:adjustRightInd w:val="0"/>
              <w:snapToGrid w:val="0"/>
              <w:spacing w:before="0" w:beforeAutospacing="0" w:after="0" w:afterAutospacing="0"/>
              <w:ind w:left="0" w:right="0" w:firstLine="452" w:firstLineChars="200"/>
              <w:rPr>
                <w:rFonts w:hint="default" w:ascii="Times New Roman" w:hAnsi="Times New Roman" w:cs="Times New Roman"/>
                <w:color w:val="auto"/>
                <w:spacing w:val="-7"/>
              </w:rPr>
            </w:pPr>
            <w:r>
              <w:rPr>
                <w:rFonts w:hint="default" w:ascii="Times New Roman" w:hAnsi="Times New Roman" w:cs="Times New Roman"/>
                <w:color w:val="auto"/>
                <w:spacing w:val="-7"/>
              </w:rPr>
              <w:t>审批机关：遂宁市生态环境局</w:t>
            </w:r>
          </w:p>
          <w:p w14:paraId="4D758ECA">
            <w:pPr>
              <w:keepNext w:val="0"/>
              <w:keepLines w:val="0"/>
              <w:suppressLineNumbers w:val="0"/>
              <w:overflowPunct w:val="0"/>
              <w:autoSpaceDE w:val="0"/>
              <w:autoSpaceDN w:val="0"/>
              <w:adjustRightInd w:val="0"/>
              <w:snapToGrid w:val="0"/>
              <w:spacing w:before="0" w:beforeAutospacing="0" w:after="0" w:afterAutospacing="0"/>
              <w:ind w:left="0" w:right="0" w:firstLine="452" w:firstLineChars="200"/>
              <w:rPr>
                <w:rFonts w:hint="default" w:ascii="Times New Roman" w:hAnsi="Times New Roman" w:cs="Times New Roman"/>
                <w:color w:val="auto"/>
                <w:spacing w:val="-7"/>
              </w:rPr>
            </w:pPr>
            <w:r>
              <w:rPr>
                <w:rFonts w:hint="default" w:ascii="Times New Roman" w:hAnsi="Times New Roman" w:cs="Times New Roman"/>
                <w:color w:val="auto"/>
                <w:spacing w:val="-7"/>
              </w:rPr>
              <w:t>审批文件</w:t>
            </w:r>
            <w:r>
              <w:rPr>
                <w:rFonts w:hint="eastAsia" w:ascii="Times New Roman" w:hAnsi="Times New Roman" w:cs="Times New Roman"/>
                <w:color w:val="auto"/>
                <w:spacing w:val="-7"/>
              </w:rPr>
              <w:t>及文号</w:t>
            </w:r>
            <w:r>
              <w:rPr>
                <w:rFonts w:hint="default" w:ascii="Times New Roman" w:hAnsi="Times New Roman" w:cs="Times New Roman"/>
                <w:color w:val="auto"/>
                <w:spacing w:val="-7"/>
              </w:rPr>
              <w:t>：遂宁市生态环境局关于印发《四川蓬溪经济开发区（上游片区）（暨蓬溪县上游工业园产业聚集区）规划修编环境影响报告书审查意见的函》</w:t>
            </w:r>
            <w:r>
              <w:rPr>
                <w:rFonts w:hint="eastAsia" w:ascii="Times New Roman" w:hAnsi="Times New Roman" w:cs="Times New Roman"/>
                <w:color w:val="auto"/>
                <w:spacing w:val="-7"/>
              </w:rPr>
              <w:t>（</w:t>
            </w:r>
            <w:r>
              <w:rPr>
                <w:rFonts w:hint="default" w:ascii="Times New Roman" w:hAnsi="Times New Roman" w:cs="Times New Roman"/>
                <w:color w:val="auto"/>
                <w:spacing w:val="-7"/>
              </w:rPr>
              <w:t>遂环函[2022]67号</w:t>
            </w:r>
            <w:r>
              <w:rPr>
                <w:rFonts w:hint="eastAsia" w:ascii="Times New Roman" w:hAnsi="Times New Roman" w:cs="Times New Roman"/>
                <w:color w:val="auto"/>
                <w:spacing w:val="-7"/>
              </w:rPr>
              <w:t>）</w:t>
            </w:r>
          </w:p>
        </w:tc>
      </w:tr>
      <w:tr w14:paraId="0D5BB9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9" w:hRule="atLeast"/>
          <w:jc w:val="center"/>
        </w:trPr>
        <w:tc>
          <w:tcPr>
            <w:tcW w:w="794" w:type="dxa"/>
            <w:tcBorders>
              <w:right w:val="single" w:color="000000" w:sz="8" w:space="0"/>
              <w:tl2br w:val="nil"/>
              <w:tr2bl w:val="nil"/>
            </w:tcBorders>
            <w:noWrap w:val="0"/>
            <w:vAlign w:val="center"/>
          </w:tcPr>
          <w:p w14:paraId="74592E3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rPr>
            </w:pPr>
            <w:r>
              <w:rPr>
                <w:rFonts w:hint="default" w:ascii="Times New Roman" w:hAnsi="Times New Roman" w:cs="Times New Roman"/>
                <w:color w:val="auto"/>
                <w:kern w:val="0"/>
              </w:rPr>
              <w:t>规划及规划环境影响评价符合性分析</w:t>
            </w:r>
          </w:p>
        </w:tc>
        <w:tc>
          <w:tcPr>
            <w:tcW w:w="8555" w:type="dxa"/>
            <w:gridSpan w:val="4"/>
            <w:tcBorders>
              <w:left w:val="single" w:color="000000" w:sz="8" w:space="0"/>
              <w:tl2br w:val="nil"/>
              <w:tr2bl w:val="nil"/>
            </w:tcBorders>
            <w:noWrap w:val="0"/>
            <w:vAlign w:val="center"/>
          </w:tcPr>
          <w:p w14:paraId="5EF83F9F">
            <w:pPr>
              <w:keepNext w:val="0"/>
              <w:keepLines w:val="0"/>
              <w:numPr>
                <w:ilvl w:val="0"/>
                <w:numId w:val="1"/>
              </w:numPr>
              <w:suppressLineNumbers w:val="0"/>
              <w:adjustRightInd w:val="0"/>
              <w:snapToGrid w:val="0"/>
              <w:spacing w:before="0" w:beforeAutospacing="0" w:after="0" w:afterAutospacing="0"/>
              <w:ind w:left="0" w:right="0" w:firstLine="482" w:firstLineChars="200"/>
              <w:rPr>
                <w:rFonts w:hint="eastAsia" w:ascii="Times New Roman" w:hAnsi="Times New Roman" w:cs="Times New Roman"/>
                <w:b/>
                <w:bCs/>
                <w:color w:val="auto"/>
              </w:rPr>
            </w:pPr>
            <w:r>
              <w:rPr>
                <w:rFonts w:hint="eastAsia" w:ascii="Times New Roman" w:hAnsi="Times New Roman" w:cs="Times New Roman"/>
                <w:b/>
                <w:bCs/>
                <w:color w:val="auto"/>
              </w:rPr>
              <w:t>基本情况</w:t>
            </w:r>
          </w:p>
          <w:p w14:paraId="08D54A14">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2007年，蓬溪县人民政府决定成立蓬溪县上游工业集中发展区，规划面积约5.3km</w:t>
            </w:r>
            <w:r>
              <w:rPr>
                <w:rFonts w:hint="default" w:ascii="Times New Roman" w:hAnsi="Times New Roman" w:cs="Times New Roman"/>
                <w:color w:val="auto"/>
                <w:vertAlign w:val="superscript"/>
              </w:rPr>
              <w:t>2</w:t>
            </w:r>
            <w:r>
              <w:rPr>
                <w:rFonts w:hint="default" w:ascii="Times New Roman" w:hAnsi="Times New Roman" w:cs="Times New Roman"/>
                <w:color w:val="auto"/>
              </w:rPr>
              <w:t>，主导产业方向为纺织、轻化工业、食品加工、仓储物流。2008年取得了原遂宁市环境保护局出具的规划环评审查意见</w:t>
            </w:r>
            <w:r>
              <w:rPr>
                <w:rFonts w:hint="eastAsia" w:ascii="Times New Roman" w:hAnsi="Times New Roman" w:cs="Times New Roman"/>
                <w:color w:val="auto"/>
                <w:lang w:eastAsia="zh-CN"/>
              </w:rPr>
              <w:t>（</w:t>
            </w:r>
            <w:r>
              <w:rPr>
                <w:rFonts w:hint="default" w:ascii="Times New Roman" w:hAnsi="Times New Roman" w:cs="Times New Roman"/>
                <w:color w:val="auto"/>
              </w:rPr>
              <w:t>遂环函[2008]4号</w:t>
            </w:r>
            <w:r>
              <w:rPr>
                <w:rFonts w:hint="eastAsia" w:ascii="Times New Roman" w:hAnsi="Times New Roman" w:cs="Times New Roman"/>
                <w:color w:val="auto"/>
                <w:lang w:eastAsia="zh-CN"/>
              </w:rPr>
              <w:t>）</w:t>
            </w:r>
            <w:r>
              <w:rPr>
                <w:rFonts w:hint="default" w:ascii="Times New Roman" w:hAnsi="Times New Roman" w:cs="Times New Roman"/>
                <w:color w:val="auto"/>
              </w:rPr>
              <w:t>。</w:t>
            </w:r>
          </w:p>
          <w:p w14:paraId="24E40F02">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2012年，为解决主导产业导向问题，突出打造门业及配套产业，蓬溪县人民政府对上一轮规划进行了调整</w:t>
            </w:r>
            <w:r>
              <w:rPr>
                <w:rFonts w:hint="eastAsia" w:ascii="Times New Roman" w:hAnsi="Times New Roman" w:cs="Times New Roman"/>
                <w:color w:val="auto"/>
              </w:rPr>
              <w:t>，</w:t>
            </w:r>
            <w:r>
              <w:rPr>
                <w:rFonts w:hint="default" w:ascii="Times New Roman" w:hAnsi="Times New Roman" w:cs="Times New Roman"/>
                <w:color w:val="auto"/>
              </w:rPr>
              <w:t>编制了《蓬溪县上游工业集中发展区规划调整》，组织编制了规划环评并取得了原遂宁市环境保护局出具的批复</w:t>
            </w:r>
            <w:r>
              <w:rPr>
                <w:rFonts w:hint="eastAsia" w:ascii="Times New Roman" w:hAnsi="Times New Roman" w:cs="Times New Roman"/>
                <w:color w:val="auto"/>
                <w:lang w:eastAsia="zh-CN"/>
              </w:rPr>
              <w:t>（</w:t>
            </w:r>
            <w:r>
              <w:rPr>
                <w:rFonts w:hint="default" w:ascii="Times New Roman" w:hAnsi="Times New Roman" w:cs="Times New Roman"/>
                <w:color w:val="auto"/>
              </w:rPr>
              <w:t>遂环函[2013]67号</w:t>
            </w:r>
            <w:r>
              <w:rPr>
                <w:rFonts w:hint="eastAsia" w:ascii="Times New Roman" w:hAnsi="Times New Roman" w:cs="Times New Roman"/>
                <w:color w:val="auto"/>
                <w:lang w:eastAsia="zh-CN"/>
              </w:rPr>
              <w:t>）</w:t>
            </w:r>
            <w:r>
              <w:rPr>
                <w:rFonts w:hint="default" w:ascii="Times New Roman" w:hAnsi="Times New Roman" w:cs="Times New Roman"/>
                <w:color w:val="auto"/>
              </w:rPr>
              <w:t>。调整后规划总规划面积仍为5.3km</w:t>
            </w:r>
            <w:r>
              <w:rPr>
                <w:rFonts w:hint="default" w:ascii="Times New Roman" w:hAnsi="Times New Roman" w:cs="Times New Roman"/>
                <w:color w:val="auto"/>
                <w:vertAlign w:val="superscript"/>
              </w:rPr>
              <w:t>2</w:t>
            </w:r>
            <w:r>
              <w:rPr>
                <w:rFonts w:hint="default" w:ascii="Times New Roman" w:hAnsi="Times New Roman" w:cs="Times New Roman"/>
                <w:color w:val="auto"/>
              </w:rPr>
              <w:t>，主导产业为门业及其配套、纺织产业、电子产业、食品产业、南部仓储物流。</w:t>
            </w:r>
          </w:p>
          <w:p w14:paraId="73D5861E">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2013年，为从园区长远发展考虑，拓展门业配套产业发展空间，蓬溪县人民政府编制了《蓬溪县上游工业集中发展区拓展区规划》，组织编制了规划环评并取得了原四川省环境保护厅出具的审查意见</w:t>
            </w:r>
            <w:r>
              <w:rPr>
                <w:rFonts w:hint="eastAsia" w:ascii="Times New Roman" w:hAnsi="Times New Roman" w:cs="Times New Roman"/>
                <w:color w:val="auto"/>
                <w:lang w:eastAsia="zh-CN"/>
              </w:rPr>
              <w:t>（</w:t>
            </w:r>
            <w:r>
              <w:rPr>
                <w:rFonts w:hint="default" w:ascii="Times New Roman" w:hAnsi="Times New Roman" w:cs="Times New Roman"/>
                <w:color w:val="auto"/>
              </w:rPr>
              <w:t>川环建函[2014]249号</w:t>
            </w:r>
            <w:r>
              <w:rPr>
                <w:rFonts w:hint="eastAsia" w:ascii="Times New Roman" w:hAnsi="Times New Roman" w:cs="Times New Roman"/>
                <w:color w:val="auto"/>
                <w:lang w:eastAsia="zh-CN"/>
              </w:rPr>
              <w:t>）</w:t>
            </w:r>
            <w:r>
              <w:rPr>
                <w:rFonts w:hint="eastAsia" w:ascii="Times New Roman" w:hAnsi="Times New Roman" w:cs="Times New Roman"/>
                <w:color w:val="auto"/>
              </w:rPr>
              <w:t>，</w:t>
            </w:r>
            <w:r>
              <w:rPr>
                <w:rFonts w:hint="default" w:ascii="Times New Roman" w:hAnsi="Times New Roman" w:cs="Times New Roman"/>
                <w:color w:val="auto"/>
              </w:rPr>
              <w:t>规划面积3.78km</w:t>
            </w:r>
            <w:r>
              <w:rPr>
                <w:rFonts w:hint="default" w:ascii="Times New Roman" w:hAnsi="Times New Roman" w:cs="Times New Roman"/>
                <w:color w:val="auto"/>
                <w:vertAlign w:val="superscript"/>
              </w:rPr>
              <w:t>2</w:t>
            </w:r>
            <w:r>
              <w:rPr>
                <w:rFonts w:hint="default" w:ascii="Times New Roman" w:hAnsi="Times New Roman" w:cs="Times New Roman"/>
                <w:color w:val="auto"/>
              </w:rPr>
              <w:t>，主导产业为家具制造</w:t>
            </w:r>
            <w:r>
              <w:rPr>
                <w:rFonts w:hint="eastAsia" w:ascii="Times New Roman" w:hAnsi="Times New Roman" w:cs="Times New Roman"/>
                <w:color w:val="auto"/>
                <w:lang w:eastAsia="zh-CN"/>
              </w:rPr>
              <w:t>（</w:t>
            </w:r>
            <w:r>
              <w:rPr>
                <w:rFonts w:hint="default" w:ascii="Times New Roman" w:hAnsi="Times New Roman" w:cs="Times New Roman"/>
                <w:color w:val="auto"/>
              </w:rPr>
              <w:t>主要发展门业及门业配套产业</w:t>
            </w:r>
            <w:r>
              <w:rPr>
                <w:rFonts w:hint="eastAsia" w:ascii="Times New Roman" w:hAnsi="Times New Roman" w:cs="Times New Roman"/>
                <w:color w:val="auto"/>
                <w:lang w:eastAsia="zh-CN"/>
              </w:rPr>
              <w:t>）</w:t>
            </w:r>
            <w:r>
              <w:rPr>
                <w:rFonts w:hint="default" w:ascii="Times New Roman" w:hAnsi="Times New Roman" w:cs="Times New Roman"/>
                <w:color w:val="auto"/>
              </w:rPr>
              <w:t>、化工</w:t>
            </w:r>
            <w:r>
              <w:rPr>
                <w:rFonts w:hint="eastAsia" w:ascii="Times New Roman" w:hAnsi="Times New Roman" w:cs="Times New Roman"/>
                <w:color w:val="auto"/>
                <w:lang w:eastAsia="zh-CN"/>
              </w:rPr>
              <w:t>（</w:t>
            </w:r>
            <w:r>
              <w:rPr>
                <w:rFonts w:hint="default" w:ascii="Times New Roman" w:hAnsi="Times New Roman" w:cs="Times New Roman"/>
                <w:color w:val="auto"/>
              </w:rPr>
              <w:t>限定为与门业配套的油漆、涂料</w:t>
            </w:r>
            <w:r>
              <w:rPr>
                <w:rFonts w:hint="eastAsia" w:ascii="Times New Roman" w:hAnsi="Times New Roman" w:cs="Times New Roman"/>
                <w:color w:val="auto"/>
                <w:lang w:eastAsia="zh-CN"/>
              </w:rPr>
              <w:t>）</w:t>
            </w:r>
            <w:r>
              <w:rPr>
                <w:rFonts w:hint="default" w:ascii="Times New Roman" w:hAnsi="Times New Roman" w:cs="Times New Roman"/>
                <w:color w:val="auto"/>
              </w:rPr>
              <w:t>等产业。</w:t>
            </w:r>
          </w:p>
          <w:p w14:paraId="5C750BE7">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2019年1月，四川省人民政府出具《关于设立四川蒲江经济开发区等64家省级开发区的批复》</w:t>
            </w:r>
            <w:r>
              <w:rPr>
                <w:rFonts w:hint="eastAsia" w:ascii="Times New Roman" w:hAnsi="Times New Roman" w:cs="Times New Roman"/>
                <w:color w:val="auto"/>
                <w:lang w:eastAsia="zh-CN"/>
              </w:rPr>
              <w:t>（</w:t>
            </w:r>
            <w:r>
              <w:rPr>
                <w:rFonts w:hint="default" w:ascii="Times New Roman" w:hAnsi="Times New Roman" w:cs="Times New Roman"/>
                <w:color w:val="auto"/>
              </w:rPr>
              <w:t>川府函[2019]20号</w:t>
            </w:r>
            <w:r>
              <w:rPr>
                <w:rFonts w:hint="eastAsia" w:ascii="Times New Roman" w:hAnsi="Times New Roman" w:cs="Times New Roman"/>
                <w:color w:val="auto"/>
                <w:lang w:eastAsia="zh-CN"/>
              </w:rPr>
              <w:t>）</w:t>
            </w:r>
            <w:r>
              <w:rPr>
                <w:rFonts w:hint="default" w:ascii="Times New Roman" w:hAnsi="Times New Roman" w:cs="Times New Roman"/>
                <w:color w:val="auto"/>
              </w:rPr>
              <w:t>，同意设立四川蓬溪经济开发区。蓬溪经开区以家具、服装、食品饮料为主导产业，核准面积5.7437km</w:t>
            </w:r>
            <w:r>
              <w:rPr>
                <w:rFonts w:hint="default" w:ascii="Times New Roman" w:hAnsi="Times New Roman" w:cs="Times New Roman"/>
                <w:color w:val="auto"/>
                <w:vertAlign w:val="superscript"/>
              </w:rPr>
              <w:t>2</w:t>
            </w:r>
            <w:r>
              <w:rPr>
                <w:rFonts w:hint="eastAsia" w:ascii="Times New Roman" w:hAnsi="Times New Roman" w:cs="Times New Roman"/>
                <w:color w:val="auto"/>
              </w:rPr>
              <w:t>，</w:t>
            </w:r>
            <w:r>
              <w:rPr>
                <w:rFonts w:hint="default" w:ascii="Times New Roman" w:hAnsi="Times New Roman" w:cs="Times New Roman"/>
                <w:color w:val="auto"/>
              </w:rPr>
              <w:t>其中上游片区2.6195km</w:t>
            </w:r>
            <w:r>
              <w:rPr>
                <w:rFonts w:hint="default" w:ascii="Times New Roman" w:hAnsi="Times New Roman" w:cs="Times New Roman"/>
                <w:color w:val="auto"/>
                <w:vertAlign w:val="superscript"/>
              </w:rPr>
              <w:t>2</w:t>
            </w:r>
            <w:r>
              <w:rPr>
                <w:rFonts w:hint="eastAsia" w:ascii="Times New Roman" w:hAnsi="Times New Roman" w:cs="Times New Roman"/>
                <w:color w:val="auto"/>
              </w:rPr>
              <w:t>，</w:t>
            </w:r>
            <w:r>
              <w:rPr>
                <w:rFonts w:hint="default" w:ascii="Times New Roman" w:hAnsi="Times New Roman" w:cs="Times New Roman"/>
                <w:color w:val="auto"/>
              </w:rPr>
              <w:t>重点发展门业家居、纺织服装等产业，金桥片区3.1242km</w:t>
            </w:r>
            <w:r>
              <w:rPr>
                <w:rFonts w:hint="default" w:ascii="Times New Roman" w:hAnsi="Times New Roman" w:cs="Times New Roman"/>
                <w:color w:val="auto"/>
                <w:vertAlign w:val="superscript"/>
              </w:rPr>
              <w:t>2</w:t>
            </w:r>
            <w:r>
              <w:rPr>
                <w:rFonts w:hint="default" w:ascii="Times New Roman" w:hAnsi="Times New Roman" w:cs="Times New Roman"/>
                <w:color w:val="auto"/>
              </w:rPr>
              <w:t>，重点发展食品饮料等产业。</w:t>
            </w:r>
          </w:p>
          <w:p w14:paraId="6B489001">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rPr>
            </w:pPr>
            <w:r>
              <w:rPr>
                <w:rFonts w:hint="eastAsia" w:ascii="Times New Roman" w:hAnsi="Times New Roman" w:cs="Times New Roman"/>
                <w:color w:val="auto"/>
              </w:rPr>
              <w:t>2022年</w:t>
            </w:r>
            <w:r>
              <w:rPr>
                <w:rFonts w:hint="default" w:ascii="Times New Roman" w:hAnsi="Times New Roman" w:cs="Times New Roman"/>
                <w:color w:val="auto"/>
              </w:rPr>
              <w:t>，四川蓬溪经开区管委会启动了园区修编工作，编制了《四川蓬溪经济开发区</w:t>
            </w:r>
            <w:r>
              <w:rPr>
                <w:rFonts w:hint="eastAsia" w:ascii="Times New Roman" w:hAnsi="Times New Roman" w:cs="Times New Roman"/>
                <w:color w:val="auto"/>
                <w:lang w:eastAsia="zh-CN"/>
              </w:rPr>
              <w:t>（</w:t>
            </w:r>
            <w:r>
              <w:rPr>
                <w:rFonts w:hint="default" w:ascii="Times New Roman" w:hAnsi="Times New Roman" w:cs="Times New Roman"/>
                <w:color w:val="auto"/>
              </w:rPr>
              <w:t>上游片区</w:t>
            </w:r>
            <w:r>
              <w:rPr>
                <w:rFonts w:hint="eastAsia" w:ascii="Times New Roman" w:hAnsi="Times New Roman" w:cs="Times New Roman"/>
                <w:color w:val="auto"/>
                <w:lang w:eastAsia="zh-CN"/>
              </w:rPr>
              <w:t>）（</w:t>
            </w:r>
            <w:r>
              <w:rPr>
                <w:rFonts w:hint="default" w:ascii="Times New Roman" w:hAnsi="Times New Roman" w:cs="Times New Roman"/>
                <w:color w:val="auto"/>
              </w:rPr>
              <w:t>暨蓬溪县上游工业园产业聚集区</w:t>
            </w:r>
            <w:r>
              <w:rPr>
                <w:rFonts w:hint="eastAsia" w:ascii="Times New Roman" w:hAnsi="Times New Roman" w:cs="Times New Roman"/>
                <w:color w:val="auto"/>
                <w:lang w:eastAsia="zh-CN"/>
              </w:rPr>
              <w:t>）</w:t>
            </w:r>
            <w:r>
              <w:rPr>
                <w:rFonts w:hint="default" w:ascii="Times New Roman" w:hAnsi="Times New Roman" w:cs="Times New Roman"/>
                <w:color w:val="auto"/>
              </w:rPr>
              <w:t>控制性详细规划修编》。</w:t>
            </w:r>
          </w:p>
          <w:p w14:paraId="409B0753">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cs="Times New Roman"/>
                <w:color w:val="auto"/>
              </w:rPr>
            </w:pPr>
            <w:r>
              <w:rPr>
                <w:rFonts w:hint="eastAsia" w:ascii="Times New Roman" w:hAnsi="Times New Roman" w:cs="Times New Roman"/>
                <w:color w:val="auto"/>
              </w:rPr>
              <w:t>修编后，</w:t>
            </w:r>
            <w:r>
              <w:rPr>
                <w:rFonts w:hint="default" w:ascii="Times New Roman" w:hAnsi="Times New Roman" w:cs="Times New Roman"/>
                <w:color w:val="auto"/>
              </w:rPr>
              <w:t>上游工业园</w:t>
            </w:r>
            <w:r>
              <w:rPr>
                <w:rFonts w:hint="eastAsia" w:ascii="Times New Roman" w:hAnsi="Times New Roman" w:cs="Times New Roman"/>
                <w:color w:val="auto"/>
              </w:rPr>
              <w:t>四至范围：</w:t>
            </w:r>
            <w:r>
              <w:rPr>
                <w:rFonts w:hint="default" w:ascii="Times New Roman" w:hAnsi="Times New Roman" w:cs="Times New Roman"/>
                <w:color w:val="auto"/>
              </w:rPr>
              <w:t>南至普安街道任家桥村5组，北至芝溪河南岸（沿河岸线退10m间距），东至鸣凤镇白猴村4组，西至赤城镇跃进村5组，规划范围南北长约4.2km</w:t>
            </w:r>
            <w:r>
              <w:rPr>
                <w:rFonts w:hint="eastAsia" w:ascii="Times New Roman" w:hAnsi="Times New Roman" w:cs="Times New Roman"/>
                <w:color w:val="auto"/>
              </w:rPr>
              <w:t>，</w:t>
            </w:r>
            <w:r>
              <w:rPr>
                <w:rFonts w:hint="default" w:ascii="Times New Roman" w:hAnsi="Times New Roman" w:cs="Times New Roman"/>
                <w:color w:val="auto"/>
              </w:rPr>
              <w:t>东西宽约4.5km，总面积约11.7km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eastAsia" w:ascii="Times New Roman" w:hAnsi="Times New Roman" w:cs="Times New Roman"/>
                <w:color w:val="auto"/>
              </w:rPr>
              <w:t>主导产业：门业及智能家居产业、线缆线束产业。</w:t>
            </w:r>
          </w:p>
          <w:p w14:paraId="2729D9B2">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根据《四川蓬溪经济开发区（上游片区）（暨蓬溪县上游工业园产业聚集区）规划修编环境影响报告书》及其审查意见，本项目与规划环评的符合性分析如下表。</w:t>
            </w:r>
          </w:p>
          <w:p w14:paraId="13C6C2E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表1-</w:t>
            </w:r>
            <w:r>
              <w:rPr>
                <w:rFonts w:hint="eastAsia" w:ascii="Times New Roman" w:hAnsi="Times New Roman" w:cs="Times New Roman"/>
                <w:b/>
                <w:bCs/>
                <w:color w:val="auto"/>
                <w:kern w:val="0"/>
                <w:sz w:val="21"/>
                <w:szCs w:val="21"/>
              </w:rPr>
              <w:t>2</w:t>
            </w:r>
            <w:r>
              <w:rPr>
                <w:rFonts w:hint="default" w:ascii="Times New Roman" w:hAnsi="Times New Roman" w:cs="Times New Roman"/>
                <w:b/>
                <w:bCs/>
                <w:color w:val="auto"/>
                <w:kern w:val="0"/>
                <w:sz w:val="21"/>
                <w:szCs w:val="21"/>
              </w:rPr>
              <w:t xml:space="preserve">  </w:t>
            </w:r>
            <w:r>
              <w:rPr>
                <w:rFonts w:hint="default" w:ascii="Times New Roman" w:hAnsi="Times New Roman" w:cs="Times New Roman"/>
                <w:b/>
                <w:bCs/>
                <w:color w:val="auto"/>
                <w:sz w:val="21"/>
                <w:szCs w:val="21"/>
              </w:rPr>
              <w:t>与园区环境保护措施相关符合性分析表</w:t>
            </w:r>
          </w:p>
          <w:tbl>
            <w:tblPr>
              <w:tblStyle w:val="28"/>
              <w:tblW w:w="494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78"/>
              <w:gridCol w:w="4104"/>
              <w:gridCol w:w="1905"/>
              <w:gridCol w:w="560"/>
            </w:tblGrid>
            <w:tr w14:paraId="12CE5E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05" w:type="pct"/>
                  <w:gridSpan w:val="2"/>
                  <w:noWrap w:val="0"/>
                  <w:vAlign w:val="center"/>
                </w:tcPr>
                <w:p w14:paraId="132A86C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文件相关要求</w:t>
                  </w:r>
                </w:p>
              </w:tc>
              <w:tc>
                <w:tcPr>
                  <w:tcW w:w="1154" w:type="pct"/>
                  <w:vMerge w:val="restart"/>
                  <w:noWrap w:val="0"/>
                  <w:vAlign w:val="center"/>
                </w:tcPr>
                <w:p w14:paraId="4C5A6A8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本项目相关情况</w:t>
                  </w:r>
                </w:p>
              </w:tc>
              <w:tc>
                <w:tcPr>
                  <w:tcW w:w="339" w:type="pct"/>
                  <w:vMerge w:val="restart"/>
                  <w:noWrap w:val="0"/>
                  <w:vAlign w:val="center"/>
                </w:tcPr>
                <w:p w14:paraId="42E2265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符合性</w:t>
                  </w:r>
                </w:p>
              </w:tc>
            </w:tr>
            <w:tr w14:paraId="278462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17" w:type="pct"/>
                  <w:noWrap w:val="0"/>
                  <w:vAlign w:val="center"/>
                </w:tcPr>
                <w:p w14:paraId="35B7962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环境制约因素</w:t>
                  </w:r>
                </w:p>
              </w:tc>
              <w:tc>
                <w:tcPr>
                  <w:tcW w:w="2488" w:type="pct"/>
                  <w:noWrap w:val="0"/>
                  <w:vAlign w:val="center"/>
                </w:tcPr>
                <w:p w14:paraId="73D466F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解决对策措施</w:t>
                  </w:r>
                </w:p>
              </w:tc>
              <w:tc>
                <w:tcPr>
                  <w:tcW w:w="1154" w:type="pct"/>
                  <w:vMerge w:val="continue"/>
                  <w:noWrap w:val="0"/>
                  <w:vAlign w:val="center"/>
                </w:tcPr>
                <w:p w14:paraId="2A0C78B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p>
              </w:tc>
              <w:tc>
                <w:tcPr>
                  <w:tcW w:w="339" w:type="pct"/>
                  <w:vMerge w:val="continue"/>
                  <w:noWrap w:val="0"/>
                  <w:vAlign w:val="center"/>
                </w:tcPr>
                <w:p w14:paraId="2FC75F3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p>
              </w:tc>
            </w:tr>
            <w:tr w14:paraId="30C4E4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17" w:type="pct"/>
                  <w:noWrap w:val="0"/>
                  <w:vAlign w:val="center"/>
                </w:tcPr>
                <w:p w14:paraId="12D00F8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1、地表水环境容量不足，规划区排水受限。</w:t>
                  </w:r>
                </w:p>
              </w:tc>
              <w:tc>
                <w:tcPr>
                  <w:tcW w:w="2488" w:type="pct"/>
                  <w:noWrap w:val="0"/>
                  <w:vAlign w:val="center"/>
                </w:tcPr>
                <w:p w14:paraId="3799F2E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目前蓬溪县人民政府已编制了《芝溪河流域水体达标方案》</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2021</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2025年</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主要通过水资源生态流量保障、污染源控制、水环境综合治理、水生态环境修复、环境监管能力提升、环境宣传等重点工程项目，改善芝溪河流域水环境质量。严格落实该方案提出的各项措施和要求，芝溪河水体水质可稳定达到阶段目标。</w:t>
                  </w:r>
                </w:p>
                <w:p w14:paraId="071A64A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加强经开区污水处理厂的监督管理，确保稳定运行，污水达标排放。在芝溪河水质稳定达到III类标准前，园区依托的经开区污水处理厂尾水排放不能超过2000m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p>
              </w:tc>
              <w:tc>
                <w:tcPr>
                  <w:tcW w:w="1154" w:type="pct"/>
                  <w:noWrap w:val="0"/>
                  <w:vAlign w:val="center"/>
                </w:tcPr>
                <w:p w14:paraId="46699AD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val="en-US" w:eastAsia="zh-CN"/>
                    </w:rPr>
                    <w:t>废水经处理后进入经开区污水处理厂，</w:t>
                  </w:r>
                  <w:r>
                    <w:rPr>
                      <w:rFonts w:hint="default" w:ascii="Times New Roman" w:hAnsi="Times New Roman" w:cs="Times New Roman"/>
                      <w:color w:val="auto"/>
                      <w:sz w:val="21"/>
                      <w:szCs w:val="21"/>
                    </w:rPr>
                    <w:t>处理厂处理能力为2000m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/d，目前未满负荷运行。</w:t>
                  </w:r>
                </w:p>
              </w:tc>
              <w:tc>
                <w:tcPr>
                  <w:tcW w:w="339" w:type="pct"/>
                  <w:noWrap w:val="0"/>
                  <w:vAlign w:val="center"/>
                </w:tcPr>
                <w:p w14:paraId="6E533AA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056871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17" w:type="pct"/>
                  <w:noWrap w:val="0"/>
                  <w:vAlign w:val="center"/>
                </w:tcPr>
                <w:p w14:paraId="383473B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2、</w:t>
                  </w:r>
                  <w:r>
                    <w:rPr>
                      <w:rFonts w:hint="default" w:ascii="Times New Roman" w:hAnsi="Times New Roman" w:cs="Times New Roman"/>
                      <w:color w:val="auto"/>
                      <w:sz w:val="21"/>
                      <w:szCs w:val="21"/>
                    </w:rPr>
                    <w:t>规划区部分工业用地邻近居住用地，对区域发展形成制约。规划区位于蓬溪县主城区下风向，外部东北方向距离赤城场镇最近约1.5km；规划区内分布有佛博苑安置区、西华安置区、梨园安置小区和福兴苑小区等已建居住区。因此，区内工业企业与周边、内部的居住区相互制约。</w:t>
                  </w:r>
                </w:p>
              </w:tc>
              <w:tc>
                <w:tcPr>
                  <w:tcW w:w="2488" w:type="pct"/>
                  <w:noWrap w:val="0"/>
                  <w:vAlign w:val="center"/>
                </w:tcPr>
                <w:p w14:paraId="36385E17">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（1）</w:t>
                  </w:r>
                  <w:r>
                    <w:rPr>
                      <w:rFonts w:hint="default" w:ascii="Times New Roman" w:hAnsi="Times New Roman" w:cs="Times New Roman"/>
                      <w:color w:val="auto"/>
                      <w:sz w:val="21"/>
                      <w:szCs w:val="21"/>
                    </w:rPr>
                    <w:t>保留规划区与城区之间的自然山体形成阻隔屏障，在园区东侧与城镇之间设置绿化隔离带，防护绿地宽度不低于50m；</w:t>
                  </w:r>
                </w:p>
                <w:p w14:paraId="40831CA4">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园区范围内西侧居住区</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佛博苑安置区、西华安置区</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已经建设完成，居民用地周边设置了防护绿地。周边工业用地应引入轻污染的工业项目并优化项目总体布局，减缓对居民区的影响。东侧居民区</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梨园安置小区、福兴苑小区</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已经建设完成，周边工业用地已经建设完成，居民区和周边工业用地利用道路间隔。居民区周边现有企业应严格执行环评及批复提出的相关要求，在满足环保要求的前提下，维持现状。后期若进行用地置换，应引入轻污染的工业项目并优化项目总体布局，减缓对居民区的影响。</w:t>
                  </w:r>
                </w:p>
                <w:p w14:paraId="3C196D4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3</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规划应</w:t>
                  </w:r>
                  <w:r>
                    <w:rPr>
                      <w:rFonts w:hint="eastAsia" w:cs="Times New Roman"/>
                      <w:color w:val="auto"/>
                      <w:sz w:val="21"/>
                      <w:szCs w:val="21"/>
                      <w:lang w:val="en-US" w:eastAsia="zh-CN"/>
                    </w:rPr>
                    <w:t>当</w:t>
                  </w:r>
                  <w:r>
                    <w:rPr>
                      <w:rFonts w:hint="default" w:ascii="Times New Roman" w:hAnsi="Times New Roman" w:cs="Times New Roman"/>
                      <w:color w:val="auto"/>
                      <w:sz w:val="21"/>
                      <w:szCs w:val="21"/>
                    </w:rPr>
                    <w:t>要求避免在敏感目标点周边布置有异味、VOCs排放量高的企业。</w:t>
                  </w:r>
                </w:p>
              </w:tc>
              <w:tc>
                <w:tcPr>
                  <w:tcW w:w="1154" w:type="pct"/>
                  <w:noWrap w:val="0"/>
                  <w:vAlign w:val="center"/>
                </w:tcPr>
                <w:p w14:paraId="6DCB3065">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rPr>
                    <w:t>位于蓬溪经开区梨园路</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位于其下风向及侧风向</w:t>
                  </w:r>
                  <w:r>
                    <w:rPr>
                      <w:rFonts w:hint="eastAsia" w:ascii="Times New Roman" w:hAnsi="Times New Roman" w:cs="Times New Roman"/>
                      <w:color w:val="auto"/>
                      <w:sz w:val="21"/>
                      <w:szCs w:val="21"/>
                    </w:rPr>
                    <w:t>，周</w:t>
                  </w:r>
                  <w:r>
                    <w:rPr>
                      <w:rFonts w:hint="eastAsia" w:ascii="Times New Roman" w:hAnsi="Times New Roman" w:cs="Times New Roman"/>
                      <w:color w:val="auto"/>
                      <w:sz w:val="21"/>
                      <w:szCs w:val="21"/>
                      <w:lang w:eastAsia="zh-CN"/>
                    </w:rPr>
                    <w:t>边</w:t>
                  </w:r>
                  <w:r>
                    <w:rPr>
                      <w:rFonts w:hint="default" w:ascii="Times New Roman" w:hAnsi="Times New Roman" w:cs="Times New Roman"/>
                      <w:color w:val="auto"/>
                      <w:sz w:val="21"/>
                      <w:szCs w:val="21"/>
                    </w:rPr>
                    <w:t>设置了防护绿地，有企业、道路、山脊间隔。</w:t>
                  </w:r>
                  <w:r>
                    <w:rPr>
                      <w:rFonts w:hint="eastAsia" w:ascii="Times New Roman" w:hAnsi="Times New Roman" w:cs="Times New Roman"/>
                      <w:color w:val="auto"/>
                      <w:sz w:val="21"/>
                      <w:szCs w:val="21"/>
                      <w:lang w:val="en-US" w:eastAsia="zh-CN"/>
                    </w:rPr>
                    <w:t>项目与周边敏感目标距离大于200m，且对排放废气污染物采用了</w:t>
                  </w:r>
                  <w:r>
                    <w:rPr>
                      <w:rFonts w:hint="eastAsia" w:cs="Times New Roman"/>
                      <w:color w:val="auto"/>
                      <w:sz w:val="21"/>
                      <w:szCs w:val="21"/>
                      <w:lang w:val="en-US" w:eastAsia="zh-CN"/>
                    </w:rPr>
                    <w:t>严格的</w:t>
                  </w:r>
                  <w:r>
                    <w:rPr>
                      <w:rFonts w:hint="eastAsia" w:ascii="Times New Roman" w:hAnsi="Times New Roman" w:cs="Times New Roman"/>
                      <w:color w:val="auto"/>
                      <w:sz w:val="21"/>
                      <w:szCs w:val="21"/>
                      <w:lang w:val="en-US" w:eastAsia="zh-CN"/>
                    </w:rPr>
                    <w:t>污染治理措施，确保达标排放。</w:t>
                  </w:r>
                  <w:r>
                    <w:rPr>
                      <w:rFonts w:hint="eastAsia" w:cs="Times New Roman"/>
                      <w:color w:val="auto"/>
                      <w:sz w:val="21"/>
                      <w:szCs w:val="21"/>
                      <w:lang w:val="en-US" w:eastAsia="zh-CN"/>
                    </w:rPr>
                    <w:t>项目异味采用设备密闭措施，VOCs经两级活性炭吸附处理后排放，VOCs排放量较小。</w:t>
                  </w:r>
                </w:p>
              </w:tc>
              <w:tc>
                <w:tcPr>
                  <w:tcW w:w="339" w:type="pct"/>
                  <w:noWrap w:val="0"/>
                  <w:vAlign w:val="center"/>
                </w:tcPr>
                <w:p w14:paraId="49FDC7E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2E9120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17" w:type="pct"/>
                  <w:noWrap w:val="0"/>
                  <w:vAlign w:val="center"/>
                </w:tcPr>
                <w:p w14:paraId="551A805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区域大气环境容量有限，对规划实施形成一定制约。</w:t>
                  </w:r>
                </w:p>
              </w:tc>
              <w:tc>
                <w:tcPr>
                  <w:tcW w:w="2488" w:type="pct"/>
                  <w:noWrap w:val="0"/>
                  <w:vAlign w:val="center"/>
                </w:tcPr>
                <w:p w14:paraId="5A40AFE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蓬溪县人民政府应严格执行深入打好蓝天保卫战等相关要求，实现规划区内、外废气污染源协同治污减排，确保环境空气质量持续改善。</w:t>
                  </w:r>
                </w:p>
                <w:p w14:paraId="1CA3FDE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应严格按照《蓬溪县</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生态环境全面提质</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对标竞进行动方案》等要求，推进重点行业VOCs综合治理，全面排查问题、明确整改具体措施</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大力推广使用低</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无</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VOCs含量的原辅材料，木质家具制造行业替代比例达到60%以上。</w:t>
                  </w:r>
                </w:p>
                <w:p w14:paraId="0D0EEA3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3</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规划区位于大气污染防治重点区域，应严格落实《四川省固定污染源大气挥发性有机物排放标准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挥发性有机物无组织排放控制标准》</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GB37822-2019</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、《锅炉大气污染物排放标准》</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GB13271-2014</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特别排放标准要求，禁止使用燃煤，禁止使用非专用锅炉或未配置高效除尘设施的专用锅炉燃用的生物质成型燃料。</w:t>
                  </w:r>
                </w:p>
              </w:tc>
              <w:tc>
                <w:tcPr>
                  <w:tcW w:w="1154" w:type="pct"/>
                  <w:noWrap w:val="0"/>
                  <w:vAlign w:val="center"/>
                </w:tcPr>
                <w:p w14:paraId="31699E7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本项目位于园区内，项目涉及有机废气的排放，</w:t>
                  </w:r>
                  <w:r>
                    <w:rPr>
                      <w:rFonts w:hint="eastAsia" w:ascii="Times New Roman" w:hAnsi="Times New Roman" w:cs="Times New Roman"/>
                      <w:color w:val="auto"/>
                      <w:sz w:val="21"/>
                      <w:szCs w:val="21"/>
                      <w:lang w:val="en-US" w:eastAsia="zh-CN"/>
                    </w:rPr>
                    <w:t>将采用加强废气收集，采用两级活性炭对有机废气进行综合治理等措施；项目使用专用生物质锅炉，并配套高效</w:t>
                  </w:r>
                  <w:r>
                    <w:rPr>
                      <w:rFonts w:hint="eastAsia" w:cs="Times New Roman"/>
                      <w:color w:val="auto"/>
                      <w:sz w:val="21"/>
                      <w:szCs w:val="21"/>
                      <w:lang w:val="en-US" w:eastAsia="zh-CN"/>
                    </w:rPr>
                    <w:t>布袋</w:t>
                  </w:r>
                  <w:r>
                    <w:rPr>
                      <w:rFonts w:hint="eastAsia" w:ascii="Times New Roman" w:hAnsi="Times New Roman" w:cs="Times New Roman"/>
                      <w:color w:val="auto"/>
                      <w:sz w:val="21"/>
                      <w:szCs w:val="21"/>
                      <w:lang w:val="en-US" w:eastAsia="zh-CN"/>
                    </w:rPr>
                    <w:t>除尘器。</w:t>
                  </w:r>
                </w:p>
              </w:tc>
              <w:tc>
                <w:tcPr>
                  <w:tcW w:w="339" w:type="pct"/>
                  <w:noWrap w:val="0"/>
                  <w:vAlign w:val="center"/>
                </w:tcPr>
                <w:p w14:paraId="1284409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14:paraId="62002B40">
            <w:pPr>
              <w:keepNext w:val="0"/>
              <w:keepLines w:val="0"/>
              <w:widowControl/>
              <w:suppressLineNumbers w:val="0"/>
              <w:spacing w:before="0" w:beforeAutospacing="0" w:after="0" w:afterAutospacing="0"/>
              <w:ind w:left="0" w:right="0" w:firstLine="482" w:firstLineChars="200"/>
              <w:rPr>
                <w:rFonts w:hint="eastAsia" w:ascii="Times New Roman" w:hAnsi="Times New Roman" w:eastAsia="宋体" w:cs="Times New Roman"/>
                <w:b/>
                <w:bCs/>
                <w:color w:val="auto"/>
                <w:kern w:val="0"/>
                <w:lang w:eastAsia="zh-CN"/>
              </w:rPr>
            </w:pPr>
            <w:r>
              <w:rPr>
                <w:rFonts w:hint="eastAsia" w:ascii="Times New Roman" w:hAnsi="Times New Roman" w:cs="Times New Roman"/>
                <w:b/>
                <w:bCs/>
                <w:color w:val="auto"/>
                <w:kern w:val="0"/>
              </w:rPr>
              <w:t>2、园区行业准入</w:t>
            </w:r>
          </w:p>
          <w:p w14:paraId="7BF4C8F7">
            <w:pPr>
              <w:keepNext w:val="0"/>
              <w:keepLines w:val="0"/>
              <w:widowControl/>
              <w:suppressLineNumbers w:val="0"/>
              <w:spacing w:before="0" w:beforeAutospacing="0" w:after="0" w:afterAutospacing="0"/>
              <w:ind w:left="0" w:right="0" w:firstLine="482" w:firstLineChars="200"/>
              <w:rPr>
                <w:rFonts w:hint="eastAsia" w:ascii="Times New Roman" w:hAnsi="Times New Roman" w:cs="Times New Roman"/>
                <w:color w:val="auto"/>
                <w:kern w:val="0"/>
              </w:rPr>
            </w:pPr>
            <w:r>
              <w:rPr>
                <w:rFonts w:hint="eastAsia" w:ascii="Times New Roman" w:hAnsi="Times New Roman" w:cs="Times New Roman"/>
                <w:b/>
                <w:bCs/>
                <w:color w:val="auto"/>
                <w:kern w:val="0"/>
              </w:rPr>
              <w:t>（1）鼓励类</w:t>
            </w:r>
            <w:r>
              <w:rPr>
                <w:rFonts w:hint="eastAsia" w:ascii="Times New Roman" w:hAnsi="Times New Roman" w:cs="Times New Roman"/>
                <w:color w:val="auto"/>
                <w:kern w:val="0"/>
              </w:rPr>
              <w:t>：</w:t>
            </w:r>
          </w:p>
          <w:p w14:paraId="78823670">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auto"/>
                <w:kern w:val="0"/>
                <w:lang w:eastAsia="zh-CN"/>
              </w:rPr>
            </w:pPr>
            <w:r>
              <w:rPr>
                <w:rFonts w:hint="eastAsia" w:ascii="Times New Roman" w:hAnsi="Times New Roman" w:cs="Times New Roman"/>
                <w:color w:val="auto"/>
                <w:kern w:val="0"/>
              </w:rPr>
              <w:t>鼓励发展门业及智能家居产业、线缆线束产业及与主导产业相符的项目。</w:t>
            </w:r>
          </w:p>
          <w:p w14:paraId="2B3041B4">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auto"/>
                <w:kern w:val="0"/>
                <w:lang w:eastAsia="zh-CN"/>
              </w:rPr>
            </w:pPr>
            <w:r>
              <w:rPr>
                <w:rFonts w:hint="eastAsia" w:ascii="Times New Roman" w:hAnsi="Times New Roman" w:cs="Times New Roman"/>
                <w:color w:val="auto"/>
                <w:kern w:val="0"/>
              </w:rPr>
              <w:t>门业及智能家居产业：主要包括木门窗，金属门窗，木制家具，竹、藤家具，金属家具，塑料家具，其他家具等。</w:t>
            </w:r>
          </w:p>
          <w:p w14:paraId="34ECAA7B">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auto"/>
                <w:kern w:val="0"/>
                <w:lang w:eastAsia="zh-CN"/>
              </w:rPr>
            </w:pPr>
            <w:r>
              <w:rPr>
                <w:rFonts w:hint="eastAsia" w:ascii="Times New Roman" w:hAnsi="Times New Roman" w:cs="Times New Roman"/>
                <w:color w:val="auto"/>
                <w:kern w:val="0"/>
              </w:rPr>
              <w:t>线缆线束产业：主要为电线、电缆制造。</w:t>
            </w:r>
          </w:p>
          <w:p w14:paraId="2F021B17">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auto"/>
                <w:kern w:val="0"/>
                <w:lang w:eastAsia="zh-CN"/>
              </w:rPr>
            </w:pPr>
            <w:r>
              <w:rPr>
                <w:rFonts w:hint="eastAsia" w:ascii="Times New Roman" w:hAnsi="Times New Roman" w:cs="Times New Roman"/>
                <w:color w:val="auto"/>
                <w:kern w:val="0"/>
              </w:rPr>
              <w:t>鼓励其发展主导产业或重要项目的上下游企业，有利于区域实现循环经济和可持续发展的企业，若与规划区或片区主业发展不形成交叉影响。</w:t>
            </w:r>
          </w:p>
          <w:p w14:paraId="2F8BB777">
            <w:pPr>
              <w:keepNext w:val="0"/>
              <w:keepLines w:val="0"/>
              <w:widowControl/>
              <w:suppressLineNumbers w:val="0"/>
              <w:spacing w:before="0" w:beforeAutospacing="0" w:after="0" w:afterAutospacing="0" w:line="240" w:lineRule="auto"/>
              <w:ind w:left="0" w:right="0" w:firstLine="422" w:firstLineChars="200"/>
              <w:jc w:val="center"/>
              <w:rPr>
                <w:rFonts w:hint="eastAsia" w:ascii="Times New Roman" w:hAnsi="Times New Roman" w:cs="Times New Roman"/>
                <w:b/>
                <w:bCs/>
                <w:color w:val="auto"/>
                <w:kern w:val="0"/>
              </w:rPr>
            </w:pPr>
            <w:r>
              <w:rPr>
                <w:rFonts w:hint="eastAsia" w:ascii="Times New Roman" w:hAnsi="Times New Roman" w:cs="Times New Roman"/>
                <w:b/>
                <w:bCs/>
                <w:color w:val="auto"/>
                <w:kern w:val="0"/>
                <w:sz w:val="21"/>
                <w:szCs w:val="21"/>
              </w:rPr>
              <w:t>表1-3</w:t>
            </w:r>
            <w:r>
              <w:rPr>
                <w:rFonts w:hint="eastAsia" w:ascii="Times New Roman" w:hAnsi="Times New Roman" w:cs="Times New Roman"/>
                <w:b/>
                <w:bCs/>
                <w:color w:val="auto"/>
                <w:kern w:val="0"/>
                <w:sz w:val="21"/>
                <w:szCs w:val="21"/>
                <w:lang w:val="en-US" w:eastAsia="zh-CN"/>
              </w:rPr>
              <w:t xml:space="preserve">  </w:t>
            </w:r>
            <w:r>
              <w:rPr>
                <w:rFonts w:hint="eastAsia" w:ascii="Times New Roman" w:hAnsi="Times New Roman" w:cs="Times New Roman"/>
                <w:b/>
                <w:bCs/>
                <w:color w:val="auto"/>
                <w:kern w:val="0"/>
                <w:sz w:val="21"/>
                <w:szCs w:val="21"/>
              </w:rPr>
              <w:t>规划主导产业分析</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2555"/>
              <w:gridCol w:w="3978"/>
            </w:tblGrid>
            <w:tr w14:paraId="21EA8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pct"/>
                  <w:noWrap w:val="0"/>
                  <w:vAlign w:val="center"/>
                </w:tcPr>
                <w:p w14:paraId="11695B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行业</w:t>
                  </w:r>
                </w:p>
              </w:tc>
              <w:tc>
                <w:tcPr>
                  <w:tcW w:w="1532" w:type="pct"/>
                  <w:noWrap w:val="0"/>
                  <w:vAlign w:val="center"/>
                </w:tcPr>
                <w:p w14:paraId="6CEE86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国民经济类别</w:t>
                  </w:r>
                </w:p>
              </w:tc>
              <w:tc>
                <w:tcPr>
                  <w:tcW w:w="2385" w:type="pct"/>
                  <w:noWrap w:val="0"/>
                  <w:vAlign w:val="center"/>
                </w:tcPr>
                <w:p w14:paraId="667C2F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rPr>
                    <w:t>备注</w:t>
                  </w:r>
                </w:p>
              </w:tc>
            </w:tr>
            <w:tr w14:paraId="1D3C4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pct"/>
                  <w:vMerge w:val="restart"/>
                  <w:noWrap w:val="0"/>
                  <w:vAlign w:val="center"/>
                </w:tcPr>
                <w:p w14:paraId="328C36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门业及智能家居</w:t>
                  </w:r>
                </w:p>
              </w:tc>
              <w:tc>
                <w:tcPr>
                  <w:tcW w:w="1532" w:type="pct"/>
                  <w:noWrap w:val="0"/>
                  <w:vAlign w:val="center"/>
                </w:tcPr>
                <w:p w14:paraId="6E7B7F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C2032木门窗制造</w:t>
                  </w:r>
                </w:p>
              </w:tc>
              <w:tc>
                <w:tcPr>
                  <w:tcW w:w="2385" w:type="pct"/>
                  <w:vMerge w:val="restart"/>
                  <w:noWrap w:val="0"/>
                  <w:vAlign w:val="center"/>
                </w:tcPr>
                <w:p w14:paraId="7449DE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rPr>
                  </w:pPr>
                  <w:r>
                    <w:rPr>
                      <w:rFonts w:hint="eastAsia" w:ascii="Times New Roman" w:hAnsi="Times New Roman" w:cs="Times New Roman"/>
                      <w:color w:val="auto"/>
                      <w:sz w:val="21"/>
                    </w:rPr>
                    <w:t>禁止引入溶剂型涂料涂装的木质家具（高流量低压[HVLP]喷漆工艺除外）</w:t>
                  </w:r>
                </w:p>
              </w:tc>
            </w:tr>
            <w:tr w14:paraId="02D58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pct"/>
                  <w:vMerge w:val="continue"/>
                  <w:noWrap w:val="0"/>
                  <w:vAlign w:val="center"/>
                </w:tcPr>
                <w:p w14:paraId="3B3291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rPr>
                  </w:pPr>
                </w:p>
              </w:tc>
              <w:tc>
                <w:tcPr>
                  <w:tcW w:w="1532" w:type="pct"/>
                  <w:noWrap w:val="0"/>
                  <w:vAlign w:val="center"/>
                </w:tcPr>
                <w:p w14:paraId="2CDE10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C201家具木材加工</w:t>
                  </w:r>
                </w:p>
              </w:tc>
              <w:tc>
                <w:tcPr>
                  <w:tcW w:w="2385" w:type="pct"/>
                  <w:vMerge w:val="continue"/>
                  <w:noWrap w:val="0"/>
                  <w:vAlign w:val="center"/>
                </w:tcPr>
                <w:p w14:paraId="0EFFB6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rPr>
                  </w:pPr>
                </w:p>
              </w:tc>
            </w:tr>
            <w:tr w14:paraId="7B0EA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pct"/>
                  <w:vMerge w:val="continue"/>
                  <w:noWrap w:val="0"/>
                  <w:vAlign w:val="center"/>
                </w:tcPr>
                <w:p w14:paraId="4BC5CC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rPr>
                  </w:pPr>
                </w:p>
              </w:tc>
              <w:tc>
                <w:tcPr>
                  <w:tcW w:w="1532" w:type="pct"/>
                  <w:noWrap w:val="0"/>
                  <w:vAlign w:val="center"/>
                </w:tcPr>
                <w:p w14:paraId="5DA7C6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C21家具产业</w:t>
                  </w:r>
                </w:p>
              </w:tc>
              <w:tc>
                <w:tcPr>
                  <w:tcW w:w="2385" w:type="pct"/>
                  <w:vMerge w:val="continue"/>
                  <w:noWrap w:val="0"/>
                  <w:vAlign w:val="center"/>
                </w:tcPr>
                <w:p w14:paraId="059DE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rPr>
                  </w:pPr>
                </w:p>
              </w:tc>
            </w:tr>
            <w:tr w14:paraId="40159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pct"/>
                  <w:vMerge w:val="continue"/>
                  <w:noWrap w:val="0"/>
                  <w:vAlign w:val="center"/>
                </w:tcPr>
                <w:p w14:paraId="281AAF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rPr>
                  </w:pPr>
                </w:p>
              </w:tc>
              <w:tc>
                <w:tcPr>
                  <w:tcW w:w="1532" w:type="pct"/>
                  <w:noWrap w:val="0"/>
                  <w:vAlign w:val="center"/>
                </w:tcPr>
                <w:p w14:paraId="3DA04D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C3312金属门窗制造</w:t>
                  </w:r>
                </w:p>
              </w:tc>
              <w:tc>
                <w:tcPr>
                  <w:tcW w:w="2385" w:type="pct"/>
                  <w:vMerge w:val="continue"/>
                  <w:noWrap w:val="0"/>
                  <w:vAlign w:val="center"/>
                </w:tcPr>
                <w:p w14:paraId="36BE11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rPr>
                  </w:pPr>
                </w:p>
              </w:tc>
            </w:tr>
            <w:tr w14:paraId="2D715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pct"/>
                  <w:noWrap w:val="0"/>
                  <w:vAlign w:val="center"/>
                </w:tcPr>
                <w:p w14:paraId="4C3208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线缆线束</w:t>
                  </w:r>
                </w:p>
              </w:tc>
              <w:tc>
                <w:tcPr>
                  <w:tcW w:w="1532" w:type="pct"/>
                  <w:noWrap w:val="0"/>
                  <w:vAlign w:val="center"/>
                </w:tcPr>
                <w:p w14:paraId="72C9A6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C3831电线电缆</w:t>
                  </w:r>
                </w:p>
              </w:tc>
              <w:tc>
                <w:tcPr>
                  <w:tcW w:w="2385" w:type="pct"/>
                  <w:noWrap w:val="0"/>
                  <w:vAlign w:val="center"/>
                </w:tcPr>
                <w:p w14:paraId="4B5A93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禁止引入6千伏及以上（陆上用）干法交联电力电缆项目</w:t>
                  </w:r>
                </w:p>
              </w:tc>
            </w:tr>
          </w:tbl>
          <w:p w14:paraId="3DF1223F">
            <w:pPr>
              <w:keepNext w:val="0"/>
              <w:keepLines w:val="0"/>
              <w:widowControl/>
              <w:suppressLineNumbers w:val="0"/>
              <w:spacing w:before="0" w:beforeAutospacing="0" w:after="0" w:afterAutospacing="0"/>
              <w:ind w:left="0" w:right="0" w:firstLine="482" w:firstLineChars="200"/>
              <w:rPr>
                <w:rFonts w:hint="eastAsia" w:ascii="Times New Roman" w:hAnsi="Times New Roman" w:cs="Times New Roman"/>
                <w:b/>
                <w:bCs/>
                <w:color w:val="auto"/>
                <w:kern w:val="0"/>
              </w:rPr>
            </w:pPr>
            <w:r>
              <w:rPr>
                <w:rFonts w:hint="eastAsia" w:ascii="Times New Roman" w:hAnsi="Times New Roman" w:cs="Times New Roman"/>
                <w:b/>
                <w:bCs/>
                <w:color w:val="auto"/>
                <w:kern w:val="0"/>
              </w:rPr>
              <w:t>（2）禁止类：</w:t>
            </w:r>
          </w:p>
          <w:p w14:paraId="36021D41">
            <w:pPr>
              <w:keepNext w:val="0"/>
              <w:keepLines w:val="0"/>
              <w:widowControl/>
              <w:suppressLineNumbers w:val="0"/>
              <w:spacing w:before="0" w:beforeAutospacing="0" w:after="0" w:afterAutospacing="0"/>
              <w:ind w:left="0" w:right="0" w:firstLine="480" w:firstLineChars="200"/>
              <w:rPr>
                <w:rFonts w:hint="eastAsia" w:ascii="Times New Roman" w:hAnsi="Times New Roman" w:cs="Times New Roman"/>
                <w:color w:val="auto"/>
                <w:kern w:val="0"/>
              </w:rPr>
            </w:pPr>
            <w:r>
              <w:rPr>
                <w:rFonts w:hint="eastAsia" w:ascii="Times New Roman" w:hAnsi="Times New Roman" w:cs="Times New Roman"/>
                <w:color w:val="auto"/>
                <w:kern w:val="0"/>
              </w:rPr>
              <w:t>门业及智能家居产业园：禁止引入溶剂型涂料涂装的木质家具（高流量低压[HVLP]喷漆工艺除外）</w:t>
            </w:r>
          </w:p>
          <w:p w14:paraId="02DA9A2E">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auto"/>
                <w:kern w:val="0"/>
                <w:lang w:eastAsia="zh-CN"/>
              </w:rPr>
            </w:pPr>
            <w:r>
              <w:rPr>
                <w:rFonts w:hint="eastAsia" w:ascii="Times New Roman" w:hAnsi="Times New Roman" w:cs="Times New Roman"/>
                <w:color w:val="auto"/>
                <w:kern w:val="0"/>
              </w:rPr>
              <w:t>线缆线束产业园：禁止引入6千伏及以上（陆上用）干法交联电力电缆项目。</w:t>
            </w:r>
          </w:p>
          <w:p w14:paraId="70D1357A">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auto"/>
                <w:kern w:val="0"/>
                <w:lang w:eastAsia="zh-CN"/>
              </w:rPr>
            </w:pPr>
            <w:r>
              <w:rPr>
                <w:rFonts w:hint="eastAsia" w:ascii="Times New Roman" w:hAnsi="Times New Roman" w:cs="Times New Roman"/>
                <w:color w:val="auto"/>
                <w:kern w:val="0"/>
              </w:rPr>
              <w:t>禁止引入不符合法律法规、产业政策及相关环境管理要求的项目；禁止引入《环境保护综合名录》中涉及的“高污染、高环境风险”项目</w:t>
            </w:r>
            <w:r>
              <w:rPr>
                <w:rFonts w:hint="eastAsia" w:ascii="Times New Roman" w:hAnsi="Times New Roman" w:cs="Times New Roman"/>
                <w:color w:val="auto"/>
                <w:kern w:val="0"/>
                <w:lang w:eastAsia="zh-CN"/>
              </w:rPr>
              <w:t>；</w:t>
            </w:r>
            <w:r>
              <w:rPr>
                <w:rFonts w:hint="eastAsia" w:ascii="Times New Roman" w:hAnsi="Times New Roman" w:cs="Times New Roman"/>
                <w:color w:val="auto"/>
                <w:kern w:val="0"/>
              </w:rPr>
              <w:t>禁止引入清洁生产水平不能达二级或国内先进水平的项目</w:t>
            </w:r>
            <w:r>
              <w:rPr>
                <w:rFonts w:hint="eastAsia" w:ascii="Times New Roman" w:hAnsi="Times New Roman" w:cs="Times New Roman"/>
                <w:color w:val="auto"/>
                <w:kern w:val="0"/>
                <w:lang w:eastAsia="zh-CN"/>
              </w:rPr>
              <w:t>；</w:t>
            </w:r>
            <w:r>
              <w:rPr>
                <w:rFonts w:hint="eastAsia" w:ascii="Times New Roman" w:hAnsi="Times New Roman" w:cs="Times New Roman"/>
                <w:color w:val="auto"/>
                <w:kern w:val="0"/>
              </w:rPr>
              <w:t>禁止新建医药、农药、制浆（含废纸制浆）、造纸、印染染整、制革、水泥、专业电镀、制革、洗选、含前工序的集成电路、平板玻璃、印制电路板、石墨及</w:t>
            </w:r>
            <w:r>
              <w:rPr>
                <w:rFonts w:hint="eastAsia" w:ascii="Times New Roman" w:hAnsi="Times New Roman" w:cs="Times New Roman"/>
                <w:color w:val="auto"/>
                <w:kern w:val="0"/>
                <w:lang w:eastAsia="zh-CN"/>
              </w:rPr>
              <w:t>碳素制品</w:t>
            </w:r>
            <w:r>
              <w:rPr>
                <w:rFonts w:hint="eastAsia" w:ascii="Times New Roman" w:hAnsi="Times New Roman" w:cs="Times New Roman"/>
                <w:color w:val="auto"/>
                <w:kern w:val="0"/>
              </w:rPr>
              <w:t>、有色金属冶炼（钒、钛除外）等与主导产业环境不相容或不属于主导产业的高污染行业</w:t>
            </w:r>
            <w:r>
              <w:rPr>
                <w:rFonts w:hint="eastAsia" w:ascii="Times New Roman" w:hAnsi="Times New Roman" w:cs="Times New Roman"/>
                <w:color w:val="auto"/>
                <w:kern w:val="0"/>
                <w:lang w:eastAsia="zh-CN"/>
              </w:rPr>
              <w:t>；</w:t>
            </w:r>
            <w:r>
              <w:rPr>
                <w:rFonts w:hint="eastAsia" w:ascii="Times New Roman" w:hAnsi="Times New Roman" w:cs="Times New Roman"/>
                <w:color w:val="auto"/>
                <w:kern w:val="0"/>
              </w:rPr>
              <w:t>禁止引入酒精饮料及酒类制造、屠宰、粮食及饲料加工、农产品加工等废水排放大的行业。</w:t>
            </w:r>
          </w:p>
          <w:p w14:paraId="7403E16A">
            <w:pPr>
              <w:keepNext w:val="0"/>
              <w:keepLines w:val="0"/>
              <w:widowControl/>
              <w:suppressLineNumbers w:val="0"/>
              <w:spacing w:before="0" w:beforeAutospacing="0" w:after="0" w:afterAutospacing="0"/>
              <w:ind w:left="0" w:right="0" w:firstLine="480" w:firstLineChars="200"/>
              <w:rPr>
                <w:rFonts w:hint="eastAsia" w:ascii="Times New Roman" w:hAnsi="Times New Roman" w:cs="Times New Roman"/>
                <w:color w:val="auto"/>
              </w:rPr>
            </w:pPr>
            <w:r>
              <w:rPr>
                <w:rFonts w:hint="eastAsia" w:ascii="Times New Roman" w:hAnsi="Times New Roman" w:eastAsia="宋体" w:cs="Times New Roman"/>
                <w:color w:val="auto"/>
                <w:kern w:val="0"/>
                <w:lang w:val="en-US" w:eastAsia="zh-CN"/>
              </w:rPr>
              <w:t>本项目属于国民经济分类中的C2663林产化学产品</w:t>
            </w:r>
            <w:r>
              <w:rPr>
                <w:rFonts w:hint="default" w:ascii="Times New Roman" w:hAnsi="Times New Roman" w:eastAsia="宋体" w:cs="Times New Roman"/>
                <w:color w:val="auto"/>
                <w:kern w:val="0"/>
                <w:lang w:val="en-US" w:eastAsia="zh-CN"/>
              </w:rPr>
              <w:t>制造</w:t>
            </w:r>
            <w:r>
              <w:rPr>
                <w:rFonts w:hint="eastAsia" w:ascii="Times New Roman" w:hAnsi="Times New Roman" w:eastAsia="宋体" w:cs="Times New Roman"/>
                <w:color w:val="auto"/>
                <w:kern w:val="0"/>
                <w:lang w:val="en-US" w:eastAsia="zh-CN"/>
              </w:rPr>
              <w:t>，不属于园区主导产业，项目不属于《环境保护综合名录》中涉及的“高污染、高环境风险”项目，与现行的产业政策相符；项目类型和生产工艺均不涉及规划环评生态环境准入清单中“禁止类”所列项目，</w:t>
            </w:r>
            <w:r>
              <w:rPr>
                <w:rFonts w:hint="eastAsia" w:ascii="Times New Roman" w:hAnsi="Times New Roman" w:cs="Times New Roman"/>
                <w:color w:val="auto"/>
              </w:rPr>
              <w:t>且本项目已取得入园证明（见附件</w:t>
            </w:r>
            <w:r>
              <w:rPr>
                <w:rFonts w:hint="eastAsia" w:cs="Times New Roman"/>
                <w:color w:val="auto"/>
                <w:lang w:val="en-US" w:eastAsia="zh-CN"/>
              </w:rPr>
              <w:t>8</w:t>
            </w:r>
            <w:r>
              <w:rPr>
                <w:rFonts w:hint="eastAsia" w:ascii="Times New Roman" w:hAnsi="Times New Roman" w:cs="Times New Roman"/>
                <w:color w:val="auto"/>
              </w:rPr>
              <w:t>）</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因此，项目</w:t>
            </w:r>
            <w:r>
              <w:rPr>
                <w:rFonts w:hint="eastAsia" w:cs="Times New Roman"/>
                <w:color w:val="auto"/>
                <w:lang w:val="en-US" w:eastAsia="zh-CN"/>
              </w:rPr>
              <w:t>属于规划区允许发展项目，</w:t>
            </w:r>
            <w:r>
              <w:rPr>
                <w:rFonts w:hint="eastAsia" w:ascii="Times New Roman" w:hAnsi="Times New Roman" w:cs="Times New Roman"/>
                <w:color w:val="auto"/>
                <w:lang w:val="en-US" w:eastAsia="zh-CN"/>
              </w:rPr>
              <w:t>符合蓬溪县经开区上游片区规划</w:t>
            </w:r>
            <w:r>
              <w:rPr>
                <w:rFonts w:hint="eastAsia" w:ascii="Times New Roman" w:hAnsi="Times New Roman" w:cs="Times New Roman"/>
                <w:color w:val="auto"/>
              </w:rPr>
              <w:t>。</w:t>
            </w:r>
          </w:p>
          <w:p w14:paraId="14C3F780">
            <w:pPr>
              <w:keepNext w:val="0"/>
              <w:keepLines w:val="0"/>
              <w:widowControl/>
              <w:suppressLineNumbers w:val="0"/>
              <w:spacing w:before="0" w:beforeAutospacing="0" w:after="0" w:afterAutospacing="0"/>
              <w:ind w:left="0" w:right="0" w:firstLine="480" w:firstLineChars="20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根据川经信规〔2024〕4号“关于印发《四川省化工生产建设项目入园指引（试行）》的通知”：下列新建、改建、扩建化工生产建设项目必须进入一般或较低安全风险等级的化工园区：</w:t>
            </w:r>
          </w:p>
          <w:p w14:paraId="3477DACD">
            <w:pPr>
              <w:keepNext w:val="0"/>
              <w:keepLines w:val="0"/>
              <w:widowControl/>
              <w:suppressLineNumbers w:val="0"/>
              <w:spacing w:before="0" w:beforeAutospacing="0" w:after="0" w:afterAutospacing="0"/>
              <w:ind w:left="0" w:right="0" w:firstLine="480" w:firstLineChars="20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一）危险化学品生产项目（与其他行业生产装置配套建设的项目；安全、环保、节能和智能化改造项目；不含下游深加工的固废、废气、废液等资源综合利用项目；甘孜州、阿坝州、凉山州空气分离制氧项目除外）。</w:t>
            </w:r>
          </w:p>
          <w:p w14:paraId="62802E03">
            <w:pPr>
              <w:keepNext w:val="0"/>
              <w:keepLines w:val="0"/>
              <w:widowControl/>
              <w:suppressLineNumbers w:val="0"/>
              <w:spacing w:before="0" w:beforeAutospacing="0" w:after="0" w:afterAutospacing="0"/>
              <w:ind w:left="0" w:right="0" w:firstLine="480" w:firstLineChars="20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（二）化工行业中，以爆炸性化学品、剧（高）毒化学品、液化烃类易燃易爆化学品为主要原料的项目。</w:t>
            </w:r>
          </w:p>
          <w:p w14:paraId="11B2E45C">
            <w:pPr>
              <w:keepNext w:val="0"/>
              <w:keepLines w:val="0"/>
              <w:widowControl/>
              <w:suppressLineNumbers w:val="0"/>
              <w:spacing w:before="0" w:beforeAutospacing="0" w:after="0" w:afterAutospacing="0"/>
              <w:ind w:left="0" w:right="0" w:firstLine="480" w:firstLineChars="20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（三）化工行业中，构成危险化学品重大危险源的项目。</w:t>
            </w:r>
          </w:p>
          <w:p w14:paraId="2A364A32">
            <w:pPr>
              <w:keepNext w:val="0"/>
              <w:keepLines w:val="0"/>
              <w:widowControl/>
              <w:suppressLineNumbers w:val="0"/>
              <w:spacing w:before="0" w:beforeAutospacing="0" w:after="0" w:afterAutospacing="0"/>
              <w:ind w:left="0" w:right="0" w:firstLine="480" w:firstLineChars="200"/>
              <w:rPr>
                <w:rFonts w:hint="default" w:ascii="Times New Roman" w:hAnsi="Times New Roman" w:cs="Times New Roman"/>
                <w:color w:val="auto"/>
                <w:kern w:val="0"/>
              </w:rPr>
            </w:pPr>
            <w:r>
              <w:rPr>
                <w:rFonts w:hint="eastAsia" w:ascii="Times New Roman" w:hAnsi="Times New Roman" w:cs="Times New Roman"/>
                <w:color w:val="auto"/>
                <w:lang w:val="en-US" w:eastAsia="zh-CN"/>
              </w:rPr>
              <w:t>本项目</w:t>
            </w:r>
            <w:r>
              <w:rPr>
                <w:rFonts w:hint="eastAsia" w:ascii="Times New Roman" w:hAnsi="Times New Roman" w:eastAsia="宋体" w:cs="Times New Roman"/>
                <w:color w:val="auto"/>
                <w:kern w:val="0"/>
                <w:lang w:val="en-US" w:eastAsia="zh-CN"/>
              </w:rPr>
              <w:t>属于国民经济分类中的C2663林产化学产品</w:t>
            </w:r>
            <w:r>
              <w:rPr>
                <w:rFonts w:hint="default" w:ascii="Times New Roman" w:hAnsi="Times New Roman" w:eastAsia="宋体" w:cs="Times New Roman"/>
                <w:color w:val="auto"/>
                <w:kern w:val="0"/>
                <w:lang w:val="en-US" w:eastAsia="zh-CN"/>
              </w:rPr>
              <w:t>制造</w:t>
            </w:r>
            <w:r>
              <w:rPr>
                <w:rFonts w:hint="eastAsia" w:ascii="Times New Roman" w:hAnsi="Times New Roman" w:eastAsia="宋体" w:cs="Times New Roman"/>
                <w:color w:val="auto"/>
                <w:kern w:val="0"/>
                <w:lang w:val="en-US" w:eastAsia="zh-CN"/>
              </w:rPr>
              <w:t>，主要为利用枯柏木蔸物理蒸馏获得柏木油并制备生物质颗粒，生产过程不涉及化学</w:t>
            </w:r>
            <w:r>
              <w:rPr>
                <w:rFonts w:hint="eastAsia" w:cs="Times New Roman"/>
                <w:color w:val="auto"/>
                <w:kern w:val="0"/>
                <w:lang w:val="en-US" w:eastAsia="zh-CN"/>
              </w:rPr>
              <w:t>反应</w:t>
            </w:r>
            <w:r>
              <w:rPr>
                <w:rFonts w:hint="eastAsia" w:ascii="Times New Roman" w:hAnsi="Times New Roman" w:eastAsia="宋体" w:cs="Times New Roman"/>
                <w:color w:val="auto"/>
                <w:kern w:val="0"/>
                <w:lang w:val="en-US" w:eastAsia="zh-CN"/>
              </w:rPr>
              <w:t>，</w:t>
            </w:r>
            <w:r>
              <w:rPr>
                <w:rFonts w:hint="eastAsia" w:cs="Times New Roman"/>
                <w:color w:val="auto"/>
                <w:kern w:val="0"/>
                <w:lang w:val="en-US" w:eastAsia="zh-CN"/>
              </w:rPr>
              <w:t>产品不属于危险化学品，环境风险较小，</w:t>
            </w:r>
            <w:r>
              <w:rPr>
                <w:rFonts w:hint="eastAsia" w:ascii="Times New Roman" w:hAnsi="Times New Roman" w:eastAsia="宋体" w:cs="Times New Roman"/>
                <w:color w:val="auto"/>
                <w:kern w:val="0"/>
                <w:lang w:val="en-US" w:eastAsia="zh-CN"/>
              </w:rPr>
              <w:t>不属于以上必须进入化工园区的项目，因此，本项目可以进入四川蓬溪经济开发区（上游片区），符合园区规划。</w:t>
            </w:r>
          </w:p>
        </w:tc>
      </w:tr>
      <w:tr w14:paraId="441482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94" w:type="dxa"/>
            <w:tcBorders>
              <w:tl2br w:val="nil"/>
              <w:tr2bl w:val="nil"/>
            </w:tcBorders>
            <w:noWrap w:val="0"/>
            <w:vAlign w:val="center"/>
          </w:tcPr>
          <w:p w14:paraId="1F45788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rPr>
            </w:pPr>
            <w:r>
              <w:rPr>
                <w:rFonts w:hint="default" w:ascii="Times New Roman" w:hAnsi="Times New Roman" w:cs="Times New Roman"/>
                <w:color w:val="auto"/>
                <w:kern w:val="0"/>
              </w:rPr>
              <w:t>其他符合性分析</w:t>
            </w:r>
          </w:p>
        </w:tc>
        <w:tc>
          <w:tcPr>
            <w:tcW w:w="8555" w:type="dxa"/>
            <w:gridSpan w:val="4"/>
            <w:tcBorders>
              <w:tl2br w:val="nil"/>
              <w:tr2bl w:val="nil"/>
            </w:tcBorders>
            <w:noWrap w:val="0"/>
            <w:vAlign w:val="top"/>
          </w:tcPr>
          <w:p w14:paraId="69750EA3">
            <w:pPr>
              <w:keepNext w:val="0"/>
              <w:keepLines w:val="0"/>
              <w:suppressLineNumbers w:val="0"/>
              <w:spacing w:before="0" w:beforeAutospacing="0" w:after="0" w:afterAutospacing="0"/>
              <w:ind w:left="0" w:right="0"/>
              <w:jc w:val="left"/>
              <w:rPr>
                <w:rFonts w:hint="eastAsia" w:ascii="Times New Roman" w:hAnsi="Times New Roman" w:cs="Times New Roman"/>
                <w:b/>
                <w:bCs/>
                <w:color w:val="auto"/>
              </w:rPr>
            </w:pPr>
            <w:r>
              <w:rPr>
                <w:rFonts w:hint="eastAsia" w:ascii="Times New Roman" w:hAnsi="Times New Roman" w:cs="Times New Roman"/>
                <w:b/>
                <w:bCs/>
                <w:color w:val="auto"/>
              </w:rPr>
              <w:t>一、项目产业政策符合性分析</w:t>
            </w:r>
          </w:p>
          <w:p w14:paraId="44038759">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cs="Times New Roman"/>
                <w:color w:val="auto"/>
              </w:rPr>
            </w:pPr>
            <w:r>
              <w:rPr>
                <w:rFonts w:hint="default" w:ascii="Times New Roman" w:hAnsi="Times New Roman" w:cs="Times New Roman"/>
                <w:color w:val="auto"/>
              </w:rPr>
              <w:t>根据《国民经济行业分类》（GB/T4754—2017</w:t>
            </w:r>
            <w:r>
              <w:rPr>
                <w:rFonts w:hint="eastAsia" w:ascii="Times New Roman" w:hAnsi="Times New Roman" w:cs="Times New Roman"/>
                <w:color w:val="auto"/>
                <w:lang w:eastAsia="zh-CN"/>
              </w:rPr>
              <w:t>）</w:t>
            </w:r>
            <w:r>
              <w:rPr>
                <w:rFonts w:hint="default" w:ascii="Times New Roman" w:hAnsi="Times New Roman" w:cs="Times New Roman"/>
                <w:color w:val="auto"/>
              </w:rPr>
              <w:t>，</w:t>
            </w:r>
            <w:r>
              <w:rPr>
                <w:rFonts w:hint="eastAsia" w:ascii="Times New Roman" w:hAnsi="Times New Roman" w:cs="Times New Roman"/>
                <w:color w:val="auto"/>
              </w:rPr>
              <w:t>本项目属于</w:t>
            </w:r>
            <w:r>
              <w:rPr>
                <w:rFonts w:hint="eastAsia" w:ascii="Times New Roman" w:hAnsi="Times New Roman" w:cs="Times New Roman"/>
                <w:color w:val="auto"/>
                <w:lang w:eastAsia="zh-CN"/>
              </w:rPr>
              <w:t>C2663 林产化学产品制造</w:t>
            </w:r>
            <w:r>
              <w:rPr>
                <w:rFonts w:hint="eastAsia" w:ascii="Times New Roman" w:hAnsi="Times New Roman" w:cs="Times New Roman"/>
                <w:color w:val="auto"/>
              </w:rPr>
              <w:t>。根据《</w:t>
            </w:r>
            <w:r>
              <w:rPr>
                <w:rFonts w:hint="eastAsia" w:ascii="Times New Roman" w:hAnsi="Times New Roman" w:cs="Times New Roman"/>
                <w:color w:val="auto"/>
                <w:lang w:eastAsia="zh-CN"/>
              </w:rPr>
              <w:t>产业结构调整指导目录（2024年本）</w:t>
            </w:r>
            <w:r>
              <w:rPr>
                <w:rFonts w:hint="eastAsia" w:ascii="Times New Roman" w:hAnsi="Times New Roman" w:cs="Times New Roman"/>
                <w:color w:val="auto"/>
              </w:rPr>
              <w:t>》，本项目不属于鼓励类、限制类及淘汰类项目，根据《国务院关于发布实施&lt;促进产业结构调整暂行规定&gt;的决定》（国发[2005]40号），“《产业结构调整指导目录》由鼓励、限制和淘汰三类目录组成，不属于鼓励类、限制类和淘汰类，且符合国家有关法律、法规和政策规定的，为允许类。允许类不列入《产业结构调整指导目录》。” 因此本项目属于允许类项目。</w:t>
            </w:r>
          </w:p>
          <w:p w14:paraId="4BF03CF8">
            <w:pPr>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项目于20</w:t>
            </w:r>
            <w:r>
              <w:rPr>
                <w:rFonts w:hint="eastAsia" w:ascii="Times New Roman" w:hAnsi="Times New Roman" w:cs="Times New Roman"/>
                <w:color w:val="auto"/>
              </w:rPr>
              <w:t>2</w:t>
            </w:r>
            <w:r>
              <w:rPr>
                <w:rFonts w:hint="eastAsia" w:cs="Times New Roman"/>
                <w:color w:val="auto"/>
                <w:lang w:val="en-US" w:eastAsia="zh-CN"/>
              </w:rPr>
              <w:t>4</w:t>
            </w:r>
            <w:r>
              <w:rPr>
                <w:rFonts w:hint="default" w:ascii="Times New Roman" w:hAnsi="Times New Roman" w:cs="Times New Roman"/>
                <w:color w:val="auto"/>
              </w:rPr>
              <w:t>年</w:t>
            </w:r>
            <w:r>
              <w:rPr>
                <w:rFonts w:hint="eastAsia" w:cs="Times New Roman"/>
                <w:color w:val="auto"/>
                <w:lang w:val="en-US" w:eastAsia="zh-CN"/>
              </w:rPr>
              <w:t>10</w:t>
            </w:r>
            <w:r>
              <w:rPr>
                <w:rFonts w:hint="default" w:ascii="Times New Roman" w:hAnsi="Times New Roman" w:cs="Times New Roman"/>
                <w:color w:val="auto"/>
              </w:rPr>
              <w:t>月</w:t>
            </w:r>
            <w:r>
              <w:rPr>
                <w:rFonts w:hint="eastAsia" w:cs="Times New Roman"/>
                <w:color w:val="auto"/>
                <w:lang w:val="en-US" w:eastAsia="zh-CN"/>
              </w:rPr>
              <w:t>23</w:t>
            </w:r>
            <w:r>
              <w:rPr>
                <w:rFonts w:hint="default" w:ascii="Times New Roman" w:hAnsi="Times New Roman" w:cs="Times New Roman"/>
                <w:color w:val="auto"/>
              </w:rPr>
              <w:t>日经</w:t>
            </w:r>
            <w:r>
              <w:rPr>
                <w:rFonts w:hint="eastAsia" w:cs="Times New Roman"/>
                <w:color w:val="auto"/>
                <w:lang w:eastAsia="zh-CN"/>
              </w:rPr>
              <w:t>蓬溪县行政审批局</w:t>
            </w:r>
            <w:r>
              <w:rPr>
                <w:rFonts w:hint="default" w:ascii="Times New Roman" w:hAnsi="Times New Roman" w:cs="Times New Roman"/>
                <w:color w:val="auto"/>
              </w:rPr>
              <w:t>备案，备案号为：</w:t>
            </w:r>
            <w:r>
              <w:rPr>
                <w:rFonts w:hint="eastAsia" w:ascii="Times New Roman" w:hAnsi="Times New Roman" w:cs="Times New Roman"/>
                <w:color w:val="auto"/>
                <w:lang w:eastAsia="zh-CN"/>
              </w:rPr>
              <w:t>川投资备【2410-510921-99-01-350736】FGQB-0457号</w:t>
            </w:r>
            <w:r>
              <w:rPr>
                <w:rFonts w:hint="default" w:ascii="Times New Roman" w:hAnsi="Times New Roman" w:cs="Times New Roman"/>
                <w:color w:val="auto"/>
              </w:rPr>
              <w:t>。</w:t>
            </w:r>
          </w:p>
          <w:p w14:paraId="79B9FA21">
            <w:pPr>
              <w:keepNext w:val="0"/>
              <w:keepLines w:val="0"/>
              <w:suppressLineNumbers w:val="0"/>
              <w:spacing w:before="0" w:beforeAutospacing="0" w:after="0" w:afterAutospacing="0"/>
              <w:ind w:left="0" w:right="0" w:firstLine="480" w:firstLineChars="200"/>
              <w:jc w:val="left"/>
              <w:rPr>
                <w:rFonts w:hint="default" w:ascii="Times New Roman" w:hAnsi="Times New Roman" w:cs="Times New Roman"/>
                <w:color w:val="auto"/>
              </w:rPr>
            </w:pPr>
            <w:r>
              <w:rPr>
                <w:rFonts w:hint="default" w:ascii="Times New Roman" w:hAnsi="Times New Roman" w:cs="Times New Roman"/>
                <w:color w:val="auto"/>
              </w:rPr>
              <w:t>根据以上分析，本项目属于《</w:t>
            </w:r>
            <w:r>
              <w:rPr>
                <w:rFonts w:hint="eastAsia" w:ascii="Times New Roman" w:hAnsi="Times New Roman" w:cs="Times New Roman"/>
                <w:color w:val="auto"/>
                <w:lang w:eastAsia="zh-CN"/>
              </w:rPr>
              <w:t>产业结构调整指导目录（2024年本）</w:t>
            </w:r>
            <w:r>
              <w:rPr>
                <w:rFonts w:hint="default" w:ascii="Times New Roman" w:hAnsi="Times New Roman" w:cs="Times New Roman"/>
                <w:color w:val="auto"/>
              </w:rPr>
              <w:t>》中</w:t>
            </w:r>
            <w:r>
              <w:rPr>
                <w:rFonts w:hint="eastAsia" w:ascii="Times New Roman" w:hAnsi="Times New Roman" w:cs="Times New Roman"/>
                <w:color w:val="auto"/>
              </w:rPr>
              <w:t>允许类</w:t>
            </w:r>
            <w:r>
              <w:rPr>
                <w:rFonts w:hint="default" w:ascii="Times New Roman" w:hAnsi="Times New Roman" w:cs="Times New Roman"/>
                <w:color w:val="auto"/>
              </w:rPr>
              <w:t>，本项目的建设是符合国家和地方产业政策要求的。</w:t>
            </w:r>
          </w:p>
          <w:p w14:paraId="44786B7B">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b/>
                <w:bCs/>
                <w:color w:val="auto"/>
                <w:kern w:val="0"/>
              </w:rPr>
            </w:pPr>
            <w:r>
              <w:rPr>
                <w:rFonts w:hint="eastAsia" w:ascii="Times New Roman" w:hAnsi="Times New Roman" w:cs="Times New Roman"/>
                <w:b/>
                <w:bCs/>
                <w:color w:val="auto"/>
                <w:kern w:val="0"/>
              </w:rPr>
              <w:t>二</w:t>
            </w:r>
            <w:r>
              <w:rPr>
                <w:rFonts w:hint="default" w:ascii="Times New Roman" w:hAnsi="Times New Roman" w:cs="Times New Roman"/>
                <w:b/>
                <w:bCs/>
                <w:color w:val="auto"/>
                <w:kern w:val="0"/>
              </w:rPr>
              <w:t>、</w:t>
            </w:r>
            <w:r>
              <w:rPr>
                <w:rFonts w:hint="eastAsia" w:ascii="Times New Roman" w:hAnsi="Times New Roman" w:cs="Times New Roman"/>
                <w:b/>
                <w:bCs/>
                <w:color w:val="auto"/>
                <w:kern w:val="0"/>
              </w:rPr>
              <w:t>项目</w:t>
            </w:r>
            <w:r>
              <w:rPr>
                <w:rFonts w:hint="default" w:ascii="Times New Roman" w:hAnsi="Times New Roman" w:cs="Times New Roman"/>
                <w:b/>
                <w:bCs/>
                <w:color w:val="auto"/>
                <w:kern w:val="0"/>
              </w:rPr>
              <w:t>用地</w:t>
            </w:r>
            <w:r>
              <w:rPr>
                <w:rFonts w:hint="eastAsia" w:ascii="Times New Roman" w:hAnsi="Times New Roman" w:cs="Times New Roman"/>
                <w:b/>
                <w:bCs/>
                <w:color w:val="auto"/>
                <w:kern w:val="0"/>
              </w:rPr>
              <w:t>规划</w:t>
            </w:r>
            <w:r>
              <w:rPr>
                <w:rFonts w:hint="default" w:ascii="Times New Roman" w:hAnsi="Times New Roman" w:cs="Times New Roman"/>
                <w:b/>
                <w:bCs/>
                <w:color w:val="auto"/>
                <w:kern w:val="0"/>
              </w:rPr>
              <w:t>符合性分析</w:t>
            </w:r>
          </w:p>
          <w:p w14:paraId="63F11D43">
            <w:pPr>
              <w:keepNext w:val="0"/>
              <w:keepLines w:val="0"/>
              <w:suppressLineNumbers w:val="0"/>
              <w:spacing w:before="0" w:beforeAutospacing="0" w:after="0" w:afterAutospacing="0"/>
              <w:ind w:left="0" w:right="0" w:firstLine="464" w:firstLineChars="200"/>
              <w:rPr>
                <w:rFonts w:hint="eastAsia" w:ascii="Times New Roman" w:hAnsi="Times New Roman" w:cs="Times New Roman"/>
                <w:color w:val="auto"/>
                <w:spacing w:val="-4"/>
              </w:rPr>
            </w:pPr>
            <w:r>
              <w:rPr>
                <w:rFonts w:hint="eastAsia" w:ascii="Times New Roman" w:hAnsi="Times New Roman" w:cs="Times New Roman"/>
                <w:color w:val="auto"/>
                <w:spacing w:val="-4"/>
                <w:lang w:eastAsia="zh-CN"/>
              </w:rPr>
              <w:t>遂宁宜诚柏利香料香精有限公司</w:t>
            </w:r>
            <w:r>
              <w:rPr>
                <w:rFonts w:hint="eastAsia" w:ascii="Times New Roman" w:hAnsi="Times New Roman" w:cs="Times New Roman"/>
                <w:color w:val="auto"/>
                <w:spacing w:val="-4"/>
              </w:rPr>
              <w:t>位于四川省遂宁市蓬溪经济开发区，</w:t>
            </w:r>
            <w:r>
              <w:rPr>
                <w:rFonts w:hint="eastAsia" w:ascii="Times New Roman" w:hAnsi="Times New Roman" w:cs="Times New Roman"/>
                <w:color w:val="auto"/>
                <w:spacing w:val="-4"/>
                <w:lang w:val="en-US" w:eastAsia="zh-CN"/>
              </w:rPr>
              <w:t>租用</w:t>
            </w:r>
            <w:r>
              <w:rPr>
                <w:rFonts w:hint="eastAsia" w:ascii="Times New Roman" w:hAnsi="Times New Roman" w:cs="Times New Roman"/>
                <w:color w:val="auto"/>
                <w:kern w:val="0"/>
                <w:lang w:eastAsia="zh-CN"/>
              </w:rPr>
              <w:t>遂宁市中通实业集团节能建材有限公司</w:t>
            </w:r>
            <w:r>
              <w:rPr>
                <w:rFonts w:hint="eastAsia" w:cs="Times New Roman"/>
                <w:color w:val="auto"/>
                <w:kern w:val="0"/>
                <w:lang w:val="en-US" w:eastAsia="zh-CN"/>
              </w:rPr>
              <w:t>部分厂房及空地</w:t>
            </w:r>
            <w:r>
              <w:rPr>
                <w:rFonts w:hint="eastAsia" w:ascii="Times New Roman" w:hAnsi="Times New Roman" w:cs="Times New Roman"/>
                <w:color w:val="auto"/>
                <w:kern w:val="0"/>
                <w:lang w:eastAsia="zh-CN"/>
              </w:rPr>
              <w:t>，</w:t>
            </w:r>
            <w:r>
              <w:rPr>
                <w:rFonts w:hint="eastAsia" w:ascii="Times New Roman" w:hAnsi="Times New Roman" w:cs="Times New Roman"/>
                <w:color w:val="auto"/>
                <w:spacing w:val="-4"/>
              </w:rPr>
              <w:t>根据</w:t>
            </w:r>
            <w:r>
              <w:rPr>
                <w:rFonts w:hint="eastAsia" w:ascii="Times New Roman" w:hAnsi="Times New Roman" w:cs="Times New Roman"/>
                <w:color w:val="auto"/>
                <w:spacing w:val="-4"/>
                <w:lang w:val="en-US" w:eastAsia="zh-CN"/>
              </w:rPr>
              <w:t>该</w:t>
            </w:r>
            <w:r>
              <w:rPr>
                <w:rFonts w:hint="eastAsia" w:ascii="Times New Roman" w:hAnsi="Times New Roman" w:cs="Times New Roman"/>
                <w:color w:val="auto"/>
                <w:spacing w:val="-4"/>
              </w:rPr>
              <w:t>单位取得的国土证（蓬国用（2015）第3334号），本项目用地为工业用地；同时，根据蓬溪县上游工业园土地利用规划图（见附图2），项目所在地为工业用地。</w:t>
            </w:r>
          </w:p>
          <w:p w14:paraId="3AA31B30">
            <w:pPr>
              <w:keepNext w:val="0"/>
              <w:keepLines w:val="0"/>
              <w:suppressLineNumbers w:val="0"/>
              <w:spacing w:before="0" w:beforeAutospacing="0" w:after="0" w:afterAutospacing="0"/>
              <w:ind w:left="0" w:right="0" w:firstLine="464" w:firstLineChars="200"/>
              <w:rPr>
                <w:rFonts w:hint="default" w:ascii="Times New Roman" w:hAnsi="Times New Roman" w:cs="Times New Roman"/>
                <w:color w:val="auto"/>
              </w:rPr>
            </w:pPr>
            <w:r>
              <w:rPr>
                <w:rFonts w:hint="eastAsia" w:ascii="Times New Roman" w:hAnsi="Times New Roman" w:cs="Times New Roman"/>
                <w:color w:val="auto"/>
                <w:spacing w:val="-4"/>
              </w:rPr>
              <w:t>因此，本项目符合蓬溪县土地利用规划。</w:t>
            </w:r>
          </w:p>
          <w:p w14:paraId="39C4CFF7">
            <w:pPr>
              <w:keepNext w:val="0"/>
              <w:keepLines w:val="0"/>
              <w:numPr>
                <w:ilvl w:val="0"/>
                <w:numId w:val="2"/>
              </w:numPr>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kern w:val="0"/>
              </w:rPr>
              <w:t>项目</w:t>
            </w:r>
            <w:r>
              <w:rPr>
                <w:rFonts w:hint="eastAsia" w:ascii="Times New Roman" w:hAnsi="Times New Roman" w:cs="Times New Roman"/>
                <w:b/>
                <w:bCs/>
                <w:color w:val="auto"/>
                <w:kern w:val="0"/>
              </w:rPr>
              <w:t>与生态环境分区管控符合性分析</w:t>
            </w:r>
          </w:p>
          <w:p w14:paraId="50A3513D">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0" w:firstLineChars="200"/>
              <w:textAlignment w:val="auto"/>
              <w:rPr>
                <w:rFonts w:hint="eastAsia" w:ascii="Times New Roman" w:hAnsi="Times New Roman" w:cs="Times New Roman"/>
                <w:b/>
                <w:bCs/>
                <w:color w:val="auto"/>
              </w:rPr>
            </w:pPr>
            <w:r>
              <w:rPr>
                <w:rFonts w:hint="default" w:ascii="Times New Roman" w:hAnsi="Times New Roman" w:eastAsia="宋体" w:cs="Times New Roman"/>
                <w:b w:val="0"/>
                <w:bCs/>
                <w:color w:val="auto"/>
                <w:sz w:val="24"/>
                <w:szCs w:val="24"/>
                <w:lang w:val="en-US" w:eastAsia="zh-CN"/>
              </w:rPr>
              <w:t>根据四川省政务网的</w:t>
            </w:r>
            <w:r>
              <w:rPr>
                <w:rFonts w:hint="eastAsia" w:ascii="Times New Roman" w:hAnsi="Times New Roman" w:eastAsia="宋体" w:cs="Times New Roman"/>
                <w:b w:val="0"/>
                <w:bCs/>
                <w:color w:val="auto"/>
                <w:sz w:val="24"/>
                <w:szCs w:val="24"/>
                <w:lang w:val="en-US" w:eastAsia="zh-CN"/>
              </w:rPr>
              <w:t>生态环境分区管控</w:t>
            </w:r>
            <w:r>
              <w:rPr>
                <w:rFonts w:hint="default" w:ascii="Times New Roman" w:hAnsi="Times New Roman" w:eastAsia="宋体" w:cs="Times New Roman"/>
                <w:b w:val="0"/>
                <w:bCs/>
                <w:color w:val="auto"/>
                <w:sz w:val="24"/>
                <w:szCs w:val="24"/>
                <w:lang w:val="zh-CN" w:eastAsia="zh-CN"/>
              </w:rPr>
              <w:t>符</w:t>
            </w:r>
            <w:r>
              <w:rPr>
                <w:rFonts w:hint="default" w:ascii="Times New Roman" w:hAnsi="Times New Roman" w:eastAsia="宋体" w:cs="Times New Roman"/>
                <w:b w:val="0"/>
                <w:bCs/>
                <w:color w:val="auto"/>
                <w:sz w:val="24"/>
                <w:szCs w:val="24"/>
                <w:lang w:val="en-US" w:eastAsia="zh-CN"/>
              </w:rPr>
              <w:t>合性分析模块</w:t>
            </w:r>
            <w:r>
              <w:rPr>
                <w:rFonts w:hint="default" w:ascii="Times New Roman" w:hAnsi="Times New Roman" w:eastAsia="宋体" w:cs="Times New Roman"/>
                <w:b w:val="0"/>
                <w:bCs/>
                <w:color w:val="auto"/>
                <w:sz w:val="24"/>
                <w:szCs w:val="24"/>
                <w:lang w:val="en-US" w:eastAsia="en-US"/>
              </w:rPr>
              <w:t>（https://www.sczwfw.gov.cn/tftb/jmopenpub/jmopen_files/webapp/html5/sxydctfx/index.html?areaCode=510000000000</w:t>
            </w:r>
            <w:r>
              <w:rPr>
                <w:rFonts w:hint="default" w:ascii="Times New Roman" w:hAnsi="Times New Roman" w:eastAsia="宋体" w:cs="Times New Roman"/>
                <w:b w:val="0"/>
                <w:bCs/>
                <w:color w:val="auto"/>
                <w:sz w:val="24"/>
                <w:szCs w:val="24"/>
                <w:lang w:val="en-US" w:eastAsia="zh-CN"/>
              </w:rPr>
              <w:t>，四川政务网一直通部门一生态环境厅一</w:t>
            </w:r>
            <w:r>
              <w:rPr>
                <w:rFonts w:hint="eastAsia" w:ascii="Times New Roman" w:hAnsi="Times New Roman" w:eastAsia="宋体" w:cs="Times New Roman"/>
                <w:b w:val="0"/>
                <w:bCs/>
                <w:color w:val="auto"/>
                <w:sz w:val="24"/>
                <w:szCs w:val="24"/>
                <w:lang w:val="en-US" w:eastAsia="zh-CN"/>
              </w:rPr>
              <w:t>生态环境分区管控数据分析</w:t>
            </w:r>
            <w:r>
              <w:rPr>
                <w:rFonts w:hint="default" w:ascii="Times New Roman" w:hAnsi="Times New Roman" w:eastAsia="宋体" w:cs="Times New Roman"/>
                <w:b w:val="0"/>
                <w:bCs/>
                <w:color w:val="auto"/>
                <w:sz w:val="24"/>
                <w:szCs w:val="24"/>
                <w:lang w:val="en-US" w:eastAsia="zh-CN"/>
              </w:rPr>
              <w:t>），查询得到项目所在的环境管控单元和管控要求，开展本项目与</w:t>
            </w:r>
            <w:r>
              <w:rPr>
                <w:rFonts w:hint="eastAsia" w:ascii="Times New Roman" w:hAnsi="Times New Roman" w:eastAsia="宋体" w:cs="Times New Roman"/>
                <w:b w:val="0"/>
                <w:bCs/>
                <w:color w:val="auto"/>
                <w:sz w:val="24"/>
                <w:szCs w:val="24"/>
                <w:lang w:val="en-US" w:eastAsia="zh-CN"/>
              </w:rPr>
              <w:t>生态环境分区管控</w:t>
            </w:r>
            <w:r>
              <w:rPr>
                <w:rFonts w:hint="default" w:ascii="Times New Roman" w:hAnsi="Times New Roman" w:eastAsia="宋体" w:cs="Times New Roman"/>
                <w:b w:val="0"/>
                <w:bCs/>
                <w:color w:val="auto"/>
                <w:sz w:val="24"/>
                <w:szCs w:val="24"/>
                <w:lang w:val="zh-CN" w:eastAsia="zh-CN"/>
              </w:rPr>
              <w:t>符</w:t>
            </w:r>
            <w:r>
              <w:rPr>
                <w:rFonts w:hint="default" w:ascii="Times New Roman" w:hAnsi="Times New Roman" w:eastAsia="宋体" w:cs="Times New Roman"/>
                <w:b w:val="0"/>
                <w:bCs/>
                <w:color w:val="auto"/>
                <w:sz w:val="24"/>
                <w:szCs w:val="24"/>
                <w:lang w:val="en-US" w:eastAsia="zh-CN"/>
              </w:rPr>
              <w:t>合性分析如下：</w:t>
            </w:r>
          </w:p>
          <w:p w14:paraId="74067857">
            <w:pPr>
              <w:pStyle w:val="14"/>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lang w:eastAsia="zh-CN"/>
              </w:rPr>
            </w:pPr>
            <w:r>
              <w:rPr>
                <w:rFonts w:hint="default" w:cs="Times New Roman"/>
                <w:color w:val="auto"/>
              </w:rPr>
              <w:drawing>
                <wp:inline distT="0" distB="0" distL="114300" distR="114300">
                  <wp:extent cx="4822825" cy="4057650"/>
                  <wp:effectExtent l="0" t="0" r="15875" b="0"/>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10"/>
                          <a:stretch>
                            <a:fillRect/>
                          </a:stretch>
                        </pic:blipFill>
                        <pic:spPr>
                          <a:xfrm>
                            <a:off x="0" y="0"/>
                            <a:ext cx="4822825" cy="4057650"/>
                          </a:xfrm>
                          <a:prstGeom prst="rect">
                            <a:avLst/>
                          </a:prstGeom>
                          <a:noFill/>
                          <a:ln>
                            <a:noFill/>
                          </a:ln>
                        </pic:spPr>
                      </pic:pic>
                    </a:graphicData>
                  </a:graphic>
                </wp:inline>
              </w:drawing>
            </w:r>
          </w:p>
          <w:p w14:paraId="696D1B88">
            <w:pPr>
              <w:pStyle w:val="14"/>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4"/>
                <w:lang w:eastAsia="zh-CN"/>
              </w:rPr>
              <w:t>图</w:t>
            </w:r>
            <w:r>
              <w:rPr>
                <w:rFonts w:hint="default" w:ascii="Times New Roman" w:hAnsi="Times New Roman" w:eastAsia="宋体" w:cs="Times New Roman"/>
                <w:b/>
                <w:bCs/>
                <w:color w:val="auto"/>
                <w:sz w:val="21"/>
                <w:szCs w:val="24"/>
              </w:rPr>
              <w:t>1-</w:t>
            </w:r>
            <w:r>
              <w:rPr>
                <w:rFonts w:hint="eastAsia" w:ascii="Times New Roman" w:hAnsi="Times New Roman" w:eastAsia="宋体" w:cs="Times New Roman"/>
                <w:b/>
                <w:bCs/>
                <w:color w:val="auto"/>
                <w:sz w:val="21"/>
                <w:szCs w:val="24"/>
                <w:lang w:val="en-US" w:eastAsia="zh-CN"/>
              </w:rPr>
              <w:t>2</w:t>
            </w:r>
            <w:r>
              <w:rPr>
                <w:rFonts w:hint="default" w:ascii="Times New Roman" w:hAnsi="Times New Roman" w:eastAsia="宋体" w:cs="Times New Roman"/>
                <w:b/>
                <w:bCs/>
                <w:color w:val="auto"/>
                <w:sz w:val="21"/>
                <w:szCs w:val="24"/>
              </w:rPr>
              <w:t xml:space="preserve"> </w:t>
            </w:r>
            <w:r>
              <w:rPr>
                <w:rFonts w:hint="eastAsia" w:ascii="Times New Roman" w:hAnsi="Times New Roman" w:eastAsia="宋体" w:cs="Times New Roman"/>
                <w:b/>
                <w:bCs/>
                <w:color w:val="auto"/>
                <w:sz w:val="21"/>
                <w:szCs w:val="21"/>
                <w:highlight w:val="none"/>
                <w:lang w:val="en-US" w:eastAsia="zh-CN"/>
              </w:rPr>
              <w:t>项目生态环境分区管控查询结果截图</w:t>
            </w:r>
          </w:p>
          <w:p w14:paraId="3A7C7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rPr>
            </w:pPr>
            <w:r>
              <w:rPr>
                <w:rFonts w:hint="eastAsia" w:ascii="Times New Roman" w:hAnsi="Times New Roman" w:eastAsia="宋体" w:cs="Times New Roman"/>
                <w:color w:val="auto"/>
                <w:lang w:eastAsia="zh-CN"/>
              </w:rPr>
              <w:t>项目与管控单元相对位置如下图所示：（图中▼表示项目位置）。</w:t>
            </w:r>
          </w:p>
          <w:p w14:paraId="659D11C1">
            <w:pPr>
              <w:pStyle w:val="14"/>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default" w:ascii="Helvetica" w:hAnsi="Helvetica" w:eastAsia="Helvetica" w:cs="Times New Roman"/>
                <w:color w:val="auto"/>
                <w:sz w:val="28"/>
                <w:szCs w:val="24"/>
              </w:rPr>
              <w:drawing>
                <wp:inline distT="0" distB="0" distL="114300" distR="114300">
                  <wp:extent cx="4511675" cy="3190240"/>
                  <wp:effectExtent l="9525" t="9525" r="12700" b="19685"/>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pic:cNvPicPr>
                            <a:picLocks noChangeAspect="1"/>
                          </pic:cNvPicPr>
                        </pic:nvPicPr>
                        <pic:blipFill>
                          <a:blip r:embed="rId11"/>
                          <a:stretch>
                            <a:fillRect/>
                          </a:stretch>
                        </pic:blipFill>
                        <pic:spPr>
                          <a:xfrm>
                            <a:off x="0" y="0"/>
                            <a:ext cx="4511675" cy="319024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161D5171">
            <w:pPr>
              <w:keepNext w:val="0"/>
              <w:keepLines w:val="0"/>
              <w:suppressLineNumbers w:val="0"/>
              <w:autoSpaceDE w:val="0"/>
              <w:autoSpaceDN w:val="0"/>
              <w:adjustRightInd w:val="0"/>
              <w:spacing w:before="0" w:beforeAutospacing="0" w:after="0" w:afterAutospacing="0" w:line="360" w:lineRule="auto"/>
              <w:ind w:left="0" w:right="0"/>
              <w:contextualSpacing/>
              <w:jc w:val="center"/>
              <w:rPr>
                <w:rFonts w:hint="eastAsia" w:ascii="Times New Roman" w:hAnsi="Times New Roman" w:eastAsia="宋体" w:cs="Times New Roman"/>
                <w:b/>
                <w:bCs/>
                <w:color w:val="auto"/>
                <w:sz w:val="21"/>
                <w:szCs w:val="24"/>
                <w:lang w:eastAsia="zh-CN"/>
              </w:rPr>
            </w:pPr>
            <w:r>
              <w:rPr>
                <w:rFonts w:hint="eastAsia" w:ascii="Times New Roman" w:hAnsi="Times New Roman" w:eastAsia="宋体" w:cs="Times New Roman"/>
                <w:b/>
                <w:bCs/>
                <w:color w:val="auto"/>
                <w:sz w:val="21"/>
                <w:szCs w:val="24"/>
                <w:lang w:eastAsia="zh-CN"/>
              </w:rPr>
              <w:t>图 1-</w:t>
            </w:r>
            <w:r>
              <w:rPr>
                <w:rFonts w:hint="eastAsia" w:ascii="Times New Roman" w:hAnsi="Times New Roman" w:eastAsia="宋体" w:cs="Times New Roman"/>
                <w:b/>
                <w:bCs/>
                <w:color w:val="auto"/>
                <w:sz w:val="21"/>
                <w:szCs w:val="24"/>
                <w:lang w:val="en-US" w:eastAsia="zh-CN"/>
              </w:rPr>
              <w:t>3</w:t>
            </w:r>
            <w:r>
              <w:rPr>
                <w:rFonts w:hint="eastAsia" w:ascii="Times New Roman" w:hAnsi="Times New Roman" w:eastAsia="宋体" w:cs="Times New Roman"/>
                <w:b/>
                <w:bCs/>
                <w:color w:val="auto"/>
                <w:sz w:val="21"/>
                <w:szCs w:val="24"/>
                <w:lang w:eastAsia="zh-CN"/>
              </w:rPr>
              <w:t xml:space="preserve"> 本项目与管控单元相对位置</w:t>
            </w:r>
          </w:p>
          <w:p w14:paraId="78359594">
            <w:pPr>
              <w:keepNext w:val="0"/>
              <w:keepLines w:val="0"/>
              <w:suppressLineNumbers w:val="0"/>
              <w:autoSpaceDE w:val="0"/>
              <w:autoSpaceDN w:val="0"/>
              <w:adjustRightInd w:val="0"/>
              <w:spacing w:before="0" w:beforeAutospacing="0" w:after="0" w:afterAutospacing="0" w:line="360" w:lineRule="auto"/>
              <w:ind w:left="0" w:right="0" w:firstLine="470" w:firstLineChars="196"/>
              <w:contextualSpacing/>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项目位于四川蓬溪经济开发区（上游片区），园区规划修编环境影响报告书中已开展了园区与“三线一单”符合性分析。根据川环办函【2021】469号文中“1.2分析结构”中规定“如建设项目位于产业园区内，且产业园区规划环境影响评价中已开展了园区与“三线一单”符合性分析，则项目环评只需分析与产业园区规划环评生态环境准入要求的符合性”。</w:t>
            </w:r>
          </w:p>
          <w:p w14:paraId="1CE73F34">
            <w:pPr>
              <w:keepNext w:val="0"/>
              <w:keepLines w:val="0"/>
              <w:suppressLineNumbers w:val="0"/>
              <w:autoSpaceDE w:val="0"/>
              <w:autoSpaceDN w:val="0"/>
              <w:adjustRightInd w:val="0"/>
              <w:spacing w:before="0" w:beforeAutospacing="0" w:after="0" w:afterAutospacing="0" w:line="360" w:lineRule="auto"/>
              <w:ind w:left="0" w:right="0" w:firstLine="470" w:firstLineChars="196"/>
              <w:contextualSpacing/>
              <w:jc w:val="left"/>
              <w:rPr>
                <w:rFonts w:hint="default" w:ascii="Times New Roman" w:hAnsi="Times New Roman" w:cs="Times New Roman"/>
                <w:b/>
                <w:bCs/>
                <w:color w:val="auto"/>
                <w:kern w:val="0"/>
              </w:rPr>
            </w:pPr>
            <w:r>
              <w:rPr>
                <w:rFonts w:hint="default"/>
                <w:color w:val="auto"/>
                <w:szCs w:val="21"/>
              </w:rPr>
              <w:t>因此</w:t>
            </w:r>
            <w:r>
              <w:rPr>
                <w:rFonts w:hint="eastAsia"/>
                <w:color w:val="auto"/>
                <w:szCs w:val="21"/>
              </w:rPr>
              <w:t>，</w:t>
            </w:r>
            <w:r>
              <w:rPr>
                <w:rFonts w:hint="default"/>
                <w:color w:val="auto"/>
                <w:szCs w:val="21"/>
              </w:rPr>
              <w:t>本次主要分析项目与</w:t>
            </w:r>
            <w:r>
              <w:rPr>
                <w:rFonts w:hint="eastAsia" w:ascii="Times New Roman" w:hAnsi="Times New Roman" w:eastAsia="宋体" w:cs="Times New Roman"/>
                <w:color w:val="auto"/>
                <w:szCs w:val="21"/>
              </w:rPr>
              <w:t>四川蓬溪经济开发区（上游片区）</w:t>
            </w:r>
            <w:r>
              <w:rPr>
                <w:rFonts w:hint="eastAsia"/>
                <w:color w:val="auto"/>
                <w:szCs w:val="21"/>
              </w:rPr>
              <w:t>规划环评生态环境准入要求的符合性，对比《四川蓬溪经济开发区（上游片区）（暨蓬溪县上游工业园产业聚集区）规划修编环境影响报告书》及其批复（遂环函[2022]67号），项目与规划环评生态环境准入要求符合性分析如下：</w:t>
            </w:r>
          </w:p>
        </w:tc>
      </w:tr>
    </w:tbl>
    <w:p w14:paraId="53FD1638">
      <w:pPr>
        <w:bidi w:val="0"/>
        <w:rPr>
          <w:color w:val="auto"/>
        </w:rPr>
      </w:pPr>
    </w:p>
    <w:p w14:paraId="031DC58C">
      <w:pPr>
        <w:bidi w:val="0"/>
        <w:rPr>
          <w:color w:val="auto"/>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13020"/>
      </w:tblGrid>
      <w:tr w14:paraId="09DD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9" w:type="dxa"/>
            <w:noWrap w:val="0"/>
            <w:vAlign w:val="center"/>
          </w:tcPr>
          <w:p w14:paraId="5CBD6B83">
            <w:pPr>
              <w:keepNext w:val="0"/>
              <w:keepLines w:val="0"/>
              <w:suppressLineNumbers w:val="0"/>
              <w:spacing w:before="0" w:beforeAutospacing="0" w:after="0" w:afterAutospacing="0"/>
              <w:ind w:left="0" w:right="0"/>
              <w:jc w:val="center"/>
              <w:outlineLvl w:val="0"/>
              <w:rPr>
                <w:rFonts w:hint="default" w:ascii="Times New Roman" w:hAnsi="Times New Roman" w:cs="Times New Roman"/>
                <w:color w:val="auto"/>
                <w:sz w:val="30"/>
                <w:vertAlign w:val="baseline"/>
              </w:rPr>
            </w:pPr>
          </w:p>
        </w:tc>
        <w:tc>
          <w:tcPr>
            <w:tcW w:w="13020" w:type="dxa"/>
            <w:noWrap w:val="0"/>
            <w:vAlign w:val="top"/>
          </w:tcPr>
          <w:p w14:paraId="0363B4F6">
            <w:pPr>
              <w:pStyle w:val="14"/>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w:t>
            </w: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 xml:space="preserve">  项目与蓬溪县上游工业园产业聚集区生态环境准入清单符合性分析</w:t>
            </w:r>
          </w:p>
          <w:tbl>
            <w:tblPr>
              <w:tblStyle w:val="2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88"/>
              <w:gridCol w:w="1826"/>
              <w:gridCol w:w="6570"/>
              <w:gridCol w:w="3032"/>
              <w:gridCol w:w="883"/>
            </w:tblGrid>
            <w:tr w14:paraId="24D27E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1" w:type="pct"/>
                  <w:tcBorders>
                    <w:tl2br w:val="nil"/>
                    <w:tr2bl w:val="nil"/>
                  </w:tcBorders>
                  <w:noWrap w:val="0"/>
                  <w:vAlign w:val="center"/>
                </w:tcPr>
                <w:p w14:paraId="437EA35E">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要素</w:t>
                  </w:r>
                </w:p>
              </w:tc>
              <w:tc>
                <w:tcPr>
                  <w:tcW w:w="713" w:type="pct"/>
                  <w:tcBorders>
                    <w:tl2br w:val="nil"/>
                    <w:tr2bl w:val="nil"/>
                  </w:tcBorders>
                  <w:noWrap w:val="0"/>
                  <w:vAlign w:val="center"/>
                </w:tcPr>
                <w:p w14:paraId="06DC8F69">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kern w:val="0"/>
                      <w:sz w:val="21"/>
                      <w:szCs w:val="21"/>
                      <w:lang w:val="en-US" w:eastAsia="zh-CN" w:bidi="ar"/>
                    </w:rPr>
                  </w:pPr>
                  <w:r>
                    <w:rPr>
                      <w:rFonts w:hint="eastAsia" w:ascii="Times New Roman" w:hAnsi="Times New Roman" w:cs="Times New Roman"/>
                      <w:b/>
                      <w:bCs/>
                      <w:color w:val="auto"/>
                      <w:kern w:val="0"/>
                      <w:sz w:val="21"/>
                      <w:szCs w:val="21"/>
                      <w:lang w:val="en-US" w:eastAsia="zh-CN" w:bidi="ar"/>
                    </w:rPr>
                    <w:t>生态环境准入清单重要管控要求</w:t>
                  </w:r>
                </w:p>
              </w:tc>
              <w:tc>
                <w:tcPr>
                  <w:tcW w:w="2566" w:type="pct"/>
                  <w:tcBorders>
                    <w:tl2br w:val="nil"/>
                    <w:tr2bl w:val="nil"/>
                  </w:tcBorders>
                  <w:noWrap w:val="0"/>
                  <w:vAlign w:val="center"/>
                </w:tcPr>
                <w:p w14:paraId="26E30632">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园区规划环评细化管控要求</w:t>
                  </w:r>
                </w:p>
              </w:tc>
              <w:tc>
                <w:tcPr>
                  <w:tcW w:w="1184" w:type="pct"/>
                  <w:tcBorders>
                    <w:tl2br w:val="nil"/>
                    <w:tr2bl w:val="nil"/>
                  </w:tcBorders>
                  <w:noWrap/>
                  <w:vAlign w:val="center"/>
                </w:tcPr>
                <w:p w14:paraId="52F808F4">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本项目情况</w:t>
                  </w:r>
                </w:p>
              </w:tc>
              <w:tc>
                <w:tcPr>
                  <w:tcW w:w="345" w:type="pct"/>
                  <w:tcBorders>
                    <w:tl2br w:val="nil"/>
                    <w:tr2bl w:val="nil"/>
                  </w:tcBorders>
                  <w:noWrap/>
                  <w:vAlign w:val="center"/>
                </w:tcPr>
                <w:p w14:paraId="4240A055">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符合性</w:t>
                  </w:r>
                </w:p>
              </w:tc>
            </w:tr>
            <w:tr w14:paraId="0AC9E4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91" w:type="pct"/>
                  <w:vMerge w:val="restart"/>
                  <w:tcBorders>
                    <w:tl2br w:val="nil"/>
                    <w:tr2bl w:val="nil"/>
                  </w:tcBorders>
                  <w:noWrap w:val="0"/>
                  <w:vAlign w:val="center"/>
                </w:tcPr>
                <w:p w14:paraId="11B740E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空间布局约束</w:t>
                  </w:r>
                </w:p>
              </w:tc>
              <w:tc>
                <w:tcPr>
                  <w:tcW w:w="713" w:type="pct"/>
                  <w:vMerge w:val="restart"/>
                  <w:tcBorders>
                    <w:tl2br w:val="nil"/>
                    <w:tr2bl w:val="nil"/>
                  </w:tcBorders>
                  <w:noWrap w:val="0"/>
                  <w:vAlign w:val="center"/>
                </w:tcPr>
                <w:p w14:paraId="3F1040B1">
                  <w:pPr>
                    <w:keepNext w:val="0"/>
                    <w:keepLines w:val="0"/>
                    <w:suppressLineNumbers w:val="0"/>
                    <w:spacing w:before="0" w:beforeAutospacing="0" w:after="0" w:afterAutospacing="0" w:line="240" w:lineRule="auto"/>
                    <w:ind w:left="0" w:right="0"/>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禁止开发建设活动的要求</w:t>
                  </w:r>
                </w:p>
                <w:p w14:paraId="3F6A36CE">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lang w:val="en-US" w:eastAsia="zh-CN"/>
                    </w:rPr>
                  </w:pPr>
                </w:p>
              </w:tc>
              <w:tc>
                <w:tcPr>
                  <w:tcW w:w="2566" w:type="pct"/>
                  <w:tcBorders>
                    <w:bottom w:val="single" w:color="auto" w:sz="4" w:space="0"/>
                    <w:tl2br w:val="nil"/>
                    <w:tr2bl w:val="nil"/>
                  </w:tcBorders>
                  <w:noWrap w:val="0"/>
                  <w:vAlign w:val="center"/>
                </w:tcPr>
                <w:p w14:paraId="26B8D2AE">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-禁止引入不符合法律法规、产业政策及相关环境管理要求的项目； </w:t>
                  </w:r>
                </w:p>
                <w:p w14:paraId="3538123A">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-禁止引入《环境保护综合名录》中涉及的“高污染、高环境风险”项目。 </w:t>
                  </w:r>
                </w:p>
                <w:p w14:paraId="52B84EF7">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-禁止引入清洁生产水平不能达二级或国内先进水平的项目。 </w:t>
                  </w:r>
                </w:p>
                <w:p w14:paraId="6441F7BC">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禁止新建医药、农药、制浆（含废纸制浆）、造纸、印染染整、制革、水泥、专业电镀、制革、洗选、含前工序的集成电路、平板玻璃、印制电路板、石墨及炭素制品、有色金属冶炼（钒、钛除外）等与主导产业环境不相容或不属于主导产业的高污染行业。 </w:t>
                  </w:r>
                </w:p>
                <w:p w14:paraId="669ABA11">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-禁止引入酒精饮料及酒类制造、屠宰、粮食及饲料加工、农产品加工等废水排放大的行业。</w:t>
                  </w:r>
                </w:p>
              </w:tc>
              <w:tc>
                <w:tcPr>
                  <w:tcW w:w="1184" w:type="pct"/>
                  <w:tcBorders>
                    <w:bottom w:val="single" w:color="auto" w:sz="4" w:space="0"/>
                    <w:tl2br w:val="nil"/>
                    <w:tr2bl w:val="nil"/>
                  </w:tcBorders>
                  <w:noWrap w:val="0"/>
                  <w:vAlign w:val="center"/>
                </w:tcPr>
                <w:p w14:paraId="0DEECA10">
                  <w:pPr>
                    <w:keepNext w:val="0"/>
                    <w:keepLines w:val="0"/>
                    <w:suppressLineNumbers w:val="0"/>
                    <w:spacing w:before="0" w:beforeAutospacing="0" w:after="0" w:afterAutospacing="0" w:line="240" w:lineRule="auto"/>
                    <w:ind w:left="0" w:right="0"/>
                    <w:jc w:val="center"/>
                    <w:textAlignment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lang w:val="en-US" w:eastAsia="zh-CN" w:bidi="ar"/>
                    </w:rPr>
                    <w:t>项目</w:t>
                  </w:r>
                  <w:r>
                    <w:rPr>
                      <w:rFonts w:hint="eastAsia" w:ascii="Times New Roman" w:hAnsi="Times New Roman" w:cs="Times New Roman"/>
                      <w:color w:val="auto"/>
                      <w:kern w:val="0"/>
                      <w:sz w:val="21"/>
                      <w:szCs w:val="21"/>
                      <w:lang w:val="en-US" w:eastAsia="zh-CN" w:bidi="ar"/>
                    </w:rPr>
                    <w:t>属于允许类项目，已取得备案表，符合国家现行产业政策及环境管理要求；不属于</w:t>
                  </w:r>
                  <w:r>
                    <w:rPr>
                      <w:rFonts w:hint="default" w:ascii="Times New Roman" w:hAnsi="Times New Roman" w:cs="Times New Roman"/>
                      <w:color w:val="auto"/>
                      <w:sz w:val="21"/>
                      <w:szCs w:val="21"/>
                      <w:lang w:val="en-US" w:eastAsia="zh-CN"/>
                    </w:rPr>
                    <w:t>《环境保护综合名录》中涉及的“高污染、高环境风险”项目</w:t>
                  </w:r>
                  <w:r>
                    <w:rPr>
                      <w:rFonts w:hint="eastAsia" w:ascii="Times New Roman" w:hAnsi="Times New Roman" w:cs="Times New Roman"/>
                      <w:color w:val="auto"/>
                      <w:sz w:val="21"/>
                      <w:szCs w:val="21"/>
                      <w:lang w:val="en-US" w:eastAsia="zh-CN"/>
                    </w:rPr>
                    <w:t>；</w:t>
                  </w:r>
                </w:p>
                <w:p w14:paraId="4196B3C1">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sz w:val="21"/>
                      <w:szCs w:val="21"/>
                      <w:lang w:val="en-US" w:eastAsia="zh-CN"/>
                    </w:rPr>
                    <w:t>项目</w:t>
                  </w:r>
                  <w:r>
                    <w:rPr>
                      <w:rFonts w:hint="default" w:ascii="Times New Roman" w:hAnsi="Times New Roman" w:cs="Times New Roman"/>
                      <w:color w:val="auto"/>
                      <w:kern w:val="0"/>
                      <w:sz w:val="21"/>
                      <w:szCs w:val="21"/>
                      <w:lang w:val="en-US" w:eastAsia="zh-CN" w:bidi="ar"/>
                    </w:rPr>
                    <w:t>能耗、污染物排放满足</w:t>
                  </w:r>
                  <w:r>
                    <w:rPr>
                      <w:rFonts w:hint="default" w:ascii="Times New Roman" w:hAnsi="Times New Roman" w:cs="Times New Roman"/>
                      <w:color w:val="auto"/>
                      <w:sz w:val="21"/>
                      <w:szCs w:val="21"/>
                    </w:rPr>
                    <w:t>《四川省省级生态工业园区指标》综合类生态工业园区要求</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清洁生产可以达到</w:t>
                  </w:r>
                  <w:r>
                    <w:rPr>
                      <w:rFonts w:hint="default" w:ascii="Times New Roman" w:hAnsi="Times New Roman" w:cs="Times New Roman"/>
                      <w:color w:val="auto"/>
                      <w:sz w:val="21"/>
                      <w:szCs w:val="21"/>
                      <w:lang w:val="en-US" w:eastAsia="zh-CN"/>
                    </w:rPr>
                    <w:t>二级或国内先进水平</w:t>
                  </w:r>
                  <w:r>
                    <w:rPr>
                      <w:rFonts w:hint="eastAsia" w:ascii="Times New Roman" w:hAnsi="Times New Roman" w:cs="Times New Roman"/>
                      <w:color w:val="auto"/>
                      <w:sz w:val="21"/>
                      <w:szCs w:val="21"/>
                      <w:lang w:val="en-US" w:eastAsia="zh-CN"/>
                    </w:rPr>
                    <w:t>；项目为柏木油及生物质颗粒生产，不属于禁止引入的</w:t>
                  </w:r>
                  <w:r>
                    <w:rPr>
                      <w:rFonts w:hint="default" w:ascii="Times New Roman" w:hAnsi="Times New Roman" w:cs="Times New Roman"/>
                      <w:color w:val="auto"/>
                      <w:sz w:val="21"/>
                      <w:szCs w:val="21"/>
                      <w:lang w:val="en-US" w:eastAsia="zh-CN"/>
                    </w:rPr>
                    <w:t>与主导产业环境不相容或不属于主导产业的高污染行业</w:t>
                  </w:r>
                  <w:r>
                    <w:rPr>
                      <w:rFonts w:hint="eastAsia" w:ascii="Times New Roman" w:hAnsi="Times New Roman" w:cs="Times New Roman"/>
                      <w:color w:val="auto"/>
                      <w:sz w:val="21"/>
                      <w:szCs w:val="21"/>
                      <w:lang w:val="en-US" w:eastAsia="zh-CN"/>
                    </w:rPr>
                    <w:t>，已取得入园证明；项目</w:t>
                  </w:r>
                  <w:r>
                    <w:rPr>
                      <w:rStyle w:val="30"/>
                      <w:rFonts w:hint="default" w:ascii="Times New Roman" w:hAnsi="Times New Roman" w:cs="Times New Roman"/>
                      <w:color w:val="auto"/>
                      <w:kern w:val="2"/>
                      <w:sz w:val="21"/>
                      <w:szCs w:val="21"/>
                      <w:lang w:val="en-US" w:eastAsia="zh-CN" w:bidi="ar-SA"/>
                    </w:rPr>
                    <w:t>废水产生量33.58m</w:t>
                  </w:r>
                  <w:r>
                    <w:rPr>
                      <w:rStyle w:val="30"/>
                      <w:rFonts w:hint="default" w:ascii="Times New Roman" w:hAnsi="Times New Roman" w:cs="Times New Roman"/>
                      <w:color w:val="auto"/>
                      <w:kern w:val="2"/>
                      <w:sz w:val="21"/>
                      <w:szCs w:val="21"/>
                      <w:vertAlign w:val="superscript"/>
                      <w:lang w:val="en-US" w:eastAsia="zh-CN" w:bidi="ar-SA"/>
                    </w:rPr>
                    <w:t>3</w:t>
                  </w:r>
                  <w:r>
                    <w:rPr>
                      <w:rStyle w:val="30"/>
                      <w:rFonts w:hint="default" w:ascii="Times New Roman" w:hAnsi="Times New Roman" w:cs="Times New Roman"/>
                      <w:color w:val="auto"/>
                      <w:kern w:val="2"/>
                      <w:sz w:val="21"/>
                      <w:szCs w:val="21"/>
                      <w:vertAlign w:val="baseline"/>
                      <w:lang w:val="en-US" w:eastAsia="zh-CN" w:bidi="ar-SA"/>
                    </w:rPr>
                    <w:t>/</w:t>
                  </w:r>
                  <w:r>
                    <w:rPr>
                      <w:rStyle w:val="30"/>
                      <w:rFonts w:hint="eastAsia" w:ascii="Times New Roman" w:hAnsi="Times New Roman" w:cs="Times New Roman"/>
                      <w:color w:val="auto"/>
                      <w:kern w:val="2"/>
                      <w:sz w:val="21"/>
                      <w:szCs w:val="21"/>
                      <w:vertAlign w:val="baseline"/>
                      <w:lang w:val="en-US" w:eastAsia="zh-CN" w:bidi="ar-SA"/>
                    </w:rPr>
                    <w:t>d</w:t>
                  </w:r>
                  <w:r>
                    <w:rPr>
                      <w:rStyle w:val="30"/>
                      <w:rFonts w:hint="default" w:ascii="Times New Roman" w:hAnsi="Times New Roman" w:cs="Times New Roman"/>
                      <w:color w:val="auto"/>
                      <w:kern w:val="2"/>
                      <w:sz w:val="21"/>
                      <w:szCs w:val="21"/>
                      <w:vertAlign w:val="baseline"/>
                      <w:lang w:val="en-US" w:eastAsia="zh-CN" w:bidi="ar-SA"/>
                    </w:rPr>
                    <w:t>，根据</w:t>
                  </w:r>
                  <w:r>
                    <w:rPr>
                      <w:rStyle w:val="30"/>
                      <w:rFonts w:hint="eastAsia" w:ascii="Times New Roman" w:hAnsi="Times New Roman" w:cs="Times New Roman"/>
                      <w:color w:val="auto"/>
                      <w:kern w:val="2"/>
                      <w:sz w:val="21"/>
                      <w:szCs w:val="21"/>
                      <w:vertAlign w:val="baseline"/>
                      <w:lang w:val="en-US" w:eastAsia="zh-CN" w:bidi="ar-SA"/>
                    </w:rPr>
                    <w:t>生产</w:t>
                  </w:r>
                  <w:r>
                    <w:rPr>
                      <w:rStyle w:val="30"/>
                      <w:rFonts w:hint="default" w:ascii="Times New Roman" w:hAnsi="Times New Roman" w:cs="Times New Roman"/>
                      <w:color w:val="auto"/>
                      <w:kern w:val="2"/>
                      <w:sz w:val="21"/>
                      <w:szCs w:val="21"/>
                      <w:vertAlign w:val="baseline"/>
                      <w:lang w:val="en-US" w:eastAsia="zh-CN" w:bidi="ar-SA"/>
                    </w:rPr>
                    <w:t>废水检测报告，主要污染物为COD、BOD，</w:t>
                  </w:r>
                  <w:r>
                    <w:rPr>
                      <w:rStyle w:val="30"/>
                      <w:rFonts w:hint="default" w:ascii="Times New Roman" w:hAnsi="Times New Roman" w:cs="Times New Roman"/>
                      <w:color w:val="auto"/>
                      <w:kern w:val="2"/>
                      <w:sz w:val="21"/>
                      <w:szCs w:val="21"/>
                      <w:lang w:val="en-US" w:eastAsia="zh-CN" w:bidi="ar-SA"/>
                    </w:rPr>
                    <w:t>不属于废水排放量大且难以处理的企业</w:t>
                  </w:r>
                  <w:r>
                    <w:rPr>
                      <w:rStyle w:val="30"/>
                      <w:rFonts w:hint="eastAsia" w:ascii="Times New Roman" w:hAnsi="Times New Roman" w:cs="Times New Roman"/>
                      <w:color w:val="auto"/>
                      <w:kern w:val="2"/>
                      <w:sz w:val="21"/>
                      <w:szCs w:val="21"/>
                      <w:lang w:val="en-US" w:eastAsia="zh-CN" w:bidi="ar-SA"/>
                    </w:rPr>
                    <w:t>。</w:t>
                  </w:r>
                </w:p>
              </w:tc>
              <w:tc>
                <w:tcPr>
                  <w:tcW w:w="345" w:type="pct"/>
                  <w:tcBorders>
                    <w:bottom w:val="single" w:color="auto" w:sz="4" w:space="0"/>
                    <w:tl2br w:val="nil"/>
                    <w:tr2bl w:val="nil"/>
                  </w:tcBorders>
                  <w:noWrap w:val="0"/>
                  <w:vAlign w:val="center"/>
                </w:tcPr>
                <w:p w14:paraId="01CA7A1C">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符合</w:t>
                  </w:r>
                </w:p>
              </w:tc>
            </w:tr>
            <w:tr w14:paraId="148793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5" w:hRule="atLeast"/>
              </w:trPr>
              <w:tc>
                <w:tcPr>
                  <w:tcW w:w="191" w:type="pct"/>
                  <w:vMerge w:val="continue"/>
                  <w:tcBorders>
                    <w:tl2br w:val="nil"/>
                    <w:tr2bl w:val="nil"/>
                  </w:tcBorders>
                  <w:noWrap w:val="0"/>
                  <w:vAlign w:val="center"/>
                </w:tcPr>
                <w:p w14:paraId="6761F7A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713" w:type="pct"/>
                  <w:vMerge w:val="continue"/>
                  <w:tcBorders>
                    <w:bottom w:val="single" w:color="auto" w:sz="4" w:space="0"/>
                    <w:tl2br w:val="nil"/>
                    <w:tr2bl w:val="nil"/>
                  </w:tcBorders>
                  <w:noWrap w:val="0"/>
                  <w:vAlign w:val="center"/>
                </w:tcPr>
                <w:p w14:paraId="41B21EAA">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lang w:val="en-US" w:eastAsia="zh-CN"/>
                    </w:rPr>
                  </w:pPr>
                </w:p>
              </w:tc>
              <w:tc>
                <w:tcPr>
                  <w:tcW w:w="2566" w:type="pct"/>
                  <w:tcBorders>
                    <w:top w:val="single" w:color="auto" w:sz="4" w:space="0"/>
                    <w:bottom w:val="single" w:color="auto" w:sz="4" w:space="0"/>
                    <w:tl2br w:val="nil"/>
                    <w:tr2bl w:val="nil"/>
                  </w:tcBorders>
                  <w:noWrap w:val="0"/>
                  <w:vAlign w:val="center"/>
                </w:tcPr>
                <w:p w14:paraId="348BF072">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门业及智能家居产业园：禁止引入溶剂型涂料涂装的木质家具（高流量低压</w:t>
                  </w:r>
                  <w:r>
                    <w:rPr>
                      <w:rFonts w:hint="default" w:ascii="Times New Roman" w:hAnsi="Times New Roman" w:eastAsia="宋体" w:cs="Times New Roman"/>
                      <w:color w:val="auto"/>
                      <w:sz w:val="21"/>
                      <w:szCs w:val="21"/>
                      <w:lang w:val="en-US" w:eastAsia="zh-CN"/>
                    </w:rPr>
                    <w:t>[HVLP]</w:t>
                  </w:r>
                  <w:r>
                    <w:rPr>
                      <w:rFonts w:hint="eastAsia" w:ascii="Times New Roman" w:hAnsi="Times New Roman" w:eastAsia="宋体" w:cs="Times New Roman"/>
                      <w:color w:val="auto"/>
                      <w:sz w:val="21"/>
                      <w:szCs w:val="21"/>
                      <w:lang w:val="en-US" w:eastAsia="zh-CN"/>
                    </w:rPr>
                    <w:t xml:space="preserve">喷漆工艺除外）。 </w:t>
                  </w:r>
                </w:p>
                <w:p w14:paraId="07D0E855">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线缆线束产业园：禁止引入 6 千伏及以上（陆上用）干法交联电力电缆项目。</w:t>
                  </w:r>
                </w:p>
              </w:tc>
              <w:tc>
                <w:tcPr>
                  <w:tcW w:w="1184" w:type="pct"/>
                  <w:tcBorders>
                    <w:top w:val="single" w:color="auto" w:sz="4" w:space="0"/>
                    <w:bottom w:val="single" w:color="auto" w:sz="4" w:space="0"/>
                    <w:tl2br w:val="nil"/>
                    <w:tr2bl w:val="nil"/>
                  </w:tcBorders>
                  <w:noWrap w:val="0"/>
                  <w:vAlign w:val="center"/>
                </w:tcPr>
                <w:p w14:paraId="18C1BCCA">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项目</w:t>
                  </w:r>
                  <w:r>
                    <w:rPr>
                      <w:rFonts w:hint="eastAsia" w:cs="Times New Roman"/>
                      <w:color w:val="auto"/>
                      <w:kern w:val="0"/>
                      <w:sz w:val="21"/>
                      <w:szCs w:val="21"/>
                      <w:lang w:val="en-US" w:eastAsia="zh-CN" w:bidi="ar"/>
                    </w:rPr>
                    <w:t>为</w:t>
                  </w:r>
                  <w:r>
                    <w:rPr>
                      <w:rFonts w:hint="eastAsia" w:ascii="Times New Roman" w:hAnsi="Times New Roman" w:cs="Times New Roman"/>
                      <w:color w:val="auto"/>
                      <w:sz w:val="21"/>
                      <w:szCs w:val="21"/>
                      <w:lang w:val="en-US" w:eastAsia="zh-CN"/>
                    </w:rPr>
                    <w:t>柏木油及生物质颗粒生产，</w:t>
                  </w:r>
                  <w:r>
                    <w:rPr>
                      <w:rFonts w:hint="eastAsia" w:ascii="Times New Roman" w:hAnsi="Times New Roman" w:cs="Times New Roman"/>
                      <w:color w:val="auto"/>
                      <w:kern w:val="0"/>
                      <w:sz w:val="21"/>
                      <w:szCs w:val="21"/>
                      <w:lang w:val="en-US" w:eastAsia="zh-CN" w:bidi="ar"/>
                    </w:rPr>
                    <w:t>不属于木质家具生产企业，也不属于电缆项目。</w:t>
                  </w:r>
                </w:p>
              </w:tc>
              <w:tc>
                <w:tcPr>
                  <w:tcW w:w="345" w:type="pct"/>
                  <w:tcBorders>
                    <w:top w:val="single" w:color="auto" w:sz="4" w:space="0"/>
                    <w:bottom w:val="single" w:color="auto" w:sz="4" w:space="0"/>
                    <w:tl2br w:val="nil"/>
                    <w:tr2bl w:val="nil"/>
                  </w:tcBorders>
                  <w:noWrap w:val="0"/>
                  <w:vAlign w:val="center"/>
                </w:tcPr>
                <w:p w14:paraId="37BDE243">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符合</w:t>
                  </w:r>
                </w:p>
              </w:tc>
            </w:tr>
            <w:tr w14:paraId="3C8724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9" w:hRule="atLeast"/>
              </w:trPr>
              <w:tc>
                <w:tcPr>
                  <w:tcW w:w="191" w:type="pct"/>
                  <w:vMerge w:val="continue"/>
                  <w:tcBorders>
                    <w:tl2br w:val="nil"/>
                    <w:tr2bl w:val="nil"/>
                  </w:tcBorders>
                  <w:noWrap w:val="0"/>
                  <w:vAlign w:val="center"/>
                </w:tcPr>
                <w:p w14:paraId="00BF820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713" w:type="pct"/>
                  <w:vMerge w:val="restart"/>
                  <w:tcBorders>
                    <w:top w:val="single" w:color="auto" w:sz="4" w:space="0"/>
                    <w:tl2br w:val="nil"/>
                    <w:tr2bl w:val="nil"/>
                  </w:tcBorders>
                  <w:noWrap w:val="0"/>
                  <w:vAlign w:val="center"/>
                </w:tcPr>
                <w:p w14:paraId="623D547D">
                  <w:pPr>
                    <w:keepNext w:val="0"/>
                    <w:keepLines w:val="0"/>
                    <w:suppressLineNumbers w:val="0"/>
                    <w:spacing w:before="0" w:beforeAutospacing="0" w:after="0" w:afterAutospacing="0" w:line="240" w:lineRule="auto"/>
                    <w:ind w:left="0" w:right="0"/>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限制开发建设活动的要求</w:t>
                  </w:r>
                </w:p>
                <w:p w14:paraId="135DFD35">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lang w:val="en-US" w:eastAsia="zh-CN"/>
                    </w:rPr>
                  </w:pPr>
                </w:p>
              </w:tc>
              <w:tc>
                <w:tcPr>
                  <w:tcW w:w="2566" w:type="pct"/>
                  <w:tcBorders>
                    <w:top w:val="single" w:color="auto" w:sz="4" w:space="0"/>
                    <w:bottom w:val="single" w:color="auto" w:sz="4" w:space="0"/>
                    <w:tl2br w:val="nil"/>
                    <w:tr2bl w:val="nil"/>
                  </w:tcBorders>
                  <w:noWrap w:val="0"/>
                  <w:vAlign w:val="center"/>
                </w:tcPr>
                <w:p w14:paraId="1A36240C">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-控制规划区居住用地规模，在居住用地和工业用地之间预留足够的防护带。 </w:t>
                  </w:r>
                </w:p>
              </w:tc>
              <w:tc>
                <w:tcPr>
                  <w:tcW w:w="1184" w:type="pct"/>
                  <w:tcBorders>
                    <w:top w:val="single" w:color="auto" w:sz="4" w:space="0"/>
                    <w:bottom w:val="single" w:color="auto" w:sz="4" w:space="0"/>
                    <w:tl2br w:val="nil"/>
                    <w:tr2bl w:val="nil"/>
                  </w:tcBorders>
                  <w:noWrap w:val="0"/>
                  <w:vAlign w:val="center"/>
                </w:tcPr>
                <w:p w14:paraId="30587969">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rPr>
                    <w:t>位于蓬溪经开区梨园路</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位于梨园社区下风向、侧风向</w:t>
                  </w:r>
                  <w:r>
                    <w:rPr>
                      <w:rFonts w:hint="eastAsia"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社区</w:t>
                  </w:r>
                  <w:r>
                    <w:rPr>
                      <w:rFonts w:hint="eastAsia" w:ascii="Times New Roman" w:hAnsi="Times New Roman" w:cs="Times New Roman"/>
                      <w:color w:val="auto"/>
                      <w:sz w:val="21"/>
                      <w:szCs w:val="21"/>
                    </w:rPr>
                    <w:t>周</w:t>
                  </w:r>
                  <w:r>
                    <w:rPr>
                      <w:rFonts w:hint="eastAsia" w:ascii="Times New Roman" w:hAnsi="Times New Roman" w:cs="Times New Roman"/>
                      <w:color w:val="auto"/>
                      <w:sz w:val="21"/>
                      <w:szCs w:val="21"/>
                      <w:lang w:eastAsia="zh-CN"/>
                    </w:rPr>
                    <w:t>边</w:t>
                  </w:r>
                  <w:r>
                    <w:rPr>
                      <w:rFonts w:hint="default" w:ascii="Times New Roman" w:hAnsi="Times New Roman" w:cs="Times New Roman"/>
                      <w:color w:val="auto"/>
                      <w:sz w:val="21"/>
                      <w:szCs w:val="21"/>
                    </w:rPr>
                    <w:t>设置了防护绿地，</w:t>
                  </w:r>
                  <w:r>
                    <w:rPr>
                      <w:rFonts w:hint="eastAsia" w:ascii="Times New Roman" w:hAnsi="Times New Roman" w:cs="Times New Roman"/>
                      <w:color w:val="auto"/>
                      <w:sz w:val="21"/>
                      <w:szCs w:val="21"/>
                      <w:lang w:val="en-US" w:eastAsia="zh-CN"/>
                    </w:rPr>
                    <w:t>与本项目</w:t>
                  </w:r>
                  <w:r>
                    <w:rPr>
                      <w:rFonts w:hint="eastAsia" w:cs="Times New Roman"/>
                      <w:color w:val="auto"/>
                      <w:sz w:val="21"/>
                      <w:szCs w:val="21"/>
                      <w:lang w:val="en-US" w:eastAsia="zh-CN"/>
                    </w:rPr>
                    <w:t>之间存在</w:t>
                  </w:r>
                  <w:r>
                    <w:rPr>
                      <w:rFonts w:hint="default" w:ascii="Times New Roman" w:hAnsi="Times New Roman" w:cs="Times New Roman"/>
                      <w:color w:val="auto"/>
                      <w:sz w:val="21"/>
                      <w:szCs w:val="21"/>
                    </w:rPr>
                    <w:t>企业、道路、山脊间隔</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项目与其距离大于200m。</w:t>
                  </w:r>
                </w:p>
              </w:tc>
              <w:tc>
                <w:tcPr>
                  <w:tcW w:w="345" w:type="pct"/>
                  <w:tcBorders>
                    <w:top w:val="single" w:color="auto" w:sz="4" w:space="0"/>
                    <w:bottom w:val="single" w:color="auto" w:sz="4" w:space="0"/>
                    <w:tl2br w:val="nil"/>
                    <w:tr2bl w:val="nil"/>
                  </w:tcBorders>
                  <w:noWrap w:val="0"/>
                  <w:vAlign w:val="center"/>
                </w:tcPr>
                <w:p w14:paraId="6F90942D">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符合</w:t>
                  </w:r>
                </w:p>
              </w:tc>
            </w:tr>
            <w:tr w14:paraId="6945CC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191" w:type="pct"/>
                  <w:vMerge w:val="continue"/>
                  <w:tcBorders>
                    <w:tl2br w:val="nil"/>
                    <w:tr2bl w:val="nil"/>
                  </w:tcBorders>
                  <w:noWrap w:val="0"/>
                  <w:vAlign w:val="center"/>
                </w:tcPr>
                <w:p w14:paraId="4345A29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713" w:type="pct"/>
                  <w:vMerge w:val="continue"/>
                  <w:tcBorders>
                    <w:tl2br w:val="nil"/>
                    <w:tr2bl w:val="nil"/>
                  </w:tcBorders>
                  <w:noWrap w:val="0"/>
                  <w:vAlign w:val="center"/>
                </w:tcPr>
                <w:p w14:paraId="30EEC06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2566" w:type="pct"/>
                  <w:tcBorders>
                    <w:top w:val="single" w:color="auto" w:sz="4" w:space="0"/>
                    <w:bottom w:val="single" w:color="auto" w:sz="4" w:space="0"/>
                    <w:tl2br w:val="nil"/>
                    <w:tr2bl w:val="nil"/>
                  </w:tcBorders>
                  <w:noWrap w:val="0"/>
                  <w:vAlign w:val="center"/>
                </w:tcPr>
                <w:p w14:paraId="08A7C68E">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现有食品行业（仅分装、勾兑的除外），维持现状，如需对现有企业进行改扩建，做到不新增用地、增产不增污；现有食品行业（仅分装、勾兑），在满足环保要求的前提下，不限制其发展，但今后改、扩建等进一步发展，需要做到节能减排。</w:t>
                  </w:r>
                </w:p>
              </w:tc>
              <w:tc>
                <w:tcPr>
                  <w:tcW w:w="1184" w:type="pct"/>
                  <w:tcBorders>
                    <w:top w:val="single" w:color="auto" w:sz="4" w:space="0"/>
                    <w:bottom w:val="single" w:color="auto" w:sz="4" w:space="0"/>
                    <w:tl2br w:val="nil"/>
                    <w:tr2bl w:val="nil"/>
                  </w:tcBorders>
                  <w:noWrap w:val="0"/>
                  <w:vAlign w:val="center"/>
                </w:tcPr>
                <w:p w14:paraId="58806537">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项目不属于食品行业。</w:t>
                  </w:r>
                </w:p>
              </w:tc>
              <w:tc>
                <w:tcPr>
                  <w:tcW w:w="345" w:type="pct"/>
                  <w:tcBorders>
                    <w:top w:val="single" w:color="auto" w:sz="4" w:space="0"/>
                    <w:bottom w:val="single" w:color="auto" w:sz="4" w:space="0"/>
                    <w:tl2br w:val="nil"/>
                    <w:tr2bl w:val="nil"/>
                  </w:tcBorders>
                  <w:noWrap w:val="0"/>
                  <w:vAlign w:val="center"/>
                </w:tcPr>
                <w:p w14:paraId="7CFD73FC">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符合</w:t>
                  </w:r>
                </w:p>
              </w:tc>
            </w:tr>
            <w:tr w14:paraId="7A3573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91" w:type="pct"/>
                  <w:vMerge w:val="continue"/>
                  <w:tcBorders>
                    <w:tl2br w:val="nil"/>
                    <w:tr2bl w:val="nil"/>
                  </w:tcBorders>
                  <w:noWrap w:val="0"/>
                  <w:vAlign w:val="center"/>
                </w:tcPr>
                <w:p w14:paraId="30F0570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713" w:type="pct"/>
                  <w:vMerge w:val="continue"/>
                  <w:tcBorders>
                    <w:top w:val="single" w:color="auto" w:sz="4" w:space="0"/>
                    <w:bottom w:val="single" w:color="auto" w:sz="4" w:space="0"/>
                    <w:tl2br w:val="nil"/>
                    <w:tr2bl w:val="nil"/>
                  </w:tcBorders>
                  <w:noWrap w:val="0"/>
                  <w:vAlign w:val="center"/>
                </w:tcPr>
                <w:p w14:paraId="13B2388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2566" w:type="pct"/>
                  <w:tcBorders>
                    <w:top w:val="single" w:color="auto" w:sz="4" w:space="0"/>
                    <w:bottom w:val="single" w:color="auto" w:sz="4" w:space="0"/>
                    <w:tl2br w:val="nil"/>
                    <w:tr2bl w:val="nil"/>
                  </w:tcBorders>
                  <w:noWrap w:val="0"/>
                  <w:vAlign w:val="center"/>
                </w:tcPr>
                <w:p w14:paraId="1F220CFE">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 xml:space="preserve">在基本农田调出规划范围之前，涉及基本农田区域不得进行开发建设 </w:t>
                  </w:r>
                </w:p>
              </w:tc>
              <w:tc>
                <w:tcPr>
                  <w:tcW w:w="1184" w:type="pct"/>
                  <w:tcBorders>
                    <w:top w:val="single" w:color="auto" w:sz="4" w:space="0"/>
                    <w:bottom w:val="single" w:color="auto" w:sz="4" w:space="0"/>
                    <w:tl2br w:val="nil"/>
                    <w:tr2bl w:val="nil"/>
                  </w:tcBorders>
                  <w:noWrap w:val="0"/>
                  <w:vAlign w:val="center"/>
                </w:tcPr>
                <w:p w14:paraId="10E0FC7A">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项目</w:t>
                  </w:r>
                  <w:r>
                    <w:rPr>
                      <w:rFonts w:hint="default" w:ascii="Times New Roman" w:hAnsi="Times New Roman" w:cs="Times New Roman"/>
                      <w:color w:val="auto"/>
                      <w:kern w:val="0"/>
                      <w:sz w:val="21"/>
                      <w:szCs w:val="21"/>
                      <w:lang w:val="en-US" w:eastAsia="zh-CN" w:bidi="ar"/>
                    </w:rPr>
                    <w:t>为租用厂房，不新增用地</w:t>
                  </w:r>
                  <w:r>
                    <w:rPr>
                      <w:rFonts w:hint="eastAsia" w:ascii="Times New Roman" w:hAnsi="Times New Roman" w:cs="Times New Roman"/>
                      <w:color w:val="auto"/>
                      <w:kern w:val="0"/>
                      <w:sz w:val="21"/>
                      <w:szCs w:val="21"/>
                      <w:lang w:val="en-US" w:eastAsia="zh-CN" w:bidi="ar"/>
                    </w:rPr>
                    <w:t>。</w:t>
                  </w:r>
                </w:p>
              </w:tc>
              <w:tc>
                <w:tcPr>
                  <w:tcW w:w="345" w:type="pct"/>
                  <w:tcBorders>
                    <w:top w:val="single" w:color="auto" w:sz="4" w:space="0"/>
                    <w:bottom w:val="single" w:color="auto" w:sz="4" w:space="0"/>
                    <w:tl2br w:val="nil"/>
                    <w:tr2bl w:val="nil"/>
                  </w:tcBorders>
                  <w:noWrap w:val="0"/>
                  <w:vAlign w:val="center"/>
                </w:tcPr>
                <w:p w14:paraId="18D5BAB0">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符合</w:t>
                  </w:r>
                </w:p>
              </w:tc>
            </w:tr>
            <w:tr w14:paraId="41C526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6" w:hRule="atLeast"/>
              </w:trPr>
              <w:tc>
                <w:tcPr>
                  <w:tcW w:w="191" w:type="pct"/>
                  <w:vMerge w:val="continue"/>
                  <w:tcBorders>
                    <w:tl2br w:val="nil"/>
                    <w:tr2bl w:val="nil"/>
                  </w:tcBorders>
                  <w:noWrap w:val="0"/>
                  <w:vAlign w:val="center"/>
                </w:tcPr>
                <w:p w14:paraId="5A7225F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713" w:type="pct"/>
                  <w:tcBorders>
                    <w:top w:val="single" w:color="auto" w:sz="4" w:space="0"/>
                    <w:tl2br w:val="nil"/>
                    <w:tr2bl w:val="nil"/>
                  </w:tcBorders>
                  <w:noWrap w:val="0"/>
                  <w:vAlign w:val="center"/>
                </w:tcPr>
                <w:p w14:paraId="021C765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不符合空间布局要求活动的退出要求</w:t>
                  </w:r>
                </w:p>
              </w:tc>
              <w:tc>
                <w:tcPr>
                  <w:tcW w:w="2566" w:type="pct"/>
                  <w:tcBorders>
                    <w:top w:val="single" w:color="auto" w:sz="4" w:space="0"/>
                    <w:tl2br w:val="nil"/>
                    <w:tr2bl w:val="nil"/>
                  </w:tcBorders>
                  <w:noWrap w:val="0"/>
                  <w:vAlign w:val="center"/>
                </w:tcPr>
                <w:p w14:paraId="71E84756">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-现有的化工企业（生产油漆、涂料），企业满足当前环保要求的前提下，维持现状，今后仅进行安全、环保提升改造，若国家相关政策需要清退的，无条件配合。</w:t>
                  </w:r>
                </w:p>
              </w:tc>
              <w:tc>
                <w:tcPr>
                  <w:tcW w:w="1184" w:type="pct"/>
                  <w:tcBorders>
                    <w:top w:val="single" w:color="auto" w:sz="4" w:space="0"/>
                    <w:tl2br w:val="nil"/>
                    <w:tr2bl w:val="nil"/>
                  </w:tcBorders>
                  <w:noWrap w:val="0"/>
                  <w:vAlign w:val="center"/>
                </w:tcPr>
                <w:p w14:paraId="24747DD1">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项目不属于油漆、涂料生产企业。</w:t>
                  </w:r>
                </w:p>
              </w:tc>
              <w:tc>
                <w:tcPr>
                  <w:tcW w:w="345" w:type="pct"/>
                  <w:tcBorders>
                    <w:top w:val="single" w:color="auto" w:sz="4" w:space="0"/>
                    <w:tl2br w:val="nil"/>
                    <w:tr2bl w:val="nil"/>
                  </w:tcBorders>
                  <w:noWrap w:val="0"/>
                  <w:vAlign w:val="center"/>
                </w:tcPr>
                <w:p w14:paraId="7A614AA6">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符合</w:t>
                  </w:r>
                </w:p>
              </w:tc>
            </w:tr>
            <w:tr w14:paraId="14F3DA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77" w:hRule="atLeast"/>
              </w:trPr>
              <w:tc>
                <w:tcPr>
                  <w:tcW w:w="191" w:type="pct"/>
                  <w:vMerge w:val="restart"/>
                  <w:tcBorders>
                    <w:tl2br w:val="nil"/>
                    <w:tr2bl w:val="nil"/>
                  </w:tcBorders>
                  <w:noWrap w:val="0"/>
                  <w:vAlign w:val="center"/>
                </w:tcPr>
                <w:p w14:paraId="5BF9FCF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Style w:val="30"/>
                      <w:rFonts w:hint="default" w:ascii="Times New Roman" w:hAnsi="Times New Roman" w:eastAsia="宋体" w:cs="Times New Roman"/>
                      <w:color w:val="auto"/>
                      <w:kern w:val="2"/>
                      <w:sz w:val="21"/>
                      <w:szCs w:val="21"/>
                      <w:lang w:val="en-US" w:eastAsia="zh-CN" w:bidi="ar-SA"/>
                    </w:rPr>
                    <w:t>污染物排放管控</w:t>
                  </w:r>
                </w:p>
              </w:tc>
              <w:tc>
                <w:tcPr>
                  <w:tcW w:w="713" w:type="pct"/>
                  <w:tcBorders>
                    <w:bottom w:val="single" w:color="auto" w:sz="4" w:space="0"/>
                    <w:tl2br w:val="nil"/>
                    <w:tr2bl w:val="nil"/>
                  </w:tcBorders>
                  <w:noWrap w:val="0"/>
                  <w:vAlign w:val="center"/>
                </w:tcPr>
                <w:p w14:paraId="3D36DDD6">
                  <w:pPr>
                    <w:keepNext w:val="0"/>
                    <w:keepLines w:val="0"/>
                    <w:widowControl/>
                    <w:suppressLineNumbers w:val="0"/>
                    <w:spacing w:before="0" w:beforeAutospacing="0" w:after="0" w:afterAutospacing="0"/>
                    <w:ind w:left="0" w:right="0"/>
                    <w:jc w:val="left"/>
                    <w:rPr>
                      <w:rFonts w:hint="default"/>
                      <w:color w:val="auto"/>
                    </w:rPr>
                  </w:pPr>
                  <w:r>
                    <w:rPr>
                      <w:rFonts w:hint="eastAsia" w:ascii="宋体" w:hAnsi="宋体" w:eastAsia="宋体" w:cs="宋体"/>
                      <w:color w:val="auto"/>
                      <w:kern w:val="0"/>
                      <w:sz w:val="21"/>
                      <w:szCs w:val="21"/>
                      <w:lang w:val="en-US" w:eastAsia="zh-CN" w:bidi="ar"/>
                    </w:rPr>
                    <w:t xml:space="preserve">废水污染物排放 </w:t>
                  </w:r>
                </w:p>
                <w:p w14:paraId="75F26BC7">
                  <w:pPr>
                    <w:keepNext w:val="0"/>
                    <w:keepLines w:val="0"/>
                    <w:widowControl/>
                    <w:suppressLineNumbers w:val="0"/>
                    <w:spacing w:before="0" w:beforeAutospacing="0" w:after="0" w:afterAutospacing="0"/>
                    <w:ind w:left="0" w:right="0"/>
                    <w:jc w:val="left"/>
                    <w:rPr>
                      <w:rFonts w:hint="default"/>
                      <w:color w:val="auto"/>
                    </w:rPr>
                  </w:pPr>
                  <w:r>
                    <w:rPr>
                      <w:rFonts w:hint="eastAsia" w:ascii="宋体" w:hAnsi="宋体" w:eastAsia="宋体" w:cs="宋体"/>
                      <w:color w:val="auto"/>
                      <w:kern w:val="0"/>
                      <w:sz w:val="21"/>
                      <w:szCs w:val="21"/>
                      <w:lang w:val="en-US" w:eastAsia="zh-CN" w:bidi="ar"/>
                    </w:rPr>
                    <w:t>准入要求</w:t>
                  </w:r>
                </w:p>
                <w:p w14:paraId="35B881E7">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p>
              </w:tc>
              <w:tc>
                <w:tcPr>
                  <w:tcW w:w="2566" w:type="pct"/>
                  <w:tcBorders>
                    <w:bottom w:val="single" w:color="auto" w:sz="4" w:space="0"/>
                    <w:tl2br w:val="nil"/>
                    <w:tr2bl w:val="nil"/>
                  </w:tcBorders>
                  <w:noWrap w:val="0"/>
                  <w:vAlign w:val="center"/>
                </w:tcPr>
                <w:p w14:paraId="2DD05C5B">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-严格执行“雨污分流”、“清污分流”，区域内的生产、生活废水全部进入经开区污水处理厂收集处理，收集率达到100%；</w:t>
                  </w:r>
                </w:p>
                <w:p w14:paraId="14FA3636">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-入园项目的废水必须自行处理达到《污水综合排放标准》三级标准或相关行业要求后进入经开区污水处理厂集中处理，尾水必须达到《城镇污水处理厂污染物排放标准》（GB18918-2002）一级</w:t>
                  </w:r>
                  <w:r>
                    <w:rPr>
                      <w:rFonts w:hint="default" w:ascii="Times New Roman" w:hAnsi="Times New Roman" w:cs="Times New Roman"/>
                      <w:color w:val="auto"/>
                      <w:sz w:val="21"/>
                      <w:szCs w:val="21"/>
                      <w:lang w:val="en-US" w:eastAsia="zh-CN"/>
                    </w:rPr>
                    <w:t xml:space="preserve">A 标准。 </w:t>
                  </w:r>
                </w:p>
                <w:p w14:paraId="2F7F8169">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-在芝溪河达到III类标准前，经开区污水处理厂尾水排放不得超过2000m</w:t>
                  </w:r>
                  <w:r>
                    <w:rPr>
                      <w:rFonts w:hint="default" w:ascii="Times New Roman" w:hAnsi="Times New Roman" w:cs="Times New Roman"/>
                      <w:color w:val="auto"/>
                      <w:sz w:val="21"/>
                      <w:szCs w:val="21"/>
                      <w:vertAlign w:val="superscript"/>
                      <w:lang w:val="en-US" w:eastAsia="zh-CN"/>
                    </w:rPr>
                    <w:t xml:space="preserve">3 </w:t>
                  </w:r>
                  <w:r>
                    <w:rPr>
                      <w:rFonts w:hint="default" w:ascii="Times New Roman" w:hAnsi="Times New Roman" w:cs="Times New Roman"/>
                      <w:color w:val="auto"/>
                      <w:sz w:val="21"/>
                      <w:szCs w:val="21"/>
                      <w:lang w:val="en-US" w:eastAsia="zh-CN"/>
                    </w:rPr>
                    <w:t>/d。</w:t>
                  </w:r>
                </w:p>
              </w:tc>
              <w:tc>
                <w:tcPr>
                  <w:tcW w:w="1184" w:type="pct"/>
                  <w:tcBorders>
                    <w:bottom w:val="single" w:color="auto" w:sz="4" w:space="0"/>
                    <w:tl2br w:val="nil"/>
                    <w:tr2bl w:val="nil"/>
                  </w:tcBorders>
                  <w:noWrap w:val="0"/>
                  <w:vAlign w:val="center"/>
                </w:tcPr>
                <w:p w14:paraId="03E70E3B">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项目</w:t>
                  </w:r>
                  <w:r>
                    <w:rPr>
                      <w:rFonts w:hint="eastAsia" w:ascii="Times New Roman" w:hAnsi="Times New Roman" w:cs="Times New Roman"/>
                      <w:color w:val="auto"/>
                      <w:kern w:val="0"/>
                      <w:sz w:val="21"/>
                      <w:szCs w:val="21"/>
                      <w:lang w:val="en-US" w:eastAsia="zh-CN" w:bidi="ar"/>
                    </w:rPr>
                    <w:t>实行雨污分流，生活污水经预处理池处理，生产废水经隔油、厌氧处理</w:t>
                  </w:r>
                  <w:r>
                    <w:rPr>
                      <w:rStyle w:val="30"/>
                      <w:rFonts w:hint="default" w:ascii="Times New Roman" w:hAnsi="Times New Roman" w:eastAsia="宋体" w:cs="Times New Roman"/>
                      <w:color w:val="auto"/>
                      <w:kern w:val="2"/>
                      <w:sz w:val="21"/>
                      <w:szCs w:val="21"/>
                      <w:lang w:val="en-US" w:eastAsia="zh-CN" w:bidi="ar-SA"/>
                    </w:rPr>
                    <w:t>达到《污水综合排放标准》三级标准排入污水处理厂</w:t>
                  </w:r>
                  <w:r>
                    <w:rPr>
                      <w:rStyle w:val="30"/>
                      <w:rFonts w:hint="eastAsia" w:ascii="Times New Roman" w:hAnsi="Times New Roman" w:cs="Times New Roman"/>
                      <w:color w:val="auto"/>
                      <w:kern w:val="2"/>
                      <w:sz w:val="21"/>
                      <w:szCs w:val="21"/>
                      <w:lang w:val="en-US" w:eastAsia="zh-CN" w:bidi="ar-SA"/>
                    </w:rPr>
                    <w:t>，</w:t>
                  </w:r>
                  <w:r>
                    <w:rPr>
                      <w:rStyle w:val="30"/>
                      <w:rFonts w:hint="default" w:ascii="Times New Roman" w:hAnsi="Times New Roman" w:eastAsia="宋体" w:cs="Times New Roman"/>
                      <w:color w:val="auto"/>
                      <w:kern w:val="2"/>
                      <w:sz w:val="21"/>
                      <w:szCs w:val="21"/>
                      <w:lang w:val="en-US" w:eastAsia="zh-CN" w:bidi="ar-SA"/>
                    </w:rPr>
                    <w:t>处理达《城镇污水处理厂污染物排放标准》一级A标后排放。</w:t>
                  </w:r>
                  <w:r>
                    <w:rPr>
                      <w:rFonts w:hint="default" w:ascii="Times New Roman" w:hAnsi="Times New Roman" w:cs="Times New Roman"/>
                      <w:color w:val="auto"/>
                      <w:sz w:val="21"/>
                      <w:szCs w:val="21"/>
                      <w:lang w:val="en-US" w:eastAsia="zh-CN"/>
                    </w:rPr>
                    <w:t>经开区污水处理厂</w:t>
                  </w:r>
                  <w:r>
                    <w:rPr>
                      <w:rFonts w:hint="eastAsia" w:ascii="Times New Roman" w:hAnsi="Times New Roman" w:cs="Times New Roman"/>
                      <w:color w:val="auto"/>
                      <w:sz w:val="21"/>
                      <w:szCs w:val="21"/>
                      <w:lang w:val="en-US" w:eastAsia="zh-CN"/>
                    </w:rPr>
                    <w:t>目前尚未满负荷运行，可以接纳本项目废水并处理。</w:t>
                  </w:r>
                </w:p>
              </w:tc>
              <w:tc>
                <w:tcPr>
                  <w:tcW w:w="345" w:type="pct"/>
                  <w:tcBorders>
                    <w:bottom w:val="single" w:color="auto" w:sz="4" w:space="0"/>
                    <w:tl2br w:val="nil"/>
                    <w:tr2bl w:val="nil"/>
                  </w:tcBorders>
                  <w:noWrap w:val="0"/>
                  <w:vAlign w:val="center"/>
                </w:tcPr>
                <w:p w14:paraId="5D242EA7">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符合</w:t>
                  </w:r>
                </w:p>
              </w:tc>
            </w:tr>
            <w:tr w14:paraId="57E1B7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7" w:hRule="atLeast"/>
              </w:trPr>
              <w:tc>
                <w:tcPr>
                  <w:tcW w:w="191" w:type="pct"/>
                  <w:vMerge w:val="continue"/>
                  <w:tcBorders>
                    <w:tl2br w:val="nil"/>
                    <w:tr2bl w:val="nil"/>
                  </w:tcBorders>
                  <w:noWrap w:val="0"/>
                  <w:vAlign w:val="center"/>
                </w:tcPr>
                <w:p w14:paraId="3CB7EA91">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p>
              </w:tc>
              <w:tc>
                <w:tcPr>
                  <w:tcW w:w="713" w:type="pct"/>
                  <w:tcBorders>
                    <w:top w:val="single" w:color="auto" w:sz="4" w:space="0"/>
                    <w:bottom w:val="single" w:color="auto" w:sz="4" w:space="0"/>
                    <w:tl2br w:val="nil"/>
                    <w:tr2bl w:val="nil"/>
                  </w:tcBorders>
                  <w:noWrap w:val="0"/>
                  <w:vAlign w:val="center"/>
                </w:tcPr>
                <w:p w14:paraId="72BB54B5">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废气污染物排放</w:t>
                  </w:r>
                </w:p>
                <w:p w14:paraId="4DDB1D0A">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准入要求</w:t>
                  </w:r>
                </w:p>
              </w:tc>
              <w:tc>
                <w:tcPr>
                  <w:tcW w:w="2566" w:type="pct"/>
                  <w:tcBorders>
                    <w:top w:val="single" w:color="auto" w:sz="4" w:space="0"/>
                    <w:bottom w:val="single" w:color="auto" w:sz="4" w:space="0"/>
                    <w:tl2br w:val="nil"/>
                    <w:tr2bl w:val="nil"/>
                  </w:tcBorders>
                  <w:noWrap w:val="0"/>
                  <w:vAlign w:val="center"/>
                </w:tcPr>
                <w:p w14:paraId="6F6D4F9A">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-按照《挥发性有机物无组织排放控制标准》（GB37822）要求，严格控制生产、储存、装卸等环节的排放，提高有机废气收集及处理效率。</w:t>
                  </w:r>
                </w:p>
              </w:tc>
              <w:tc>
                <w:tcPr>
                  <w:tcW w:w="1184" w:type="pct"/>
                  <w:tcBorders>
                    <w:top w:val="single" w:color="auto" w:sz="4" w:space="0"/>
                    <w:bottom w:val="single" w:color="auto" w:sz="4" w:space="0"/>
                    <w:tl2br w:val="nil"/>
                    <w:tr2bl w:val="nil"/>
                  </w:tcBorders>
                  <w:noWrap w:val="0"/>
                  <w:vAlign w:val="center"/>
                </w:tcPr>
                <w:p w14:paraId="60B1D4B4">
                  <w:pPr>
                    <w:keepNext w:val="0"/>
                    <w:keepLines w:val="0"/>
                    <w:suppressLineNumbers w:val="0"/>
                    <w:spacing w:before="0" w:beforeAutospacing="0" w:after="0" w:afterAutospacing="0" w:line="240" w:lineRule="auto"/>
                    <w:ind w:left="0" w:right="0"/>
                    <w:jc w:val="center"/>
                    <w:textAlignment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项目原料无VOCs排放，</w:t>
                  </w:r>
                  <w:r>
                    <w:rPr>
                      <w:rFonts w:hint="eastAsia" w:cs="Times New Roman"/>
                      <w:color w:val="auto"/>
                      <w:sz w:val="21"/>
                      <w:szCs w:val="21"/>
                      <w:lang w:val="en-US" w:eastAsia="zh-CN"/>
                    </w:rPr>
                    <w:t>产品柏木油桶装密闭贮存，</w:t>
                  </w:r>
                  <w:r>
                    <w:rPr>
                      <w:rFonts w:hint="eastAsia" w:ascii="Times New Roman" w:hAnsi="Times New Roman" w:cs="Times New Roman"/>
                      <w:color w:val="auto"/>
                      <w:sz w:val="21"/>
                      <w:szCs w:val="21"/>
                      <w:lang w:val="en-US" w:eastAsia="zh-CN"/>
                    </w:rPr>
                    <w:t>生产过程中产生VOCs加强收集，减少无组织排放，采用设备密闭集气罩</w:t>
                  </w:r>
                  <w:r>
                    <w:rPr>
                      <w:rFonts w:hint="eastAsia" w:cs="Times New Roman"/>
                      <w:color w:val="auto"/>
                      <w:sz w:val="21"/>
                      <w:szCs w:val="21"/>
                      <w:lang w:val="en-US" w:eastAsia="zh-CN"/>
                    </w:rPr>
                    <w:t>收集</w:t>
                  </w:r>
                  <w:r>
                    <w:rPr>
                      <w:rFonts w:hint="eastAsia" w:ascii="Times New Roman" w:hAnsi="Times New Roman" w:cs="Times New Roman"/>
                      <w:color w:val="auto"/>
                      <w:sz w:val="21"/>
                      <w:szCs w:val="21"/>
                      <w:lang w:val="en-US" w:eastAsia="zh-CN"/>
                    </w:rPr>
                    <w:t>，两级活性炭处理后达标排放。</w:t>
                  </w:r>
                </w:p>
              </w:tc>
              <w:tc>
                <w:tcPr>
                  <w:tcW w:w="345" w:type="pct"/>
                  <w:tcBorders>
                    <w:top w:val="single" w:color="auto" w:sz="4" w:space="0"/>
                    <w:bottom w:val="single" w:color="auto" w:sz="4" w:space="0"/>
                    <w:tl2br w:val="nil"/>
                    <w:tr2bl w:val="nil"/>
                  </w:tcBorders>
                  <w:noWrap w:val="0"/>
                  <w:vAlign w:val="center"/>
                </w:tcPr>
                <w:p w14:paraId="53260E29">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符合</w:t>
                  </w:r>
                </w:p>
              </w:tc>
            </w:tr>
            <w:tr w14:paraId="3187DD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5" w:hRule="atLeast"/>
              </w:trPr>
              <w:tc>
                <w:tcPr>
                  <w:tcW w:w="191" w:type="pct"/>
                  <w:vMerge w:val="continue"/>
                  <w:tcBorders>
                    <w:tl2br w:val="nil"/>
                    <w:tr2bl w:val="nil"/>
                  </w:tcBorders>
                  <w:noWrap w:val="0"/>
                  <w:vAlign w:val="center"/>
                </w:tcPr>
                <w:p w14:paraId="5A7E3848">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p>
              </w:tc>
              <w:tc>
                <w:tcPr>
                  <w:tcW w:w="713" w:type="pct"/>
                  <w:tcBorders>
                    <w:top w:val="single" w:color="auto" w:sz="4" w:space="0"/>
                    <w:bottom w:val="single" w:color="auto" w:sz="4" w:space="0"/>
                    <w:tl2br w:val="nil"/>
                    <w:tr2bl w:val="nil"/>
                  </w:tcBorders>
                  <w:noWrap w:val="0"/>
                  <w:vAlign w:val="center"/>
                </w:tcPr>
                <w:p w14:paraId="29E9612D">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清洁生产水平准</w:t>
                  </w:r>
                </w:p>
                <w:p w14:paraId="60F87269">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入要求</w:t>
                  </w:r>
                </w:p>
              </w:tc>
              <w:tc>
                <w:tcPr>
                  <w:tcW w:w="2566" w:type="pct"/>
                  <w:tcBorders>
                    <w:top w:val="single" w:color="auto" w:sz="4" w:space="0"/>
                    <w:bottom w:val="single" w:color="auto" w:sz="4" w:space="0"/>
                    <w:tl2br w:val="nil"/>
                    <w:tr2bl w:val="nil"/>
                  </w:tcBorders>
                  <w:noWrap w:val="0"/>
                  <w:vAlign w:val="center"/>
                </w:tcPr>
                <w:p w14:paraId="7FB11D81">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-水污染物产生指标达到或严于清洁生产水平二级或国内同行业先进水平。</w:t>
                  </w:r>
                </w:p>
              </w:tc>
              <w:tc>
                <w:tcPr>
                  <w:tcW w:w="1184" w:type="pct"/>
                  <w:tcBorders>
                    <w:top w:val="single" w:color="auto" w:sz="4" w:space="0"/>
                    <w:bottom w:val="single" w:color="auto" w:sz="4" w:space="0"/>
                    <w:tl2br w:val="nil"/>
                    <w:tr2bl w:val="nil"/>
                  </w:tcBorders>
                  <w:noWrap w:val="0"/>
                  <w:vAlign w:val="center"/>
                </w:tcPr>
                <w:p w14:paraId="675D5F89">
                  <w:pPr>
                    <w:keepNext w:val="0"/>
                    <w:keepLines w:val="0"/>
                    <w:suppressLineNumbers w:val="0"/>
                    <w:spacing w:before="0" w:beforeAutospacing="0" w:after="0" w:afterAutospacing="0" w:line="240" w:lineRule="auto"/>
                    <w:ind w:left="0" w:right="0"/>
                    <w:jc w:val="center"/>
                    <w:textAlignment w:val="center"/>
                    <w:rPr>
                      <w:rStyle w:val="30"/>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项目</w:t>
                  </w:r>
                  <w:r>
                    <w:rPr>
                      <w:rFonts w:hint="default" w:ascii="Times New Roman" w:hAnsi="Times New Roman" w:cs="Times New Roman"/>
                      <w:color w:val="auto"/>
                      <w:sz w:val="21"/>
                      <w:szCs w:val="21"/>
                    </w:rPr>
                    <w:t>水耗指标</w:t>
                  </w:r>
                  <w:r>
                    <w:rPr>
                      <w:rFonts w:hint="default" w:ascii="Times New Roman" w:hAnsi="Times New Roman" w:cs="Times New Roman"/>
                      <w:color w:val="auto"/>
                      <w:sz w:val="21"/>
                      <w:szCs w:val="21"/>
                      <w:lang w:val="en-US" w:eastAsia="zh-CN"/>
                    </w:rPr>
                    <w:t>5.88m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/万元，</w:t>
                  </w:r>
                  <w:r>
                    <w:rPr>
                      <w:rFonts w:hint="default" w:ascii="Times New Roman" w:hAnsi="Times New Roman" w:cs="Times New Roman"/>
                      <w:color w:val="auto"/>
                      <w:sz w:val="21"/>
                      <w:szCs w:val="21"/>
                    </w:rPr>
                    <w:t>满足《四川省省级生态工业园区指标》综合类生态工业园区≤</w:t>
                  </w:r>
                  <w:r>
                    <w:rPr>
                      <w:rFonts w:hint="default" w:ascii="Times New Roman" w:hAnsi="Times New Roman" w:cs="Times New Roman"/>
                      <w:color w:val="auto"/>
                      <w:sz w:val="21"/>
                      <w:szCs w:val="21"/>
                      <w:lang w:val="en-US" w:eastAsia="zh-CN"/>
                    </w:rPr>
                    <w:t>12m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/万元</w:t>
                  </w:r>
                  <w:r>
                    <w:rPr>
                      <w:rFonts w:hint="default" w:ascii="Times New Roman" w:hAnsi="Times New Roman" w:cs="Times New Roman"/>
                      <w:color w:val="auto"/>
                      <w:sz w:val="21"/>
                      <w:szCs w:val="21"/>
                    </w:rPr>
                    <w:t>要求</w:t>
                  </w:r>
                  <w:r>
                    <w:rPr>
                      <w:rFonts w:hint="eastAsia" w:ascii="Times New Roman" w:hAnsi="Times New Roman" w:cs="Times New Roman"/>
                      <w:color w:val="auto"/>
                      <w:sz w:val="21"/>
                      <w:szCs w:val="21"/>
                      <w:lang w:eastAsia="zh-CN"/>
                    </w:rPr>
                    <w:t>。</w:t>
                  </w:r>
                </w:p>
              </w:tc>
              <w:tc>
                <w:tcPr>
                  <w:tcW w:w="345" w:type="pct"/>
                  <w:tcBorders>
                    <w:top w:val="single" w:color="auto" w:sz="4" w:space="0"/>
                    <w:bottom w:val="single" w:color="auto" w:sz="4" w:space="0"/>
                    <w:tl2br w:val="nil"/>
                    <w:tr2bl w:val="nil"/>
                  </w:tcBorders>
                  <w:noWrap w:val="0"/>
                  <w:vAlign w:val="center"/>
                </w:tcPr>
                <w:p w14:paraId="3128C5FD">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符合</w:t>
                  </w:r>
                </w:p>
              </w:tc>
            </w:tr>
            <w:tr w14:paraId="1F2400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1" w:hRule="atLeast"/>
              </w:trPr>
              <w:tc>
                <w:tcPr>
                  <w:tcW w:w="191" w:type="pct"/>
                  <w:vMerge w:val="continue"/>
                  <w:tcBorders>
                    <w:tl2br w:val="nil"/>
                    <w:tr2bl w:val="nil"/>
                  </w:tcBorders>
                  <w:noWrap w:val="0"/>
                  <w:vAlign w:val="center"/>
                </w:tcPr>
                <w:p w14:paraId="6115FBFD">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p>
              </w:tc>
              <w:tc>
                <w:tcPr>
                  <w:tcW w:w="713" w:type="pct"/>
                  <w:tcBorders>
                    <w:top w:val="single" w:color="auto" w:sz="4" w:space="0"/>
                    <w:tl2br w:val="nil"/>
                    <w:tr2bl w:val="nil"/>
                  </w:tcBorders>
                  <w:noWrap w:val="0"/>
                  <w:vAlign w:val="center"/>
                </w:tcPr>
                <w:p w14:paraId="676F5FB1">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固废处置准入要</w:t>
                  </w:r>
                </w:p>
                <w:p w14:paraId="4F2246C2">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求</w:t>
                  </w:r>
                </w:p>
              </w:tc>
              <w:tc>
                <w:tcPr>
                  <w:tcW w:w="2566" w:type="pct"/>
                  <w:tcBorders>
                    <w:top w:val="single" w:color="auto" w:sz="4" w:space="0"/>
                    <w:tl2br w:val="nil"/>
                    <w:tr2bl w:val="nil"/>
                  </w:tcBorders>
                  <w:noWrap w:val="0"/>
                  <w:vAlign w:val="center"/>
                </w:tcPr>
                <w:p w14:paraId="1452BE1E">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-工业固体废弃物利用处置率达100%</w:t>
                  </w:r>
                </w:p>
                <w:p w14:paraId="53DE6F62">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-生活垃圾无害化处理率达100%</w:t>
                  </w:r>
                </w:p>
                <w:p w14:paraId="0EDBD5B4">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-危险废物安全处置率达100%</w:t>
                  </w:r>
                </w:p>
              </w:tc>
              <w:tc>
                <w:tcPr>
                  <w:tcW w:w="1184" w:type="pct"/>
                  <w:tcBorders>
                    <w:top w:val="single" w:color="auto" w:sz="4" w:space="0"/>
                    <w:tl2br w:val="nil"/>
                    <w:tr2bl w:val="nil"/>
                  </w:tcBorders>
                  <w:noWrap w:val="0"/>
                  <w:vAlign w:val="center"/>
                </w:tcPr>
                <w:p w14:paraId="05DE47F4">
                  <w:pPr>
                    <w:keepNext w:val="0"/>
                    <w:keepLines w:val="0"/>
                    <w:suppressLineNumbers w:val="0"/>
                    <w:spacing w:before="0" w:beforeAutospacing="0" w:after="0" w:afterAutospacing="0" w:line="240" w:lineRule="auto"/>
                    <w:ind w:left="0" w:right="0"/>
                    <w:jc w:val="center"/>
                    <w:textAlignment w:val="center"/>
                    <w:rPr>
                      <w:rStyle w:val="30"/>
                      <w:rFonts w:hint="default" w:ascii="Times New Roman" w:hAnsi="Times New Roman" w:eastAsia="宋体" w:cs="Times New Roman"/>
                      <w:color w:val="auto"/>
                      <w:kern w:val="2"/>
                      <w:sz w:val="21"/>
                      <w:szCs w:val="21"/>
                      <w:lang w:val="en-US" w:eastAsia="zh-CN" w:bidi="ar-SA"/>
                    </w:rPr>
                  </w:pPr>
                  <w:r>
                    <w:rPr>
                      <w:rStyle w:val="30"/>
                      <w:rFonts w:hint="eastAsia" w:ascii="Times New Roman" w:hAnsi="Times New Roman" w:cs="Times New Roman"/>
                      <w:color w:val="auto"/>
                      <w:kern w:val="2"/>
                      <w:sz w:val="21"/>
                      <w:szCs w:val="21"/>
                      <w:lang w:val="en-US" w:eastAsia="zh-CN" w:bidi="ar-SA"/>
                    </w:rPr>
                    <w:t>项目固废均去向明确，可以做到无害化处理。</w:t>
                  </w:r>
                </w:p>
              </w:tc>
              <w:tc>
                <w:tcPr>
                  <w:tcW w:w="345" w:type="pct"/>
                  <w:tcBorders>
                    <w:top w:val="single" w:color="auto" w:sz="4" w:space="0"/>
                    <w:tl2br w:val="nil"/>
                    <w:tr2bl w:val="nil"/>
                  </w:tcBorders>
                  <w:noWrap w:val="0"/>
                  <w:vAlign w:val="center"/>
                </w:tcPr>
                <w:p w14:paraId="7BB4D7A3">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符合</w:t>
                  </w:r>
                </w:p>
              </w:tc>
            </w:tr>
            <w:tr w14:paraId="3EC5B6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54" w:hRule="atLeast"/>
              </w:trPr>
              <w:tc>
                <w:tcPr>
                  <w:tcW w:w="191" w:type="pct"/>
                  <w:vMerge w:val="restart"/>
                  <w:tcBorders>
                    <w:tl2br w:val="nil"/>
                    <w:tr2bl w:val="nil"/>
                  </w:tcBorders>
                  <w:noWrap w:val="0"/>
                  <w:vAlign w:val="center"/>
                </w:tcPr>
                <w:p w14:paraId="4C441CC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Style w:val="30"/>
                      <w:rFonts w:hint="default" w:ascii="Times New Roman" w:hAnsi="Times New Roman" w:eastAsia="宋体" w:cs="Times New Roman"/>
                      <w:color w:val="auto"/>
                      <w:kern w:val="2"/>
                      <w:sz w:val="21"/>
                      <w:szCs w:val="21"/>
                      <w:lang w:val="en-US" w:eastAsia="zh-CN" w:bidi="ar-SA"/>
                    </w:rPr>
                    <w:t>环境风险防控</w:t>
                  </w:r>
                </w:p>
              </w:tc>
              <w:tc>
                <w:tcPr>
                  <w:tcW w:w="713" w:type="pct"/>
                  <w:tcBorders>
                    <w:bottom w:val="single" w:color="auto" w:sz="4" w:space="0"/>
                    <w:tl2br w:val="nil"/>
                    <w:tr2bl w:val="nil"/>
                  </w:tcBorders>
                  <w:noWrap w:val="0"/>
                  <w:vAlign w:val="center"/>
                </w:tcPr>
                <w:p w14:paraId="562B9959">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企业环境风险防控要求</w:t>
                  </w:r>
                </w:p>
              </w:tc>
              <w:tc>
                <w:tcPr>
                  <w:tcW w:w="2566" w:type="pct"/>
                  <w:tcBorders>
                    <w:bottom w:val="single" w:color="auto" w:sz="4" w:space="0"/>
                    <w:tl2br w:val="nil"/>
                    <w:tr2bl w:val="nil"/>
                  </w:tcBorders>
                  <w:noWrap w:val="0"/>
                  <w:vAlign w:val="center"/>
                </w:tcPr>
                <w:p w14:paraId="5C937AD7">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-除化工企业配套化学物质存储区外，禁止在区内另设置存储大宗危险化学物质的仓储项目。</w:t>
                  </w:r>
                </w:p>
                <w:p w14:paraId="5CF4E8B1">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-涉及有毒有害、易燃易爆物质新、改、扩建项目，严控准入要求。</w:t>
                  </w:r>
                </w:p>
              </w:tc>
              <w:tc>
                <w:tcPr>
                  <w:tcW w:w="1184" w:type="pct"/>
                  <w:tcBorders>
                    <w:bottom w:val="single" w:color="auto" w:sz="4" w:space="0"/>
                    <w:tl2br w:val="nil"/>
                    <w:tr2bl w:val="nil"/>
                  </w:tcBorders>
                  <w:noWrap w:val="0"/>
                  <w:vAlign w:val="center"/>
                </w:tcPr>
                <w:p w14:paraId="23270E55">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项目储存产品为柏木油，属非食用植物油，不涉及大宗危险化学物质仓储。</w:t>
                  </w:r>
                </w:p>
              </w:tc>
              <w:tc>
                <w:tcPr>
                  <w:tcW w:w="345" w:type="pct"/>
                  <w:tcBorders>
                    <w:bottom w:val="single" w:color="auto" w:sz="4" w:space="0"/>
                    <w:tl2br w:val="nil"/>
                    <w:tr2bl w:val="nil"/>
                  </w:tcBorders>
                  <w:noWrap w:val="0"/>
                  <w:vAlign w:val="center"/>
                </w:tcPr>
                <w:p w14:paraId="74F87930">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符合</w:t>
                  </w:r>
                </w:p>
              </w:tc>
            </w:tr>
            <w:tr w14:paraId="5F366D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5" w:hRule="atLeast"/>
              </w:trPr>
              <w:tc>
                <w:tcPr>
                  <w:tcW w:w="191" w:type="pct"/>
                  <w:vMerge w:val="continue"/>
                  <w:tcBorders>
                    <w:tl2br w:val="nil"/>
                    <w:tr2bl w:val="nil"/>
                  </w:tcBorders>
                  <w:noWrap w:val="0"/>
                  <w:vAlign w:val="center"/>
                </w:tcPr>
                <w:p w14:paraId="0154F4A6">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p>
              </w:tc>
              <w:tc>
                <w:tcPr>
                  <w:tcW w:w="713" w:type="pct"/>
                  <w:tcBorders>
                    <w:top w:val="single" w:color="auto" w:sz="4" w:space="0"/>
                    <w:bottom w:val="single" w:color="auto" w:sz="4" w:space="0"/>
                    <w:tl2br w:val="nil"/>
                    <w:tr2bl w:val="nil"/>
                  </w:tcBorders>
                  <w:noWrap w:val="0"/>
                  <w:vAlign w:val="center"/>
                </w:tcPr>
                <w:p w14:paraId="1824E8F7">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园区环境风险防控要求</w:t>
                  </w:r>
                </w:p>
              </w:tc>
              <w:tc>
                <w:tcPr>
                  <w:tcW w:w="2566" w:type="pct"/>
                  <w:tcBorders>
                    <w:top w:val="single" w:color="auto" w:sz="4" w:space="0"/>
                    <w:bottom w:val="single" w:color="auto" w:sz="4" w:space="0"/>
                    <w:tl2br w:val="nil"/>
                    <w:tr2bl w:val="nil"/>
                  </w:tcBorders>
                  <w:noWrap w:val="0"/>
                  <w:vAlign w:val="center"/>
                </w:tcPr>
                <w:p w14:paraId="6DDD2F00">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-构建三级环境风险防控体系，强化危化品</w:t>
                  </w:r>
                  <w:r>
                    <w:rPr>
                      <w:rFonts w:hint="eastAsia" w:cs="Times New Roman"/>
                      <w:color w:val="auto"/>
                      <w:sz w:val="21"/>
                      <w:szCs w:val="21"/>
                      <w:lang w:eastAsia="zh-CN"/>
                    </w:rPr>
                    <w:t>泄漏</w:t>
                  </w:r>
                  <w:r>
                    <w:rPr>
                      <w:rFonts w:hint="default" w:ascii="Times New Roman" w:hAnsi="Times New Roman" w:cs="Times New Roman"/>
                      <w:color w:val="auto"/>
                      <w:sz w:val="21"/>
                      <w:szCs w:val="21"/>
                    </w:rPr>
                    <w:t>应急处置措施，确保风险可控。</w:t>
                  </w:r>
                </w:p>
              </w:tc>
              <w:tc>
                <w:tcPr>
                  <w:tcW w:w="1184" w:type="pct"/>
                  <w:tcBorders>
                    <w:top w:val="single" w:color="auto" w:sz="4" w:space="0"/>
                    <w:bottom w:val="single" w:color="auto" w:sz="4" w:space="0"/>
                    <w:tl2br w:val="nil"/>
                    <w:tr2bl w:val="nil"/>
                  </w:tcBorders>
                  <w:noWrap w:val="0"/>
                  <w:vAlign w:val="center"/>
                </w:tcPr>
                <w:p w14:paraId="6A22DFB1">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项目拟采取风险防范及应急措施，确保风险可控。</w:t>
                  </w:r>
                </w:p>
              </w:tc>
              <w:tc>
                <w:tcPr>
                  <w:tcW w:w="345" w:type="pct"/>
                  <w:tcBorders>
                    <w:top w:val="single" w:color="auto" w:sz="4" w:space="0"/>
                    <w:bottom w:val="single" w:color="auto" w:sz="4" w:space="0"/>
                    <w:tl2br w:val="nil"/>
                    <w:tr2bl w:val="nil"/>
                  </w:tcBorders>
                  <w:noWrap w:val="0"/>
                  <w:vAlign w:val="center"/>
                </w:tcPr>
                <w:p w14:paraId="6A263113">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符合</w:t>
                  </w:r>
                </w:p>
              </w:tc>
            </w:tr>
            <w:tr w14:paraId="0F4418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78" w:hRule="atLeast"/>
              </w:trPr>
              <w:tc>
                <w:tcPr>
                  <w:tcW w:w="191" w:type="pct"/>
                  <w:vMerge w:val="continue"/>
                  <w:tcBorders>
                    <w:tl2br w:val="nil"/>
                    <w:tr2bl w:val="nil"/>
                  </w:tcBorders>
                  <w:noWrap w:val="0"/>
                  <w:vAlign w:val="center"/>
                </w:tcPr>
                <w:p w14:paraId="23CBDABF">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p>
              </w:tc>
              <w:tc>
                <w:tcPr>
                  <w:tcW w:w="713" w:type="pct"/>
                  <w:tcBorders>
                    <w:top w:val="single" w:color="auto" w:sz="4" w:space="0"/>
                    <w:tl2br w:val="nil"/>
                    <w:tr2bl w:val="nil"/>
                  </w:tcBorders>
                  <w:noWrap w:val="0"/>
                  <w:vAlign w:val="center"/>
                </w:tcPr>
                <w:p w14:paraId="20A6F202">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用地环境风险防</w:t>
                  </w:r>
                </w:p>
                <w:p w14:paraId="4688A66B">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控要求</w:t>
                  </w:r>
                </w:p>
              </w:tc>
              <w:tc>
                <w:tcPr>
                  <w:tcW w:w="2566" w:type="pct"/>
                  <w:tcBorders>
                    <w:top w:val="single" w:color="auto" w:sz="4" w:space="0"/>
                    <w:tl2br w:val="nil"/>
                    <w:tr2bl w:val="nil"/>
                  </w:tcBorders>
                  <w:noWrap w:val="0"/>
                  <w:vAlign w:val="center"/>
                </w:tcPr>
                <w:p w14:paraId="717B32A0">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-化工、电镀等行业企业拆除生产设施设备、构筑物和污染治理设施，要事先制定残留污染物清理和安全处置方案，要严格按照有关规定实施安全处理处置，防范拆除活动污染土壤。</w:t>
                  </w:r>
                </w:p>
                <w:p w14:paraId="6E8C3137">
                  <w:pPr>
                    <w:keepNext w:val="0"/>
                    <w:keepLines w:val="0"/>
                    <w:suppressLineNumbers w:val="0"/>
                    <w:spacing w:before="0" w:beforeAutospacing="0" w:after="0" w:afterAutospacing="0" w:line="240" w:lineRule="auto"/>
                    <w:ind w:left="0" w:right="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-工业企业退出用地，须经评估、修复满足相应用地功能后，方可改变用途</w:t>
                  </w:r>
                </w:p>
              </w:tc>
              <w:tc>
                <w:tcPr>
                  <w:tcW w:w="1184" w:type="pct"/>
                  <w:tcBorders>
                    <w:top w:val="single" w:color="auto" w:sz="4" w:space="0"/>
                    <w:tl2br w:val="nil"/>
                    <w:tr2bl w:val="nil"/>
                  </w:tcBorders>
                  <w:noWrap w:val="0"/>
                  <w:vAlign w:val="center"/>
                </w:tcPr>
                <w:p w14:paraId="615C1570">
                  <w:pPr>
                    <w:keepNext w:val="0"/>
                    <w:keepLines w:val="0"/>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环评要求项目今后</w:t>
                  </w:r>
                  <w:r>
                    <w:rPr>
                      <w:rFonts w:hint="default" w:ascii="Times New Roman" w:hAnsi="Times New Roman" w:cs="Times New Roman"/>
                      <w:color w:val="auto"/>
                      <w:sz w:val="21"/>
                      <w:szCs w:val="21"/>
                    </w:rPr>
                    <w:t>拆除生产设施设备、构筑物和污染治理设施，要事先制定残留污染物清理和安全处置方案，要严格按照有关规定实施安全处理处置，防范拆除活动污染土壤</w:t>
                  </w:r>
                  <w:r>
                    <w:rPr>
                      <w:rFonts w:hint="eastAsia" w:ascii="Times New Roman" w:hAnsi="Times New Roman" w:cs="Times New Roman"/>
                      <w:color w:val="auto"/>
                      <w:sz w:val="21"/>
                      <w:szCs w:val="21"/>
                      <w:lang w:eastAsia="zh-CN"/>
                    </w:rPr>
                    <w:t>。</w:t>
                  </w:r>
                </w:p>
              </w:tc>
              <w:tc>
                <w:tcPr>
                  <w:tcW w:w="345" w:type="pct"/>
                  <w:tcBorders>
                    <w:top w:val="single" w:color="auto" w:sz="4" w:space="0"/>
                    <w:tl2br w:val="nil"/>
                    <w:tr2bl w:val="nil"/>
                  </w:tcBorders>
                  <w:noWrap w:val="0"/>
                  <w:vAlign w:val="center"/>
                </w:tcPr>
                <w:p w14:paraId="587D570A">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符合</w:t>
                  </w:r>
                </w:p>
              </w:tc>
            </w:tr>
            <w:tr w14:paraId="0FF605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11" w:hRule="atLeast"/>
              </w:trPr>
              <w:tc>
                <w:tcPr>
                  <w:tcW w:w="191" w:type="pct"/>
                  <w:vMerge w:val="restart"/>
                  <w:tcBorders>
                    <w:tl2br w:val="nil"/>
                    <w:tr2bl w:val="nil"/>
                  </w:tcBorders>
                  <w:noWrap w:val="0"/>
                  <w:vAlign w:val="center"/>
                </w:tcPr>
                <w:p w14:paraId="617F6933">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资源开发效率要求</w:t>
                  </w:r>
                </w:p>
              </w:tc>
              <w:tc>
                <w:tcPr>
                  <w:tcW w:w="713" w:type="pct"/>
                  <w:tcBorders>
                    <w:bottom w:val="single" w:color="auto" w:sz="4" w:space="0"/>
                    <w:tl2br w:val="nil"/>
                    <w:tr2bl w:val="nil"/>
                  </w:tcBorders>
                  <w:noWrap w:val="0"/>
                  <w:vAlign w:val="center"/>
                </w:tcPr>
                <w:p w14:paraId="0BC42C8E">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水资源利用效率</w:t>
                  </w:r>
                </w:p>
                <w:p w14:paraId="6B6A9F57">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要求</w:t>
                  </w:r>
                </w:p>
              </w:tc>
              <w:tc>
                <w:tcPr>
                  <w:tcW w:w="2566" w:type="pct"/>
                  <w:tcBorders>
                    <w:bottom w:val="single" w:color="auto" w:sz="4" w:space="0"/>
                    <w:tl2br w:val="nil"/>
                    <w:tr2bl w:val="nil"/>
                  </w:tcBorders>
                  <w:noWrap w:val="0"/>
                  <w:vAlign w:val="center"/>
                </w:tcPr>
                <w:p w14:paraId="483727B4">
                  <w:pPr>
                    <w:keepNext w:val="0"/>
                    <w:keepLines w:val="0"/>
                    <w:suppressLineNumbers w:val="0"/>
                    <w:spacing w:before="0" w:beforeAutospacing="0" w:after="0" w:afterAutospacing="0" w:line="240" w:lineRule="auto"/>
                    <w:ind w:left="0" w:right="0"/>
                    <w:textAlignment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-到 2025 年，万元工业增加值用水量下降到 0.8m</w:t>
                  </w:r>
                  <w:r>
                    <w:rPr>
                      <w:rStyle w:val="30"/>
                      <w:rFonts w:hint="default" w:ascii="Times New Roman" w:hAnsi="Times New Roman" w:eastAsia="宋体" w:cs="Times New Roman"/>
                      <w:color w:val="auto"/>
                      <w:kern w:val="2"/>
                      <w:sz w:val="21"/>
                      <w:szCs w:val="21"/>
                      <w:vertAlign w:val="superscript"/>
                      <w:lang w:val="en-US" w:eastAsia="zh-CN" w:bidi="ar-SA"/>
                    </w:rPr>
                    <w:t>3</w:t>
                  </w:r>
                  <w:r>
                    <w:rPr>
                      <w:rStyle w:val="30"/>
                      <w:rFonts w:hint="default" w:ascii="Times New Roman" w:hAnsi="Times New Roman" w:eastAsia="宋体" w:cs="Times New Roman"/>
                      <w:color w:val="auto"/>
                      <w:kern w:val="2"/>
                      <w:sz w:val="21"/>
                      <w:szCs w:val="21"/>
                      <w:lang w:val="en-US" w:eastAsia="zh-CN" w:bidi="ar-SA"/>
                    </w:rPr>
                    <w:t>/万元，重复利用率提高到 84%；</w:t>
                  </w:r>
                </w:p>
                <w:p w14:paraId="325A8342">
                  <w:pPr>
                    <w:keepNext w:val="0"/>
                    <w:keepLines w:val="0"/>
                    <w:suppressLineNumbers w:val="0"/>
                    <w:spacing w:before="0" w:beforeAutospacing="0" w:after="0" w:afterAutospacing="0" w:line="240" w:lineRule="auto"/>
                    <w:ind w:left="0" w:right="0"/>
                    <w:textAlignment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-至 2030 年，万元工业增加值用水量下降到 0.8m</w:t>
                  </w:r>
                  <w:r>
                    <w:rPr>
                      <w:rStyle w:val="30"/>
                      <w:rFonts w:hint="default" w:ascii="Times New Roman" w:hAnsi="Times New Roman" w:eastAsia="宋体" w:cs="Times New Roman"/>
                      <w:color w:val="auto"/>
                      <w:kern w:val="2"/>
                      <w:sz w:val="21"/>
                      <w:szCs w:val="21"/>
                      <w:vertAlign w:val="superscript"/>
                      <w:lang w:val="en-US" w:eastAsia="zh-CN" w:bidi="ar-SA"/>
                    </w:rPr>
                    <w:t>3</w:t>
                  </w:r>
                  <w:r>
                    <w:rPr>
                      <w:rStyle w:val="30"/>
                      <w:rFonts w:hint="default" w:ascii="Times New Roman" w:hAnsi="Times New Roman" w:eastAsia="宋体" w:cs="Times New Roman"/>
                      <w:color w:val="auto"/>
                      <w:kern w:val="2"/>
                      <w:sz w:val="21"/>
                      <w:szCs w:val="21"/>
                      <w:lang w:val="en-US" w:eastAsia="zh-CN" w:bidi="ar-SA"/>
                    </w:rPr>
                    <w:t>/万元，重复利用率提高到 85%；</w:t>
                  </w:r>
                </w:p>
                <w:p w14:paraId="42E9E0A6">
                  <w:pPr>
                    <w:keepNext w:val="0"/>
                    <w:keepLines w:val="0"/>
                    <w:suppressLineNumbers w:val="0"/>
                    <w:spacing w:before="0" w:beforeAutospacing="0" w:after="0" w:afterAutospacing="0" w:line="240" w:lineRule="auto"/>
                    <w:ind w:left="0" w:right="0"/>
                    <w:textAlignment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-新、改扩建项目水耗指标满足《四川省省级生态工业园区指标》综合类生态工业园区要求。</w:t>
                  </w:r>
                </w:p>
              </w:tc>
              <w:tc>
                <w:tcPr>
                  <w:tcW w:w="1184" w:type="pct"/>
                  <w:tcBorders>
                    <w:bottom w:val="single" w:color="auto" w:sz="4" w:space="0"/>
                    <w:tl2br w:val="nil"/>
                    <w:tr2bl w:val="nil"/>
                  </w:tcBorders>
                  <w:noWrap w:val="0"/>
                  <w:vAlign w:val="center"/>
                </w:tcPr>
                <w:p w14:paraId="7E24A6F9">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项目</w:t>
                  </w:r>
                  <w:r>
                    <w:rPr>
                      <w:rFonts w:hint="default" w:ascii="Times New Roman" w:hAnsi="Times New Roman" w:cs="Times New Roman"/>
                      <w:color w:val="auto"/>
                      <w:sz w:val="21"/>
                      <w:szCs w:val="21"/>
                    </w:rPr>
                    <w:t>水耗指标</w:t>
                  </w:r>
                  <w:r>
                    <w:rPr>
                      <w:rFonts w:hint="default" w:ascii="Times New Roman" w:hAnsi="Times New Roman" w:cs="Times New Roman"/>
                      <w:color w:val="auto"/>
                      <w:sz w:val="21"/>
                      <w:szCs w:val="21"/>
                      <w:lang w:val="en-US" w:eastAsia="zh-CN"/>
                    </w:rPr>
                    <w:t>5.88m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/万元，</w:t>
                  </w:r>
                  <w:r>
                    <w:rPr>
                      <w:rFonts w:hint="default" w:ascii="Times New Roman" w:hAnsi="Times New Roman" w:cs="Times New Roman"/>
                      <w:color w:val="auto"/>
                      <w:sz w:val="21"/>
                      <w:szCs w:val="21"/>
                    </w:rPr>
                    <w:t>满足《四川省省级生态工业园区指标》综合类生态工业园区≤</w:t>
                  </w:r>
                  <w:r>
                    <w:rPr>
                      <w:rFonts w:hint="default" w:ascii="Times New Roman" w:hAnsi="Times New Roman" w:cs="Times New Roman"/>
                      <w:color w:val="auto"/>
                      <w:sz w:val="21"/>
                      <w:szCs w:val="21"/>
                      <w:lang w:val="en-US" w:eastAsia="zh-CN"/>
                    </w:rPr>
                    <w:t>12m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/万元</w:t>
                  </w:r>
                  <w:r>
                    <w:rPr>
                      <w:rFonts w:hint="default" w:ascii="Times New Roman" w:hAnsi="Times New Roman" w:cs="Times New Roman"/>
                      <w:color w:val="auto"/>
                      <w:sz w:val="21"/>
                      <w:szCs w:val="21"/>
                    </w:rPr>
                    <w:t>要求</w:t>
                  </w:r>
                  <w:r>
                    <w:rPr>
                      <w:rFonts w:hint="eastAsia" w:ascii="Times New Roman" w:hAnsi="Times New Roman" w:cs="Times New Roman"/>
                      <w:color w:val="auto"/>
                      <w:sz w:val="21"/>
                      <w:szCs w:val="21"/>
                      <w:lang w:eastAsia="zh-CN"/>
                    </w:rPr>
                    <w:t>。</w:t>
                  </w:r>
                </w:p>
              </w:tc>
              <w:tc>
                <w:tcPr>
                  <w:tcW w:w="345" w:type="pct"/>
                  <w:tcBorders>
                    <w:bottom w:val="single" w:color="auto" w:sz="4" w:space="0"/>
                    <w:tl2br w:val="nil"/>
                    <w:tr2bl w:val="nil"/>
                  </w:tcBorders>
                  <w:noWrap w:val="0"/>
                  <w:vAlign w:val="center"/>
                </w:tcPr>
                <w:p w14:paraId="019996B9">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符合</w:t>
                  </w:r>
                </w:p>
              </w:tc>
            </w:tr>
            <w:tr w14:paraId="7237C2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7" w:hRule="atLeast"/>
              </w:trPr>
              <w:tc>
                <w:tcPr>
                  <w:tcW w:w="191" w:type="pct"/>
                  <w:vMerge w:val="continue"/>
                  <w:tcBorders>
                    <w:tl2br w:val="nil"/>
                    <w:tr2bl w:val="nil"/>
                  </w:tcBorders>
                  <w:noWrap w:val="0"/>
                  <w:vAlign w:val="center"/>
                </w:tcPr>
                <w:p w14:paraId="75D3EFEA">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p>
              </w:tc>
              <w:tc>
                <w:tcPr>
                  <w:tcW w:w="713" w:type="pct"/>
                  <w:tcBorders>
                    <w:top w:val="single" w:color="auto" w:sz="4" w:space="0"/>
                    <w:tl2br w:val="nil"/>
                    <w:tr2bl w:val="nil"/>
                  </w:tcBorders>
                  <w:noWrap w:val="0"/>
                  <w:vAlign w:val="center"/>
                </w:tcPr>
                <w:p w14:paraId="3B5BE9B1">
                  <w:pPr>
                    <w:keepNext w:val="0"/>
                    <w:keepLines w:val="0"/>
                    <w:suppressLineNumbers w:val="0"/>
                    <w:spacing w:before="0" w:beforeAutospacing="0" w:after="0" w:afterAutospacing="0" w:line="240" w:lineRule="auto"/>
                    <w:ind w:left="0" w:right="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能源利用效率要求</w:t>
                  </w:r>
                </w:p>
              </w:tc>
              <w:tc>
                <w:tcPr>
                  <w:tcW w:w="2566" w:type="pct"/>
                  <w:tcBorders>
                    <w:top w:val="single" w:color="auto" w:sz="4" w:space="0"/>
                    <w:tl2br w:val="nil"/>
                    <w:tr2bl w:val="nil"/>
                  </w:tcBorders>
                  <w:noWrap w:val="0"/>
                  <w:vAlign w:val="center"/>
                </w:tcPr>
                <w:p w14:paraId="3E0E2804">
                  <w:pPr>
                    <w:keepNext w:val="0"/>
                    <w:keepLines w:val="0"/>
                    <w:suppressLineNumbers w:val="0"/>
                    <w:spacing w:before="0" w:beforeAutospacing="0" w:after="0" w:afterAutospacing="0" w:line="240" w:lineRule="auto"/>
                    <w:ind w:left="0" w:right="0"/>
                    <w:textAlignment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-新、改扩建项目能耗指标满足《四川省省级生态工业园区指标》综合类生态工业园区要求。</w:t>
                  </w:r>
                </w:p>
              </w:tc>
              <w:tc>
                <w:tcPr>
                  <w:tcW w:w="1184" w:type="pct"/>
                  <w:tcBorders>
                    <w:top w:val="single" w:color="auto" w:sz="4" w:space="0"/>
                    <w:tl2br w:val="nil"/>
                    <w:tr2bl w:val="nil"/>
                  </w:tcBorders>
                  <w:noWrap w:val="0"/>
                  <w:vAlign w:val="center"/>
                </w:tcPr>
                <w:p w14:paraId="6CFBED8A">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本</w:t>
                  </w:r>
                  <w:r>
                    <w:rPr>
                      <w:rFonts w:hint="default" w:ascii="Times New Roman" w:hAnsi="Times New Roman" w:cs="Times New Roman"/>
                      <w:color w:val="auto"/>
                      <w:sz w:val="21"/>
                      <w:szCs w:val="21"/>
                    </w:rPr>
                    <w:t>项目能耗指标</w:t>
                  </w:r>
                  <w:r>
                    <w:rPr>
                      <w:rFonts w:hint="default" w:ascii="Times New Roman" w:hAnsi="Times New Roman" w:cs="Times New Roman"/>
                      <w:color w:val="auto"/>
                      <w:sz w:val="21"/>
                      <w:szCs w:val="21"/>
                      <w:lang w:val="en-US" w:eastAsia="zh-CN"/>
                    </w:rPr>
                    <w:t>0.466吨标煤/万元，</w:t>
                  </w:r>
                  <w:r>
                    <w:rPr>
                      <w:rFonts w:hint="default" w:ascii="Times New Roman" w:hAnsi="Times New Roman" w:cs="Times New Roman"/>
                      <w:color w:val="auto"/>
                      <w:sz w:val="21"/>
                      <w:szCs w:val="21"/>
                    </w:rPr>
                    <w:t>满足《四川省省级生态工业园区指标》综合类生态工业园区≤</w:t>
                  </w:r>
                  <w:r>
                    <w:rPr>
                      <w:rFonts w:hint="default" w:ascii="Times New Roman" w:hAnsi="Times New Roman" w:cs="Times New Roman"/>
                      <w:color w:val="auto"/>
                      <w:sz w:val="21"/>
                      <w:szCs w:val="21"/>
                      <w:lang w:val="en-US" w:eastAsia="zh-CN"/>
                    </w:rPr>
                    <w:t>0.7吨标煤/万元</w:t>
                  </w:r>
                  <w:r>
                    <w:rPr>
                      <w:rFonts w:hint="default" w:ascii="Times New Roman" w:hAnsi="Times New Roman" w:cs="Times New Roman"/>
                      <w:color w:val="auto"/>
                      <w:sz w:val="21"/>
                      <w:szCs w:val="21"/>
                    </w:rPr>
                    <w:t>要求</w:t>
                  </w:r>
                  <w:r>
                    <w:rPr>
                      <w:rFonts w:hint="default" w:ascii="Times New Roman" w:hAnsi="Times New Roman" w:cs="Times New Roman"/>
                      <w:color w:val="auto"/>
                      <w:kern w:val="0"/>
                      <w:sz w:val="21"/>
                      <w:szCs w:val="21"/>
                      <w:lang w:bidi="ar"/>
                    </w:rPr>
                    <w:t>。</w:t>
                  </w:r>
                </w:p>
              </w:tc>
              <w:tc>
                <w:tcPr>
                  <w:tcW w:w="345" w:type="pct"/>
                  <w:tcBorders>
                    <w:top w:val="single" w:color="auto" w:sz="4" w:space="0"/>
                    <w:tl2br w:val="nil"/>
                    <w:tr2bl w:val="nil"/>
                  </w:tcBorders>
                  <w:noWrap w:val="0"/>
                  <w:vAlign w:val="center"/>
                </w:tcPr>
                <w:p w14:paraId="732F9A5C">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符合</w:t>
                  </w:r>
                </w:p>
              </w:tc>
            </w:tr>
          </w:tbl>
          <w:p w14:paraId="3F0DC479">
            <w:pPr>
              <w:keepNext w:val="0"/>
              <w:keepLines w:val="0"/>
              <w:suppressLineNumbers w:val="0"/>
              <w:spacing w:before="0" w:beforeAutospacing="0" w:after="0" w:afterAutospacing="0"/>
              <w:ind w:left="0" w:right="0"/>
              <w:outlineLvl w:val="0"/>
              <w:rPr>
                <w:rFonts w:hint="default" w:ascii="Times New Roman" w:hAnsi="Times New Roman" w:cs="Times New Roman"/>
                <w:color w:val="auto"/>
                <w:sz w:val="30"/>
                <w:vertAlign w:val="baseline"/>
              </w:rPr>
            </w:pPr>
          </w:p>
        </w:tc>
      </w:tr>
    </w:tbl>
    <w:p w14:paraId="623A9C48">
      <w:pPr>
        <w:outlineLvl w:val="0"/>
        <w:rPr>
          <w:color w:val="auto"/>
          <w:sz w:val="30"/>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8382"/>
      </w:tblGrid>
      <w:tr w14:paraId="7909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noWrap w:val="0"/>
            <w:vAlign w:val="top"/>
          </w:tcPr>
          <w:p w14:paraId="66ED5A29">
            <w:pPr>
              <w:keepNext w:val="0"/>
              <w:keepLines w:val="0"/>
              <w:suppressLineNumbers w:val="0"/>
              <w:spacing w:before="0" w:beforeAutospacing="0" w:after="0" w:afterAutospacing="0"/>
              <w:ind w:left="0" w:right="0"/>
              <w:outlineLvl w:val="0"/>
              <w:rPr>
                <w:rFonts w:hint="default" w:ascii="Times New Roman" w:hAnsi="Times New Roman" w:cs="Times New Roman"/>
                <w:color w:val="auto"/>
                <w:sz w:val="30"/>
                <w:vertAlign w:val="baseline"/>
              </w:rPr>
            </w:pPr>
          </w:p>
        </w:tc>
        <w:tc>
          <w:tcPr>
            <w:tcW w:w="8382" w:type="dxa"/>
            <w:noWrap w:val="0"/>
            <w:vAlign w:val="top"/>
          </w:tcPr>
          <w:p w14:paraId="242D8FE7">
            <w:pPr>
              <w:pStyle w:val="3"/>
              <w:ind w:firstLine="0" w:firstLineChars="0"/>
              <w:rPr>
                <w:rFonts w:cs="Times New Roman"/>
                <w:bCs w:val="0"/>
                <w:color w:val="auto"/>
                <w:sz w:val="24"/>
                <w:szCs w:val="24"/>
                <w:lang w:bidi="ar-SA"/>
              </w:rPr>
            </w:pPr>
            <w:r>
              <w:rPr>
                <w:rFonts w:hint="eastAsia" w:cs="Times New Roman"/>
                <w:bCs w:val="0"/>
                <w:color w:val="auto"/>
                <w:sz w:val="24"/>
                <w:szCs w:val="24"/>
                <w:lang w:bidi="ar-SA"/>
              </w:rPr>
              <w:t>四</w:t>
            </w:r>
            <w:r>
              <w:rPr>
                <w:rFonts w:cs="Times New Roman"/>
                <w:bCs w:val="0"/>
                <w:color w:val="auto"/>
                <w:sz w:val="24"/>
                <w:szCs w:val="24"/>
                <w:lang w:bidi="ar-SA"/>
              </w:rPr>
              <w:t>、与大气污染防治相关规划或技术文件的符合性分析</w:t>
            </w:r>
          </w:p>
          <w:p w14:paraId="0BF4089F">
            <w:pPr>
              <w:keepNext w:val="0"/>
              <w:keepLines w:val="0"/>
              <w:suppressLineNumbers w:val="0"/>
              <w:autoSpaceDE w:val="0"/>
              <w:autoSpaceDN w:val="0"/>
              <w:adjustRightInd w:val="0"/>
              <w:snapToGrid w:val="0"/>
              <w:spacing w:before="0" w:beforeAutospacing="0" w:after="0" w:afterAutospacing="0"/>
              <w:ind w:left="0" w:right="0" w:firstLine="480" w:firstLineChars="200"/>
              <w:jc w:val="left"/>
              <w:rPr>
                <w:rFonts w:hint="default" w:ascii="Times New Roman" w:hAnsi="Times New Roman" w:cs="Times New Roman"/>
                <w:b/>
                <w:bCs/>
                <w:color w:val="auto"/>
                <w:sz w:val="21"/>
              </w:rPr>
            </w:pPr>
            <w:r>
              <w:rPr>
                <w:rFonts w:hint="default" w:ascii="Times New Roman" w:hAnsi="Times New Roman" w:cs="Times New Roman"/>
                <w:color w:val="auto"/>
                <w:kern w:val="0"/>
              </w:rPr>
              <w:t>本项目与《中华人民共和国大气污染防治法</w:t>
            </w:r>
            <w:r>
              <w:rPr>
                <w:rFonts w:hint="eastAsia" w:ascii="Times New Roman" w:hAnsi="Times New Roman" w:cs="Times New Roman"/>
                <w:color w:val="auto"/>
                <w:kern w:val="0"/>
                <w:lang w:eastAsia="zh-CN"/>
              </w:rPr>
              <w:t>》</w:t>
            </w:r>
            <w:r>
              <w:rPr>
                <w:rFonts w:hint="default" w:ascii="Times New Roman" w:hAnsi="Times New Roman" w:cs="Times New Roman"/>
                <w:color w:val="auto"/>
                <w:kern w:val="0"/>
              </w:rPr>
              <w:t>、</w:t>
            </w:r>
            <w:r>
              <w:rPr>
                <w:rFonts w:hint="eastAsia" w:ascii="Times New Roman" w:hAnsi="Times New Roman" w:cs="Times New Roman"/>
                <w:color w:val="auto"/>
                <w:kern w:val="0"/>
              </w:rPr>
              <w:t>《四川省“十四五”生态环境保护规划》川府发〔2022〕2号</w:t>
            </w:r>
            <w:r>
              <w:rPr>
                <w:rFonts w:hint="eastAsia" w:ascii="Times New Roman" w:hAnsi="Times New Roman" w:cs="Times New Roman"/>
                <w:color w:val="auto"/>
                <w:kern w:val="0"/>
                <w:lang w:eastAsia="zh-CN"/>
              </w:rPr>
              <w:t>、《</w:t>
            </w:r>
            <w:r>
              <w:rPr>
                <w:rFonts w:hint="default" w:ascii="Times New Roman" w:hAnsi="Times New Roman" w:cs="Times New Roman"/>
                <w:color w:val="auto"/>
                <w:kern w:val="0"/>
              </w:rPr>
              <w:t>遂宁市“十四五”生态环境保护规划</w:t>
            </w:r>
            <w:r>
              <w:rPr>
                <w:rFonts w:hint="eastAsia" w:ascii="Times New Roman" w:hAnsi="Times New Roman" w:cs="Times New Roman"/>
                <w:color w:val="auto"/>
                <w:kern w:val="0"/>
                <w:lang w:eastAsia="zh-CN"/>
              </w:rPr>
              <w:t>》（</w:t>
            </w:r>
            <w:r>
              <w:rPr>
                <w:rFonts w:hint="default" w:ascii="Times New Roman" w:hAnsi="Times New Roman" w:cs="Times New Roman"/>
                <w:color w:val="auto"/>
                <w:kern w:val="0"/>
              </w:rPr>
              <w:t>遂府函〔2022〕38号</w:t>
            </w:r>
            <w:r>
              <w:rPr>
                <w:rFonts w:hint="eastAsia" w:ascii="Times New Roman" w:hAnsi="Times New Roman" w:cs="Times New Roman"/>
                <w:color w:val="auto"/>
                <w:kern w:val="0"/>
                <w:lang w:eastAsia="zh-CN"/>
              </w:rPr>
              <w:t>）</w:t>
            </w:r>
            <w:r>
              <w:rPr>
                <w:rFonts w:hint="eastAsia" w:cs="Times New Roman"/>
                <w:color w:val="auto"/>
                <w:kern w:val="0"/>
                <w:lang w:eastAsia="zh-CN"/>
              </w:rPr>
              <w:t>、关于印发《重点行业挥发性有机物综合治理方案》的通知（ 环大气[2019]53号）</w:t>
            </w:r>
            <w:r>
              <w:rPr>
                <w:rFonts w:hint="default" w:ascii="Times New Roman" w:hAnsi="Times New Roman" w:cs="Times New Roman"/>
                <w:color w:val="auto"/>
                <w:szCs w:val="24"/>
              </w:rPr>
              <w:t>的符合性如下：</w:t>
            </w:r>
          </w:p>
          <w:p w14:paraId="09E32B4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表1-</w:t>
            </w:r>
            <w:r>
              <w:rPr>
                <w:rFonts w:hint="eastAsia" w:cs="Times New Roman"/>
                <w:b/>
                <w:bCs/>
                <w:color w:val="auto"/>
                <w:sz w:val="21"/>
                <w:szCs w:val="21"/>
                <w:lang w:val="en-US" w:eastAsia="zh-CN"/>
              </w:rPr>
              <w:t>5</w:t>
            </w:r>
            <w:r>
              <w:rPr>
                <w:rFonts w:hint="default" w:ascii="Times New Roman" w:hAnsi="Times New Roman" w:cs="Times New Roman"/>
                <w:b/>
                <w:bCs/>
                <w:color w:val="auto"/>
                <w:sz w:val="21"/>
                <w:szCs w:val="21"/>
              </w:rPr>
              <w:t xml:space="preserve">   项目与相关大气污染防治文件符合性分析一览表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85"/>
              <w:gridCol w:w="3493"/>
              <w:gridCol w:w="2348"/>
              <w:gridCol w:w="584"/>
            </w:tblGrid>
            <w:tr w14:paraId="1F95A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85" w:type="dxa"/>
                  <w:noWrap w:val="0"/>
                  <w:vAlign w:val="center"/>
                </w:tcPr>
                <w:p w14:paraId="39FEAAF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文件名称</w:t>
                  </w:r>
                </w:p>
              </w:tc>
              <w:tc>
                <w:tcPr>
                  <w:tcW w:w="3493" w:type="dxa"/>
                  <w:noWrap w:val="0"/>
                  <w:vAlign w:val="center"/>
                </w:tcPr>
                <w:p w14:paraId="3A5559F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文件要求</w:t>
                  </w:r>
                </w:p>
              </w:tc>
              <w:tc>
                <w:tcPr>
                  <w:tcW w:w="2348" w:type="dxa"/>
                  <w:noWrap w:val="0"/>
                  <w:vAlign w:val="center"/>
                </w:tcPr>
                <w:p w14:paraId="79EC9F3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本项目情况</w:t>
                  </w:r>
                </w:p>
              </w:tc>
              <w:tc>
                <w:tcPr>
                  <w:tcW w:w="584" w:type="dxa"/>
                  <w:noWrap w:val="0"/>
                  <w:vAlign w:val="center"/>
                </w:tcPr>
                <w:p w14:paraId="0BF05C2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是否符合</w:t>
                  </w:r>
                </w:p>
              </w:tc>
            </w:tr>
            <w:tr w14:paraId="7B9F9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385" w:type="dxa"/>
                  <w:vMerge w:val="restart"/>
                  <w:noWrap w:val="0"/>
                  <w:vAlign w:val="center"/>
                </w:tcPr>
                <w:p w14:paraId="397DDD0B">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《中华人民共和国大气污染防治法》</w:t>
                  </w:r>
                </w:p>
              </w:tc>
              <w:tc>
                <w:tcPr>
                  <w:tcW w:w="3493" w:type="dxa"/>
                  <w:noWrap w:val="0"/>
                  <w:vAlign w:val="center"/>
                </w:tcPr>
                <w:p w14:paraId="6DE7B4D0">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第四十八条</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钢铁、建材、有色金属、石油、化工、制药、矿产开采等企业，应当加强精细化管理，采取集中收集处理等措施，严格控制粉尘和气态污染物的排放。</w:t>
                  </w:r>
                </w:p>
                <w:p w14:paraId="2463B621">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　　工业生产企业应当采取密闭、围挡、遮盖、清扫、洒水等措施，减少内部物料的堆存、传输、装卸等环节产生的粉尘和气态污染物的排放。</w:t>
                  </w:r>
                </w:p>
              </w:tc>
              <w:tc>
                <w:tcPr>
                  <w:tcW w:w="2348" w:type="dxa"/>
                  <w:noWrap w:val="0"/>
                  <w:vAlign w:val="center"/>
                </w:tcPr>
                <w:p w14:paraId="56F5FCAF">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原料尺寸较大，运输不易起尘，</w:t>
                  </w:r>
                  <w:r>
                    <w:rPr>
                      <w:rFonts w:hint="eastAsia" w:ascii="Times New Roman" w:hAnsi="Times New Roman" w:cs="Times New Roman"/>
                      <w:color w:val="auto"/>
                      <w:sz w:val="21"/>
                      <w:szCs w:val="21"/>
                    </w:rPr>
                    <w:t>厂区地面硬化，</w:t>
                  </w:r>
                  <w:r>
                    <w:rPr>
                      <w:rFonts w:hint="eastAsia" w:ascii="Times New Roman" w:hAnsi="Times New Roman" w:cs="Times New Roman"/>
                      <w:color w:val="auto"/>
                      <w:sz w:val="21"/>
                      <w:szCs w:val="21"/>
                      <w:lang w:val="en-US" w:eastAsia="zh-CN"/>
                    </w:rPr>
                    <w:t>生物质颗粒袋装</w:t>
                  </w:r>
                  <w:r>
                    <w:rPr>
                      <w:rFonts w:hint="eastAsia" w:ascii="Times New Roman" w:hAnsi="Times New Roman" w:cs="Times New Roman"/>
                      <w:color w:val="auto"/>
                      <w:sz w:val="21"/>
                      <w:szCs w:val="21"/>
                    </w:rPr>
                    <w:t>；原料堆场</w:t>
                  </w:r>
                  <w:r>
                    <w:rPr>
                      <w:rFonts w:hint="eastAsia" w:ascii="Times New Roman" w:hAnsi="Times New Roman" w:cs="Times New Roman"/>
                      <w:color w:val="auto"/>
                      <w:sz w:val="21"/>
                      <w:szCs w:val="21"/>
                      <w:lang w:val="en-US" w:eastAsia="zh-CN"/>
                    </w:rPr>
                    <w:t>设置于室内；锅炉废气安装高效除尘器，VOCs采用设备密闭集气罩</w:t>
                  </w:r>
                  <w:r>
                    <w:rPr>
                      <w:rFonts w:hint="eastAsia" w:cs="Times New Roman"/>
                      <w:color w:val="auto"/>
                      <w:sz w:val="21"/>
                      <w:szCs w:val="21"/>
                      <w:lang w:val="en-US" w:eastAsia="zh-CN"/>
                    </w:rPr>
                    <w:t>收集</w:t>
                  </w:r>
                  <w:r>
                    <w:rPr>
                      <w:rFonts w:hint="eastAsia" w:ascii="Times New Roman" w:hAnsi="Times New Roman" w:cs="Times New Roman"/>
                      <w:color w:val="auto"/>
                      <w:sz w:val="21"/>
                      <w:szCs w:val="21"/>
                      <w:lang w:val="en-US" w:eastAsia="zh-CN"/>
                    </w:rPr>
                    <w:t>，两级活性炭处理后达标排放。</w:t>
                  </w:r>
                </w:p>
              </w:tc>
              <w:tc>
                <w:tcPr>
                  <w:tcW w:w="584" w:type="dxa"/>
                  <w:noWrap w:val="0"/>
                  <w:vAlign w:val="center"/>
                </w:tcPr>
                <w:p w14:paraId="304B65C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符合</w:t>
                  </w:r>
                </w:p>
              </w:tc>
            </w:tr>
            <w:tr w14:paraId="56DD0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385" w:type="dxa"/>
                  <w:vMerge w:val="continue"/>
                  <w:noWrap w:val="0"/>
                  <w:vAlign w:val="center"/>
                </w:tcPr>
                <w:p w14:paraId="3BF7A5C4">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auto"/>
                      <w:sz w:val="21"/>
                      <w:szCs w:val="21"/>
                    </w:rPr>
                  </w:pPr>
                </w:p>
              </w:tc>
              <w:tc>
                <w:tcPr>
                  <w:tcW w:w="3493" w:type="dxa"/>
                  <w:noWrap w:val="0"/>
                  <w:vAlign w:val="center"/>
                </w:tcPr>
                <w:p w14:paraId="7348B998">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第七十二条</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贮存煤炭、煤矸石、煤渣、煤灰、水泥、石灰、石膏、砂土等易产生扬尘的物料应当密闭；不能密闭的，应当设置不低于堆放物高度的严密围挡，并采取有效覆盖措施</w:t>
                  </w:r>
                  <w:r>
                    <w:rPr>
                      <w:rFonts w:hint="eastAsia" w:cs="Times New Roman"/>
                      <w:color w:val="auto"/>
                      <w:sz w:val="21"/>
                      <w:szCs w:val="21"/>
                      <w:lang w:val="en-US" w:eastAsia="zh-CN"/>
                    </w:rPr>
                    <w:t>防止</w:t>
                  </w:r>
                  <w:r>
                    <w:rPr>
                      <w:rFonts w:hint="eastAsia" w:ascii="Times New Roman" w:hAnsi="Times New Roman" w:cs="Times New Roman"/>
                      <w:color w:val="auto"/>
                      <w:sz w:val="21"/>
                      <w:szCs w:val="21"/>
                    </w:rPr>
                    <w:t>扬尘污染。</w:t>
                  </w:r>
                </w:p>
              </w:tc>
              <w:tc>
                <w:tcPr>
                  <w:tcW w:w="2348" w:type="dxa"/>
                  <w:noWrap w:val="0"/>
                  <w:vAlign w:val="center"/>
                </w:tcPr>
                <w:p w14:paraId="4177992A">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val="en-US" w:eastAsia="zh-CN"/>
                    </w:rPr>
                    <w:t>生物质颗粒等在车间内贮存，采用吨袋包装</w:t>
                  </w:r>
                  <w:r>
                    <w:rPr>
                      <w:rFonts w:hint="default" w:ascii="Times New Roman" w:hAnsi="Times New Roman" w:cs="Times New Roman"/>
                      <w:color w:val="auto"/>
                      <w:sz w:val="21"/>
                      <w:szCs w:val="21"/>
                    </w:rPr>
                    <w:t>。</w:t>
                  </w:r>
                </w:p>
              </w:tc>
              <w:tc>
                <w:tcPr>
                  <w:tcW w:w="584" w:type="dxa"/>
                  <w:noWrap w:val="0"/>
                  <w:vAlign w:val="center"/>
                </w:tcPr>
                <w:p w14:paraId="7C867A4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符合</w:t>
                  </w:r>
                </w:p>
              </w:tc>
            </w:tr>
            <w:tr w14:paraId="62B91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75" w:hRule="atLeast"/>
                <w:jc w:val="center"/>
              </w:trPr>
              <w:tc>
                <w:tcPr>
                  <w:tcW w:w="1385" w:type="dxa"/>
                  <w:noWrap w:val="0"/>
                  <w:vAlign w:val="center"/>
                </w:tcPr>
                <w:p w14:paraId="73BF103C">
                  <w:pPr>
                    <w:keepNext w:val="0"/>
                    <w:keepLines w:val="0"/>
                    <w:widowControl/>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bCs/>
                      <w:color w:val="auto"/>
                      <w:kern w:val="0"/>
                      <w:sz w:val="21"/>
                      <w:szCs w:val="21"/>
                    </w:rPr>
                    <w:t>《</w:t>
                  </w:r>
                  <w:r>
                    <w:rPr>
                      <w:rFonts w:hint="eastAsia" w:ascii="Times New Roman" w:hAnsi="Times New Roman" w:cs="Times New Roman"/>
                      <w:bCs/>
                      <w:color w:val="auto"/>
                      <w:kern w:val="0"/>
                      <w:sz w:val="21"/>
                      <w:szCs w:val="21"/>
                    </w:rPr>
                    <w:t>四川省“十四五”生态环境保护规划</w:t>
                  </w:r>
                  <w:r>
                    <w:rPr>
                      <w:rFonts w:hint="default" w:ascii="Times New Roman" w:hAnsi="Times New Roman" w:cs="Times New Roman"/>
                      <w:bCs/>
                      <w:color w:val="auto"/>
                      <w:kern w:val="0"/>
                      <w:sz w:val="21"/>
                      <w:szCs w:val="21"/>
                    </w:rPr>
                    <w:t>》</w:t>
                  </w:r>
                </w:p>
              </w:tc>
              <w:tc>
                <w:tcPr>
                  <w:tcW w:w="3493" w:type="dxa"/>
                  <w:noWrap w:val="0"/>
                  <w:vAlign w:val="center"/>
                </w:tcPr>
                <w:p w14:paraId="3089882B">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控制挥发性有机物(VOCs)排放。严格控制VOCs排放总量</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新建VOCs项目应实施等量或倍量替代。强化VOCs源头削减</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以工业涂装、家具制造、包装印刷等行业为重点</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大力推进低(无)VOCs含量原辅材料替代。严格控制生产和使用高VOCs含量溶剂型涂料、油墨、胶粘剂、清洗剂等建设项目。强化VOCs综合治理,以石化、化工、工业涂装、包装印刷、电子、纺织印染、制鞋、家具制造、油品储运销等行业为重点</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提升废气收集率、治污设施同步运行率和去除率</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科学合理选择治理工艺</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推进设施设备提标升级改造。强化无组织排放管控,加大含VOCs物料储存、转移和输送、设备与管线组件泄漏、敞开液面逸散等管控力度</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开展泄漏检测与修复工作。强化企业VOCs排放达标监管</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实施季节性调控。完善挥发性有机物产品标准体系</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建立低挥发性有机物含量产品标识制度。</w:t>
                  </w:r>
                </w:p>
              </w:tc>
              <w:tc>
                <w:tcPr>
                  <w:tcW w:w="2348" w:type="dxa"/>
                  <w:noWrap w:val="0"/>
                  <w:vAlign w:val="center"/>
                </w:tcPr>
                <w:p w14:paraId="679807F0">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项目VOCs实施倍量替代。项目原料无VOCs排放，</w:t>
                  </w:r>
                  <w:r>
                    <w:rPr>
                      <w:rFonts w:hint="eastAsia" w:cs="Times New Roman"/>
                      <w:color w:val="auto"/>
                      <w:sz w:val="21"/>
                      <w:szCs w:val="21"/>
                      <w:lang w:val="en-US" w:eastAsia="zh-CN"/>
                    </w:rPr>
                    <w:t>产品柏木油桶装密闭贮存，</w:t>
                  </w:r>
                  <w:r>
                    <w:rPr>
                      <w:rFonts w:hint="eastAsia" w:ascii="Times New Roman" w:hAnsi="Times New Roman" w:cs="Times New Roman"/>
                      <w:color w:val="auto"/>
                      <w:sz w:val="21"/>
                      <w:szCs w:val="21"/>
                      <w:lang w:val="en-US" w:eastAsia="zh-CN"/>
                    </w:rPr>
                    <w:t>生产过程中产生VOCs加强收集，减少无组织排放，采用设备密闭集气罩</w:t>
                  </w:r>
                  <w:r>
                    <w:rPr>
                      <w:rFonts w:hint="eastAsia" w:cs="Times New Roman"/>
                      <w:color w:val="auto"/>
                      <w:sz w:val="21"/>
                      <w:szCs w:val="21"/>
                      <w:lang w:val="en-US" w:eastAsia="zh-CN"/>
                    </w:rPr>
                    <w:t>收集</w:t>
                  </w:r>
                  <w:r>
                    <w:rPr>
                      <w:rFonts w:hint="eastAsia" w:ascii="Times New Roman" w:hAnsi="Times New Roman" w:cs="Times New Roman"/>
                      <w:color w:val="auto"/>
                      <w:sz w:val="21"/>
                      <w:szCs w:val="21"/>
                      <w:lang w:val="en-US" w:eastAsia="zh-CN"/>
                    </w:rPr>
                    <w:t>，两级活性炭处理后达标排放。</w:t>
                  </w:r>
                </w:p>
              </w:tc>
              <w:tc>
                <w:tcPr>
                  <w:tcW w:w="584" w:type="dxa"/>
                  <w:noWrap w:val="0"/>
                  <w:vAlign w:val="center"/>
                </w:tcPr>
                <w:p w14:paraId="010C0BC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符合</w:t>
                  </w:r>
                </w:p>
              </w:tc>
            </w:tr>
            <w:tr w14:paraId="6D426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75" w:hRule="atLeast"/>
                <w:jc w:val="center"/>
              </w:trPr>
              <w:tc>
                <w:tcPr>
                  <w:tcW w:w="1385" w:type="dxa"/>
                  <w:noWrap w:val="0"/>
                  <w:vAlign w:val="center"/>
                </w:tcPr>
                <w:p w14:paraId="310B5371">
                  <w:pPr>
                    <w:keepNext w:val="0"/>
                    <w:keepLines w:val="0"/>
                    <w:widowControl/>
                    <w:suppressLineNumbers w:val="0"/>
                    <w:spacing w:before="0" w:beforeAutospacing="0" w:after="0" w:afterAutospacing="0" w:line="240" w:lineRule="auto"/>
                    <w:ind w:left="0" w:right="0"/>
                    <w:rPr>
                      <w:rFonts w:hint="eastAsia" w:ascii="Times New Roman" w:hAnsi="Times New Roman" w:eastAsia="宋体" w:cs="Times New Roman"/>
                      <w:bCs/>
                      <w:color w:val="auto"/>
                      <w:kern w:val="0"/>
                      <w:sz w:val="21"/>
                      <w:szCs w:val="21"/>
                      <w:lang w:eastAsia="zh-CN"/>
                    </w:rPr>
                  </w:pPr>
                  <w:r>
                    <w:rPr>
                      <w:rFonts w:hint="eastAsia" w:ascii="Times New Roman" w:hAnsi="Times New Roman" w:cs="Times New Roman"/>
                      <w:bCs/>
                      <w:color w:val="auto"/>
                      <w:kern w:val="0"/>
                      <w:sz w:val="21"/>
                      <w:szCs w:val="21"/>
                      <w:lang w:eastAsia="zh-CN"/>
                    </w:rPr>
                    <w:t>《遂宁市“十四五”生态环境保护规划》</w:t>
                  </w:r>
                </w:p>
              </w:tc>
              <w:tc>
                <w:tcPr>
                  <w:tcW w:w="3493" w:type="dxa"/>
                  <w:noWrap w:val="0"/>
                  <w:vAlign w:val="center"/>
                </w:tcPr>
                <w:p w14:paraId="04193761">
                  <w:pPr>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大力推进重点行业VOCs治理。严格新增VOCs排放建设项目环境准入，更新、优化VOCs和NOx排放清单，制定NOx与VOCs协同减排计划，建立VOCs治理台账，加快推进整改。突出抓好化工、涂装、包装印刷、油品储运销等行业（领域）关键环节VOCs治理突出问题排查整治，推进建设高效治污设施，深入推行“一厂一策”，提高VOCs治理效率。</w:t>
                  </w:r>
                </w:p>
              </w:tc>
              <w:tc>
                <w:tcPr>
                  <w:tcW w:w="2348" w:type="dxa"/>
                  <w:noWrap w:val="0"/>
                  <w:vAlign w:val="center"/>
                </w:tcPr>
                <w:p w14:paraId="2A90EFDC">
                  <w:pPr>
                    <w:keepNext w:val="0"/>
                    <w:keepLines w:val="0"/>
                    <w:suppressLineNumbers w:val="0"/>
                    <w:spacing w:before="0" w:beforeAutospacing="0" w:after="0" w:afterAutospacing="0" w:line="240" w:lineRule="auto"/>
                    <w:ind w:left="0" w:right="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项目生产过程中产生VOCs加强收集，减少无组织排放，采用设备密闭集气罩</w:t>
                  </w:r>
                  <w:r>
                    <w:rPr>
                      <w:rFonts w:hint="eastAsia" w:cs="Times New Roman"/>
                      <w:color w:val="auto"/>
                      <w:sz w:val="21"/>
                      <w:szCs w:val="21"/>
                      <w:lang w:val="en-US" w:eastAsia="zh-CN"/>
                    </w:rPr>
                    <w:t>收集</w:t>
                  </w:r>
                  <w:r>
                    <w:rPr>
                      <w:rFonts w:hint="eastAsia" w:ascii="Times New Roman" w:hAnsi="Times New Roman" w:cs="Times New Roman"/>
                      <w:color w:val="auto"/>
                      <w:sz w:val="21"/>
                      <w:szCs w:val="21"/>
                      <w:lang w:val="en-US" w:eastAsia="zh-CN"/>
                    </w:rPr>
                    <w:t>，两级活性炭处理后达标排放。</w:t>
                  </w:r>
                </w:p>
              </w:tc>
              <w:tc>
                <w:tcPr>
                  <w:tcW w:w="584" w:type="dxa"/>
                  <w:noWrap w:val="0"/>
                  <w:vAlign w:val="center"/>
                </w:tcPr>
                <w:p w14:paraId="2C74EF8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val="0"/>
                      <w:bCs w:val="0"/>
                      <w:color w:val="auto"/>
                      <w:sz w:val="21"/>
                      <w:szCs w:val="21"/>
                    </w:rPr>
                    <w:t>符合</w:t>
                  </w:r>
                </w:p>
              </w:tc>
            </w:tr>
            <w:tr w14:paraId="797D9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6" w:hRule="atLeast"/>
                <w:jc w:val="center"/>
              </w:trPr>
              <w:tc>
                <w:tcPr>
                  <w:tcW w:w="1385" w:type="dxa"/>
                  <w:vMerge w:val="restart"/>
                  <w:noWrap w:val="0"/>
                  <w:vAlign w:val="center"/>
                </w:tcPr>
                <w:p w14:paraId="20697F8A">
                  <w:pPr>
                    <w:keepNext w:val="0"/>
                    <w:keepLines w:val="0"/>
                    <w:widowControl/>
                    <w:suppressLineNumbers w:val="0"/>
                    <w:spacing w:before="0" w:beforeAutospacing="0" w:after="0" w:afterAutospacing="0" w:line="240" w:lineRule="auto"/>
                    <w:ind w:left="0" w:right="0"/>
                    <w:rPr>
                      <w:rFonts w:hint="eastAsia" w:ascii="Times New Roman" w:hAnsi="Times New Roman" w:cs="Times New Roman"/>
                      <w:bCs/>
                      <w:color w:val="auto"/>
                      <w:kern w:val="0"/>
                      <w:sz w:val="21"/>
                      <w:szCs w:val="21"/>
                      <w:lang w:eastAsia="zh-CN"/>
                    </w:rPr>
                  </w:pPr>
                  <w:r>
                    <w:rPr>
                      <w:rFonts w:hint="eastAsia" w:ascii="Times New Roman" w:hAnsi="Times New Roman" w:cs="Times New Roman"/>
                      <w:bCs/>
                      <w:color w:val="auto"/>
                      <w:kern w:val="0"/>
                      <w:sz w:val="21"/>
                      <w:szCs w:val="21"/>
                      <w:lang w:eastAsia="zh-CN"/>
                    </w:rPr>
                    <w:t>关于印发《重点行业挥发性有机物综合治理方案》的通知</w:t>
                  </w:r>
                </w:p>
              </w:tc>
              <w:tc>
                <w:tcPr>
                  <w:tcW w:w="3493" w:type="dxa"/>
                  <w:noWrap w:val="0"/>
                  <w:vAlign w:val="center"/>
                </w:tcPr>
                <w:p w14:paraId="3C024E9B">
                  <w:pPr>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化工行业VOCs综合治理。加强制药、农药、涂料、油墨、胶粘剂、橡胶和塑料制品等行业VOCs治理力度。重点提高涉VOCs排放主要工序密闭化水平，加强无组织排放收集，加大含VOCs物料储存和装卸治理力度。废水储存、曝气池及其之前废水处理设施应按要求加盖封闭，实施废气收集与处理。</w:t>
                  </w:r>
                </w:p>
              </w:tc>
              <w:tc>
                <w:tcPr>
                  <w:tcW w:w="2348" w:type="dxa"/>
                  <w:noWrap w:val="0"/>
                  <w:vAlign w:val="center"/>
                </w:tcPr>
                <w:p w14:paraId="3AB05D41">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项目蒸馏釜及冷凝器均密闭，油水分离池上方设置集气罩对废气进行收集，降低无组织排放。</w:t>
                  </w:r>
                </w:p>
              </w:tc>
              <w:tc>
                <w:tcPr>
                  <w:tcW w:w="584" w:type="dxa"/>
                  <w:noWrap w:val="0"/>
                  <w:vAlign w:val="center"/>
                </w:tcPr>
                <w:p w14:paraId="3E0F304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val="0"/>
                      <w:bCs w:val="0"/>
                      <w:color w:val="auto"/>
                      <w:sz w:val="21"/>
                      <w:szCs w:val="21"/>
                    </w:rPr>
                    <w:t>符合</w:t>
                  </w:r>
                </w:p>
              </w:tc>
            </w:tr>
            <w:tr w14:paraId="77398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0" w:hRule="atLeast"/>
                <w:jc w:val="center"/>
              </w:trPr>
              <w:tc>
                <w:tcPr>
                  <w:tcW w:w="1385" w:type="dxa"/>
                  <w:vMerge w:val="continue"/>
                  <w:noWrap w:val="0"/>
                  <w:vAlign w:val="center"/>
                </w:tcPr>
                <w:p w14:paraId="1D6AB9D0">
                  <w:pPr>
                    <w:keepNext w:val="0"/>
                    <w:keepLines w:val="0"/>
                    <w:widowControl/>
                    <w:suppressLineNumbers w:val="0"/>
                    <w:spacing w:before="0" w:beforeAutospacing="0" w:after="0" w:afterAutospacing="0" w:line="240" w:lineRule="auto"/>
                    <w:ind w:left="0" w:right="0"/>
                    <w:rPr>
                      <w:rFonts w:hint="eastAsia" w:ascii="Times New Roman" w:hAnsi="Times New Roman" w:cs="Times New Roman"/>
                      <w:bCs/>
                      <w:color w:val="auto"/>
                      <w:kern w:val="0"/>
                      <w:sz w:val="21"/>
                      <w:szCs w:val="21"/>
                      <w:lang w:eastAsia="zh-CN"/>
                    </w:rPr>
                  </w:pPr>
                </w:p>
              </w:tc>
              <w:tc>
                <w:tcPr>
                  <w:tcW w:w="3493" w:type="dxa"/>
                  <w:noWrap w:val="0"/>
                  <w:vAlign w:val="center"/>
                </w:tcPr>
                <w:p w14:paraId="16220576">
                  <w:pPr>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严格控制储存和装卸过程VOCs排放。</w:t>
                  </w:r>
                </w:p>
              </w:tc>
              <w:tc>
                <w:tcPr>
                  <w:tcW w:w="2348" w:type="dxa"/>
                  <w:noWrap w:val="0"/>
                  <w:vAlign w:val="center"/>
                </w:tcPr>
                <w:p w14:paraId="110C0F19">
                  <w:pPr>
                    <w:keepNext w:val="0"/>
                    <w:keepLines w:val="0"/>
                    <w:suppressLineNumbers w:val="0"/>
                    <w:spacing w:before="0" w:beforeAutospacing="0" w:after="0" w:afterAutospacing="0" w:line="240" w:lineRule="auto"/>
                    <w:ind w:left="0" w:right="0"/>
                    <w:rPr>
                      <w:rFonts w:hint="default" w:cs="Times New Roman"/>
                      <w:color w:val="auto"/>
                      <w:sz w:val="21"/>
                      <w:szCs w:val="21"/>
                      <w:lang w:val="en-US" w:eastAsia="zh-CN"/>
                    </w:rPr>
                  </w:pPr>
                  <w:r>
                    <w:rPr>
                      <w:rFonts w:hint="eastAsia" w:cs="Times New Roman"/>
                      <w:color w:val="auto"/>
                      <w:sz w:val="21"/>
                      <w:szCs w:val="21"/>
                      <w:lang w:val="en-US" w:eastAsia="zh-CN"/>
                    </w:rPr>
                    <w:t>项目柏木油采用密闭桶装存放，及时销售，不在场内长时间储存。</w:t>
                  </w:r>
                </w:p>
              </w:tc>
              <w:tc>
                <w:tcPr>
                  <w:tcW w:w="584" w:type="dxa"/>
                  <w:noWrap w:val="0"/>
                  <w:vAlign w:val="center"/>
                </w:tcPr>
                <w:p w14:paraId="25DC81F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val="0"/>
                      <w:bCs w:val="0"/>
                      <w:color w:val="auto"/>
                      <w:sz w:val="21"/>
                      <w:szCs w:val="21"/>
                    </w:rPr>
                    <w:t>符合</w:t>
                  </w:r>
                </w:p>
              </w:tc>
            </w:tr>
            <w:tr w14:paraId="073CF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4" w:hRule="atLeast"/>
                <w:jc w:val="center"/>
              </w:trPr>
              <w:tc>
                <w:tcPr>
                  <w:tcW w:w="1385" w:type="dxa"/>
                  <w:vMerge w:val="continue"/>
                  <w:noWrap w:val="0"/>
                  <w:vAlign w:val="center"/>
                </w:tcPr>
                <w:p w14:paraId="2E4C3E19">
                  <w:pPr>
                    <w:keepNext w:val="0"/>
                    <w:keepLines w:val="0"/>
                    <w:widowControl/>
                    <w:suppressLineNumbers w:val="0"/>
                    <w:spacing w:before="0" w:beforeAutospacing="0" w:after="0" w:afterAutospacing="0" w:line="240" w:lineRule="auto"/>
                    <w:ind w:left="0" w:right="0"/>
                    <w:rPr>
                      <w:rFonts w:hint="eastAsia" w:ascii="Times New Roman" w:hAnsi="Times New Roman" w:cs="Times New Roman"/>
                      <w:bCs/>
                      <w:color w:val="auto"/>
                      <w:kern w:val="0"/>
                      <w:sz w:val="21"/>
                      <w:szCs w:val="21"/>
                      <w:lang w:eastAsia="zh-CN"/>
                    </w:rPr>
                  </w:pPr>
                </w:p>
              </w:tc>
              <w:tc>
                <w:tcPr>
                  <w:tcW w:w="3493" w:type="dxa"/>
                  <w:noWrap w:val="0"/>
                  <w:vAlign w:val="center"/>
                </w:tcPr>
                <w:p w14:paraId="058D430F">
                  <w:pPr>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实施废气分类收集处理。优先选用冷凝、吸附再生等回收技术</w:t>
                  </w:r>
                  <w:r>
                    <w:rPr>
                      <w:rFonts w:hint="eastAsia" w:cs="Times New Roman"/>
                      <w:color w:val="auto"/>
                      <w:sz w:val="21"/>
                      <w:szCs w:val="21"/>
                      <w:lang w:eastAsia="zh-CN"/>
                    </w:rPr>
                    <w:t>，</w:t>
                  </w:r>
                  <w:r>
                    <w:rPr>
                      <w:rFonts w:hint="eastAsia" w:ascii="Times New Roman" w:hAnsi="Times New Roman" w:cs="Times New Roman"/>
                      <w:color w:val="auto"/>
                      <w:sz w:val="21"/>
                      <w:szCs w:val="21"/>
                    </w:rPr>
                    <w:t>难以回收的，宜选用燃烧、吸附浓缩+燃烧等高效治理技术。</w:t>
                  </w:r>
                </w:p>
              </w:tc>
              <w:tc>
                <w:tcPr>
                  <w:tcW w:w="2348" w:type="dxa"/>
                  <w:noWrap w:val="0"/>
                  <w:vAlign w:val="center"/>
                </w:tcPr>
                <w:p w14:paraId="01FD0820">
                  <w:pPr>
                    <w:keepNext w:val="0"/>
                    <w:keepLines w:val="0"/>
                    <w:suppressLineNumbers w:val="0"/>
                    <w:spacing w:before="0" w:beforeAutospacing="0" w:after="0" w:afterAutospacing="0" w:line="240" w:lineRule="auto"/>
                    <w:ind w:left="0" w:right="0"/>
                    <w:rPr>
                      <w:rFonts w:hint="default" w:cs="Times New Roman"/>
                      <w:color w:val="auto"/>
                      <w:sz w:val="21"/>
                      <w:szCs w:val="21"/>
                      <w:lang w:val="en-US" w:eastAsia="zh-CN"/>
                    </w:rPr>
                  </w:pPr>
                  <w:r>
                    <w:rPr>
                      <w:rFonts w:hint="eastAsia" w:cs="Times New Roman"/>
                      <w:color w:val="auto"/>
                      <w:sz w:val="21"/>
                      <w:szCs w:val="21"/>
                      <w:lang w:val="en-US" w:eastAsia="zh-CN"/>
                    </w:rPr>
                    <w:t>项目有机废气单独收集，采用两级活性炭吸附处理。</w:t>
                  </w:r>
                </w:p>
              </w:tc>
              <w:tc>
                <w:tcPr>
                  <w:tcW w:w="584" w:type="dxa"/>
                  <w:noWrap w:val="0"/>
                  <w:vAlign w:val="center"/>
                </w:tcPr>
                <w:p w14:paraId="577E344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val="0"/>
                      <w:bCs w:val="0"/>
                      <w:color w:val="auto"/>
                      <w:sz w:val="21"/>
                      <w:szCs w:val="21"/>
                    </w:rPr>
                    <w:t>符合</w:t>
                  </w:r>
                </w:p>
              </w:tc>
            </w:tr>
          </w:tbl>
          <w:p w14:paraId="167A94A6">
            <w:pPr>
              <w:pStyle w:val="3"/>
              <w:ind w:firstLine="0" w:firstLineChars="0"/>
              <w:outlineLvl w:val="1"/>
              <w:rPr>
                <w:rFonts w:hint="default" w:ascii="Times New Roman" w:hAnsi="Times New Roman" w:eastAsia="宋体" w:cs="Times New Roman"/>
                <w:b/>
                <w:bCs w:val="0"/>
                <w:color w:val="auto"/>
                <w:sz w:val="24"/>
                <w:szCs w:val="24"/>
                <w:shd w:val="clear" w:color="auto" w:fill="auto"/>
                <w:lang w:eastAsia="zh-CN" w:bidi="ar-SA"/>
              </w:rPr>
            </w:pPr>
          </w:p>
          <w:p w14:paraId="37DD25DB">
            <w:pPr>
              <w:pStyle w:val="3"/>
              <w:ind w:firstLine="0" w:firstLineChars="0"/>
              <w:outlineLvl w:val="1"/>
              <w:rPr>
                <w:rFonts w:hint="default" w:ascii="Times New Roman" w:hAnsi="Times New Roman" w:eastAsia="宋体" w:cs="Times New Roman"/>
                <w:bCs w:val="0"/>
                <w:color w:val="auto"/>
                <w:sz w:val="24"/>
                <w:szCs w:val="24"/>
                <w:shd w:val="clear" w:color="auto" w:fill="auto"/>
                <w:lang w:bidi="ar-SA"/>
              </w:rPr>
            </w:pPr>
            <w:r>
              <w:rPr>
                <w:rFonts w:hint="default" w:ascii="Times New Roman" w:hAnsi="Times New Roman" w:eastAsia="宋体" w:cs="Times New Roman"/>
                <w:b/>
                <w:bCs w:val="0"/>
                <w:color w:val="auto"/>
                <w:sz w:val="24"/>
                <w:szCs w:val="24"/>
                <w:shd w:val="clear" w:color="auto" w:fill="auto"/>
                <w:lang w:eastAsia="zh-CN" w:bidi="ar-SA"/>
              </w:rPr>
              <w:t>五</w:t>
            </w:r>
            <w:r>
              <w:rPr>
                <w:rFonts w:hint="default" w:ascii="Times New Roman" w:hAnsi="Times New Roman" w:eastAsia="宋体" w:cs="Times New Roman"/>
                <w:b/>
                <w:bCs w:val="0"/>
                <w:color w:val="auto"/>
                <w:sz w:val="24"/>
                <w:szCs w:val="24"/>
                <w:shd w:val="clear" w:color="auto" w:fill="auto"/>
                <w:lang w:bidi="ar-SA"/>
              </w:rPr>
              <w:t>、与长江经</w:t>
            </w:r>
            <w:r>
              <w:rPr>
                <w:rFonts w:hint="default" w:ascii="Times New Roman" w:hAnsi="Times New Roman" w:eastAsia="宋体" w:cs="Times New Roman"/>
                <w:bCs w:val="0"/>
                <w:color w:val="auto"/>
                <w:sz w:val="24"/>
                <w:szCs w:val="24"/>
                <w:shd w:val="clear" w:color="auto" w:fill="auto"/>
                <w:lang w:bidi="ar-SA"/>
              </w:rPr>
              <w:t>济带发展负面清单符合性分析</w:t>
            </w:r>
          </w:p>
          <w:p w14:paraId="5FD6ABD8">
            <w:pPr>
              <w:pStyle w:val="61"/>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b/>
                <w:bCs/>
                <w:color w:val="auto"/>
                <w:sz w:val="21"/>
                <w:shd w:val="clear" w:color="auto" w:fill="auto"/>
              </w:rPr>
            </w:pPr>
            <w:r>
              <w:rPr>
                <w:rFonts w:hint="default" w:ascii="Times New Roman" w:hAnsi="Times New Roman" w:eastAsia="宋体" w:cs="Times New Roman"/>
                <w:color w:val="auto"/>
                <w:szCs w:val="24"/>
                <w:shd w:val="clear" w:color="auto" w:fill="auto"/>
              </w:rPr>
              <w:t>根据推动长江经济带发展领导小组办公室文件（长江办【2022】7号）关于印发《长江经济带发展负面清单指南》（试行，2022年版）的通知，项目符合性分析如下：</w:t>
            </w:r>
          </w:p>
          <w:p w14:paraId="0891A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表1-</w:t>
            </w:r>
            <w:r>
              <w:rPr>
                <w:rFonts w:hint="eastAsia" w:cs="Times New Roman"/>
                <w:b/>
                <w:bCs/>
                <w:color w:val="auto"/>
                <w:sz w:val="21"/>
                <w:szCs w:val="21"/>
                <w:shd w:val="clear" w:color="auto" w:fill="auto"/>
                <w:lang w:val="en-US" w:eastAsia="zh-CN"/>
              </w:rPr>
              <w:t>6</w:t>
            </w:r>
            <w:r>
              <w:rPr>
                <w:rFonts w:hint="default" w:ascii="Times New Roman" w:hAnsi="Times New Roman" w:eastAsia="宋体" w:cs="Times New Roman"/>
                <w:b/>
                <w:bCs/>
                <w:color w:val="auto"/>
                <w:sz w:val="21"/>
                <w:szCs w:val="21"/>
                <w:shd w:val="clear" w:color="auto" w:fill="auto"/>
              </w:rPr>
              <w:t xml:space="preserve">  与《长江经济带发展负面清单指南》（试行，2022年版）符合性分析一览表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76"/>
              <w:gridCol w:w="4901"/>
              <w:gridCol w:w="2206"/>
              <w:gridCol w:w="575"/>
            </w:tblGrid>
            <w:tr w14:paraId="086BF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2" w:type="pct"/>
                  <w:noWrap w:val="0"/>
                  <w:vAlign w:val="center"/>
                </w:tcPr>
                <w:p w14:paraId="516F930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shd w:val="clear" w:color="auto" w:fill="auto"/>
                      <w:lang w:eastAsia="zh-CN"/>
                    </w:rPr>
                  </w:pPr>
                  <w:r>
                    <w:rPr>
                      <w:rFonts w:hint="default" w:ascii="Times New Roman" w:hAnsi="Times New Roman" w:eastAsia="宋体" w:cs="Times New Roman"/>
                      <w:b/>
                      <w:bCs/>
                      <w:color w:val="auto"/>
                      <w:sz w:val="21"/>
                      <w:szCs w:val="21"/>
                      <w:shd w:val="clear" w:color="auto" w:fill="auto"/>
                      <w:lang w:eastAsia="zh-CN"/>
                    </w:rPr>
                    <w:t>序号</w:t>
                  </w:r>
                </w:p>
              </w:tc>
              <w:tc>
                <w:tcPr>
                  <w:tcW w:w="3002" w:type="pct"/>
                  <w:noWrap w:val="0"/>
                  <w:vAlign w:val="center"/>
                </w:tcPr>
                <w:p w14:paraId="1316E0D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shd w:val="clear" w:color="auto" w:fill="auto"/>
                      <w:lang w:eastAsia="zh-CN"/>
                    </w:rPr>
                  </w:pPr>
                  <w:r>
                    <w:rPr>
                      <w:rFonts w:hint="default" w:ascii="Times New Roman" w:hAnsi="Times New Roman" w:eastAsia="宋体" w:cs="Times New Roman"/>
                      <w:b/>
                      <w:bCs/>
                      <w:color w:val="auto"/>
                      <w:sz w:val="21"/>
                      <w:szCs w:val="21"/>
                      <w:shd w:val="clear" w:color="auto" w:fill="auto"/>
                      <w:lang w:eastAsia="zh-CN"/>
                    </w:rPr>
                    <w:t>负面清单</w:t>
                  </w:r>
                </w:p>
              </w:tc>
              <w:tc>
                <w:tcPr>
                  <w:tcW w:w="1351" w:type="pct"/>
                  <w:noWrap w:val="0"/>
                  <w:vAlign w:val="center"/>
                </w:tcPr>
                <w:p w14:paraId="455E563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本项目情况</w:t>
                  </w:r>
                </w:p>
              </w:tc>
              <w:tc>
                <w:tcPr>
                  <w:tcW w:w="352" w:type="pct"/>
                  <w:noWrap w:val="0"/>
                  <w:vAlign w:val="center"/>
                </w:tcPr>
                <w:p w14:paraId="5DBA756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是否符合</w:t>
                  </w:r>
                </w:p>
              </w:tc>
            </w:tr>
            <w:tr w14:paraId="02C5A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2" w:type="pct"/>
                  <w:noWrap w:val="0"/>
                  <w:vAlign w:val="center"/>
                </w:tcPr>
                <w:p w14:paraId="27CF7E2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eastAsia="宋体" w:cs="Times New Roman"/>
                      <w:b/>
                      <w:bCs/>
                      <w:color w:val="auto"/>
                      <w:sz w:val="21"/>
                      <w:szCs w:val="21"/>
                      <w:shd w:val="clear" w:color="auto" w:fill="auto"/>
                      <w:lang w:val="en-US" w:eastAsia="zh-CN"/>
                    </w:rPr>
                    <w:t>1</w:t>
                  </w:r>
                </w:p>
              </w:tc>
              <w:tc>
                <w:tcPr>
                  <w:tcW w:w="3002" w:type="pct"/>
                  <w:noWrap w:val="0"/>
                  <w:vAlign w:val="center"/>
                </w:tcPr>
                <w:p w14:paraId="72944AB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eastAsia="宋体" w:cs="Times New Roman"/>
                      <w:color w:val="auto"/>
                      <w:sz w:val="21"/>
                      <w:szCs w:val="21"/>
                      <w:shd w:val="clear" w:color="auto" w:fill="auto"/>
                    </w:rPr>
                    <w:t>禁止建设不符合全国和省级港口布局规划以及港口总体规划的码头项目，禁止建设不符合《长江干线过江通道布局规划》的长江通道项目</w:t>
                  </w:r>
                  <w:r>
                    <w:rPr>
                      <w:rFonts w:hint="default" w:ascii="Times New Roman" w:hAnsi="Times New Roman" w:eastAsia="宋体" w:cs="Times New Roman"/>
                      <w:color w:val="auto"/>
                      <w:sz w:val="21"/>
                      <w:szCs w:val="21"/>
                      <w:shd w:val="clear" w:color="auto" w:fill="auto"/>
                      <w:lang w:eastAsia="zh-CN"/>
                    </w:rPr>
                    <w:t>。</w:t>
                  </w:r>
                </w:p>
              </w:tc>
              <w:tc>
                <w:tcPr>
                  <w:tcW w:w="1351" w:type="pct"/>
                  <w:noWrap w:val="0"/>
                  <w:vAlign w:val="center"/>
                </w:tcPr>
                <w:p w14:paraId="6B2C3FF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rPr>
                    <w:t>本项目不属于码头项目、且不属于长江通道项目</w:t>
                  </w:r>
                </w:p>
              </w:tc>
              <w:tc>
                <w:tcPr>
                  <w:tcW w:w="352" w:type="pct"/>
                  <w:noWrap w:val="0"/>
                  <w:vAlign w:val="center"/>
                </w:tcPr>
                <w:p w14:paraId="6E12C78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符合</w:t>
                  </w:r>
                </w:p>
              </w:tc>
            </w:tr>
            <w:tr w14:paraId="248FF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2" w:type="pct"/>
                  <w:noWrap w:val="0"/>
                  <w:vAlign w:val="center"/>
                </w:tcPr>
                <w:p w14:paraId="2716644F">
                  <w:pPr>
                    <w:pStyle w:val="77"/>
                    <w:keepNext w:val="0"/>
                    <w:keepLines w:val="0"/>
                    <w:suppressLineNumbers w:val="0"/>
                    <w:tabs>
                      <w:tab w:val="left" w:pos="3300"/>
                    </w:tabs>
                    <w:spacing w:before="0" w:beforeAutospacing="0" w:afterAutospacing="0" w:line="240" w:lineRule="auto"/>
                    <w:ind w:left="0" w:right="0" w:firstLine="0" w:firstLineChars="0"/>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eastAsia="宋体" w:cs="Times New Roman"/>
                      <w:color w:val="auto"/>
                      <w:sz w:val="21"/>
                      <w:szCs w:val="21"/>
                      <w:shd w:val="clear" w:color="auto" w:fill="auto"/>
                      <w:lang w:val="en-US" w:eastAsia="zh-CN"/>
                    </w:rPr>
                    <w:t>2</w:t>
                  </w:r>
                </w:p>
              </w:tc>
              <w:tc>
                <w:tcPr>
                  <w:tcW w:w="3002" w:type="pct"/>
                  <w:noWrap w:val="0"/>
                  <w:vAlign w:val="center"/>
                </w:tcPr>
                <w:p w14:paraId="3463757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禁止在自然保护区核心区、缓冲区的岸线和河段范围内投资建设旅游和生产经营项目。禁止在风景名胜区核心景区的岸线和河段范围内投资建设与风景名胜资源保护无关的项目</w:t>
                  </w:r>
                </w:p>
              </w:tc>
              <w:tc>
                <w:tcPr>
                  <w:tcW w:w="1351" w:type="pct"/>
                  <w:noWrap w:val="0"/>
                  <w:vAlign w:val="center"/>
                </w:tcPr>
                <w:p w14:paraId="3317B30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本项目位于</w:t>
                  </w:r>
                  <w:r>
                    <w:rPr>
                      <w:rFonts w:hint="default" w:ascii="Times New Roman" w:hAnsi="Times New Roman" w:eastAsia="宋体" w:cs="Times New Roman"/>
                      <w:b w:val="0"/>
                      <w:bCs w:val="0"/>
                      <w:color w:val="auto"/>
                      <w:sz w:val="21"/>
                      <w:szCs w:val="21"/>
                      <w:shd w:val="clear" w:color="auto" w:fill="auto"/>
                      <w:lang w:eastAsia="zh-CN"/>
                    </w:rPr>
                    <w:t>蓬溪县上游工业园区内</w:t>
                  </w:r>
                  <w:r>
                    <w:rPr>
                      <w:rFonts w:hint="default" w:ascii="Times New Roman" w:hAnsi="Times New Roman" w:eastAsia="宋体" w:cs="Times New Roman"/>
                      <w:b w:val="0"/>
                      <w:bCs w:val="0"/>
                      <w:color w:val="auto"/>
                      <w:sz w:val="21"/>
                      <w:szCs w:val="21"/>
                      <w:shd w:val="clear" w:color="auto" w:fill="auto"/>
                    </w:rPr>
                    <w:t>，不涉及自然保护区及风景名胜区</w:t>
                  </w:r>
                </w:p>
              </w:tc>
              <w:tc>
                <w:tcPr>
                  <w:tcW w:w="352" w:type="pct"/>
                  <w:noWrap w:val="0"/>
                  <w:vAlign w:val="center"/>
                </w:tcPr>
                <w:p w14:paraId="7F0822D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符合</w:t>
                  </w:r>
                </w:p>
              </w:tc>
            </w:tr>
            <w:tr w14:paraId="4D909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2" w:type="pct"/>
                  <w:noWrap w:val="0"/>
                  <w:vAlign w:val="center"/>
                </w:tcPr>
                <w:p w14:paraId="2906E131">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w:t>
                  </w:r>
                </w:p>
              </w:tc>
              <w:tc>
                <w:tcPr>
                  <w:tcW w:w="3002" w:type="pct"/>
                  <w:noWrap w:val="0"/>
                  <w:vAlign w:val="center"/>
                </w:tcPr>
                <w:p w14:paraId="7C3A4D26">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禁止在饮用水水源一级保护区的岸线和河段范围内新建、改建、扩建与供水设施和保护水源无关的项目，以及网箱养殖、畜禽养殖、旅游等可能污染饮用水源二级保护区的岸线和河段范围内新建、改建、扩建排放污染物的投资建设项目。</w:t>
                  </w:r>
                </w:p>
              </w:tc>
              <w:tc>
                <w:tcPr>
                  <w:tcW w:w="1351" w:type="pct"/>
                  <w:noWrap w:val="0"/>
                  <w:vAlign w:val="center"/>
                </w:tcPr>
                <w:p w14:paraId="3103B36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lang w:val="en-US" w:eastAsia="zh-CN"/>
                    </w:rPr>
                  </w:pPr>
                  <w:r>
                    <w:rPr>
                      <w:rFonts w:hint="default" w:ascii="Times New Roman" w:hAnsi="Times New Roman" w:eastAsia="宋体" w:cs="Times New Roman"/>
                      <w:b w:val="0"/>
                      <w:bCs w:val="0"/>
                      <w:color w:val="auto"/>
                      <w:sz w:val="21"/>
                      <w:szCs w:val="21"/>
                      <w:shd w:val="clear" w:color="auto" w:fill="auto"/>
                      <w:lang w:val="en-US" w:eastAsia="zh-CN"/>
                    </w:rPr>
                    <w:t>项目选址不涉及饮用水源保护区</w:t>
                  </w:r>
                </w:p>
              </w:tc>
              <w:tc>
                <w:tcPr>
                  <w:tcW w:w="352" w:type="pct"/>
                  <w:noWrap w:val="0"/>
                  <w:vAlign w:val="center"/>
                </w:tcPr>
                <w:p w14:paraId="57F305E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r w14:paraId="047FC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2" w:type="pct"/>
                  <w:noWrap w:val="0"/>
                  <w:vAlign w:val="center"/>
                </w:tcPr>
                <w:p w14:paraId="51A5A557">
                  <w:pPr>
                    <w:pStyle w:val="103"/>
                    <w:keepNext w:val="0"/>
                    <w:keepLines w:val="0"/>
                    <w:widowControl w:val="0"/>
                    <w:suppressLineNumbers w:val="0"/>
                    <w:shd w:val="clear" w:color="auto" w:fill="auto"/>
                    <w:bidi w:val="0"/>
                    <w:spacing w:before="0" w:beforeAutospacing="0" w:after="0" w:afterAutospacing="0" w:line="312" w:lineRule="exact"/>
                    <w:ind w:left="0" w:right="0"/>
                    <w:jc w:val="center"/>
                    <w:rPr>
                      <w:rFonts w:hint="default" w:ascii="Times New Roman" w:hAnsi="Times New Roman" w:eastAsia="宋体" w:cs="Times New Roman"/>
                      <w:color w:val="auto"/>
                      <w:kern w:val="2"/>
                      <w:sz w:val="21"/>
                      <w:szCs w:val="18"/>
                      <w:u w:val="none"/>
                      <w:shd w:val="clear" w:color="auto" w:fill="auto"/>
                      <w:lang w:val="en-US" w:eastAsia="zh-CN" w:bidi="zh-TW"/>
                    </w:rPr>
                  </w:pPr>
                  <w:r>
                    <w:rPr>
                      <w:rFonts w:hint="default" w:ascii="Times New Roman" w:hAnsi="Times New Roman" w:eastAsia="宋体" w:cs="Times New Roman"/>
                      <w:color w:val="auto"/>
                      <w:kern w:val="2"/>
                      <w:sz w:val="21"/>
                      <w:szCs w:val="18"/>
                      <w:u w:val="none"/>
                      <w:shd w:val="clear" w:color="auto" w:fill="auto"/>
                      <w:lang w:val="en-US" w:eastAsia="zh-CN" w:bidi="zh-TW"/>
                    </w:rPr>
                    <w:t>4</w:t>
                  </w:r>
                </w:p>
              </w:tc>
              <w:tc>
                <w:tcPr>
                  <w:tcW w:w="3002" w:type="pct"/>
                  <w:noWrap w:val="0"/>
                  <w:vAlign w:val="center"/>
                </w:tcPr>
                <w:p w14:paraId="312700FF">
                  <w:pPr>
                    <w:pStyle w:val="103"/>
                    <w:keepNext w:val="0"/>
                    <w:keepLines w:val="0"/>
                    <w:widowControl w:val="0"/>
                    <w:suppressLineNumbers w:val="0"/>
                    <w:shd w:val="clear" w:color="auto" w:fill="auto"/>
                    <w:bidi w:val="0"/>
                    <w:spacing w:before="0" w:beforeAutospacing="0" w:after="0" w:afterAutospacing="0" w:line="313" w:lineRule="exact"/>
                    <w:ind w:left="0" w:right="0" w:firstLine="0"/>
                    <w:jc w:val="center"/>
                    <w:rPr>
                      <w:rFonts w:hint="default" w:ascii="Times New Roman" w:hAnsi="Times New Roman" w:eastAsia="宋体" w:cs="Times New Roman"/>
                      <w:color w:val="auto"/>
                      <w:kern w:val="2"/>
                      <w:sz w:val="21"/>
                      <w:szCs w:val="18"/>
                      <w:u w:val="none"/>
                      <w:shd w:val="clear" w:color="auto" w:fill="auto"/>
                      <w:lang w:val="zh-TW" w:eastAsia="zh-TW" w:bidi="zh-TW"/>
                    </w:rPr>
                  </w:pPr>
                  <w:r>
                    <w:rPr>
                      <w:rFonts w:hint="default" w:ascii="Times New Roman" w:hAnsi="Times New Roman" w:eastAsia="宋体" w:cs="Times New Roman"/>
                      <w:color w:val="auto"/>
                      <w:kern w:val="2"/>
                      <w:sz w:val="21"/>
                      <w:szCs w:val="18"/>
                      <w:u w:val="none"/>
                      <w:shd w:val="clear" w:color="auto" w:fill="auto"/>
                      <w:lang w:val="zh-TW" w:eastAsia="zh-TW" w:bidi="zh-TW"/>
                    </w:rPr>
                    <w:t>禁止在水产种质资源保护区的岸线和河段范围新建围湖、造田、围海造地或围填海等投资建设项目。禁止在国家湿地公园的岸线和河段范围内挖沙、采矿，以及任何不符合主体功能定位的投资建设项目。</w:t>
                  </w:r>
                </w:p>
              </w:tc>
              <w:tc>
                <w:tcPr>
                  <w:tcW w:w="1351" w:type="pct"/>
                  <w:noWrap w:val="0"/>
                  <w:vAlign w:val="center"/>
                </w:tcPr>
                <w:p w14:paraId="275DC2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lang w:val="en-US" w:eastAsia="zh-CN"/>
                    </w:rPr>
                  </w:pPr>
                  <w:r>
                    <w:rPr>
                      <w:rFonts w:hint="default" w:ascii="Times New Roman" w:hAnsi="Times New Roman" w:eastAsia="宋体" w:cs="Times New Roman"/>
                      <w:b w:val="0"/>
                      <w:bCs w:val="0"/>
                      <w:color w:val="auto"/>
                      <w:sz w:val="21"/>
                      <w:szCs w:val="21"/>
                      <w:shd w:val="clear" w:color="auto" w:fill="auto"/>
                      <w:lang w:val="en-US" w:eastAsia="zh-CN"/>
                    </w:rPr>
                    <w:t>本项目选址不涉及水产种质资源保护区</w:t>
                  </w:r>
                </w:p>
              </w:tc>
              <w:tc>
                <w:tcPr>
                  <w:tcW w:w="352" w:type="pct"/>
                  <w:noWrap w:val="0"/>
                  <w:vAlign w:val="center"/>
                </w:tcPr>
                <w:p w14:paraId="7A11C82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符合</w:t>
                  </w:r>
                </w:p>
              </w:tc>
            </w:tr>
            <w:tr w14:paraId="114A9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2" w:type="pct"/>
                  <w:noWrap w:val="0"/>
                  <w:vAlign w:val="center"/>
                </w:tcPr>
                <w:p w14:paraId="60AC080A">
                  <w:pPr>
                    <w:pStyle w:val="103"/>
                    <w:keepNext w:val="0"/>
                    <w:keepLines w:val="0"/>
                    <w:widowControl w:val="0"/>
                    <w:suppressLineNumbers w:val="0"/>
                    <w:shd w:val="clear" w:color="auto" w:fill="auto"/>
                    <w:bidi w:val="0"/>
                    <w:spacing w:before="0" w:beforeAutospacing="0" w:after="0" w:afterAutospacing="0" w:line="312" w:lineRule="exact"/>
                    <w:ind w:left="0" w:right="0" w:firstLine="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5</w:t>
                  </w:r>
                </w:p>
              </w:tc>
              <w:tc>
                <w:tcPr>
                  <w:tcW w:w="3002" w:type="pct"/>
                  <w:noWrap w:val="0"/>
                  <w:vAlign w:val="center"/>
                </w:tcPr>
                <w:p w14:paraId="35C31FDE">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eastAsia="zh-CN"/>
                    </w:rPr>
                  </w:pPr>
                  <w:r>
                    <w:rPr>
                      <w:rFonts w:hint="default" w:ascii="Times New Roman" w:hAnsi="Times New Roman" w:eastAsia="宋体" w:cs="Times New Roman"/>
                      <w:color w:val="auto"/>
                      <w:spacing w:val="0"/>
                      <w:w w:val="100"/>
                      <w:position w:val="0"/>
                      <w:sz w:val="21"/>
                      <w:szCs w:val="18"/>
                    </w:rPr>
                    <w:t>禁止违法利用、占用长江流域河湖岸线。禁止《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r>
                    <w:rPr>
                      <w:rFonts w:hint="default" w:ascii="Times New Roman" w:hAnsi="Times New Roman" w:eastAsia="宋体" w:cs="Times New Roman"/>
                      <w:color w:val="auto"/>
                      <w:spacing w:val="0"/>
                      <w:w w:val="100"/>
                      <w:position w:val="0"/>
                      <w:sz w:val="21"/>
                      <w:szCs w:val="18"/>
                      <w:lang w:eastAsia="zh-CN"/>
                    </w:rPr>
                    <w:t>。</w:t>
                  </w:r>
                </w:p>
              </w:tc>
              <w:tc>
                <w:tcPr>
                  <w:tcW w:w="1351" w:type="pct"/>
                  <w:noWrap w:val="0"/>
                  <w:vAlign w:val="center"/>
                </w:tcPr>
                <w:p w14:paraId="657872A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本项目不位于《长江岸线保护和开发利用总体规划》划定的岸线保护区内</w:t>
                  </w:r>
                </w:p>
              </w:tc>
              <w:tc>
                <w:tcPr>
                  <w:tcW w:w="352" w:type="pct"/>
                  <w:noWrap w:val="0"/>
                  <w:vAlign w:val="center"/>
                </w:tcPr>
                <w:p w14:paraId="475AF47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r w14:paraId="69AD9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2" w:type="pct"/>
                  <w:noWrap w:val="0"/>
                  <w:vAlign w:val="center"/>
                </w:tcPr>
                <w:p w14:paraId="4289085A">
                  <w:pPr>
                    <w:pStyle w:val="103"/>
                    <w:keepNext w:val="0"/>
                    <w:keepLines w:val="0"/>
                    <w:widowControl w:val="0"/>
                    <w:suppressLineNumbers w:val="0"/>
                    <w:shd w:val="clear" w:color="auto" w:fill="auto"/>
                    <w:bidi w:val="0"/>
                    <w:spacing w:before="0" w:beforeAutospacing="0" w:after="0" w:afterAutospacing="0" w:line="312" w:lineRule="exact"/>
                    <w:ind w:left="0" w:right="0" w:firstLine="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6</w:t>
                  </w:r>
                </w:p>
              </w:tc>
              <w:tc>
                <w:tcPr>
                  <w:tcW w:w="3002" w:type="pct"/>
                  <w:noWrap w:val="0"/>
                  <w:vAlign w:val="center"/>
                </w:tcPr>
                <w:p w14:paraId="5842A8F8">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rPr>
                  </w:pPr>
                  <w:r>
                    <w:rPr>
                      <w:rFonts w:hint="default" w:ascii="Times New Roman" w:hAnsi="Times New Roman" w:eastAsia="宋体" w:cs="Times New Roman"/>
                      <w:color w:val="auto"/>
                      <w:spacing w:val="0"/>
                      <w:w w:val="100"/>
                      <w:position w:val="0"/>
                      <w:sz w:val="21"/>
                      <w:szCs w:val="18"/>
                    </w:rPr>
                    <w:t>禁止未经许可在长江干支流及湖泊新设、改设或扩大排污口</w:t>
                  </w:r>
                </w:p>
              </w:tc>
              <w:tc>
                <w:tcPr>
                  <w:tcW w:w="1351" w:type="pct"/>
                  <w:noWrap w:val="0"/>
                  <w:vAlign w:val="center"/>
                </w:tcPr>
                <w:p w14:paraId="33E22B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本项目不涉及在长江干支流及湖泊新设、改设或扩大排污口</w:t>
                  </w:r>
                </w:p>
              </w:tc>
              <w:tc>
                <w:tcPr>
                  <w:tcW w:w="352" w:type="pct"/>
                  <w:noWrap w:val="0"/>
                  <w:vAlign w:val="center"/>
                </w:tcPr>
                <w:p w14:paraId="78F2E58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r w14:paraId="755BE8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2" w:type="pct"/>
                  <w:noWrap w:val="0"/>
                  <w:vAlign w:val="center"/>
                </w:tcPr>
                <w:p w14:paraId="4C3EC20E">
                  <w:pPr>
                    <w:pStyle w:val="103"/>
                    <w:keepNext w:val="0"/>
                    <w:keepLines w:val="0"/>
                    <w:widowControl w:val="0"/>
                    <w:suppressLineNumbers w:val="0"/>
                    <w:shd w:val="clear" w:color="auto" w:fill="auto"/>
                    <w:bidi w:val="0"/>
                    <w:spacing w:before="0" w:beforeAutospacing="0" w:after="0" w:afterAutospacing="0" w:line="312" w:lineRule="exact"/>
                    <w:ind w:left="0" w:right="0" w:firstLine="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7</w:t>
                  </w:r>
                </w:p>
              </w:tc>
              <w:tc>
                <w:tcPr>
                  <w:tcW w:w="3002" w:type="pct"/>
                  <w:noWrap w:val="0"/>
                  <w:vAlign w:val="center"/>
                </w:tcPr>
                <w:p w14:paraId="2C092B36">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rPr>
                  </w:pPr>
                  <w:r>
                    <w:rPr>
                      <w:rFonts w:hint="default" w:ascii="Times New Roman" w:hAnsi="Times New Roman" w:eastAsia="宋体" w:cs="Times New Roman"/>
                      <w:color w:val="auto"/>
                      <w:spacing w:val="0"/>
                      <w:w w:val="100"/>
                      <w:position w:val="0"/>
                      <w:sz w:val="21"/>
                      <w:szCs w:val="18"/>
                    </w:rPr>
                    <w:t>禁止在“一江一口两湖七河”和332个水生生物保护区开展生产性捕捞</w:t>
                  </w:r>
                </w:p>
              </w:tc>
              <w:tc>
                <w:tcPr>
                  <w:tcW w:w="1351" w:type="pct"/>
                  <w:noWrap w:val="0"/>
                  <w:vAlign w:val="center"/>
                </w:tcPr>
                <w:p w14:paraId="5E85F27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rPr>
                    <w:t>本项目不涉及</w:t>
                  </w:r>
                  <w:r>
                    <w:rPr>
                      <w:rFonts w:hint="default" w:ascii="Times New Roman" w:hAnsi="Times New Roman" w:eastAsia="宋体" w:cs="Times New Roman"/>
                      <w:b w:val="0"/>
                      <w:bCs w:val="0"/>
                      <w:color w:val="auto"/>
                      <w:sz w:val="21"/>
                      <w:szCs w:val="21"/>
                      <w:shd w:val="clear" w:color="auto" w:fill="auto"/>
                      <w:lang w:eastAsia="zh-CN"/>
                    </w:rPr>
                    <w:t>捕捞</w:t>
                  </w:r>
                </w:p>
              </w:tc>
              <w:tc>
                <w:tcPr>
                  <w:tcW w:w="352" w:type="pct"/>
                  <w:noWrap w:val="0"/>
                  <w:vAlign w:val="center"/>
                </w:tcPr>
                <w:p w14:paraId="72151F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r w14:paraId="63AAF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2" w:type="pct"/>
                  <w:noWrap w:val="0"/>
                  <w:vAlign w:val="center"/>
                </w:tcPr>
                <w:p w14:paraId="62A27A6B">
                  <w:pPr>
                    <w:pStyle w:val="103"/>
                    <w:keepNext w:val="0"/>
                    <w:keepLines w:val="0"/>
                    <w:widowControl w:val="0"/>
                    <w:suppressLineNumbers w:val="0"/>
                    <w:shd w:val="clear" w:color="auto" w:fill="auto"/>
                    <w:bidi w:val="0"/>
                    <w:spacing w:before="0" w:beforeAutospacing="0" w:after="0" w:afterAutospacing="0" w:line="312" w:lineRule="exact"/>
                    <w:ind w:left="0" w:right="0" w:firstLine="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8</w:t>
                  </w:r>
                </w:p>
              </w:tc>
              <w:tc>
                <w:tcPr>
                  <w:tcW w:w="3002" w:type="pct"/>
                  <w:noWrap w:val="0"/>
                  <w:vAlign w:val="center"/>
                </w:tcPr>
                <w:p w14:paraId="247887D5">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rPr>
                  </w:pPr>
                  <w:r>
                    <w:rPr>
                      <w:rFonts w:hint="default" w:ascii="Times New Roman" w:hAnsi="Times New Roman" w:eastAsia="宋体" w:cs="Times New Roman"/>
                      <w:color w:val="auto"/>
                      <w:spacing w:val="0"/>
                      <w:w w:val="100"/>
                      <w:position w:val="0"/>
                      <w:sz w:val="21"/>
                      <w:szCs w:val="18"/>
                    </w:rPr>
                    <w:t>禁止在长江干支流、重要湖泊岸线一公里内新建、扩建化工园区和化工项目。禁止在长江岸线三公里范围内和重要支流岸线一公里范围内新建、改建、扩建尾矿库、冶炼渣库和磷石膏库，以提升安全、生态环境保护水平为目的的改建除外</w:t>
                  </w:r>
                </w:p>
              </w:tc>
              <w:tc>
                <w:tcPr>
                  <w:tcW w:w="1351" w:type="pct"/>
                  <w:noWrap w:val="0"/>
                  <w:vAlign w:val="center"/>
                </w:tcPr>
                <w:p w14:paraId="4255FD2F">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val="0"/>
                      <w:color w:val="auto"/>
                      <w:sz w:val="21"/>
                      <w:szCs w:val="21"/>
                      <w:shd w:val="clear" w:color="auto" w:fill="auto"/>
                      <w:lang w:val="en-US" w:eastAsia="zh-CN"/>
                    </w:rPr>
                  </w:pPr>
                  <w:r>
                    <w:rPr>
                      <w:rFonts w:hint="default" w:ascii="Times New Roman" w:hAnsi="Times New Roman" w:eastAsia="宋体" w:cs="Times New Roman"/>
                      <w:b w:val="0"/>
                      <w:bCs w:val="0"/>
                      <w:color w:val="auto"/>
                      <w:sz w:val="21"/>
                      <w:szCs w:val="21"/>
                      <w:shd w:val="clear" w:color="auto" w:fill="auto"/>
                    </w:rPr>
                    <w:t>本项目不</w:t>
                  </w:r>
                  <w:r>
                    <w:rPr>
                      <w:rFonts w:hint="default" w:ascii="Times New Roman" w:hAnsi="Times New Roman" w:eastAsia="宋体" w:cs="Times New Roman"/>
                      <w:b w:val="0"/>
                      <w:bCs w:val="0"/>
                      <w:color w:val="auto"/>
                      <w:sz w:val="21"/>
                      <w:szCs w:val="21"/>
                      <w:shd w:val="clear" w:color="auto" w:fill="auto"/>
                      <w:lang w:eastAsia="zh-CN"/>
                    </w:rPr>
                    <w:t>涉及</w:t>
                  </w:r>
                  <w:r>
                    <w:rPr>
                      <w:rFonts w:hint="default" w:ascii="Times New Roman" w:hAnsi="Times New Roman" w:eastAsia="宋体" w:cs="Times New Roman"/>
                      <w:b w:val="0"/>
                      <w:bCs w:val="0"/>
                      <w:color w:val="auto"/>
                      <w:sz w:val="21"/>
                      <w:szCs w:val="21"/>
                      <w:shd w:val="clear" w:color="auto" w:fill="auto"/>
                    </w:rPr>
                    <w:t>化工</w:t>
                  </w:r>
                  <w:r>
                    <w:rPr>
                      <w:rFonts w:hint="default" w:ascii="Times New Roman" w:hAnsi="Times New Roman" w:eastAsia="宋体" w:cs="Times New Roman"/>
                      <w:b w:val="0"/>
                      <w:bCs w:val="0"/>
                      <w:color w:val="auto"/>
                      <w:sz w:val="21"/>
                      <w:szCs w:val="21"/>
                      <w:shd w:val="clear" w:color="auto" w:fill="auto"/>
                      <w:lang w:eastAsia="zh-CN"/>
                    </w:rPr>
                    <w:t>、</w:t>
                  </w:r>
                  <w:r>
                    <w:rPr>
                      <w:rFonts w:hint="default" w:ascii="Times New Roman" w:hAnsi="Times New Roman" w:eastAsia="宋体" w:cs="Times New Roman"/>
                      <w:b w:val="0"/>
                      <w:bCs w:val="0"/>
                      <w:color w:val="auto"/>
                      <w:spacing w:val="0"/>
                      <w:w w:val="100"/>
                      <w:position w:val="0"/>
                      <w:sz w:val="21"/>
                      <w:szCs w:val="18"/>
                    </w:rPr>
                    <w:t>尾矿库、冶炼渣库和磷石膏库</w:t>
                  </w:r>
                  <w:r>
                    <w:rPr>
                      <w:rFonts w:hint="default" w:ascii="Times New Roman" w:hAnsi="Times New Roman" w:eastAsia="宋体" w:cs="Times New Roman"/>
                      <w:b w:val="0"/>
                      <w:bCs w:val="0"/>
                      <w:color w:val="auto"/>
                      <w:spacing w:val="0"/>
                      <w:w w:val="100"/>
                      <w:position w:val="0"/>
                      <w:sz w:val="21"/>
                      <w:szCs w:val="18"/>
                      <w:lang w:eastAsia="zh-CN"/>
                    </w:rPr>
                    <w:t>项目</w:t>
                  </w:r>
                  <w:r>
                    <w:rPr>
                      <w:rFonts w:hint="eastAsia" w:cs="Times New Roman"/>
                      <w:b w:val="0"/>
                      <w:bCs w:val="0"/>
                      <w:color w:val="auto"/>
                      <w:spacing w:val="0"/>
                      <w:w w:val="100"/>
                      <w:position w:val="0"/>
                      <w:sz w:val="21"/>
                      <w:szCs w:val="18"/>
                      <w:lang w:eastAsia="zh-CN"/>
                    </w:rPr>
                    <w:t>，</w:t>
                  </w:r>
                  <w:r>
                    <w:rPr>
                      <w:rFonts w:hint="eastAsia" w:cs="Times New Roman"/>
                      <w:b w:val="0"/>
                      <w:bCs w:val="0"/>
                      <w:color w:val="auto"/>
                      <w:spacing w:val="0"/>
                      <w:w w:val="100"/>
                      <w:position w:val="0"/>
                      <w:sz w:val="21"/>
                      <w:szCs w:val="18"/>
                      <w:lang w:val="en-US" w:eastAsia="zh-CN"/>
                    </w:rPr>
                    <w:t>与最近水体距离2.18km，不在</w:t>
                  </w:r>
                  <w:r>
                    <w:rPr>
                      <w:rFonts w:hint="default" w:ascii="Times New Roman" w:hAnsi="Times New Roman" w:eastAsia="宋体" w:cs="Times New Roman"/>
                      <w:color w:val="auto"/>
                      <w:spacing w:val="0"/>
                      <w:w w:val="100"/>
                      <w:position w:val="0"/>
                      <w:sz w:val="21"/>
                      <w:szCs w:val="18"/>
                    </w:rPr>
                    <w:t>长江干支流、重要湖泊岸线一公里内</w:t>
                  </w:r>
                </w:p>
              </w:tc>
              <w:tc>
                <w:tcPr>
                  <w:tcW w:w="352" w:type="pct"/>
                  <w:noWrap w:val="0"/>
                  <w:vAlign w:val="center"/>
                </w:tcPr>
                <w:p w14:paraId="0AD8B17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r w14:paraId="23506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2" w:type="pct"/>
                  <w:noWrap w:val="0"/>
                  <w:vAlign w:val="center"/>
                </w:tcPr>
                <w:p w14:paraId="3C741B01">
                  <w:pPr>
                    <w:pStyle w:val="103"/>
                    <w:keepNext w:val="0"/>
                    <w:keepLines w:val="0"/>
                    <w:widowControl w:val="0"/>
                    <w:suppressLineNumbers w:val="0"/>
                    <w:shd w:val="clear" w:color="auto" w:fill="auto"/>
                    <w:bidi w:val="0"/>
                    <w:spacing w:before="0" w:beforeAutospacing="0" w:after="0" w:afterAutospacing="0" w:line="312" w:lineRule="exact"/>
                    <w:ind w:left="0" w:right="0" w:firstLine="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9</w:t>
                  </w:r>
                </w:p>
              </w:tc>
              <w:tc>
                <w:tcPr>
                  <w:tcW w:w="3002" w:type="pct"/>
                  <w:noWrap w:val="0"/>
                  <w:vAlign w:val="center"/>
                </w:tcPr>
                <w:p w14:paraId="53AEF205">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rPr>
                  </w:pPr>
                  <w:r>
                    <w:rPr>
                      <w:rFonts w:hint="default" w:ascii="Times New Roman" w:hAnsi="Times New Roman" w:eastAsia="宋体" w:cs="Times New Roman"/>
                      <w:color w:val="auto"/>
                      <w:spacing w:val="0"/>
                      <w:w w:val="100"/>
                      <w:position w:val="0"/>
                      <w:sz w:val="21"/>
                      <w:szCs w:val="18"/>
                    </w:rPr>
                    <w:t>禁止在合规园区外新建、扩建钢铁、石化、化工、焦化、建材、有色、制浆造纸等高污染项目</w:t>
                  </w:r>
                </w:p>
              </w:tc>
              <w:tc>
                <w:tcPr>
                  <w:tcW w:w="1351" w:type="pct"/>
                  <w:noWrap w:val="0"/>
                  <w:vAlign w:val="center"/>
                </w:tcPr>
                <w:p w14:paraId="5837F0A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lang w:val="en-US" w:eastAsia="zh-CN"/>
                    </w:rPr>
                  </w:pPr>
                  <w:r>
                    <w:rPr>
                      <w:rFonts w:hint="default" w:ascii="Times New Roman" w:hAnsi="Times New Roman" w:eastAsia="宋体" w:cs="Times New Roman"/>
                      <w:b w:val="0"/>
                      <w:bCs w:val="0"/>
                      <w:color w:val="auto"/>
                      <w:sz w:val="21"/>
                      <w:szCs w:val="21"/>
                      <w:shd w:val="clear" w:color="auto" w:fill="auto"/>
                    </w:rPr>
                    <w:t>本项目</w:t>
                  </w:r>
                  <w:r>
                    <w:rPr>
                      <w:rFonts w:hint="eastAsia" w:ascii="Times New Roman" w:hAnsi="Times New Roman" w:eastAsia="宋体" w:cs="Times New Roman"/>
                      <w:b w:val="0"/>
                      <w:bCs w:val="0"/>
                      <w:color w:val="auto"/>
                      <w:sz w:val="21"/>
                      <w:szCs w:val="21"/>
                      <w:shd w:val="clear" w:color="auto" w:fill="auto"/>
                      <w:lang w:val="en-US" w:eastAsia="zh-CN"/>
                    </w:rPr>
                    <w:t>符合园区准入，不属于</w:t>
                  </w:r>
                  <w:r>
                    <w:rPr>
                      <w:rFonts w:hint="eastAsia" w:cs="Times New Roman"/>
                      <w:b w:val="0"/>
                      <w:bCs w:val="0"/>
                      <w:color w:val="auto"/>
                      <w:sz w:val="21"/>
                      <w:szCs w:val="21"/>
                      <w:shd w:val="clear" w:color="auto" w:fill="auto"/>
                      <w:lang w:val="en-US" w:eastAsia="zh-CN"/>
                    </w:rPr>
                    <w:t>以上</w:t>
                  </w:r>
                  <w:r>
                    <w:rPr>
                      <w:rFonts w:hint="eastAsia" w:ascii="Times New Roman" w:hAnsi="Times New Roman" w:eastAsia="宋体" w:cs="Times New Roman"/>
                      <w:b w:val="0"/>
                      <w:bCs w:val="0"/>
                      <w:color w:val="auto"/>
                      <w:sz w:val="21"/>
                      <w:szCs w:val="21"/>
                      <w:shd w:val="clear" w:color="auto" w:fill="auto"/>
                      <w:lang w:val="en-US" w:eastAsia="zh-CN"/>
                    </w:rPr>
                    <w:t>高污染项目</w:t>
                  </w:r>
                </w:p>
              </w:tc>
              <w:tc>
                <w:tcPr>
                  <w:tcW w:w="352" w:type="pct"/>
                  <w:noWrap w:val="0"/>
                  <w:vAlign w:val="center"/>
                </w:tcPr>
                <w:p w14:paraId="4B51847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r w14:paraId="33624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2" w:type="pct"/>
                  <w:noWrap w:val="0"/>
                  <w:vAlign w:val="center"/>
                </w:tcPr>
                <w:p w14:paraId="33E26E98">
                  <w:pPr>
                    <w:pStyle w:val="103"/>
                    <w:keepNext w:val="0"/>
                    <w:keepLines w:val="0"/>
                    <w:widowControl w:val="0"/>
                    <w:suppressLineNumbers w:val="0"/>
                    <w:shd w:val="clear" w:color="auto" w:fill="auto"/>
                    <w:bidi w:val="0"/>
                    <w:spacing w:before="0" w:beforeAutospacing="0" w:after="0" w:afterAutospacing="0" w:line="312" w:lineRule="exact"/>
                    <w:ind w:left="0" w:right="0" w:firstLine="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10</w:t>
                  </w:r>
                </w:p>
              </w:tc>
              <w:tc>
                <w:tcPr>
                  <w:tcW w:w="3002" w:type="pct"/>
                  <w:noWrap w:val="0"/>
                  <w:vAlign w:val="center"/>
                </w:tcPr>
                <w:p w14:paraId="55E8064D">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rPr>
                  </w:pPr>
                  <w:r>
                    <w:rPr>
                      <w:rFonts w:hint="default" w:ascii="Times New Roman" w:hAnsi="Times New Roman" w:eastAsia="宋体" w:cs="Times New Roman"/>
                      <w:color w:val="auto"/>
                      <w:spacing w:val="0"/>
                      <w:w w:val="100"/>
                      <w:position w:val="0"/>
                      <w:sz w:val="21"/>
                      <w:szCs w:val="18"/>
                    </w:rPr>
                    <w:t>禁止新建、扩建不符合国家石化、现代煤化工等产业布局规划的项目</w:t>
                  </w:r>
                </w:p>
              </w:tc>
              <w:tc>
                <w:tcPr>
                  <w:tcW w:w="1351" w:type="pct"/>
                  <w:noWrap w:val="0"/>
                  <w:vAlign w:val="center"/>
                </w:tcPr>
                <w:p w14:paraId="1BBD35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rPr>
                    <w:t>本项目不</w:t>
                  </w:r>
                  <w:r>
                    <w:rPr>
                      <w:rFonts w:hint="default" w:ascii="Times New Roman" w:hAnsi="Times New Roman" w:eastAsia="宋体" w:cs="Times New Roman"/>
                      <w:b w:val="0"/>
                      <w:bCs w:val="0"/>
                      <w:color w:val="auto"/>
                      <w:sz w:val="21"/>
                      <w:szCs w:val="21"/>
                      <w:shd w:val="clear" w:color="auto" w:fill="auto"/>
                      <w:lang w:eastAsia="zh-CN"/>
                    </w:rPr>
                    <w:t>涉及</w:t>
                  </w:r>
                  <w:r>
                    <w:rPr>
                      <w:rFonts w:hint="default" w:ascii="Times New Roman" w:hAnsi="Times New Roman" w:eastAsia="宋体" w:cs="Times New Roman"/>
                      <w:b w:val="0"/>
                      <w:bCs w:val="0"/>
                      <w:color w:val="auto"/>
                      <w:spacing w:val="0"/>
                      <w:w w:val="100"/>
                      <w:position w:val="0"/>
                      <w:sz w:val="21"/>
                      <w:szCs w:val="18"/>
                    </w:rPr>
                    <w:t>石化、现代煤化工等</w:t>
                  </w:r>
                  <w:r>
                    <w:rPr>
                      <w:rFonts w:hint="default" w:ascii="Times New Roman" w:hAnsi="Times New Roman" w:eastAsia="宋体" w:cs="Times New Roman"/>
                      <w:b w:val="0"/>
                      <w:bCs w:val="0"/>
                      <w:color w:val="auto"/>
                      <w:spacing w:val="0"/>
                      <w:w w:val="100"/>
                      <w:position w:val="0"/>
                      <w:sz w:val="21"/>
                      <w:szCs w:val="18"/>
                      <w:lang w:eastAsia="zh-CN"/>
                    </w:rPr>
                    <w:t>项目</w:t>
                  </w:r>
                </w:p>
              </w:tc>
              <w:tc>
                <w:tcPr>
                  <w:tcW w:w="352" w:type="pct"/>
                  <w:noWrap w:val="0"/>
                  <w:vAlign w:val="center"/>
                </w:tcPr>
                <w:p w14:paraId="367E296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r w14:paraId="73CB0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2" w:type="pct"/>
                  <w:noWrap w:val="0"/>
                  <w:vAlign w:val="center"/>
                </w:tcPr>
                <w:p w14:paraId="714FE536">
                  <w:pPr>
                    <w:pStyle w:val="103"/>
                    <w:keepNext w:val="0"/>
                    <w:keepLines w:val="0"/>
                    <w:widowControl w:val="0"/>
                    <w:suppressLineNumbers w:val="0"/>
                    <w:shd w:val="clear" w:color="auto" w:fill="auto"/>
                    <w:bidi w:val="0"/>
                    <w:spacing w:before="0" w:beforeAutospacing="0" w:after="0" w:afterAutospacing="0" w:line="312" w:lineRule="exact"/>
                    <w:ind w:left="0" w:right="0" w:firstLine="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11</w:t>
                  </w:r>
                </w:p>
              </w:tc>
              <w:tc>
                <w:tcPr>
                  <w:tcW w:w="3002" w:type="pct"/>
                  <w:noWrap w:val="0"/>
                  <w:vAlign w:val="center"/>
                </w:tcPr>
                <w:p w14:paraId="4CC6EAF2">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rPr>
                  </w:pPr>
                  <w:r>
                    <w:rPr>
                      <w:rFonts w:hint="default" w:ascii="Times New Roman" w:hAnsi="Times New Roman" w:eastAsia="宋体" w:cs="Times New Roman"/>
                      <w:color w:val="auto"/>
                      <w:spacing w:val="0"/>
                      <w:w w:val="100"/>
                      <w:position w:val="0"/>
                      <w:sz w:val="21"/>
                      <w:szCs w:val="18"/>
                    </w:rPr>
                    <w:t>禁止新建、扩建法律法规和相关政策明令禁止的落后产能项目。禁止新建、扩建不符合国家产能置换要求的严重过剩产能行业的项目。禁止新建、扩建不符合要求的高能耗高排放项目。</w:t>
                  </w:r>
                </w:p>
              </w:tc>
              <w:tc>
                <w:tcPr>
                  <w:tcW w:w="1351" w:type="pct"/>
                  <w:noWrap w:val="0"/>
                  <w:vAlign w:val="center"/>
                </w:tcPr>
                <w:p w14:paraId="0EB8381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本项目符合国家现行产业政策，不属于落后、过剩、高能耗高排放项目</w:t>
                  </w:r>
                </w:p>
              </w:tc>
              <w:tc>
                <w:tcPr>
                  <w:tcW w:w="352" w:type="pct"/>
                  <w:noWrap w:val="0"/>
                  <w:vAlign w:val="center"/>
                </w:tcPr>
                <w:p w14:paraId="705353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r w14:paraId="2BBCF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2" w:type="pct"/>
                  <w:noWrap w:val="0"/>
                  <w:vAlign w:val="center"/>
                </w:tcPr>
                <w:p w14:paraId="40396FC6">
                  <w:pPr>
                    <w:pStyle w:val="103"/>
                    <w:keepNext w:val="0"/>
                    <w:keepLines w:val="0"/>
                    <w:widowControl w:val="0"/>
                    <w:suppressLineNumbers w:val="0"/>
                    <w:shd w:val="clear" w:color="auto" w:fill="auto"/>
                    <w:bidi w:val="0"/>
                    <w:spacing w:before="0" w:beforeAutospacing="0" w:after="0" w:afterAutospacing="0" w:line="312" w:lineRule="exact"/>
                    <w:ind w:left="0" w:right="0" w:firstLine="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12</w:t>
                  </w:r>
                </w:p>
              </w:tc>
              <w:tc>
                <w:tcPr>
                  <w:tcW w:w="3002" w:type="pct"/>
                  <w:noWrap w:val="0"/>
                  <w:vAlign w:val="center"/>
                </w:tcPr>
                <w:p w14:paraId="797EAD89">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rPr>
                  </w:pPr>
                  <w:r>
                    <w:rPr>
                      <w:rFonts w:hint="default" w:ascii="Times New Roman" w:hAnsi="Times New Roman" w:eastAsia="宋体" w:cs="Times New Roman"/>
                      <w:color w:val="auto"/>
                      <w:spacing w:val="0"/>
                      <w:w w:val="100"/>
                      <w:position w:val="0"/>
                      <w:sz w:val="21"/>
                      <w:szCs w:val="18"/>
                    </w:rPr>
                    <w:t>法律法规及相关政策文件有更加严格的规定的从其规定。</w:t>
                  </w:r>
                </w:p>
              </w:tc>
              <w:tc>
                <w:tcPr>
                  <w:tcW w:w="1351" w:type="pct"/>
                  <w:noWrap w:val="0"/>
                  <w:vAlign w:val="center"/>
                </w:tcPr>
                <w:p w14:paraId="360F10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项目建设严格遵守法律法规及相关政策文件</w:t>
                  </w:r>
                </w:p>
              </w:tc>
              <w:tc>
                <w:tcPr>
                  <w:tcW w:w="352" w:type="pct"/>
                  <w:noWrap w:val="0"/>
                  <w:vAlign w:val="center"/>
                </w:tcPr>
                <w:p w14:paraId="7D9566B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bl>
          <w:p w14:paraId="56598AAB">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kern w:val="0"/>
                <w:sz w:val="24"/>
                <w:szCs w:val="24"/>
                <w:lang w:val="en-US" w:eastAsia="zh-CN"/>
              </w:rPr>
              <w:t>根据</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zh-CN" w:eastAsia="zh-CN"/>
              </w:rPr>
              <w:t>四川省、重庆市长江经济带发展负面清单实施细则（试行，2022年版）</w:t>
            </w:r>
            <w:r>
              <w:rPr>
                <w:rFonts w:hint="default"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，本项目不在其禁止准入类和限制准入类中</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详情见下表。</w:t>
            </w:r>
          </w:p>
          <w:p w14:paraId="117331C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color w:val="auto"/>
                <w:sz w:val="21"/>
                <w:szCs w:val="24"/>
                <w:lang w:val="zh-CN" w:eastAsia="zh-CN"/>
              </w:rPr>
            </w:pPr>
            <w:r>
              <w:rPr>
                <w:rFonts w:hint="default" w:ascii="Times New Roman" w:hAnsi="Times New Roman" w:eastAsia="宋体" w:cs="Times New Roman"/>
                <w:b/>
                <w:bCs/>
                <w:color w:val="auto"/>
                <w:sz w:val="21"/>
                <w:szCs w:val="24"/>
                <w:lang w:val="zh-CN" w:eastAsia="zh-CN"/>
              </w:rPr>
              <w:t>表</w:t>
            </w:r>
            <w:r>
              <w:rPr>
                <w:rFonts w:hint="default" w:ascii="Times New Roman" w:hAnsi="Times New Roman" w:eastAsia="宋体" w:cs="Times New Roman"/>
                <w:b/>
                <w:bCs/>
                <w:color w:val="auto"/>
                <w:sz w:val="21"/>
                <w:szCs w:val="24"/>
                <w:lang w:val="en-US" w:eastAsia="zh-CN"/>
              </w:rPr>
              <w:t>1-</w:t>
            </w:r>
            <w:r>
              <w:rPr>
                <w:rFonts w:hint="eastAsia" w:cs="Times New Roman"/>
                <w:b/>
                <w:bCs/>
                <w:color w:val="auto"/>
                <w:sz w:val="21"/>
                <w:szCs w:val="24"/>
                <w:lang w:val="en-US" w:eastAsia="zh-CN"/>
              </w:rPr>
              <w:t>7</w:t>
            </w:r>
            <w:r>
              <w:rPr>
                <w:rFonts w:hint="default" w:ascii="Times New Roman" w:hAnsi="Times New Roman" w:eastAsia="宋体" w:cs="Times New Roman"/>
                <w:b/>
                <w:bCs/>
                <w:color w:val="auto"/>
                <w:sz w:val="21"/>
                <w:szCs w:val="24"/>
                <w:lang w:val="en-US" w:eastAsia="zh-CN"/>
              </w:rPr>
              <w:t xml:space="preserve">  </w:t>
            </w:r>
            <w:r>
              <w:rPr>
                <w:rFonts w:hint="default" w:ascii="Times New Roman" w:hAnsi="Times New Roman" w:eastAsia="宋体" w:cs="Times New Roman"/>
                <w:b/>
                <w:bCs/>
                <w:color w:val="auto"/>
                <w:sz w:val="21"/>
                <w:szCs w:val="24"/>
                <w:lang w:val="zh-CN" w:eastAsia="zh-CN"/>
              </w:rPr>
              <w:t>与《四川省、重庆市长江经济带发展负面清单实施细则（试行，2022年版）》符合性分析表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62"/>
              <w:gridCol w:w="5561"/>
              <w:gridCol w:w="1556"/>
              <w:gridCol w:w="584"/>
            </w:tblGrid>
            <w:tr w14:paraId="5B461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78DF9B1C">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序号</w:t>
                  </w:r>
                </w:p>
              </w:tc>
              <w:tc>
                <w:tcPr>
                  <w:tcW w:w="3405" w:type="pct"/>
                  <w:tcBorders>
                    <w:tl2br w:val="nil"/>
                    <w:tr2bl w:val="nil"/>
                  </w:tcBorders>
                  <w:noWrap w:val="0"/>
                  <w:vAlign w:val="center"/>
                </w:tcPr>
                <w:p w14:paraId="0A101FC2">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负面清单</w:t>
                  </w:r>
                </w:p>
              </w:tc>
              <w:tc>
                <w:tcPr>
                  <w:tcW w:w="953" w:type="pct"/>
                  <w:tcBorders>
                    <w:tl2br w:val="nil"/>
                    <w:tr2bl w:val="nil"/>
                  </w:tcBorders>
                  <w:noWrap w:val="0"/>
                  <w:vAlign w:val="center"/>
                </w:tcPr>
                <w:p w14:paraId="4637769A">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本项目情况</w:t>
                  </w:r>
                </w:p>
              </w:tc>
              <w:tc>
                <w:tcPr>
                  <w:tcW w:w="357" w:type="pct"/>
                  <w:tcBorders>
                    <w:tl2br w:val="nil"/>
                    <w:tr2bl w:val="nil"/>
                  </w:tcBorders>
                  <w:noWrap w:val="0"/>
                  <w:vAlign w:val="center"/>
                </w:tcPr>
                <w:p w14:paraId="02669AA6">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zh-CN" w:eastAsia="zh-CN"/>
                    </w:rPr>
                    <w:t>符合</w:t>
                  </w:r>
                  <w:r>
                    <w:rPr>
                      <w:rFonts w:hint="default" w:ascii="Times New Roman" w:hAnsi="Times New Roman" w:eastAsia="宋体" w:cs="Times New Roman"/>
                      <w:b/>
                      <w:bCs/>
                      <w:color w:val="auto"/>
                      <w:sz w:val="21"/>
                      <w:szCs w:val="21"/>
                      <w:lang w:val="en-US" w:eastAsia="zh-CN"/>
                    </w:rPr>
                    <w:t>性</w:t>
                  </w:r>
                </w:p>
              </w:tc>
            </w:tr>
            <w:tr w14:paraId="01D3D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01281DAF">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1</w:t>
                  </w:r>
                </w:p>
              </w:tc>
              <w:tc>
                <w:tcPr>
                  <w:tcW w:w="3405" w:type="pct"/>
                  <w:tcBorders>
                    <w:tl2br w:val="nil"/>
                    <w:tr2bl w:val="nil"/>
                  </w:tcBorders>
                  <w:noWrap w:val="0"/>
                  <w:vAlign w:val="center"/>
                </w:tcPr>
                <w:p w14:paraId="1B492158">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禁止新建、改建和扩建不符合全国港口布局规划，以及《四川省内河水运发展规划》《泸州</w:t>
                  </w:r>
                  <w:r>
                    <w:rPr>
                      <w:rFonts w:hint="default" w:ascii="Times New Roman" w:hAnsi="Times New Roman" w:eastAsia="宋体" w:cs="Times New Roman"/>
                      <w:color w:val="auto"/>
                      <w:spacing w:val="0"/>
                      <w:w w:val="100"/>
                      <w:position w:val="0"/>
                      <w:sz w:val="21"/>
                      <w:szCs w:val="18"/>
                      <w:lang w:val="en-US" w:eastAsia="zh-CN"/>
                    </w:rPr>
                    <w:t>-</w:t>
                  </w:r>
                  <w:r>
                    <w:rPr>
                      <w:rFonts w:hint="default" w:ascii="Times New Roman" w:hAnsi="Times New Roman" w:eastAsia="宋体" w:cs="Times New Roman"/>
                      <w:color w:val="auto"/>
                      <w:spacing w:val="0"/>
                      <w:w w:val="100"/>
                      <w:position w:val="0"/>
                      <w:sz w:val="21"/>
                      <w:szCs w:val="18"/>
                      <w:lang w:val="zh-CN" w:eastAsia="zh-CN"/>
                    </w:rPr>
                    <w:t>宜宾</w:t>
                  </w:r>
                  <w:r>
                    <w:rPr>
                      <w:rFonts w:hint="default" w:ascii="Times New Roman" w:hAnsi="Times New Roman" w:eastAsia="宋体" w:cs="Times New Roman"/>
                      <w:color w:val="auto"/>
                      <w:spacing w:val="0"/>
                      <w:w w:val="100"/>
                      <w:position w:val="0"/>
                      <w:sz w:val="21"/>
                      <w:szCs w:val="18"/>
                      <w:lang w:val="en-US" w:eastAsia="zh-CN"/>
                    </w:rPr>
                    <w:t>-</w:t>
                  </w:r>
                  <w:r>
                    <w:rPr>
                      <w:rFonts w:hint="default" w:ascii="Times New Roman" w:hAnsi="Times New Roman" w:eastAsia="宋体" w:cs="Times New Roman"/>
                      <w:color w:val="auto"/>
                      <w:spacing w:val="0"/>
                      <w:w w:val="100"/>
                      <w:position w:val="0"/>
                      <w:sz w:val="21"/>
                      <w:szCs w:val="18"/>
                      <w:lang w:val="zh-CN" w:eastAsia="zh-CN"/>
                    </w:rPr>
                    <w:t>乐山港口群布局规划》《重庆港总体规划（2035年）》等省级港口布局规划及市级港口总体规划的码头项目。</w:t>
                  </w:r>
                </w:p>
              </w:tc>
              <w:tc>
                <w:tcPr>
                  <w:tcW w:w="953" w:type="pct"/>
                  <w:tcBorders>
                    <w:tl2br w:val="nil"/>
                    <w:tr2bl w:val="nil"/>
                  </w:tcBorders>
                  <w:noWrap w:val="0"/>
                  <w:vAlign w:val="center"/>
                </w:tcPr>
                <w:p w14:paraId="0D289517">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本项目不涉及码头建设</w:t>
                  </w:r>
                </w:p>
              </w:tc>
              <w:tc>
                <w:tcPr>
                  <w:tcW w:w="357" w:type="pct"/>
                  <w:tcBorders>
                    <w:tl2br w:val="nil"/>
                    <w:tr2bl w:val="nil"/>
                  </w:tcBorders>
                  <w:noWrap w:val="0"/>
                  <w:vAlign w:val="center"/>
                </w:tcPr>
                <w:p w14:paraId="2F0C4D2C">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1200F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01B39883">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2</w:t>
                  </w:r>
                </w:p>
              </w:tc>
              <w:tc>
                <w:tcPr>
                  <w:tcW w:w="3405" w:type="pct"/>
                  <w:tcBorders>
                    <w:tl2br w:val="nil"/>
                    <w:tr2bl w:val="nil"/>
                  </w:tcBorders>
                  <w:noWrap w:val="0"/>
                  <w:vAlign w:val="center"/>
                </w:tcPr>
                <w:p w14:paraId="74C18059">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禁止新建、改建和扩建不符合《长江干线过江通道布局规划（2020 -2035年）》的过长江通道项目（含桥梁、隧道），国家发展改革委同意过长江通道线位调整的除外。</w:t>
                  </w:r>
                </w:p>
              </w:tc>
              <w:tc>
                <w:tcPr>
                  <w:tcW w:w="953" w:type="pct"/>
                  <w:tcBorders>
                    <w:tl2br w:val="nil"/>
                    <w:tr2bl w:val="nil"/>
                  </w:tcBorders>
                  <w:noWrap w:val="0"/>
                  <w:vAlign w:val="center"/>
                </w:tcPr>
                <w:p w14:paraId="52E8802B">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本项目不涉及过长江通道工程</w:t>
                  </w:r>
                </w:p>
              </w:tc>
              <w:tc>
                <w:tcPr>
                  <w:tcW w:w="357" w:type="pct"/>
                  <w:tcBorders>
                    <w:tl2br w:val="nil"/>
                    <w:tr2bl w:val="nil"/>
                  </w:tcBorders>
                  <w:noWrap w:val="0"/>
                  <w:vAlign w:val="center"/>
                </w:tcPr>
                <w:p w14:paraId="20FE6E46">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1CA8B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216CD69C">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3</w:t>
                  </w:r>
                </w:p>
              </w:tc>
              <w:tc>
                <w:tcPr>
                  <w:tcW w:w="3405" w:type="pct"/>
                  <w:tcBorders>
                    <w:tl2br w:val="nil"/>
                    <w:tr2bl w:val="nil"/>
                  </w:tcBorders>
                  <w:noWrap w:val="0"/>
                  <w:vAlign w:val="center"/>
                </w:tcPr>
                <w:p w14:paraId="76328DC1">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禁止在自然保护区核心区、缓冲区的岸线和河段范围内投资建设旅游和生产经营项目。自然保护区的内部未分区的，依照核心区和缓冲区的规定管控。</w:t>
                  </w:r>
                </w:p>
              </w:tc>
              <w:tc>
                <w:tcPr>
                  <w:tcW w:w="953" w:type="pct"/>
                  <w:tcBorders>
                    <w:tl2br w:val="nil"/>
                    <w:tr2bl w:val="nil"/>
                  </w:tcBorders>
                  <w:noWrap w:val="0"/>
                  <w:vAlign w:val="center"/>
                </w:tcPr>
                <w:p w14:paraId="5B0DDF40">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本项目不涉及</w:t>
                  </w:r>
                  <w:r>
                    <w:rPr>
                      <w:rFonts w:hint="default" w:ascii="Times New Roman" w:hAnsi="Times New Roman" w:eastAsia="宋体" w:cs="Times New Roman"/>
                      <w:color w:val="auto"/>
                      <w:spacing w:val="0"/>
                      <w:w w:val="100"/>
                      <w:position w:val="0"/>
                      <w:sz w:val="21"/>
                      <w:szCs w:val="18"/>
                      <w:lang w:val="zh-CN" w:eastAsia="zh-CN"/>
                    </w:rPr>
                    <w:t>自然保护区</w:t>
                  </w:r>
                </w:p>
              </w:tc>
              <w:tc>
                <w:tcPr>
                  <w:tcW w:w="357" w:type="pct"/>
                  <w:tcBorders>
                    <w:tl2br w:val="nil"/>
                    <w:tr2bl w:val="nil"/>
                  </w:tcBorders>
                  <w:noWrap w:val="0"/>
                  <w:vAlign w:val="center"/>
                </w:tcPr>
                <w:p w14:paraId="4206CB5D">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78717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082F7E80">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4</w:t>
                  </w:r>
                </w:p>
              </w:tc>
              <w:tc>
                <w:tcPr>
                  <w:tcW w:w="3405" w:type="pct"/>
                  <w:tcBorders>
                    <w:tl2br w:val="nil"/>
                    <w:tr2bl w:val="nil"/>
                  </w:tcBorders>
                  <w:noWrap w:val="0"/>
                  <w:vAlign w:val="center"/>
                </w:tcPr>
                <w:p w14:paraId="7E27277A">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禁止违反风景名胜区规划，在风景名胜区内设立各类开发区。禁止在风景名胜区核心景区的岸线和河段范围内建设宾馆、招待所、培训中心、疗养院以及与风景名胜资源保护无关的项目。</w:t>
                  </w:r>
                </w:p>
              </w:tc>
              <w:tc>
                <w:tcPr>
                  <w:tcW w:w="953" w:type="pct"/>
                  <w:tcBorders>
                    <w:tl2br w:val="nil"/>
                    <w:tr2bl w:val="nil"/>
                  </w:tcBorders>
                  <w:noWrap w:val="0"/>
                  <w:vAlign w:val="center"/>
                </w:tcPr>
                <w:p w14:paraId="61793DB1">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本项目不涉及</w:t>
                  </w:r>
                  <w:r>
                    <w:rPr>
                      <w:rFonts w:hint="default" w:ascii="Times New Roman" w:hAnsi="Times New Roman" w:eastAsia="宋体" w:cs="Times New Roman"/>
                      <w:color w:val="auto"/>
                      <w:spacing w:val="0"/>
                      <w:w w:val="100"/>
                      <w:position w:val="0"/>
                      <w:sz w:val="21"/>
                      <w:szCs w:val="18"/>
                      <w:lang w:val="zh-CN" w:eastAsia="zh-CN"/>
                    </w:rPr>
                    <w:t>风景名胜区</w:t>
                  </w:r>
                </w:p>
              </w:tc>
              <w:tc>
                <w:tcPr>
                  <w:tcW w:w="357" w:type="pct"/>
                  <w:tcBorders>
                    <w:tl2br w:val="nil"/>
                    <w:tr2bl w:val="nil"/>
                  </w:tcBorders>
                  <w:noWrap w:val="0"/>
                  <w:vAlign w:val="center"/>
                </w:tcPr>
                <w:p w14:paraId="5D3E9E64">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5C988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273541BD">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5</w:t>
                  </w:r>
                </w:p>
              </w:tc>
              <w:tc>
                <w:tcPr>
                  <w:tcW w:w="3405" w:type="pct"/>
                  <w:tcBorders>
                    <w:tl2br w:val="nil"/>
                    <w:tr2bl w:val="nil"/>
                  </w:tcBorders>
                  <w:noWrap w:val="0"/>
                  <w:vAlign w:val="center"/>
                </w:tcPr>
                <w:p w14:paraId="69013648">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禁止在饮用水水源准保护区的岸线和河段范围内新建、扩建对水体污染严重的建设项目，禁止改建增加排污量的建设项目。</w:t>
                  </w:r>
                </w:p>
              </w:tc>
              <w:tc>
                <w:tcPr>
                  <w:tcW w:w="953" w:type="pct"/>
                  <w:tcBorders>
                    <w:tl2br w:val="nil"/>
                    <w:tr2bl w:val="nil"/>
                  </w:tcBorders>
                  <w:noWrap w:val="0"/>
                  <w:vAlign w:val="center"/>
                </w:tcPr>
                <w:p w14:paraId="4DE3C733">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本项目不涉及饮用水源</w:t>
                  </w:r>
                </w:p>
              </w:tc>
              <w:tc>
                <w:tcPr>
                  <w:tcW w:w="357" w:type="pct"/>
                  <w:tcBorders>
                    <w:tl2br w:val="nil"/>
                    <w:tr2bl w:val="nil"/>
                  </w:tcBorders>
                  <w:noWrap w:val="0"/>
                  <w:vAlign w:val="center"/>
                </w:tcPr>
                <w:p w14:paraId="69192DA0">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643F2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1402F824">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6</w:t>
                  </w:r>
                </w:p>
              </w:tc>
              <w:tc>
                <w:tcPr>
                  <w:tcW w:w="3405" w:type="pct"/>
                  <w:tcBorders>
                    <w:tl2br w:val="nil"/>
                    <w:tr2bl w:val="nil"/>
                  </w:tcBorders>
                  <w:noWrap w:val="0"/>
                  <w:vAlign w:val="center"/>
                </w:tcPr>
                <w:p w14:paraId="56FB1628">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饮用水水源二级保护区的岸线和河段范围内，除遵守准保护区规定外，禁止新建、改建、扩建排放污染物的投资建设项目；禁止从事对水体有污染的水产养殖等活动。</w:t>
                  </w:r>
                </w:p>
              </w:tc>
              <w:tc>
                <w:tcPr>
                  <w:tcW w:w="953" w:type="pct"/>
                  <w:tcBorders>
                    <w:tl2br w:val="nil"/>
                    <w:tr2bl w:val="nil"/>
                  </w:tcBorders>
                  <w:noWrap w:val="0"/>
                  <w:vAlign w:val="center"/>
                </w:tcPr>
                <w:p w14:paraId="605F4943">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本项目不涉及饮用水源</w:t>
                  </w:r>
                </w:p>
              </w:tc>
              <w:tc>
                <w:tcPr>
                  <w:tcW w:w="357" w:type="pct"/>
                  <w:tcBorders>
                    <w:tl2br w:val="nil"/>
                    <w:tr2bl w:val="nil"/>
                  </w:tcBorders>
                  <w:noWrap w:val="0"/>
                  <w:vAlign w:val="center"/>
                </w:tcPr>
                <w:p w14:paraId="260BA0F7">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4112B5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3B8E80EE">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7</w:t>
                  </w:r>
                </w:p>
              </w:tc>
              <w:tc>
                <w:tcPr>
                  <w:tcW w:w="3405" w:type="pct"/>
                  <w:tcBorders>
                    <w:tl2br w:val="nil"/>
                    <w:tr2bl w:val="nil"/>
                  </w:tcBorders>
                  <w:noWrap w:val="0"/>
                  <w:vAlign w:val="center"/>
                </w:tcPr>
                <w:p w14:paraId="58B5687D">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953" w:type="pct"/>
                  <w:tcBorders>
                    <w:tl2br w:val="nil"/>
                    <w:tr2bl w:val="nil"/>
                  </w:tcBorders>
                  <w:noWrap w:val="0"/>
                  <w:vAlign w:val="center"/>
                </w:tcPr>
                <w:p w14:paraId="62D633BF">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本项目不涉及</w:t>
                  </w:r>
                  <w:r>
                    <w:rPr>
                      <w:rFonts w:hint="default" w:ascii="Times New Roman" w:hAnsi="Times New Roman" w:eastAsia="宋体" w:cs="Times New Roman"/>
                      <w:color w:val="auto"/>
                      <w:spacing w:val="0"/>
                      <w:w w:val="100"/>
                      <w:position w:val="0"/>
                      <w:sz w:val="21"/>
                      <w:szCs w:val="18"/>
                      <w:lang w:val="zh-CN" w:eastAsia="zh-CN"/>
                    </w:rPr>
                    <w:t>饮用水水源一级保护区</w:t>
                  </w:r>
                </w:p>
              </w:tc>
              <w:tc>
                <w:tcPr>
                  <w:tcW w:w="357" w:type="pct"/>
                  <w:tcBorders>
                    <w:tl2br w:val="nil"/>
                    <w:tr2bl w:val="nil"/>
                  </w:tcBorders>
                  <w:noWrap w:val="0"/>
                  <w:vAlign w:val="center"/>
                </w:tcPr>
                <w:p w14:paraId="378BD3E2">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6E252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4BFE4C7D">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8</w:t>
                  </w:r>
                </w:p>
              </w:tc>
              <w:tc>
                <w:tcPr>
                  <w:tcW w:w="3405" w:type="pct"/>
                  <w:tcBorders>
                    <w:tl2br w:val="nil"/>
                    <w:tr2bl w:val="nil"/>
                  </w:tcBorders>
                  <w:noWrap w:val="0"/>
                  <w:vAlign w:val="center"/>
                </w:tcPr>
                <w:p w14:paraId="6F93D5C6">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禁止在水产种质资源保护区岸线和河段范围内新建围湖造田、围湖造地或挖沙采石等投资建设项目。</w:t>
                  </w:r>
                </w:p>
              </w:tc>
              <w:tc>
                <w:tcPr>
                  <w:tcW w:w="953" w:type="pct"/>
                  <w:tcBorders>
                    <w:tl2br w:val="nil"/>
                    <w:tr2bl w:val="nil"/>
                  </w:tcBorders>
                  <w:noWrap w:val="0"/>
                  <w:vAlign w:val="center"/>
                </w:tcPr>
                <w:p w14:paraId="10FEB553">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本项目不涉及</w:t>
                  </w:r>
                  <w:r>
                    <w:rPr>
                      <w:rFonts w:hint="default" w:ascii="Times New Roman" w:hAnsi="Times New Roman" w:eastAsia="宋体" w:cs="Times New Roman"/>
                      <w:color w:val="auto"/>
                      <w:spacing w:val="0"/>
                      <w:w w:val="100"/>
                      <w:position w:val="0"/>
                      <w:sz w:val="21"/>
                      <w:szCs w:val="18"/>
                      <w:lang w:val="zh-CN" w:eastAsia="zh-CN"/>
                    </w:rPr>
                    <w:t>水产种质资源保护区</w:t>
                  </w:r>
                </w:p>
              </w:tc>
              <w:tc>
                <w:tcPr>
                  <w:tcW w:w="357" w:type="pct"/>
                  <w:tcBorders>
                    <w:tl2br w:val="nil"/>
                    <w:tr2bl w:val="nil"/>
                  </w:tcBorders>
                  <w:noWrap w:val="0"/>
                  <w:vAlign w:val="center"/>
                </w:tcPr>
                <w:p w14:paraId="48097566">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7E80C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5A711A4E">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9</w:t>
                  </w:r>
                </w:p>
              </w:tc>
              <w:tc>
                <w:tcPr>
                  <w:tcW w:w="3405" w:type="pct"/>
                  <w:tcBorders>
                    <w:tl2br w:val="nil"/>
                    <w:tr2bl w:val="nil"/>
                  </w:tcBorders>
                  <w:noWrap w:val="0"/>
                  <w:vAlign w:val="center"/>
                </w:tcPr>
                <w:p w14:paraId="02F16E3C">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ascii="Times New Roman" w:hAnsi="Times New Roman" w:cs="Times New Roman"/>
                      <w:color w:val="auto"/>
                      <w:spacing w:val="0"/>
                      <w:w w:val="100"/>
                      <w:position w:val="0"/>
                      <w:sz w:val="21"/>
                      <w:szCs w:val="18"/>
                      <w:lang w:val="zh-CN" w:eastAsia="zh-CN"/>
                    </w:rPr>
                    <w:t>洄</w:t>
                  </w:r>
                  <w:r>
                    <w:rPr>
                      <w:rFonts w:hint="default" w:ascii="Times New Roman" w:hAnsi="Times New Roman" w:eastAsia="宋体" w:cs="Times New Roman"/>
                      <w:color w:val="auto"/>
                      <w:spacing w:val="0"/>
                      <w:w w:val="100"/>
                      <w:position w:val="0"/>
                      <w:sz w:val="21"/>
                      <w:szCs w:val="18"/>
                      <w:lang w:val="zh-CN" w:eastAsia="zh-CN"/>
                    </w:rPr>
                    <w:t>游通道。</w:t>
                  </w:r>
                </w:p>
              </w:tc>
              <w:tc>
                <w:tcPr>
                  <w:tcW w:w="953" w:type="pct"/>
                  <w:tcBorders>
                    <w:tl2br w:val="nil"/>
                    <w:tr2bl w:val="nil"/>
                  </w:tcBorders>
                  <w:noWrap w:val="0"/>
                  <w:vAlign w:val="center"/>
                </w:tcPr>
                <w:p w14:paraId="29FD81AB">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本项目不涉及</w:t>
                  </w:r>
                  <w:r>
                    <w:rPr>
                      <w:rFonts w:hint="default" w:ascii="Times New Roman" w:hAnsi="Times New Roman" w:eastAsia="宋体" w:cs="Times New Roman"/>
                      <w:color w:val="auto"/>
                      <w:spacing w:val="0"/>
                      <w:w w:val="100"/>
                      <w:position w:val="0"/>
                      <w:sz w:val="21"/>
                      <w:szCs w:val="18"/>
                      <w:lang w:val="zh-CN" w:eastAsia="zh-CN"/>
                    </w:rPr>
                    <w:t>国家湿地公园</w:t>
                  </w:r>
                </w:p>
              </w:tc>
              <w:tc>
                <w:tcPr>
                  <w:tcW w:w="357" w:type="pct"/>
                  <w:tcBorders>
                    <w:tl2br w:val="nil"/>
                    <w:tr2bl w:val="nil"/>
                  </w:tcBorders>
                  <w:noWrap w:val="0"/>
                  <w:vAlign w:val="center"/>
                </w:tcPr>
                <w:p w14:paraId="13C77465">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5E68A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0BCA85AA">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10</w:t>
                  </w:r>
                </w:p>
              </w:tc>
              <w:tc>
                <w:tcPr>
                  <w:tcW w:w="3405" w:type="pct"/>
                  <w:tcBorders>
                    <w:tl2br w:val="nil"/>
                    <w:tr2bl w:val="nil"/>
                  </w:tcBorders>
                  <w:noWrap w:val="0"/>
                  <w:vAlign w:val="center"/>
                </w:tcPr>
                <w:p w14:paraId="5305A2DF">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953" w:type="pct"/>
                  <w:tcBorders>
                    <w:tl2br w:val="nil"/>
                    <w:tr2bl w:val="nil"/>
                  </w:tcBorders>
                  <w:noWrap w:val="0"/>
                  <w:vAlign w:val="center"/>
                </w:tcPr>
                <w:p w14:paraId="5DBF479E">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本项目不涉及长江岸线保护区和岸线保留区</w:t>
                  </w:r>
                </w:p>
              </w:tc>
              <w:tc>
                <w:tcPr>
                  <w:tcW w:w="357" w:type="pct"/>
                  <w:tcBorders>
                    <w:tl2br w:val="nil"/>
                    <w:tr2bl w:val="nil"/>
                  </w:tcBorders>
                  <w:noWrap w:val="0"/>
                  <w:vAlign w:val="center"/>
                </w:tcPr>
                <w:p w14:paraId="7534018C">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2BD0D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28800D45">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11</w:t>
                  </w:r>
                </w:p>
              </w:tc>
              <w:tc>
                <w:tcPr>
                  <w:tcW w:w="3405" w:type="pct"/>
                  <w:tcBorders>
                    <w:tl2br w:val="nil"/>
                    <w:tr2bl w:val="nil"/>
                  </w:tcBorders>
                  <w:noWrap w:val="0"/>
                  <w:vAlign w:val="center"/>
                </w:tcPr>
                <w:p w14:paraId="718D834C">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禁止在《全国重要江河湖泊水功能区划》划定的河段及湖泊保护区、保留区内投资建设不利于水资源及自然生态保护的项目。</w:t>
                  </w:r>
                </w:p>
              </w:tc>
              <w:tc>
                <w:tcPr>
                  <w:tcW w:w="953" w:type="pct"/>
                  <w:tcBorders>
                    <w:tl2br w:val="nil"/>
                    <w:tr2bl w:val="nil"/>
                  </w:tcBorders>
                  <w:noWrap w:val="0"/>
                  <w:vAlign w:val="center"/>
                </w:tcPr>
                <w:p w14:paraId="789CE5DA">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本项目不涉及相关</w:t>
                  </w:r>
                  <w:r>
                    <w:rPr>
                      <w:rFonts w:hint="default" w:ascii="Times New Roman" w:hAnsi="Times New Roman" w:eastAsia="宋体" w:cs="Times New Roman"/>
                      <w:color w:val="auto"/>
                      <w:spacing w:val="0"/>
                      <w:w w:val="100"/>
                      <w:position w:val="0"/>
                      <w:sz w:val="21"/>
                      <w:szCs w:val="18"/>
                      <w:lang w:val="zh-CN" w:eastAsia="zh-CN"/>
                    </w:rPr>
                    <w:t>保护区</w:t>
                  </w:r>
                  <w:r>
                    <w:rPr>
                      <w:rFonts w:hint="default" w:ascii="Times New Roman" w:hAnsi="Times New Roman" w:eastAsia="宋体" w:cs="Times New Roman"/>
                      <w:color w:val="auto"/>
                      <w:spacing w:val="0"/>
                      <w:w w:val="100"/>
                      <w:position w:val="0"/>
                      <w:sz w:val="21"/>
                      <w:szCs w:val="18"/>
                      <w:lang w:val="en-US" w:eastAsia="zh-CN"/>
                    </w:rPr>
                    <w:t>和</w:t>
                  </w:r>
                  <w:r>
                    <w:rPr>
                      <w:rFonts w:hint="default" w:ascii="Times New Roman" w:hAnsi="Times New Roman" w:eastAsia="宋体" w:cs="Times New Roman"/>
                      <w:color w:val="auto"/>
                      <w:spacing w:val="0"/>
                      <w:w w:val="100"/>
                      <w:position w:val="0"/>
                      <w:sz w:val="21"/>
                      <w:szCs w:val="18"/>
                      <w:lang w:val="zh-CN" w:eastAsia="zh-CN"/>
                    </w:rPr>
                    <w:t>保留区</w:t>
                  </w:r>
                </w:p>
              </w:tc>
              <w:tc>
                <w:tcPr>
                  <w:tcW w:w="357" w:type="pct"/>
                  <w:tcBorders>
                    <w:tl2br w:val="nil"/>
                    <w:tr2bl w:val="nil"/>
                  </w:tcBorders>
                  <w:noWrap w:val="0"/>
                  <w:vAlign w:val="center"/>
                </w:tcPr>
                <w:p w14:paraId="3725E19E">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5F7F0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4C800E1A">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12</w:t>
                  </w:r>
                </w:p>
              </w:tc>
              <w:tc>
                <w:tcPr>
                  <w:tcW w:w="3405" w:type="pct"/>
                  <w:tcBorders>
                    <w:tl2br w:val="nil"/>
                    <w:tr2bl w:val="nil"/>
                  </w:tcBorders>
                  <w:noWrap w:val="0"/>
                  <w:vAlign w:val="center"/>
                </w:tcPr>
                <w:p w14:paraId="4370CAF5">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禁止在长江流域江河、湖泊新设、改设或者扩大排污口，经有管辖权的生态环境主管部门或者长江流域生态环境监督管理机构同意的除外。</w:t>
                  </w:r>
                </w:p>
              </w:tc>
              <w:tc>
                <w:tcPr>
                  <w:tcW w:w="953" w:type="pct"/>
                  <w:tcBorders>
                    <w:tl2br w:val="nil"/>
                    <w:tr2bl w:val="nil"/>
                  </w:tcBorders>
                  <w:noWrap w:val="0"/>
                  <w:vAlign w:val="center"/>
                </w:tcPr>
                <w:p w14:paraId="298DDEEF">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w:t>
                  </w:r>
                  <w:r>
                    <w:rPr>
                      <w:rFonts w:hint="eastAsia" w:ascii="Times New Roman" w:hAnsi="Times New Roman" w:eastAsia="宋体" w:cs="Times New Roman"/>
                      <w:color w:val="auto"/>
                      <w:spacing w:val="0"/>
                      <w:w w:val="100"/>
                      <w:position w:val="0"/>
                      <w:sz w:val="21"/>
                      <w:szCs w:val="18"/>
                      <w:lang w:val="en-US" w:eastAsia="zh-CN"/>
                    </w:rPr>
                    <w:t>不新建排污口，废水进入园区污水处理厂处理</w:t>
                  </w:r>
                </w:p>
              </w:tc>
              <w:tc>
                <w:tcPr>
                  <w:tcW w:w="357" w:type="pct"/>
                  <w:tcBorders>
                    <w:tl2br w:val="nil"/>
                    <w:tr2bl w:val="nil"/>
                  </w:tcBorders>
                  <w:noWrap w:val="0"/>
                  <w:vAlign w:val="center"/>
                </w:tcPr>
                <w:p w14:paraId="22002B14">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2F553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4CA67978">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13</w:t>
                  </w:r>
                </w:p>
              </w:tc>
              <w:tc>
                <w:tcPr>
                  <w:tcW w:w="3405" w:type="pct"/>
                  <w:tcBorders>
                    <w:tl2br w:val="nil"/>
                    <w:tr2bl w:val="nil"/>
                  </w:tcBorders>
                  <w:noWrap w:val="0"/>
                  <w:vAlign w:val="center"/>
                </w:tcPr>
                <w:p w14:paraId="2F04619C">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禁止在长江干流、大渡河、岷江、赤水河、沱江、嘉陵江、鸟江、汉江和51个（四川省45个、重庆市6个）水生生物保护区开展生产性捕捞。</w:t>
                  </w:r>
                </w:p>
              </w:tc>
              <w:tc>
                <w:tcPr>
                  <w:tcW w:w="953" w:type="pct"/>
                  <w:tcBorders>
                    <w:tl2br w:val="nil"/>
                    <w:tr2bl w:val="nil"/>
                  </w:tcBorders>
                  <w:noWrap w:val="0"/>
                  <w:vAlign w:val="center"/>
                </w:tcPr>
                <w:p w14:paraId="080FB8AB">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本项目不涉及</w:t>
                  </w:r>
                  <w:r>
                    <w:rPr>
                      <w:rFonts w:hint="default" w:ascii="Times New Roman" w:hAnsi="Times New Roman" w:eastAsia="宋体" w:cs="Times New Roman"/>
                      <w:color w:val="auto"/>
                      <w:spacing w:val="0"/>
                      <w:w w:val="100"/>
                      <w:position w:val="0"/>
                      <w:sz w:val="21"/>
                      <w:szCs w:val="18"/>
                      <w:lang w:val="zh-CN" w:eastAsia="zh-CN"/>
                    </w:rPr>
                    <w:t>水生生物保护区，</w:t>
                  </w:r>
                  <w:r>
                    <w:rPr>
                      <w:rFonts w:hint="default" w:ascii="Times New Roman" w:hAnsi="Times New Roman" w:eastAsia="宋体" w:cs="Times New Roman"/>
                      <w:color w:val="auto"/>
                      <w:spacing w:val="0"/>
                      <w:w w:val="100"/>
                      <w:position w:val="0"/>
                      <w:sz w:val="21"/>
                      <w:szCs w:val="18"/>
                      <w:lang w:val="en-US" w:eastAsia="zh-CN"/>
                    </w:rPr>
                    <w:t>不进行</w:t>
                  </w:r>
                  <w:r>
                    <w:rPr>
                      <w:rFonts w:hint="default" w:ascii="Times New Roman" w:hAnsi="Times New Roman" w:eastAsia="宋体" w:cs="Times New Roman"/>
                      <w:color w:val="auto"/>
                      <w:spacing w:val="0"/>
                      <w:w w:val="100"/>
                      <w:position w:val="0"/>
                      <w:sz w:val="21"/>
                      <w:szCs w:val="18"/>
                      <w:lang w:val="zh-CN" w:eastAsia="zh-CN"/>
                    </w:rPr>
                    <w:t>生产性</w:t>
                  </w:r>
                  <w:r>
                    <w:rPr>
                      <w:rFonts w:hint="default" w:ascii="Times New Roman" w:hAnsi="Times New Roman" w:eastAsia="宋体" w:cs="Times New Roman"/>
                      <w:color w:val="auto"/>
                      <w:spacing w:val="0"/>
                      <w:w w:val="100"/>
                      <w:position w:val="0"/>
                      <w:sz w:val="21"/>
                      <w:szCs w:val="18"/>
                      <w:lang w:val="en-US" w:eastAsia="zh-CN"/>
                    </w:rPr>
                    <w:t>捕捞作业</w:t>
                  </w:r>
                </w:p>
              </w:tc>
              <w:tc>
                <w:tcPr>
                  <w:tcW w:w="357" w:type="pct"/>
                  <w:tcBorders>
                    <w:tl2br w:val="nil"/>
                    <w:tr2bl w:val="nil"/>
                  </w:tcBorders>
                  <w:noWrap w:val="0"/>
                  <w:vAlign w:val="center"/>
                </w:tcPr>
                <w:p w14:paraId="2BAB5007">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30878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6B4C763B">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14</w:t>
                  </w:r>
                </w:p>
              </w:tc>
              <w:tc>
                <w:tcPr>
                  <w:tcW w:w="3405" w:type="pct"/>
                  <w:tcBorders>
                    <w:tl2br w:val="nil"/>
                    <w:tr2bl w:val="nil"/>
                  </w:tcBorders>
                  <w:noWrap w:val="0"/>
                  <w:vAlign w:val="center"/>
                </w:tcPr>
                <w:p w14:paraId="65D21A3B">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禁止在长江干流岸线三公里范围内和重要支流岸线一公里范围内新建、改建、扩建尾矿库、冶炼渣库、磷石膏库，以提升安全、生态环境保护水平为目的的改建除外。</w:t>
                  </w:r>
                </w:p>
              </w:tc>
              <w:tc>
                <w:tcPr>
                  <w:tcW w:w="953" w:type="pct"/>
                  <w:tcBorders>
                    <w:tl2br w:val="nil"/>
                    <w:tr2bl w:val="nil"/>
                  </w:tcBorders>
                  <w:noWrap w:val="0"/>
                  <w:vAlign w:val="center"/>
                </w:tcPr>
                <w:p w14:paraId="6B1F34C9">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本项目不涉及</w:t>
                  </w:r>
                  <w:r>
                    <w:rPr>
                      <w:rFonts w:hint="default" w:ascii="Times New Roman" w:hAnsi="Times New Roman" w:eastAsia="宋体" w:cs="Times New Roman"/>
                      <w:color w:val="auto"/>
                      <w:spacing w:val="0"/>
                      <w:w w:val="100"/>
                      <w:position w:val="0"/>
                      <w:sz w:val="21"/>
                      <w:szCs w:val="18"/>
                      <w:lang w:val="zh-CN" w:eastAsia="zh-CN"/>
                    </w:rPr>
                    <w:t>尾矿库、冶炼渣库、磷石膏库</w:t>
                  </w:r>
                </w:p>
              </w:tc>
              <w:tc>
                <w:tcPr>
                  <w:tcW w:w="357" w:type="pct"/>
                  <w:tcBorders>
                    <w:tl2br w:val="nil"/>
                    <w:tr2bl w:val="nil"/>
                  </w:tcBorders>
                  <w:noWrap w:val="0"/>
                  <w:vAlign w:val="center"/>
                </w:tcPr>
                <w:p w14:paraId="2F830D6A">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2389E8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72E21ECC">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15</w:t>
                  </w:r>
                </w:p>
              </w:tc>
              <w:tc>
                <w:tcPr>
                  <w:tcW w:w="3405" w:type="pct"/>
                  <w:tcBorders>
                    <w:tl2br w:val="nil"/>
                    <w:tr2bl w:val="nil"/>
                  </w:tcBorders>
                  <w:noWrap w:val="0"/>
                  <w:vAlign w:val="center"/>
                </w:tcPr>
                <w:p w14:paraId="2EAD5F50">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第二十条禁止在生态保护红线区域、永久基本农田集中区域和其他需要特别保护的区域内选址建设尾矿库、冶炼渣库、磷石膏库。</w:t>
                  </w:r>
                </w:p>
              </w:tc>
              <w:tc>
                <w:tcPr>
                  <w:tcW w:w="953" w:type="pct"/>
                  <w:tcBorders>
                    <w:tl2br w:val="nil"/>
                    <w:tr2bl w:val="nil"/>
                  </w:tcBorders>
                  <w:noWrap w:val="0"/>
                  <w:vAlign w:val="center"/>
                </w:tcPr>
                <w:p w14:paraId="71FD714B">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本项目不涉及生态保护红线，不设置</w:t>
                  </w:r>
                  <w:r>
                    <w:rPr>
                      <w:rFonts w:hint="default" w:ascii="Times New Roman" w:hAnsi="Times New Roman" w:eastAsia="宋体" w:cs="Times New Roman"/>
                      <w:color w:val="auto"/>
                      <w:spacing w:val="0"/>
                      <w:w w:val="100"/>
                      <w:position w:val="0"/>
                      <w:sz w:val="21"/>
                      <w:szCs w:val="18"/>
                      <w:lang w:val="zh-CN" w:eastAsia="zh-CN"/>
                    </w:rPr>
                    <w:t>尾矿库、冶炼渣库、磷石膏库</w:t>
                  </w:r>
                </w:p>
              </w:tc>
              <w:tc>
                <w:tcPr>
                  <w:tcW w:w="357" w:type="pct"/>
                  <w:tcBorders>
                    <w:tl2br w:val="nil"/>
                    <w:tr2bl w:val="nil"/>
                  </w:tcBorders>
                  <w:noWrap w:val="0"/>
                  <w:vAlign w:val="center"/>
                </w:tcPr>
                <w:p w14:paraId="2AECB22D">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51E1E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30E6DB73">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16</w:t>
                  </w:r>
                </w:p>
              </w:tc>
              <w:tc>
                <w:tcPr>
                  <w:tcW w:w="3405" w:type="pct"/>
                  <w:tcBorders>
                    <w:tl2br w:val="nil"/>
                    <w:tr2bl w:val="nil"/>
                  </w:tcBorders>
                  <w:noWrap w:val="0"/>
                  <w:vAlign w:val="center"/>
                </w:tcPr>
                <w:p w14:paraId="0EB7B731">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禁止在合规园区外新建、扩建钢铁、石化、化工、焦化、建材、有色、制浆造纸等高污染项目。</w:t>
                  </w:r>
                </w:p>
              </w:tc>
              <w:tc>
                <w:tcPr>
                  <w:tcW w:w="953" w:type="pct"/>
                  <w:tcBorders>
                    <w:tl2br w:val="nil"/>
                    <w:tr2bl w:val="nil"/>
                  </w:tcBorders>
                  <w:noWrap w:val="0"/>
                  <w:vAlign w:val="center"/>
                </w:tcPr>
                <w:p w14:paraId="23C9F8E4">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rPr>
                    <w:t>本项目</w:t>
                  </w:r>
                  <w:r>
                    <w:rPr>
                      <w:rFonts w:hint="eastAsia" w:ascii="Times New Roman" w:hAnsi="Times New Roman" w:eastAsia="宋体" w:cs="Times New Roman"/>
                      <w:color w:val="auto"/>
                      <w:spacing w:val="0"/>
                      <w:w w:val="100"/>
                      <w:position w:val="0"/>
                      <w:sz w:val="21"/>
                      <w:szCs w:val="18"/>
                      <w:lang w:val="en-US" w:eastAsia="zh-CN"/>
                    </w:rPr>
                    <w:t>符合园区准入，不属于</w:t>
                  </w:r>
                  <w:r>
                    <w:rPr>
                      <w:rFonts w:hint="eastAsia" w:ascii="Times New Roman" w:hAnsi="Times New Roman" w:cs="Times New Roman"/>
                      <w:color w:val="auto"/>
                      <w:spacing w:val="0"/>
                      <w:w w:val="100"/>
                      <w:position w:val="0"/>
                      <w:sz w:val="21"/>
                      <w:szCs w:val="18"/>
                      <w:lang w:val="en-US" w:eastAsia="zh-CN"/>
                    </w:rPr>
                    <w:t>以上</w:t>
                  </w:r>
                  <w:r>
                    <w:rPr>
                      <w:rFonts w:hint="eastAsia" w:ascii="Times New Roman" w:hAnsi="Times New Roman" w:eastAsia="宋体" w:cs="Times New Roman"/>
                      <w:color w:val="auto"/>
                      <w:spacing w:val="0"/>
                      <w:w w:val="100"/>
                      <w:position w:val="0"/>
                      <w:sz w:val="21"/>
                      <w:szCs w:val="18"/>
                      <w:lang w:val="en-US" w:eastAsia="zh-CN"/>
                    </w:rPr>
                    <w:t>高污染项目</w:t>
                  </w:r>
                </w:p>
              </w:tc>
              <w:tc>
                <w:tcPr>
                  <w:tcW w:w="357" w:type="pct"/>
                  <w:tcBorders>
                    <w:tl2br w:val="nil"/>
                    <w:tr2bl w:val="nil"/>
                  </w:tcBorders>
                  <w:noWrap w:val="0"/>
                  <w:vAlign w:val="center"/>
                </w:tcPr>
                <w:p w14:paraId="614FBD2F">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4FB51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4EDD40A1">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17</w:t>
                  </w:r>
                </w:p>
              </w:tc>
              <w:tc>
                <w:tcPr>
                  <w:tcW w:w="3405" w:type="pct"/>
                  <w:tcBorders>
                    <w:tl2br w:val="nil"/>
                    <w:tr2bl w:val="nil"/>
                  </w:tcBorders>
                  <w:noWrap w:val="0"/>
                  <w:vAlign w:val="center"/>
                </w:tcPr>
                <w:p w14:paraId="0E4E206B">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禁止新建、扩建不符合国家石化、现代煤化工等产业布局规划的项目。</w:t>
                  </w:r>
                </w:p>
                <w:p w14:paraId="7CF24073">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（一）严格控制新增炼油产能，未列入《石化产业规划布局方案（修订版）》的新增炼油产能</w:t>
                  </w:r>
                  <w:r>
                    <w:rPr>
                      <w:rFonts w:hint="eastAsia" w:ascii="Times New Roman" w:hAnsi="Times New Roman" w:cs="Times New Roman"/>
                      <w:color w:val="auto"/>
                      <w:spacing w:val="0"/>
                      <w:w w:val="100"/>
                      <w:position w:val="0"/>
                      <w:sz w:val="21"/>
                      <w:szCs w:val="18"/>
                      <w:lang w:val="zh-CN" w:eastAsia="zh-CN"/>
                    </w:rPr>
                    <w:t>-一</w:t>
                  </w:r>
                  <w:r>
                    <w:rPr>
                      <w:rFonts w:hint="default" w:ascii="Times New Roman" w:hAnsi="Times New Roman" w:eastAsia="宋体" w:cs="Times New Roman"/>
                      <w:color w:val="auto"/>
                      <w:spacing w:val="0"/>
                      <w:w w:val="100"/>
                      <w:position w:val="0"/>
                      <w:sz w:val="21"/>
                      <w:szCs w:val="18"/>
                      <w:lang w:val="zh-CN" w:eastAsia="zh-CN"/>
                    </w:rPr>
                    <w:t>律不得建设。</w:t>
                  </w:r>
                </w:p>
                <w:p w14:paraId="46FABAB3">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（二）新建煤制烯</w:t>
                  </w:r>
                  <w:r>
                    <w:rPr>
                      <w:rFonts w:hint="default" w:ascii="Times New Roman" w:hAnsi="Times New Roman" w:eastAsia="宋体" w:cs="Times New Roman"/>
                      <w:color w:val="auto"/>
                      <w:spacing w:val="0"/>
                      <w:w w:val="100"/>
                      <w:position w:val="0"/>
                      <w:sz w:val="21"/>
                      <w:szCs w:val="18"/>
                      <w:lang w:val="en-US" w:eastAsia="zh-CN"/>
                    </w:rPr>
                    <w:t>烃</w:t>
                  </w:r>
                  <w:r>
                    <w:rPr>
                      <w:rFonts w:hint="default" w:ascii="Times New Roman" w:hAnsi="Times New Roman" w:eastAsia="宋体" w:cs="Times New Roman"/>
                      <w:color w:val="auto"/>
                      <w:spacing w:val="0"/>
                      <w:w w:val="100"/>
                      <w:position w:val="0"/>
                      <w:sz w:val="21"/>
                      <w:szCs w:val="18"/>
                      <w:lang w:val="zh-CN" w:eastAsia="zh-CN"/>
                    </w:rPr>
                    <w:t>、煤制芳</w:t>
                  </w:r>
                  <w:r>
                    <w:rPr>
                      <w:rFonts w:hint="default" w:ascii="Times New Roman" w:hAnsi="Times New Roman" w:eastAsia="宋体" w:cs="Times New Roman"/>
                      <w:color w:val="auto"/>
                      <w:spacing w:val="0"/>
                      <w:w w:val="100"/>
                      <w:position w:val="0"/>
                      <w:sz w:val="21"/>
                      <w:szCs w:val="18"/>
                      <w:lang w:val="en-US" w:eastAsia="zh-CN"/>
                    </w:rPr>
                    <w:t>烃</w:t>
                  </w:r>
                  <w:r>
                    <w:rPr>
                      <w:rFonts w:hint="default" w:ascii="Times New Roman" w:hAnsi="Times New Roman" w:eastAsia="宋体" w:cs="Times New Roman"/>
                      <w:color w:val="auto"/>
                      <w:spacing w:val="0"/>
                      <w:w w:val="100"/>
                      <w:position w:val="0"/>
                      <w:sz w:val="21"/>
                      <w:szCs w:val="18"/>
                      <w:lang w:val="zh-CN" w:eastAsia="zh-CN"/>
                    </w:rPr>
                    <w:t>项目必须列入《现代煤化工产业创新发展布局方案》，必须符合《现代煤化工建设项目环境准入条件（试行）》要求。</w:t>
                  </w:r>
                </w:p>
              </w:tc>
              <w:tc>
                <w:tcPr>
                  <w:tcW w:w="953" w:type="pct"/>
                  <w:tcBorders>
                    <w:tl2br w:val="nil"/>
                    <w:tr2bl w:val="nil"/>
                  </w:tcBorders>
                  <w:noWrap w:val="0"/>
                  <w:vAlign w:val="center"/>
                </w:tcPr>
                <w:p w14:paraId="04E1AB1E">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本项目不涉及</w:t>
                  </w:r>
                  <w:r>
                    <w:rPr>
                      <w:rFonts w:hint="default" w:ascii="Times New Roman" w:hAnsi="Times New Roman" w:eastAsia="宋体" w:cs="Times New Roman"/>
                      <w:color w:val="auto"/>
                      <w:spacing w:val="0"/>
                      <w:w w:val="100"/>
                      <w:position w:val="0"/>
                      <w:sz w:val="21"/>
                      <w:szCs w:val="18"/>
                      <w:lang w:val="zh-CN" w:eastAsia="zh-CN"/>
                    </w:rPr>
                    <w:t>石化、现代煤化工</w:t>
                  </w:r>
                  <w:r>
                    <w:rPr>
                      <w:rFonts w:hint="default" w:ascii="Times New Roman" w:hAnsi="Times New Roman" w:eastAsia="宋体" w:cs="Times New Roman"/>
                      <w:color w:val="auto"/>
                      <w:spacing w:val="0"/>
                      <w:w w:val="100"/>
                      <w:position w:val="0"/>
                      <w:sz w:val="21"/>
                      <w:szCs w:val="18"/>
                      <w:lang w:val="en-US" w:eastAsia="zh-CN"/>
                    </w:rPr>
                    <w:t>产业</w:t>
                  </w:r>
                </w:p>
              </w:tc>
              <w:tc>
                <w:tcPr>
                  <w:tcW w:w="357" w:type="pct"/>
                  <w:tcBorders>
                    <w:tl2br w:val="nil"/>
                    <w:tr2bl w:val="nil"/>
                  </w:tcBorders>
                  <w:noWrap w:val="0"/>
                  <w:vAlign w:val="center"/>
                </w:tcPr>
                <w:p w14:paraId="36C6C6E8">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39F27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4337035D">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18</w:t>
                  </w:r>
                </w:p>
              </w:tc>
              <w:tc>
                <w:tcPr>
                  <w:tcW w:w="3405" w:type="pct"/>
                  <w:tcBorders>
                    <w:tl2br w:val="nil"/>
                    <w:tr2bl w:val="nil"/>
                  </w:tcBorders>
                  <w:noWrap w:val="0"/>
                  <w:vAlign w:val="center"/>
                </w:tcPr>
                <w:p w14:paraId="4A73ED84">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953" w:type="pct"/>
                  <w:tcBorders>
                    <w:tl2br w:val="nil"/>
                    <w:tr2bl w:val="nil"/>
                  </w:tcBorders>
                  <w:noWrap w:val="0"/>
                  <w:vAlign w:val="center"/>
                </w:tcPr>
                <w:p w14:paraId="607C9CED">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本项目符合</w:t>
                  </w:r>
                  <w:r>
                    <w:rPr>
                      <w:rFonts w:hint="default" w:ascii="Times New Roman" w:hAnsi="Times New Roman" w:eastAsia="宋体" w:cs="Times New Roman"/>
                      <w:color w:val="auto"/>
                      <w:spacing w:val="0"/>
                      <w:w w:val="100"/>
                      <w:position w:val="0"/>
                      <w:sz w:val="21"/>
                      <w:szCs w:val="18"/>
                      <w:lang w:val="zh-CN" w:eastAsia="zh-CN"/>
                    </w:rPr>
                    <w:t>《产业结构调整指导目录》</w:t>
                  </w:r>
                  <w:r>
                    <w:rPr>
                      <w:rFonts w:hint="default" w:ascii="Times New Roman" w:hAnsi="Times New Roman" w:eastAsia="宋体" w:cs="Times New Roman"/>
                      <w:color w:val="auto"/>
                      <w:spacing w:val="0"/>
                      <w:w w:val="100"/>
                      <w:position w:val="0"/>
                      <w:sz w:val="21"/>
                      <w:szCs w:val="18"/>
                      <w:lang w:val="en-US" w:eastAsia="zh-CN"/>
                    </w:rPr>
                    <w:t>相关要求。</w:t>
                  </w:r>
                </w:p>
              </w:tc>
              <w:tc>
                <w:tcPr>
                  <w:tcW w:w="357" w:type="pct"/>
                  <w:tcBorders>
                    <w:tl2br w:val="nil"/>
                    <w:tr2bl w:val="nil"/>
                  </w:tcBorders>
                  <w:noWrap w:val="0"/>
                  <w:vAlign w:val="center"/>
                </w:tcPr>
                <w:p w14:paraId="6FE27717">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43DC2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52C27593">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19</w:t>
                  </w:r>
                </w:p>
              </w:tc>
              <w:tc>
                <w:tcPr>
                  <w:tcW w:w="3405" w:type="pct"/>
                  <w:tcBorders>
                    <w:tl2br w:val="nil"/>
                    <w:tr2bl w:val="nil"/>
                  </w:tcBorders>
                  <w:noWrap w:val="0"/>
                  <w:vAlign w:val="center"/>
                </w:tcPr>
                <w:p w14:paraId="4DFB2806">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禁止新建、扩建不符合国家产能置换要求的严重过剩产能行业的项目。对于不符合国家产能置换要求的严重过剩产能行业，不得以其他任何名义、任何方式备案新增产能项目。</w:t>
                  </w:r>
                </w:p>
              </w:tc>
              <w:tc>
                <w:tcPr>
                  <w:tcW w:w="953" w:type="pct"/>
                  <w:tcBorders>
                    <w:tl2br w:val="nil"/>
                    <w:tr2bl w:val="nil"/>
                  </w:tcBorders>
                  <w:noWrap w:val="0"/>
                  <w:vAlign w:val="center"/>
                </w:tcPr>
                <w:p w14:paraId="7936FBB0">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本项目不涉及产能过剩行业</w:t>
                  </w:r>
                </w:p>
              </w:tc>
              <w:tc>
                <w:tcPr>
                  <w:tcW w:w="357" w:type="pct"/>
                  <w:tcBorders>
                    <w:tl2br w:val="nil"/>
                    <w:tr2bl w:val="nil"/>
                  </w:tcBorders>
                  <w:noWrap w:val="0"/>
                  <w:vAlign w:val="center"/>
                </w:tcPr>
                <w:p w14:paraId="3BF29A42">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72839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1AAF98DD">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20</w:t>
                  </w:r>
                </w:p>
              </w:tc>
              <w:tc>
                <w:tcPr>
                  <w:tcW w:w="3405" w:type="pct"/>
                  <w:tcBorders>
                    <w:tl2br w:val="nil"/>
                    <w:tr2bl w:val="nil"/>
                  </w:tcBorders>
                  <w:noWrap w:val="0"/>
                  <w:vAlign w:val="center"/>
                </w:tcPr>
                <w:p w14:paraId="199BCA01">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禁止建设以下燃油汽车投资项目（不在中国境内销售产品的投资项目除外）：</w:t>
                  </w:r>
                </w:p>
                <w:p w14:paraId="56B9F011">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（一</w:t>
                  </w:r>
                  <w:r>
                    <w:rPr>
                      <w:rFonts w:hint="default" w:ascii="Times New Roman" w:hAnsi="Times New Roman" w:eastAsia="宋体" w:cs="Times New Roman"/>
                      <w:color w:val="auto"/>
                      <w:spacing w:val="0"/>
                      <w:w w:val="100"/>
                      <w:position w:val="0"/>
                      <w:sz w:val="21"/>
                      <w:szCs w:val="18"/>
                      <w:lang w:val="zh-CN" w:eastAsia="zh-CN"/>
                    </w:rPr>
                    <w:t>）新建独立燃油汽车企业；</w:t>
                  </w:r>
                </w:p>
                <w:p w14:paraId="557F684A">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（二）现有汽车企业跨乘用车、商用车类别建设燃油汽车生产能力；</w:t>
                  </w:r>
                </w:p>
                <w:p w14:paraId="16A1D04E">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（三）外省现有燃油汽车企业整体搬迁至本省（列入国家级区域发展规划或不改变企业股权结构的项目除外）；</w:t>
                  </w:r>
                </w:p>
                <w:p w14:paraId="7D08974C">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zh-CN" w:eastAsia="zh-CN"/>
                    </w:rPr>
                    <w:t>（四）对行业管理部门特别公示的燃油汽车企业进行投资（企业原有股东投资或将该企业转为非独立法人的投资项目除</w:t>
                  </w:r>
                  <w:r>
                    <w:rPr>
                      <w:rFonts w:hint="default" w:ascii="Times New Roman" w:hAnsi="Times New Roman" w:eastAsia="宋体" w:cs="Times New Roman"/>
                      <w:color w:val="auto"/>
                      <w:spacing w:val="0"/>
                      <w:w w:val="100"/>
                      <w:position w:val="0"/>
                      <w:sz w:val="21"/>
                      <w:szCs w:val="18"/>
                      <w:lang w:val="en-US" w:eastAsia="zh-CN"/>
                    </w:rPr>
                    <w:t>外）。</w:t>
                  </w:r>
                </w:p>
              </w:tc>
              <w:tc>
                <w:tcPr>
                  <w:tcW w:w="953" w:type="pct"/>
                  <w:tcBorders>
                    <w:tl2br w:val="nil"/>
                    <w:tr2bl w:val="nil"/>
                  </w:tcBorders>
                  <w:noWrap w:val="0"/>
                  <w:vAlign w:val="center"/>
                </w:tcPr>
                <w:p w14:paraId="610D9AA9">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本项目不属于</w:t>
                  </w:r>
                  <w:r>
                    <w:rPr>
                      <w:rFonts w:hint="default" w:ascii="Times New Roman" w:hAnsi="Times New Roman" w:eastAsia="宋体" w:cs="Times New Roman"/>
                      <w:color w:val="auto"/>
                      <w:spacing w:val="0"/>
                      <w:w w:val="100"/>
                      <w:position w:val="0"/>
                      <w:sz w:val="21"/>
                      <w:szCs w:val="18"/>
                      <w:lang w:val="zh-CN" w:eastAsia="zh-CN"/>
                    </w:rPr>
                    <w:t>燃油汽车投资项目</w:t>
                  </w:r>
                </w:p>
              </w:tc>
              <w:tc>
                <w:tcPr>
                  <w:tcW w:w="357" w:type="pct"/>
                  <w:tcBorders>
                    <w:tl2br w:val="nil"/>
                    <w:tr2bl w:val="nil"/>
                  </w:tcBorders>
                  <w:noWrap w:val="0"/>
                  <w:vAlign w:val="center"/>
                </w:tcPr>
                <w:p w14:paraId="5CCC925A">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r w14:paraId="1D3AD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 w:type="pct"/>
                  <w:tcBorders>
                    <w:tl2br w:val="nil"/>
                    <w:tr2bl w:val="nil"/>
                  </w:tcBorders>
                  <w:noWrap w:val="0"/>
                  <w:vAlign w:val="center"/>
                </w:tcPr>
                <w:p w14:paraId="29890043">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21</w:t>
                  </w:r>
                </w:p>
              </w:tc>
              <w:tc>
                <w:tcPr>
                  <w:tcW w:w="3405" w:type="pct"/>
                  <w:tcBorders>
                    <w:tl2br w:val="nil"/>
                    <w:tr2bl w:val="nil"/>
                  </w:tcBorders>
                  <w:noWrap w:val="0"/>
                  <w:vAlign w:val="center"/>
                </w:tcPr>
                <w:p w14:paraId="442B8040">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zh-CN" w:eastAsia="zh-CN"/>
                    </w:rPr>
                    <w:t>第二十六条禁止新建、扩建不符合要求的高耗能、高排放、低水平项目。</w:t>
                  </w:r>
                </w:p>
              </w:tc>
              <w:tc>
                <w:tcPr>
                  <w:tcW w:w="953" w:type="pct"/>
                  <w:tcBorders>
                    <w:tl2br w:val="nil"/>
                    <w:tr2bl w:val="nil"/>
                  </w:tcBorders>
                  <w:noWrap w:val="0"/>
                  <w:vAlign w:val="center"/>
                </w:tcPr>
                <w:p w14:paraId="035D6886">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en-US" w:eastAsia="zh-CN"/>
                    </w:rPr>
                  </w:pPr>
                  <w:r>
                    <w:rPr>
                      <w:rFonts w:hint="default" w:ascii="Times New Roman" w:hAnsi="Times New Roman" w:eastAsia="宋体" w:cs="Times New Roman"/>
                      <w:color w:val="auto"/>
                      <w:spacing w:val="0"/>
                      <w:w w:val="100"/>
                      <w:position w:val="0"/>
                      <w:sz w:val="21"/>
                      <w:szCs w:val="18"/>
                      <w:lang w:val="en-US" w:eastAsia="zh-CN"/>
                    </w:rPr>
                    <w:t>本项目不属于上述项目</w:t>
                  </w:r>
                </w:p>
              </w:tc>
              <w:tc>
                <w:tcPr>
                  <w:tcW w:w="357" w:type="pct"/>
                  <w:tcBorders>
                    <w:tl2br w:val="nil"/>
                    <w:tr2bl w:val="nil"/>
                  </w:tcBorders>
                  <w:noWrap w:val="0"/>
                  <w:vAlign w:val="center"/>
                </w:tcPr>
                <w:p w14:paraId="3ECC4ED1">
                  <w:pPr>
                    <w:pStyle w:val="103"/>
                    <w:keepNext w:val="0"/>
                    <w:keepLines w:val="0"/>
                    <w:widowControl w:val="0"/>
                    <w:suppressLineNumbers w:val="0"/>
                    <w:shd w:val="clear" w:color="auto" w:fill="auto"/>
                    <w:bidi w:val="0"/>
                    <w:spacing w:before="0" w:beforeAutospacing="0" w:after="0" w:afterAutospacing="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val="zh-CN" w:eastAsia="zh-CN"/>
                    </w:rPr>
                  </w:pPr>
                  <w:r>
                    <w:rPr>
                      <w:rFonts w:hint="default" w:ascii="Times New Roman" w:hAnsi="Times New Roman" w:eastAsia="宋体" w:cs="Times New Roman"/>
                      <w:color w:val="auto"/>
                      <w:spacing w:val="0"/>
                      <w:w w:val="100"/>
                      <w:position w:val="0"/>
                      <w:sz w:val="21"/>
                      <w:szCs w:val="18"/>
                      <w:lang w:val="en-US" w:eastAsia="zh-CN"/>
                    </w:rPr>
                    <w:t>符合</w:t>
                  </w:r>
                </w:p>
              </w:tc>
            </w:tr>
          </w:tbl>
          <w:p w14:paraId="3930F80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highlight w:val="none"/>
                <w:lang w:val="en-US" w:eastAsia="zh-CN"/>
              </w:rPr>
            </w:pPr>
          </w:p>
          <w:p w14:paraId="725F3D9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val="en-US" w:eastAsia="zh-CN"/>
              </w:rPr>
              <w:t>综上，本项目不在长江经济带发展负面清单范围内，符合相关要求。</w:t>
            </w:r>
          </w:p>
          <w:p w14:paraId="1187A664">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b/>
                <w:bCs/>
                <w:color w:val="auto"/>
                <w:kern w:val="0"/>
              </w:rPr>
            </w:pPr>
            <w:r>
              <w:rPr>
                <w:rFonts w:hint="eastAsia" w:cs="Times New Roman"/>
                <w:b/>
                <w:bCs/>
                <w:color w:val="auto"/>
                <w:kern w:val="0"/>
                <w:lang w:val="en-US" w:eastAsia="zh-CN"/>
              </w:rPr>
              <w:t>六</w:t>
            </w:r>
            <w:r>
              <w:rPr>
                <w:rFonts w:hint="default" w:ascii="Times New Roman" w:hAnsi="Times New Roman" w:cs="Times New Roman"/>
                <w:b/>
                <w:bCs/>
                <w:color w:val="auto"/>
                <w:kern w:val="0"/>
              </w:rPr>
              <w:t>、</w:t>
            </w:r>
            <w:r>
              <w:rPr>
                <w:rFonts w:hint="eastAsia" w:ascii="Times New Roman" w:hAnsi="Times New Roman" w:cs="Times New Roman"/>
                <w:b/>
                <w:bCs/>
                <w:color w:val="auto"/>
                <w:kern w:val="0"/>
              </w:rPr>
              <w:t>项目</w:t>
            </w:r>
            <w:r>
              <w:rPr>
                <w:rFonts w:hint="default" w:ascii="Times New Roman" w:hAnsi="Times New Roman" w:cs="Times New Roman"/>
                <w:b/>
                <w:bCs/>
                <w:color w:val="auto"/>
                <w:kern w:val="0"/>
              </w:rPr>
              <w:t>选址合理性分析</w:t>
            </w:r>
          </w:p>
          <w:p w14:paraId="07E8AB64">
            <w:pPr>
              <w:keepNext w:val="0"/>
              <w:keepLines w:val="0"/>
              <w:suppressLineNumbers w:val="0"/>
              <w:spacing w:before="0" w:beforeAutospacing="0" w:after="0" w:afterAutospacing="0"/>
              <w:ind w:left="0" w:right="0" w:firstLine="482" w:firstLineChars="200"/>
              <w:rPr>
                <w:rFonts w:hint="default" w:ascii="Times New Roman" w:hAnsi="Times New Roman" w:cs="Times New Roman"/>
                <w:b/>
                <w:bCs/>
                <w:color w:val="auto"/>
                <w:szCs w:val="32"/>
              </w:rPr>
            </w:pPr>
            <w:r>
              <w:rPr>
                <w:rFonts w:hint="default" w:ascii="Times New Roman" w:hAnsi="Times New Roman" w:cs="Times New Roman"/>
                <w:b/>
                <w:bCs/>
                <w:color w:val="auto"/>
                <w:szCs w:val="32"/>
              </w:rPr>
              <w:t>（1）</w:t>
            </w:r>
            <w:r>
              <w:rPr>
                <w:rFonts w:hint="eastAsia" w:ascii="Times New Roman" w:hAnsi="Times New Roman" w:cs="Times New Roman"/>
                <w:b/>
                <w:bCs/>
                <w:color w:val="auto"/>
                <w:szCs w:val="32"/>
              </w:rPr>
              <w:t>项目</w:t>
            </w:r>
            <w:r>
              <w:rPr>
                <w:rFonts w:hint="default" w:ascii="Times New Roman" w:hAnsi="Times New Roman" w:cs="Times New Roman"/>
                <w:b/>
                <w:bCs/>
                <w:color w:val="auto"/>
                <w:szCs w:val="32"/>
              </w:rPr>
              <w:t>外环境概况</w:t>
            </w:r>
          </w:p>
          <w:p w14:paraId="6D81AAA1">
            <w:pPr>
              <w:keepNext w:val="0"/>
              <w:keepLines w:val="0"/>
              <w:suppressLineNumbers w:val="0"/>
              <w:autoSpaceDE w:val="0"/>
              <w:autoSpaceDN w:val="0"/>
              <w:adjustRightInd w:val="0"/>
              <w:snapToGrid w:val="0"/>
              <w:spacing w:before="0" w:beforeAutospacing="0" w:after="0" w:afterAutospacing="0"/>
              <w:ind w:left="0" w:right="0" w:firstLine="480" w:firstLineChars="200"/>
              <w:jc w:val="left"/>
              <w:rPr>
                <w:rFonts w:hint="eastAsia" w:ascii="Times New Roman" w:hAnsi="Times New Roman" w:cs="Times New Roman"/>
                <w:color w:val="auto"/>
                <w:spacing w:val="-4"/>
              </w:rPr>
            </w:pPr>
            <w:r>
              <w:rPr>
                <w:rFonts w:hint="default" w:ascii="Times New Roman" w:hAnsi="Times New Roman" w:cs="Times New Roman"/>
                <w:color w:val="auto"/>
                <w:kern w:val="0"/>
              </w:rPr>
              <w:t>本项目位于蓬溪县</w:t>
            </w:r>
            <w:r>
              <w:rPr>
                <w:rFonts w:hint="eastAsia" w:ascii="Times New Roman" w:hAnsi="Times New Roman" w:cs="Times New Roman"/>
                <w:color w:val="auto"/>
                <w:kern w:val="0"/>
              </w:rPr>
              <w:t>经开区</w:t>
            </w:r>
            <w:r>
              <w:rPr>
                <w:rFonts w:hint="default" w:ascii="Times New Roman" w:hAnsi="Times New Roman" w:cs="Times New Roman"/>
                <w:color w:val="auto"/>
                <w:kern w:val="0"/>
              </w:rPr>
              <w:t>上游</w:t>
            </w:r>
            <w:r>
              <w:rPr>
                <w:rFonts w:hint="eastAsia" w:ascii="Times New Roman" w:hAnsi="Times New Roman" w:cs="Times New Roman"/>
                <w:color w:val="auto"/>
                <w:kern w:val="0"/>
              </w:rPr>
              <w:t>片区</w:t>
            </w:r>
            <w:r>
              <w:rPr>
                <w:rFonts w:hint="default" w:ascii="Times New Roman" w:hAnsi="Times New Roman" w:cs="Times New Roman"/>
                <w:color w:val="auto"/>
                <w:kern w:val="0"/>
              </w:rPr>
              <w:t>。项目所在区域基础配套设施完善，地理区位优势较好，交通地理位置较为优越，环境质量良好，能满足本项目建设的相关要求。项目外环境概况见下表。</w:t>
            </w:r>
          </w:p>
          <w:p w14:paraId="5D6EF60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4"/>
                <w:sz w:val="21"/>
                <w:szCs w:val="21"/>
              </w:rPr>
            </w:pPr>
            <w:r>
              <w:rPr>
                <w:rFonts w:hint="default" w:ascii="Times New Roman" w:hAnsi="Times New Roman" w:cs="Times New Roman"/>
                <w:b/>
                <w:bCs/>
                <w:color w:val="auto"/>
                <w:sz w:val="21"/>
                <w:szCs w:val="21"/>
              </w:rPr>
              <w:t>表1-</w:t>
            </w:r>
            <w:r>
              <w:rPr>
                <w:rFonts w:hint="eastAsia" w:cs="Times New Roman"/>
                <w:b/>
                <w:bCs/>
                <w:color w:val="auto"/>
                <w:sz w:val="21"/>
                <w:szCs w:val="21"/>
                <w:lang w:val="en-US" w:eastAsia="zh-CN"/>
              </w:rPr>
              <w:t>8</w:t>
            </w:r>
            <w:r>
              <w:rPr>
                <w:rFonts w:hint="default" w:ascii="Times New Roman" w:hAnsi="Times New Roman" w:cs="Times New Roman"/>
                <w:b/>
                <w:bCs/>
                <w:color w:val="auto"/>
                <w:sz w:val="21"/>
                <w:szCs w:val="21"/>
              </w:rPr>
              <w:t xml:space="preserve"> 项目外环境关系一览表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119"/>
              <w:gridCol w:w="879"/>
              <w:gridCol w:w="789"/>
              <w:gridCol w:w="866"/>
              <w:gridCol w:w="2510"/>
            </w:tblGrid>
            <w:tr w14:paraId="48338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374E15A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18"/>
                    </w:rPr>
                  </w:pPr>
                  <w:r>
                    <w:rPr>
                      <w:rFonts w:hint="default" w:ascii="Times New Roman" w:hAnsi="Times New Roman" w:cs="Times New Roman"/>
                      <w:b/>
                      <w:bCs/>
                      <w:color w:val="auto"/>
                      <w:sz w:val="21"/>
                      <w:szCs w:val="18"/>
                    </w:rPr>
                    <w:t>名称</w:t>
                  </w:r>
                </w:p>
              </w:tc>
              <w:tc>
                <w:tcPr>
                  <w:tcW w:w="538" w:type="pct"/>
                  <w:noWrap w:val="0"/>
                  <w:vAlign w:val="center"/>
                </w:tcPr>
                <w:p w14:paraId="1A3173B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18"/>
                    </w:rPr>
                  </w:pPr>
                  <w:r>
                    <w:rPr>
                      <w:rFonts w:hint="default" w:ascii="Times New Roman" w:hAnsi="Times New Roman" w:cs="Times New Roman"/>
                      <w:b/>
                      <w:color w:val="auto"/>
                      <w:sz w:val="21"/>
                      <w:szCs w:val="18"/>
                    </w:rPr>
                    <w:t>位置</w:t>
                  </w:r>
                </w:p>
              </w:tc>
              <w:tc>
                <w:tcPr>
                  <w:tcW w:w="483" w:type="pct"/>
                  <w:noWrap w:val="0"/>
                  <w:vAlign w:val="center"/>
                </w:tcPr>
                <w:p w14:paraId="022B039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18"/>
                    </w:rPr>
                  </w:pPr>
                  <w:r>
                    <w:rPr>
                      <w:rFonts w:hint="default" w:ascii="Times New Roman" w:hAnsi="Times New Roman" w:cs="Times New Roman"/>
                      <w:b/>
                      <w:color w:val="auto"/>
                      <w:sz w:val="21"/>
                      <w:szCs w:val="18"/>
                    </w:rPr>
                    <w:t>距离</w:t>
                  </w:r>
                </w:p>
              </w:tc>
              <w:tc>
                <w:tcPr>
                  <w:tcW w:w="530" w:type="pct"/>
                  <w:noWrap w:val="0"/>
                  <w:vAlign w:val="center"/>
                </w:tcPr>
                <w:p w14:paraId="2350CB9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18"/>
                    </w:rPr>
                  </w:pPr>
                  <w:r>
                    <w:rPr>
                      <w:rFonts w:hint="default" w:ascii="Times New Roman" w:hAnsi="Times New Roman" w:cs="Times New Roman"/>
                      <w:b/>
                      <w:color w:val="auto"/>
                      <w:sz w:val="21"/>
                      <w:szCs w:val="18"/>
                    </w:rPr>
                    <w:t>性质</w:t>
                  </w:r>
                </w:p>
              </w:tc>
              <w:tc>
                <w:tcPr>
                  <w:tcW w:w="1537" w:type="pct"/>
                  <w:noWrap w:val="0"/>
                  <w:vAlign w:val="center"/>
                </w:tcPr>
                <w:p w14:paraId="6BF3E25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18"/>
                    </w:rPr>
                  </w:pPr>
                  <w:r>
                    <w:rPr>
                      <w:rFonts w:hint="default" w:ascii="Times New Roman" w:hAnsi="Times New Roman" w:cs="Times New Roman"/>
                      <w:b/>
                      <w:color w:val="auto"/>
                      <w:sz w:val="21"/>
                      <w:szCs w:val="18"/>
                    </w:rPr>
                    <w:t>备注</w:t>
                  </w:r>
                </w:p>
              </w:tc>
            </w:tr>
            <w:tr w14:paraId="4369F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25E364A8">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18"/>
                      <w:lang w:eastAsia="zh-CN"/>
                    </w:rPr>
                  </w:pPr>
                  <w:r>
                    <w:rPr>
                      <w:rFonts w:hint="eastAsia" w:ascii="Times New Roman" w:hAnsi="Times New Roman" w:eastAsia="宋体" w:cs="Times New Roman"/>
                      <w:color w:val="auto"/>
                      <w:sz w:val="21"/>
                      <w:szCs w:val="18"/>
                      <w:lang w:eastAsia="zh-CN"/>
                    </w:rPr>
                    <w:t>四川美佳友新材料有限公司</w:t>
                  </w:r>
                </w:p>
              </w:tc>
              <w:tc>
                <w:tcPr>
                  <w:tcW w:w="538" w:type="pct"/>
                  <w:vMerge w:val="restart"/>
                  <w:noWrap w:val="0"/>
                  <w:vAlign w:val="center"/>
                </w:tcPr>
                <w:p w14:paraId="697CB7A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北侧</w:t>
                  </w:r>
                </w:p>
              </w:tc>
              <w:tc>
                <w:tcPr>
                  <w:tcW w:w="483" w:type="pct"/>
                  <w:noWrap w:val="0"/>
                  <w:vAlign w:val="center"/>
                </w:tcPr>
                <w:p w14:paraId="5B6163B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lang w:val="en-US" w:eastAsia="zh-CN"/>
                    </w:rPr>
                    <w:t>35</w:t>
                  </w:r>
                  <w:r>
                    <w:rPr>
                      <w:rFonts w:hint="default" w:ascii="Times New Roman" w:hAnsi="Times New Roman" w:cs="Times New Roman"/>
                      <w:color w:val="auto"/>
                      <w:sz w:val="21"/>
                      <w:szCs w:val="18"/>
                    </w:rPr>
                    <w:t>m</w:t>
                  </w:r>
                </w:p>
              </w:tc>
              <w:tc>
                <w:tcPr>
                  <w:tcW w:w="530" w:type="pct"/>
                  <w:noWrap w:val="0"/>
                  <w:vAlign w:val="center"/>
                </w:tcPr>
                <w:p w14:paraId="6B61B20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074D5AE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lang w:val="en-US"/>
                    </w:rPr>
                  </w:pPr>
                  <w:r>
                    <w:rPr>
                      <w:rFonts w:hint="eastAsia" w:cs="Times New Roman"/>
                      <w:color w:val="auto"/>
                      <w:sz w:val="21"/>
                      <w:szCs w:val="18"/>
                      <w:lang w:val="en-US" w:eastAsia="zh-CN"/>
                    </w:rPr>
                    <w:t>塑料制品</w:t>
                  </w:r>
                </w:p>
              </w:tc>
            </w:tr>
            <w:tr w14:paraId="64C5AF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3DC35C0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18"/>
                      <w:lang w:val="en-US" w:eastAsia="zh-CN"/>
                    </w:rPr>
                  </w:pPr>
                  <w:r>
                    <w:rPr>
                      <w:rFonts w:hint="default" w:ascii="Times New Roman" w:hAnsi="Times New Roman" w:eastAsia="宋体" w:cs="Times New Roman"/>
                      <w:color w:val="auto"/>
                      <w:sz w:val="21"/>
                      <w:szCs w:val="18"/>
                      <w:lang w:val="en-US" w:eastAsia="zh-CN"/>
                    </w:rPr>
                    <w:t>四川省</w:t>
                  </w:r>
                  <w:r>
                    <w:rPr>
                      <w:rFonts w:hint="eastAsia" w:cs="Times New Roman"/>
                      <w:color w:val="auto"/>
                      <w:sz w:val="21"/>
                      <w:szCs w:val="18"/>
                      <w:lang w:val="en-US" w:eastAsia="zh-CN"/>
                    </w:rPr>
                    <w:t>九</w:t>
                  </w:r>
                  <w:r>
                    <w:rPr>
                      <w:rFonts w:hint="default" w:ascii="Times New Roman" w:hAnsi="Times New Roman" w:eastAsia="宋体" w:cs="Times New Roman"/>
                      <w:color w:val="auto"/>
                      <w:sz w:val="21"/>
                      <w:szCs w:val="18"/>
                      <w:lang w:val="en-US" w:eastAsia="zh-CN"/>
                    </w:rPr>
                    <w:t>宏机械设备有限公司</w:t>
                  </w:r>
                </w:p>
              </w:tc>
              <w:tc>
                <w:tcPr>
                  <w:tcW w:w="538" w:type="pct"/>
                  <w:vMerge w:val="continue"/>
                  <w:noWrap w:val="0"/>
                  <w:vAlign w:val="center"/>
                </w:tcPr>
                <w:p w14:paraId="05C7A9C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p>
              </w:tc>
              <w:tc>
                <w:tcPr>
                  <w:tcW w:w="483" w:type="pct"/>
                  <w:noWrap w:val="0"/>
                  <w:vAlign w:val="center"/>
                </w:tcPr>
                <w:p w14:paraId="63BE6BF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lang w:val="en-US" w:eastAsia="zh-CN"/>
                    </w:rPr>
                  </w:pPr>
                  <w:r>
                    <w:rPr>
                      <w:rFonts w:hint="eastAsia" w:cs="Times New Roman"/>
                      <w:color w:val="auto"/>
                      <w:sz w:val="21"/>
                      <w:szCs w:val="18"/>
                      <w:lang w:val="en-US" w:eastAsia="zh-CN"/>
                    </w:rPr>
                    <w:t>35</w:t>
                  </w:r>
                  <w:r>
                    <w:rPr>
                      <w:rFonts w:hint="default" w:ascii="Times New Roman" w:hAnsi="Times New Roman" w:cs="Times New Roman"/>
                      <w:color w:val="auto"/>
                      <w:sz w:val="21"/>
                      <w:szCs w:val="18"/>
                    </w:rPr>
                    <w:t>m</w:t>
                  </w:r>
                </w:p>
              </w:tc>
              <w:tc>
                <w:tcPr>
                  <w:tcW w:w="530" w:type="pct"/>
                  <w:noWrap w:val="0"/>
                  <w:vAlign w:val="center"/>
                </w:tcPr>
                <w:p w14:paraId="720042A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7D53582C">
                  <w:pPr>
                    <w:keepNext w:val="0"/>
                    <w:keepLines w:val="0"/>
                    <w:suppressLineNumbers w:val="0"/>
                    <w:spacing w:before="0" w:beforeAutospacing="0" w:after="0" w:afterAutospacing="0" w:line="240" w:lineRule="auto"/>
                    <w:ind w:left="0" w:right="0"/>
                    <w:jc w:val="center"/>
                    <w:rPr>
                      <w:rFonts w:hint="default" w:cs="Times New Roman"/>
                      <w:color w:val="auto"/>
                      <w:sz w:val="21"/>
                      <w:szCs w:val="18"/>
                      <w:lang w:val="en-US" w:eastAsia="zh-CN"/>
                    </w:rPr>
                  </w:pPr>
                  <w:r>
                    <w:rPr>
                      <w:rFonts w:hint="eastAsia" w:cs="Times New Roman"/>
                      <w:color w:val="auto"/>
                      <w:sz w:val="21"/>
                      <w:szCs w:val="18"/>
                      <w:lang w:val="en-US" w:eastAsia="zh-CN"/>
                    </w:rPr>
                    <w:t>机械设备、塑料制品</w:t>
                  </w:r>
                </w:p>
              </w:tc>
            </w:tr>
            <w:tr w14:paraId="7CD6D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26775FD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吉星贡食品有限责任公司</w:t>
                  </w:r>
                </w:p>
              </w:tc>
              <w:tc>
                <w:tcPr>
                  <w:tcW w:w="538" w:type="pct"/>
                  <w:vMerge w:val="continue"/>
                  <w:noWrap w:val="0"/>
                  <w:vAlign w:val="center"/>
                </w:tcPr>
                <w:p w14:paraId="7FD79E4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p>
              </w:tc>
              <w:tc>
                <w:tcPr>
                  <w:tcW w:w="483" w:type="pct"/>
                  <w:noWrap w:val="0"/>
                  <w:vAlign w:val="center"/>
                </w:tcPr>
                <w:p w14:paraId="657E854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lang w:val="en-US" w:eastAsia="zh-CN"/>
                    </w:rPr>
                    <w:t>1</w:t>
                  </w:r>
                  <w:r>
                    <w:rPr>
                      <w:rFonts w:hint="eastAsia" w:cs="Times New Roman"/>
                      <w:color w:val="auto"/>
                      <w:sz w:val="21"/>
                      <w:szCs w:val="18"/>
                      <w:lang w:val="en-US" w:eastAsia="zh-CN"/>
                    </w:rPr>
                    <w:t>6</w:t>
                  </w:r>
                  <w:r>
                    <w:rPr>
                      <w:rFonts w:hint="eastAsia" w:ascii="Times New Roman" w:hAnsi="Times New Roman" w:cs="Times New Roman"/>
                      <w:color w:val="auto"/>
                      <w:sz w:val="21"/>
                      <w:szCs w:val="18"/>
                      <w:lang w:val="en-US" w:eastAsia="zh-CN"/>
                    </w:rPr>
                    <w:t>0</w:t>
                  </w:r>
                  <w:r>
                    <w:rPr>
                      <w:rFonts w:hint="default" w:ascii="Times New Roman" w:hAnsi="Times New Roman" w:cs="Times New Roman"/>
                      <w:color w:val="auto"/>
                      <w:sz w:val="21"/>
                      <w:szCs w:val="18"/>
                    </w:rPr>
                    <w:t>m</w:t>
                  </w:r>
                </w:p>
              </w:tc>
              <w:tc>
                <w:tcPr>
                  <w:tcW w:w="530" w:type="pct"/>
                  <w:noWrap w:val="0"/>
                  <w:vAlign w:val="center"/>
                </w:tcPr>
                <w:p w14:paraId="6F67D9B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030B0EF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食品企业（已停产）</w:t>
                  </w:r>
                </w:p>
              </w:tc>
            </w:tr>
            <w:tr w14:paraId="6211B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2B3F066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default" w:ascii="Times New Roman" w:hAnsi="Times New Roman" w:cs="Times New Roman"/>
                      <w:color w:val="auto"/>
                      <w:sz w:val="21"/>
                      <w:szCs w:val="18"/>
                    </w:rPr>
                    <w:t>蓬溪金利电子有限公司</w:t>
                  </w:r>
                </w:p>
              </w:tc>
              <w:tc>
                <w:tcPr>
                  <w:tcW w:w="538" w:type="pct"/>
                  <w:vMerge w:val="continue"/>
                  <w:noWrap w:val="0"/>
                  <w:vAlign w:val="center"/>
                </w:tcPr>
                <w:p w14:paraId="6DBC201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p>
              </w:tc>
              <w:tc>
                <w:tcPr>
                  <w:tcW w:w="483" w:type="pct"/>
                  <w:noWrap w:val="0"/>
                  <w:vAlign w:val="center"/>
                </w:tcPr>
                <w:p w14:paraId="4D2DB760">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2"/>
                      <w:sz w:val="21"/>
                      <w:szCs w:val="18"/>
                      <w:lang w:val="en-US" w:eastAsia="zh-CN" w:bidi="ar-SA"/>
                    </w:rPr>
                  </w:pPr>
                  <w:r>
                    <w:rPr>
                      <w:rFonts w:hint="default" w:ascii="Times New Roman" w:hAnsi="Times New Roman" w:cs="Times New Roman"/>
                      <w:color w:val="auto"/>
                      <w:sz w:val="21"/>
                      <w:szCs w:val="18"/>
                    </w:rPr>
                    <w:t>2</w:t>
                  </w:r>
                  <w:r>
                    <w:rPr>
                      <w:rFonts w:hint="eastAsia" w:ascii="Times New Roman" w:hAnsi="Times New Roman" w:cs="Times New Roman"/>
                      <w:color w:val="auto"/>
                      <w:sz w:val="21"/>
                      <w:szCs w:val="18"/>
                      <w:lang w:val="en-US" w:eastAsia="zh-CN"/>
                    </w:rPr>
                    <w:t>74</w:t>
                  </w:r>
                  <w:r>
                    <w:rPr>
                      <w:rFonts w:hint="default" w:ascii="Times New Roman" w:hAnsi="Times New Roman" w:cs="Times New Roman"/>
                      <w:color w:val="auto"/>
                      <w:sz w:val="21"/>
                      <w:szCs w:val="18"/>
                    </w:rPr>
                    <w:t>m</w:t>
                  </w:r>
                </w:p>
              </w:tc>
              <w:tc>
                <w:tcPr>
                  <w:tcW w:w="530" w:type="pct"/>
                  <w:noWrap w:val="0"/>
                  <w:vAlign w:val="center"/>
                </w:tcPr>
                <w:p w14:paraId="2BF7A38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default" w:ascii="Times New Roman" w:hAnsi="Times New Roman" w:cs="Times New Roman"/>
                      <w:color w:val="auto"/>
                      <w:sz w:val="21"/>
                      <w:szCs w:val="18"/>
                    </w:rPr>
                    <w:t>企业</w:t>
                  </w:r>
                </w:p>
              </w:tc>
              <w:tc>
                <w:tcPr>
                  <w:tcW w:w="1537" w:type="pct"/>
                  <w:noWrap w:val="0"/>
                  <w:vAlign w:val="center"/>
                </w:tcPr>
                <w:p w14:paraId="25516CE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eastAsia" w:ascii="Times New Roman" w:hAnsi="Times New Roman" w:cs="Times New Roman"/>
                      <w:color w:val="auto"/>
                      <w:sz w:val="21"/>
                      <w:szCs w:val="18"/>
                    </w:rPr>
                    <w:t>电子产品</w:t>
                  </w:r>
                </w:p>
              </w:tc>
            </w:tr>
            <w:tr w14:paraId="33461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695FC0D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default" w:ascii="Times New Roman" w:hAnsi="Times New Roman" w:cs="Times New Roman"/>
                      <w:color w:val="auto"/>
                      <w:sz w:val="21"/>
                      <w:szCs w:val="18"/>
                    </w:rPr>
                    <w:t>遂宁</w:t>
                  </w:r>
                  <w:r>
                    <w:rPr>
                      <w:rFonts w:hint="eastAsia" w:cs="Times New Roman"/>
                      <w:color w:val="auto"/>
                      <w:sz w:val="21"/>
                      <w:szCs w:val="18"/>
                      <w:lang w:val="en-US" w:eastAsia="zh-CN"/>
                    </w:rPr>
                    <w:t>永栋商贸</w:t>
                  </w:r>
                  <w:r>
                    <w:rPr>
                      <w:rFonts w:hint="default" w:ascii="Times New Roman" w:hAnsi="Times New Roman" w:cs="Times New Roman"/>
                      <w:color w:val="auto"/>
                      <w:sz w:val="21"/>
                      <w:szCs w:val="18"/>
                    </w:rPr>
                    <w:t>有限公司</w:t>
                  </w:r>
                </w:p>
              </w:tc>
              <w:tc>
                <w:tcPr>
                  <w:tcW w:w="538" w:type="pct"/>
                  <w:vMerge w:val="continue"/>
                  <w:noWrap w:val="0"/>
                  <w:vAlign w:val="center"/>
                </w:tcPr>
                <w:p w14:paraId="1948470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p>
              </w:tc>
              <w:tc>
                <w:tcPr>
                  <w:tcW w:w="483" w:type="pct"/>
                  <w:noWrap w:val="0"/>
                  <w:vAlign w:val="center"/>
                </w:tcPr>
                <w:p w14:paraId="5667449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2"/>
                      <w:sz w:val="21"/>
                      <w:szCs w:val="18"/>
                      <w:lang w:val="en-US" w:eastAsia="zh-CN" w:bidi="ar-SA"/>
                    </w:rPr>
                  </w:pPr>
                  <w:r>
                    <w:rPr>
                      <w:rFonts w:hint="default" w:ascii="Times New Roman" w:hAnsi="Times New Roman" w:cs="Times New Roman"/>
                      <w:color w:val="auto"/>
                      <w:sz w:val="21"/>
                      <w:szCs w:val="18"/>
                    </w:rPr>
                    <w:t>3</w:t>
                  </w:r>
                  <w:r>
                    <w:rPr>
                      <w:rFonts w:hint="eastAsia" w:ascii="Times New Roman" w:hAnsi="Times New Roman" w:cs="Times New Roman"/>
                      <w:color w:val="auto"/>
                      <w:sz w:val="21"/>
                      <w:szCs w:val="18"/>
                      <w:lang w:val="en-US" w:eastAsia="zh-CN"/>
                    </w:rPr>
                    <w:t>28</w:t>
                  </w:r>
                  <w:r>
                    <w:rPr>
                      <w:rFonts w:hint="default" w:ascii="Times New Roman" w:hAnsi="Times New Roman" w:cs="Times New Roman"/>
                      <w:color w:val="auto"/>
                      <w:sz w:val="21"/>
                      <w:szCs w:val="18"/>
                    </w:rPr>
                    <w:t>m</w:t>
                  </w:r>
                </w:p>
              </w:tc>
              <w:tc>
                <w:tcPr>
                  <w:tcW w:w="530" w:type="pct"/>
                  <w:noWrap w:val="0"/>
                  <w:vAlign w:val="center"/>
                </w:tcPr>
                <w:p w14:paraId="41F9E5E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default" w:ascii="Times New Roman" w:hAnsi="Times New Roman" w:cs="Times New Roman"/>
                      <w:color w:val="auto"/>
                      <w:sz w:val="21"/>
                      <w:szCs w:val="18"/>
                    </w:rPr>
                    <w:t>企业</w:t>
                  </w:r>
                </w:p>
              </w:tc>
              <w:tc>
                <w:tcPr>
                  <w:tcW w:w="1537" w:type="pct"/>
                  <w:noWrap w:val="0"/>
                  <w:vAlign w:val="center"/>
                </w:tcPr>
                <w:p w14:paraId="1CF5239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门窗、机械生产</w:t>
                  </w:r>
                </w:p>
              </w:tc>
            </w:tr>
            <w:tr w14:paraId="4C2E0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592B0A7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四川爱科新材料股份有限公司</w:t>
                  </w:r>
                </w:p>
              </w:tc>
              <w:tc>
                <w:tcPr>
                  <w:tcW w:w="538" w:type="pct"/>
                  <w:vMerge w:val="restart"/>
                  <w:noWrap w:val="0"/>
                  <w:vAlign w:val="center"/>
                </w:tcPr>
                <w:p w14:paraId="67FADC6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西北侧</w:t>
                  </w:r>
                </w:p>
              </w:tc>
              <w:tc>
                <w:tcPr>
                  <w:tcW w:w="483" w:type="pct"/>
                  <w:noWrap w:val="0"/>
                  <w:vAlign w:val="center"/>
                </w:tcPr>
                <w:p w14:paraId="4DABC42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18"/>
                    </w:rPr>
                  </w:pPr>
                  <w:r>
                    <w:rPr>
                      <w:rFonts w:hint="eastAsia" w:ascii="Times New Roman" w:hAnsi="Times New Roman" w:cs="Times New Roman"/>
                      <w:color w:val="auto"/>
                      <w:sz w:val="21"/>
                      <w:szCs w:val="18"/>
                      <w:lang w:val="en-US" w:eastAsia="zh-CN"/>
                    </w:rPr>
                    <w:t>200</w:t>
                  </w:r>
                  <w:r>
                    <w:rPr>
                      <w:rFonts w:hint="default" w:ascii="Times New Roman" w:hAnsi="Times New Roman" w:cs="Times New Roman"/>
                      <w:color w:val="auto"/>
                      <w:sz w:val="21"/>
                      <w:szCs w:val="18"/>
                    </w:rPr>
                    <w:t>m</w:t>
                  </w:r>
                </w:p>
              </w:tc>
              <w:tc>
                <w:tcPr>
                  <w:tcW w:w="530" w:type="pct"/>
                  <w:noWrap w:val="0"/>
                  <w:vAlign w:val="center"/>
                </w:tcPr>
                <w:p w14:paraId="50BEE96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7E3694B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新材料生产</w:t>
                  </w:r>
                </w:p>
              </w:tc>
            </w:tr>
            <w:tr w14:paraId="63733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49C2578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蓬盛门业有限责任公司</w:t>
                  </w:r>
                </w:p>
              </w:tc>
              <w:tc>
                <w:tcPr>
                  <w:tcW w:w="538" w:type="pct"/>
                  <w:vMerge w:val="continue"/>
                  <w:noWrap w:val="0"/>
                  <w:vAlign w:val="center"/>
                </w:tcPr>
                <w:p w14:paraId="7A47C63B">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18"/>
                    </w:rPr>
                  </w:pPr>
                </w:p>
              </w:tc>
              <w:tc>
                <w:tcPr>
                  <w:tcW w:w="483" w:type="pct"/>
                  <w:noWrap w:val="0"/>
                  <w:vAlign w:val="center"/>
                </w:tcPr>
                <w:p w14:paraId="4965F4D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bCs/>
                      <w:color w:val="auto"/>
                      <w:sz w:val="21"/>
                      <w:szCs w:val="18"/>
                    </w:rPr>
                  </w:pPr>
                  <w:r>
                    <w:rPr>
                      <w:rFonts w:hint="eastAsia" w:ascii="Times New Roman" w:hAnsi="Times New Roman" w:cs="Times New Roman"/>
                      <w:color w:val="auto"/>
                      <w:sz w:val="21"/>
                      <w:szCs w:val="18"/>
                      <w:lang w:val="en-US" w:eastAsia="zh-CN"/>
                    </w:rPr>
                    <w:t>307</w:t>
                  </w:r>
                  <w:r>
                    <w:rPr>
                      <w:rFonts w:hint="default" w:ascii="Times New Roman" w:hAnsi="Times New Roman" w:cs="Times New Roman"/>
                      <w:color w:val="auto"/>
                      <w:sz w:val="21"/>
                      <w:szCs w:val="18"/>
                    </w:rPr>
                    <w:t>m</w:t>
                  </w:r>
                </w:p>
              </w:tc>
              <w:tc>
                <w:tcPr>
                  <w:tcW w:w="530" w:type="pct"/>
                  <w:noWrap w:val="0"/>
                  <w:vAlign w:val="center"/>
                </w:tcPr>
                <w:p w14:paraId="14967C2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1EC2647F">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18"/>
                    </w:rPr>
                  </w:pPr>
                  <w:r>
                    <w:rPr>
                      <w:rFonts w:hint="eastAsia" w:ascii="Times New Roman" w:hAnsi="Times New Roman" w:cs="Times New Roman"/>
                      <w:color w:val="auto"/>
                      <w:sz w:val="21"/>
                      <w:szCs w:val="18"/>
                    </w:rPr>
                    <w:t>门窗生产</w:t>
                  </w:r>
                </w:p>
              </w:tc>
            </w:tr>
            <w:tr w14:paraId="1E2DBB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207B555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default" w:ascii="Times New Roman" w:hAnsi="Times New Roman" w:cs="Times New Roman"/>
                      <w:color w:val="auto"/>
                      <w:sz w:val="21"/>
                      <w:szCs w:val="18"/>
                    </w:rPr>
                    <w:t>四川兴羊城家具有限公司</w:t>
                  </w:r>
                </w:p>
              </w:tc>
              <w:tc>
                <w:tcPr>
                  <w:tcW w:w="538" w:type="pct"/>
                  <w:vMerge w:val="continue"/>
                  <w:noWrap w:val="0"/>
                  <w:vAlign w:val="center"/>
                </w:tcPr>
                <w:p w14:paraId="41FC5A11">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2"/>
                      <w:sz w:val="21"/>
                      <w:szCs w:val="18"/>
                      <w:lang w:val="en-US" w:eastAsia="zh-CN" w:bidi="ar-SA"/>
                    </w:rPr>
                  </w:pPr>
                </w:p>
              </w:tc>
              <w:tc>
                <w:tcPr>
                  <w:tcW w:w="483" w:type="pct"/>
                  <w:noWrap w:val="0"/>
                  <w:vAlign w:val="center"/>
                </w:tcPr>
                <w:p w14:paraId="269C9BDF">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bCs/>
                      <w:color w:val="auto"/>
                      <w:kern w:val="2"/>
                      <w:sz w:val="21"/>
                      <w:szCs w:val="18"/>
                      <w:lang w:val="en-US" w:eastAsia="zh-CN" w:bidi="ar-SA"/>
                    </w:rPr>
                  </w:pPr>
                  <w:r>
                    <w:rPr>
                      <w:rFonts w:hint="eastAsia" w:ascii="Times New Roman" w:hAnsi="Times New Roman" w:cs="Times New Roman"/>
                      <w:color w:val="auto"/>
                      <w:sz w:val="21"/>
                      <w:szCs w:val="18"/>
                      <w:lang w:val="en-US" w:eastAsia="zh-CN"/>
                    </w:rPr>
                    <w:t>404</w:t>
                  </w:r>
                  <w:r>
                    <w:rPr>
                      <w:rFonts w:hint="default" w:ascii="Times New Roman" w:hAnsi="Times New Roman" w:cs="Times New Roman"/>
                      <w:color w:val="auto"/>
                      <w:sz w:val="21"/>
                      <w:szCs w:val="18"/>
                    </w:rPr>
                    <w:t>m</w:t>
                  </w:r>
                </w:p>
              </w:tc>
              <w:tc>
                <w:tcPr>
                  <w:tcW w:w="530" w:type="pct"/>
                  <w:noWrap w:val="0"/>
                  <w:vAlign w:val="center"/>
                </w:tcPr>
                <w:p w14:paraId="187E8F3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2"/>
                      <w:sz w:val="21"/>
                      <w:szCs w:val="18"/>
                      <w:lang w:val="en-US" w:eastAsia="zh-CN" w:bidi="ar-SA"/>
                    </w:rPr>
                  </w:pPr>
                  <w:r>
                    <w:rPr>
                      <w:rFonts w:hint="default" w:ascii="Times New Roman" w:hAnsi="Times New Roman" w:cs="Times New Roman"/>
                      <w:color w:val="auto"/>
                      <w:sz w:val="21"/>
                      <w:szCs w:val="18"/>
                    </w:rPr>
                    <w:t>企业</w:t>
                  </w:r>
                </w:p>
              </w:tc>
              <w:tc>
                <w:tcPr>
                  <w:tcW w:w="1537" w:type="pct"/>
                  <w:noWrap w:val="0"/>
                  <w:vAlign w:val="center"/>
                </w:tcPr>
                <w:p w14:paraId="50A6A39A">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2"/>
                      <w:sz w:val="21"/>
                      <w:szCs w:val="18"/>
                      <w:lang w:val="en-US" w:eastAsia="zh-CN" w:bidi="ar-SA"/>
                    </w:rPr>
                  </w:pPr>
                  <w:r>
                    <w:rPr>
                      <w:rFonts w:hint="eastAsia" w:ascii="Times New Roman" w:hAnsi="Times New Roman" w:cs="Times New Roman"/>
                      <w:color w:val="auto"/>
                      <w:sz w:val="21"/>
                      <w:szCs w:val="18"/>
                    </w:rPr>
                    <w:t>家具生产</w:t>
                  </w:r>
                </w:p>
              </w:tc>
            </w:tr>
            <w:tr w14:paraId="14234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3AFE0C4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四川梦垌源木业有限公司</w:t>
                  </w:r>
                </w:p>
              </w:tc>
              <w:tc>
                <w:tcPr>
                  <w:tcW w:w="538" w:type="pct"/>
                  <w:vMerge w:val="continue"/>
                  <w:noWrap w:val="0"/>
                  <w:vAlign w:val="center"/>
                </w:tcPr>
                <w:p w14:paraId="61E9D176">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18"/>
                    </w:rPr>
                  </w:pPr>
                </w:p>
              </w:tc>
              <w:tc>
                <w:tcPr>
                  <w:tcW w:w="483" w:type="pct"/>
                  <w:noWrap w:val="0"/>
                  <w:vAlign w:val="center"/>
                </w:tcPr>
                <w:p w14:paraId="216A1DA4">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bCs/>
                      <w:color w:val="auto"/>
                      <w:sz w:val="21"/>
                      <w:szCs w:val="18"/>
                    </w:rPr>
                  </w:pPr>
                  <w:r>
                    <w:rPr>
                      <w:rFonts w:hint="eastAsia" w:ascii="Times New Roman" w:hAnsi="Times New Roman" w:cs="Times New Roman"/>
                      <w:color w:val="auto"/>
                      <w:sz w:val="21"/>
                      <w:szCs w:val="18"/>
                      <w:lang w:val="en-US" w:eastAsia="zh-CN"/>
                    </w:rPr>
                    <w:t>450</w:t>
                  </w:r>
                  <w:r>
                    <w:rPr>
                      <w:rFonts w:hint="default" w:ascii="Times New Roman" w:hAnsi="Times New Roman" w:cs="Times New Roman"/>
                      <w:color w:val="auto"/>
                      <w:sz w:val="21"/>
                      <w:szCs w:val="18"/>
                    </w:rPr>
                    <w:t>m</w:t>
                  </w:r>
                </w:p>
              </w:tc>
              <w:tc>
                <w:tcPr>
                  <w:tcW w:w="530" w:type="pct"/>
                  <w:noWrap w:val="0"/>
                  <w:vAlign w:val="center"/>
                </w:tcPr>
                <w:p w14:paraId="5A7DEF8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18659120">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18"/>
                    </w:rPr>
                  </w:pPr>
                  <w:r>
                    <w:rPr>
                      <w:rFonts w:hint="eastAsia" w:ascii="Times New Roman" w:hAnsi="Times New Roman" w:cs="Times New Roman"/>
                      <w:color w:val="auto"/>
                      <w:sz w:val="21"/>
                      <w:szCs w:val="18"/>
                    </w:rPr>
                    <w:t>门窗生产</w:t>
                  </w:r>
                </w:p>
              </w:tc>
            </w:tr>
            <w:tr w14:paraId="61E9E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1484EE9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四川省川胜电缆有限公司</w:t>
                  </w:r>
                </w:p>
              </w:tc>
              <w:tc>
                <w:tcPr>
                  <w:tcW w:w="538" w:type="pct"/>
                  <w:noWrap w:val="0"/>
                  <w:vAlign w:val="center"/>
                </w:tcPr>
                <w:p w14:paraId="1BD27C8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西侧</w:t>
                  </w:r>
                </w:p>
              </w:tc>
              <w:tc>
                <w:tcPr>
                  <w:tcW w:w="483" w:type="pct"/>
                  <w:noWrap w:val="0"/>
                  <w:vAlign w:val="center"/>
                </w:tcPr>
                <w:p w14:paraId="0E61655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cs="Times New Roman"/>
                      <w:color w:val="auto"/>
                      <w:sz w:val="21"/>
                      <w:szCs w:val="18"/>
                      <w:lang w:val="en-US" w:eastAsia="zh-CN"/>
                    </w:rPr>
                    <w:t>489</w:t>
                  </w:r>
                  <w:r>
                    <w:rPr>
                      <w:rFonts w:hint="default" w:ascii="Times New Roman" w:hAnsi="Times New Roman" w:cs="Times New Roman"/>
                      <w:color w:val="auto"/>
                      <w:sz w:val="21"/>
                      <w:szCs w:val="18"/>
                    </w:rPr>
                    <w:t>m</w:t>
                  </w:r>
                </w:p>
              </w:tc>
              <w:tc>
                <w:tcPr>
                  <w:tcW w:w="530" w:type="pct"/>
                  <w:noWrap w:val="0"/>
                  <w:vAlign w:val="center"/>
                </w:tcPr>
                <w:p w14:paraId="0F176DC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0E2DA02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电缆生产</w:t>
                  </w:r>
                </w:p>
              </w:tc>
            </w:tr>
            <w:tr w14:paraId="2B49A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3678FBF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遂宁宝森家居有限责任公司</w:t>
                  </w:r>
                </w:p>
              </w:tc>
              <w:tc>
                <w:tcPr>
                  <w:tcW w:w="538" w:type="pct"/>
                  <w:vMerge w:val="restart"/>
                  <w:noWrap w:val="0"/>
                  <w:vAlign w:val="center"/>
                </w:tcPr>
                <w:p w14:paraId="52BB0C6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西南侧</w:t>
                  </w:r>
                </w:p>
              </w:tc>
              <w:tc>
                <w:tcPr>
                  <w:tcW w:w="483" w:type="pct"/>
                  <w:noWrap w:val="0"/>
                  <w:vAlign w:val="center"/>
                </w:tcPr>
                <w:p w14:paraId="171D9EA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lang w:val="en-US" w:eastAsia="zh-CN"/>
                    </w:rPr>
                    <w:t>162</w:t>
                  </w:r>
                  <w:r>
                    <w:rPr>
                      <w:rFonts w:hint="default" w:ascii="Times New Roman" w:hAnsi="Times New Roman" w:cs="Times New Roman"/>
                      <w:color w:val="auto"/>
                      <w:sz w:val="21"/>
                      <w:szCs w:val="18"/>
                    </w:rPr>
                    <w:t>m</w:t>
                  </w:r>
                </w:p>
              </w:tc>
              <w:tc>
                <w:tcPr>
                  <w:tcW w:w="530" w:type="pct"/>
                  <w:noWrap w:val="0"/>
                  <w:vAlign w:val="center"/>
                </w:tcPr>
                <w:p w14:paraId="66C0B10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04AB39D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家具生产</w:t>
                  </w:r>
                </w:p>
              </w:tc>
            </w:tr>
            <w:tr w14:paraId="1DF02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2EA131E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遂宁佰斯特包装材料有限公司</w:t>
                  </w:r>
                </w:p>
              </w:tc>
              <w:tc>
                <w:tcPr>
                  <w:tcW w:w="538" w:type="pct"/>
                  <w:vMerge w:val="continue"/>
                  <w:noWrap w:val="0"/>
                  <w:vAlign w:val="center"/>
                </w:tcPr>
                <w:p w14:paraId="28D505A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p>
              </w:tc>
              <w:tc>
                <w:tcPr>
                  <w:tcW w:w="483" w:type="pct"/>
                  <w:noWrap w:val="0"/>
                  <w:vAlign w:val="center"/>
                </w:tcPr>
                <w:p w14:paraId="58889EA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lang w:val="en-US" w:eastAsia="zh-CN"/>
                    </w:rPr>
                    <w:t>218</w:t>
                  </w:r>
                  <w:r>
                    <w:rPr>
                      <w:rFonts w:hint="default" w:ascii="Times New Roman" w:hAnsi="Times New Roman" w:cs="Times New Roman"/>
                      <w:color w:val="auto"/>
                      <w:sz w:val="21"/>
                      <w:szCs w:val="18"/>
                    </w:rPr>
                    <w:t>m</w:t>
                  </w:r>
                </w:p>
              </w:tc>
              <w:tc>
                <w:tcPr>
                  <w:tcW w:w="530" w:type="pct"/>
                  <w:noWrap w:val="0"/>
                  <w:vAlign w:val="center"/>
                </w:tcPr>
                <w:p w14:paraId="749F150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1DEF5C8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包装材料生产</w:t>
                  </w:r>
                </w:p>
              </w:tc>
            </w:tr>
            <w:tr w14:paraId="07B34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0DB1892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四川白皇门业有限公司</w:t>
                  </w:r>
                </w:p>
              </w:tc>
              <w:tc>
                <w:tcPr>
                  <w:tcW w:w="538" w:type="pct"/>
                  <w:vMerge w:val="continue"/>
                  <w:noWrap w:val="0"/>
                  <w:vAlign w:val="center"/>
                </w:tcPr>
                <w:p w14:paraId="0F29057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p>
              </w:tc>
              <w:tc>
                <w:tcPr>
                  <w:tcW w:w="483" w:type="pct"/>
                  <w:noWrap w:val="0"/>
                  <w:vAlign w:val="center"/>
                </w:tcPr>
                <w:p w14:paraId="2A065D6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lang w:val="en-US" w:eastAsia="zh-CN"/>
                    </w:rPr>
                    <w:t>335</w:t>
                  </w:r>
                  <w:r>
                    <w:rPr>
                      <w:rFonts w:hint="default" w:ascii="Times New Roman" w:hAnsi="Times New Roman" w:cs="Times New Roman"/>
                      <w:color w:val="auto"/>
                      <w:sz w:val="21"/>
                      <w:szCs w:val="18"/>
                    </w:rPr>
                    <w:t>m</w:t>
                  </w:r>
                </w:p>
              </w:tc>
              <w:tc>
                <w:tcPr>
                  <w:tcW w:w="530" w:type="pct"/>
                  <w:noWrap w:val="0"/>
                  <w:vAlign w:val="center"/>
                </w:tcPr>
                <w:p w14:paraId="1653E5C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00FFC68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门窗生产</w:t>
                  </w:r>
                </w:p>
              </w:tc>
            </w:tr>
            <w:tr w14:paraId="57CF7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3380B6C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四川人从众食品有限责任公司</w:t>
                  </w:r>
                </w:p>
              </w:tc>
              <w:tc>
                <w:tcPr>
                  <w:tcW w:w="538" w:type="pct"/>
                  <w:vMerge w:val="restart"/>
                  <w:noWrap w:val="0"/>
                  <w:vAlign w:val="center"/>
                </w:tcPr>
                <w:p w14:paraId="313BC2D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南侧</w:t>
                  </w:r>
                </w:p>
              </w:tc>
              <w:tc>
                <w:tcPr>
                  <w:tcW w:w="483" w:type="pct"/>
                  <w:noWrap w:val="0"/>
                  <w:vAlign w:val="center"/>
                </w:tcPr>
                <w:p w14:paraId="0F7297F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10</w:t>
                  </w:r>
                  <w:r>
                    <w:rPr>
                      <w:rFonts w:hint="eastAsia" w:ascii="Times New Roman" w:hAnsi="Times New Roman" w:cs="Times New Roman"/>
                      <w:color w:val="auto"/>
                      <w:sz w:val="21"/>
                      <w:szCs w:val="18"/>
                      <w:lang w:val="en-US" w:eastAsia="zh-CN"/>
                    </w:rPr>
                    <w:t>8</w:t>
                  </w:r>
                  <w:r>
                    <w:rPr>
                      <w:rFonts w:hint="default" w:ascii="Times New Roman" w:hAnsi="Times New Roman" w:cs="Times New Roman"/>
                      <w:color w:val="auto"/>
                      <w:sz w:val="21"/>
                      <w:szCs w:val="18"/>
                    </w:rPr>
                    <w:t>m</w:t>
                  </w:r>
                </w:p>
              </w:tc>
              <w:tc>
                <w:tcPr>
                  <w:tcW w:w="530" w:type="pct"/>
                  <w:noWrap w:val="0"/>
                  <w:vAlign w:val="center"/>
                </w:tcPr>
                <w:p w14:paraId="20FB5AF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3E9C31C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lang w:val="en-US" w:eastAsia="zh-CN"/>
                    </w:rPr>
                    <w:t>生猪屠宰、肉制品</w:t>
                  </w:r>
                  <w:r>
                    <w:rPr>
                      <w:rFonts w:hint="eastAsia" w:ascii="Times New Roman" w:hAnsi="Times New Roman" w:cs="Times New Roman"/>
                      <w:color w:val="auto"/>
                      <w:sz w:val="21"/>
                      <w:szCs w:val="18"/>
                    </w:rPr>
                    <w:t>企业</w:t>
                  </w:r>
                </w:p>
              </w:tc>
            </w:tr>
            <w:tr w14:paraId="0BB3D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63BB4086">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18"/>
                    </w:rPr>
                  </w:pPr>
                  <w:r>
                    <w:rPr>
                      <w:rFonts w:hint="default" w:ascii="Times New Roman" w:hAnsi="Times New Roman" w:cs="Times New Roman"/>
                      <w:bCs/>
                      <w:color w:val="auto"/>
                      <w:kern w:val="2"/>
                      <w:sz w:val="21"/>
                      <w:szCs w:val="21"/>
                      <w:lang w:val="en-US" w:eastAsia="zh-CN" w:bidi="ar-SA"/>
                    </w:rPr>
                    <w:t>遂宁市洁爽洗涤服务有限公司</w:t>
                  </w:r>
                </w:p>
              </w:tc>
              <w:tc>
                <w:tcPr>
                  <w:tcW w:w="538" w:type="pct"/>
                  <w:vMerge w:val="continue"/>
                  <w:noWrap w:val="0"/>
                  <w:vAlign w:val="center"/>
                </w:tcPr>
                <w:p w14:paraId="4E74B27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p>
              </w:tc>
              <w:tc>
                <w:tcPr>
                  <w:tcW w:w="483" w:type="pct"/>
                  <w:noWrap w:val="0"/>
                  <w:vAlign w:val="center"/>
                </w:tcPr>
                <w:p w14:paraId="1064748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lang w:val="en-US" w:eastAsia="zh-CN"/>
                    </w:rPr>
                  </w:pPr>
                  <w:r>
                    <w:rPr>
                      <w:rFonts w:hint="eastAsia" w:ascii="Times New Roman" w:hAnsi="Times New Roman" w:cs="Times New Roman"/>
                      <w:color w:val="auto"/>
                      <w:sz w:val="21"/>
                      <w:szCs w:val="18"/>
                      <w:lang w:val="en-US" w:eastAsia="zh-CN"/>
                    </w:rPr>
                    <w:t>288</w:t>
                  </w:r>
                </w:p>
              </w:tc>
              <w:tc>
                <w:tcPr>
                  <w:tcW w:w="866" w:type="dxa"/>
                  <w:noWrap w:val="0"/>
                  <w:vAlign w:val="center"/>
                </w:tcPr>
                <w:p w14:paraId="1548E6C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企业</w:t>
                  </w:r>
                </w:p>
              </w:tc>
              <w:tc>
                <w:tcPr>
                  <w:tcW w:w="2510" w:type="dxa"/>
                  <w:noWrap w:val="0"/>
                  <w:vAlign w:val="center"/>
                </w:tcPr>
                <w:p w14:paraId="12C7685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18"/>
                      <w:lang w:val="en-US" w:eastAsia="zh-CN"/>
                    </w:rPr>
                  </w:pPr>
                  <w:r>
                    <w:rPr>
                      <w:rFonts w:hint="default" w:ascii="Times New Roman" w:hAnsi="Times New Roman" w:cs="Times New Roman"/>
                      <w:color w:val="auto"/>
                      <w:sz w:val="21"/>
                      <w:szCs w:val="18"/>
                      <w:lang w:val="en-US" w:eastAsia="zh-CN"/>
                    </w:rPr>
                    <w:t>洗涤服务</w:t>
                  </w:r>
                </w:p>
              </w:tc>
            </w:tr>
            <w:tr w14:paraId="34FE4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0CB7306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柏拉图家具</w:t>
                  </w:r>
                </w:p>
              </w:tc>
              <w:tc>
                <w:tcPr>
                  <w:tcW w:w="538" w:type="pct"/>
                  <w:vMerge w:val="continue"/>
                  <w:noWrap w:val="0"/>
                  <w:vAlign w:val="center"/>
                </w:tcPr>
                <w:p w14:paraId="463A394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p>
              </w:tc>
              <w:tc>
                <w:tcPr>
                  <w:tcW w:w="483" w:type="pct"/>
                  <w:noWrap w:val="0"/>
                  <w:vAlign w:val="center"/>
                </w:tcPr>
                <w:p w14:paraId="2013413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lang w:val="en-US" w:eastAsia="zh-CN"/>
                    </w:rPr>
                    <w:t>365</w:t>
                  </w:r>
                  <w:r>
                    <w:rPr>
                      <w:rFonts w:hint="default" w:ascii="Times New Roman" w:hAnsi="Times New Roman" w:cs="Times New Roman"/>
                      <w:color w:val="auto"/>
                      <w:sz w:val="21"/>
                      <w:szCs w:val="18"/>
                    </w:rPr>
                    <w:t>m</w:t>
                  </w:r>
                </w:p>
              </w:tc>
              <w:tc>
                <w:tcPr>
                  <w:tcW w:w="530" w:type="pct"/>
                  <w:noWrap w:val="0"/>
                  <w:vAlign w:val="center"/>
                </w:tcPr>
                <w:p w14:paraId="23D6D72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4C41FD6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家具生产</w:t>
                  </w:r>
                </w:p>
              </w:tc>
            </w:tr>
            <w:tr w14:paraId="5DC8C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02FC7C1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cs="Times New Roman"/>
                      <w:color w:val="auto"/>
                      <w:sz w:val="21"/>
                      <w:szCs w:val="18"/>
                      <w:lang w:val="en-US" w:eastAsia="zh-CN"/>
                    </w:rPr>
                    <w:t>福顺来</w:t>
                  </w:r>
                  <w:r>
                    <w:rPr>
                      <w:rFonts w:hint="default" w:ascii="Times New Roman" w:hAnsi="Times New Roman" w:cs="Times New Roman"/>
                      <w:color w:val="auto"/>
                      <w:sz w:val="21"/>
                      <w:szCs w:val="18"/>
                    </w:rPr>
                    <w:t>门业</w:t>
                  </w:r>
                </w:p>
              </w:tc>
              <w:tc>
                <w:tcPr>
                  <w:tcW w:w="538" w:type="pct"/>
                  <w:vMerge w:val="continue"/>
                  <w:noWrap w:val="0"/>
                  <w:vAlign w:val="center"/>
                </w:tcPr>
                <w:p w14:paraId="3816FF5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p>
              </w:tc>
              <w:tc>
                <w:tcPr>
                  <w:tcW w:w="483" w:type="pct"/>
                  <w:noWrap w:val="0"/>
                  <w:vAlign w:val="center"/>
                </w:tcPr>
                <w:p w14:paraId="08C632A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4</w:t>
                  </w:r>
                  <w:r>
                    <w:rPr>
                      <w:rFonts w:hint="eastAsia" w:ascii="Times New Roman" w:hAnsi="Times New Roman" w:cs="Times New Roman"/>
                      <w:color w:val="auto"/>
                      <w:sz w:val="21"/>
                      <w:szCs w:val="18"/>
                      <w:lang w:val="en-US" w:eastAsia="zh-CN"/>
                    </w:rPr>
                    <w:t>19</w:t>
                  </w:r>
                  <w:r>
                    <w:rPr>
                      <w:rFonts w:hint="default" w:ascii="Times New Roman" w:hAnsi="Times New Roman" w:cs="Times New Roman"/>
                      <w:color w:val="auto"/>
                      <w:sz w:val="21"/>
                      <w:szCs w:val="18"/>
                    </w:rPr>
                    <w:t>m</w:t>
                  </w:r>
                </w:p>
              </w:tc>
              <w:tc>
                <w:tcPr>
                  <w:tcW w:w="530" w:type="pct"/>
                  <w:noWrap w:val="0"/>
                  <w:vAlign w:val="center"/>
                </w:tcPr>
                <w:p w14:paraId="7618761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4635EB7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门窗生产</w:t>
                  </w:r>
                </w:p>
              </w:tc>
            </w:tr>
            <w:tr w14:paraId="136F4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1CF0729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18"/>
                      <w:lang w:val="en-US" w:eastAsia="zh-CN"/>
                    </w:rPr>
                  </w:pPr>
                  <w:r>
                    <w:rPr>
                      <w:rFonts w:hint="eastAsia" w:cs="Times New Roman"/>
                      <w:color w:val="auto"/>
                      <w:sz w:val="21"/>
                      <w:szCs w:val="18"/>
                      <w:lang w:val="en-US" w:eastAsia="zh-CN"/>
                    </w:rPr>
                    <w:t>天成再生资源</w:t>
                  </w:r>
                </w:p>
              </w:tc>
              <w:tc>
                <w:tcPr>
                  <w:tcW w:w="538" w:type="pct"/>
                  <w:vMerge w:val="restart"/>
                  <w:noWrap w:val="0"/>
                  <w:vAlign w:val="center"/>
                </w:tcPr>
                <w:p w14:paraId="2EDED46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东</w:t>
                  </w:r>
                  <w:r>
                    <w:rPr>
                      <w:rFonts w:hint="eastAsia" w:ascii="Times New Roman" w:hAnsi="Times New Roman" w:cs="Times New Roman"/>
                      <w:color w:val="auto"/>
                      <w:sz w:val="21"/>
                      <w:szCs w:val="18"/>
                    </w:rPr>
                    <w:t>南</w:t>
                  </w:r>
                  <w:r>
                    <w:rPr>
                      <w:rFonts w:hint="default" w:ascii="Times New Roman" w:hAnsi="Times New Roman" w:cs="Times New Roman"/>
                      <w:color w:val="auto"/>
                      <w:sz w:val="21"/>
                      <w:szCs w:val="18"/>
                    </w:rPr>
                    <w:t>侧</w:t>
                  </w:r>
                </w:p>
              </w:tc>
              <w:tc>
                <w:tcPr>
                  <w:tcW w:w="483" w:type="pct"/>
                  <w:shd w:val="clear" w:color="auto" w:fill="auto"/>
                  <w:noWrap w:val="0"/>
                  <w:vAlign w:val="center"/>
                </w:tcPr>
                <w:p w14:paraId="67C80F4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36</w:t>
                  </w:r>
                  <w:r>
                    <w:rPr>
                      <w:rFonts w:hint="default" w:ascii="Times New Roman" w:hAnsi="Times New Roman" w:cs="Times New Roman"/>
                      <w:color w:val="auto"/>
                      <w:sz w:val="21"/>
                      <w:szCs w:val="18"/>
                    </w:rPr>
                    <w:t>m</w:t>
                  </w:r>
                </w:p>
              </w:tc>
              <w:tc>
                <w:tcPr>
                  <w:tcW w:w="530" w:type="pct"/>
                  <w:shd w:val="clear" w:color="auto" w:fill="auto"/>
                  <w:noWrap w:val="0"/>
                  <w:vAlign w:val="center"/>
                </w:tcPr>
                <w:p w14:paraId="38F1567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sz w:val="21"/>
                      <w:szCs w:val="18"/>
                    </w:rPr>
                    <w:t>企业</w:t>
                  </w:r>
                </w:p>
              </w:tc>
              <w:tc>
                <w:tcPr>
                  <w:tcW w:w="1537" w:type="pct"/>
                  <w:noWrap w:val="0"/>
                  <w:vAlign w:val="center"/>
                </w:tcPr>
                <w:p w14:paraId="0F57A96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18"/>
                      <w:lang w:val="en-US" w:eastAsia="zh-CN"/>
                    </w:rPr>
                  </w:pPr>
                  <w:r>
                    <w:rPr>
                      <w:rFonts w:hint="eastAsia" w:ascii="Times New Roman" w:hAnsi="Times New Roman" w:cs="Times New Roman"/>
                      <w:color w:val="auto"/>
                      <w:sz w:val="21"/>
                      <w:szCs w:val="18"/>
                      <w:lang w:val="en-US" w:eastAsia="zh-CN"/>
                    </w:rPr>
                    <w:t>水泥制品</w:t>
                  </w:r>
                </w:p>
              </w:tc>
            </w:tr>
            <w:tr w14:paraId="0794B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3FF13E6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蓬溪县塑力运再生资源利用有限公司</w:t>
                  </w:r>
                </w:p>
              </w:tc>
              <w:tc>
                <w:tcPr>
                  <w:tcW w:w="538" w:type="pct"/>
                  <w:vMerge w:val="continue"/>
                  <w:noWrap w:val="0"/>
                  <w:vAlign w:val="center"/>
                </w:tcPr>
                <w:p w14:paraId="1F28392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p>
              </w:tc>
              <w:tc>
                <w:tcPr>
                  <w:tcW w:w="483" w:type="pct"/>
                  <w:noWrap w:val="0"/>
                  <w:vAlign w:val="center"/>
                </w:tcPr>
                <w:p w14:paraId="63E973B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2</w:t>
                  </w:r>
                  <w:r>
                    <w:rPr>
                      <w:rFonts w:hint="eastAsia" w:ascii="Times New Roman" w:hAnsi="Times New Roman" w:cs="Times New Roman"/>
                      <w:color w:val="auto"/>
                      <w:sz w:val="21"/>
                      <w:szCs w:val="18"/>
                      <w:lang w:val="en-US" w:eastAsia="zh-CN"/>
                    </w:rPr>
                    <w:t>58</w:t>
                  </w:r>
                  <w:r>
                    <w:rPr>
                      <w:rFonts w:hint="default" w:ascii="Times New Roman" w:hAnsi="Times New Roman" w:cs="Times New Roman"/>
                      <w:color w:val="auto"/>
                      <w:sz w:val="21"/>
                      <w:szCs w:val="18"/>
                    </w:rPr>
                    <w:t>m</w:t>
                  </w:r>
                </w:p>
              </w:tc>
              <w:tc>
                <w:tcPr>
                  <w:tcW w:w="530" w:type="pct"/>
                  <w:noWrap w:val="0"/>
                  <w:vAlign w:val="center"/>
                </w:tcPr>
                <w:p w14:paraId="43F4576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2A254A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18"/>
                      <w:lang w:val="en-US" w:eastAsia="zh-CN"/>
                    </w:rPr>
                  </w:pPr>
                  <w:r>
                    <w:rPr>
                      <w:rFonts w:hint="eastAsia" w:cs="Times New Roman"/>
                      <w:color w:val="auto"/>
                      <w:sz w:val="21"/>
                      <w:szCs w:val="18"/>
                      <w:lang w:val="en-US" w:eastAsia="zh-CN"/>
                    </w:rPr>
                    <w:t>塑料生产</w:t>
                  </w:r>
                </w:p>
              </w:tc>
            </w:tr>
            <w:tr w14:paraId="55AD7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910" w:type="pct"/>
                  <w:noWrap w:val="0"/>
                  <w:vAlign w:val="center"/>
                </w:tcPr>
                <w:p w14:paraId="2823AE3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皇居智能家居有限公司</w:t>
                  </w:r>
                </w:p>
              </w:tc>
              <w:tc>
                <w:tcPr>
                  <w:tcW w:w="538" w:type="pct"/>
                  <w:vMerge w:val="continue"/>
                  <w:noWrap w:val="0"/>
                  <w:vAlign w:val="center"/>
                </w:tcPr>
                <w:p w14:paraId="6CCD86C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p>
              </w:tc>
              <w:tc>
                <w:tcPr>
                  <w:tcW w:w="483" w:type="pct"/>
                  <w:noWrap w:val="0"/>
                  <w:vAlign w:val="center"/>
                </w:tcPr>
                <w:p w14:paraId="6AFF556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3</w:t>
                  </w:r>
                  <w:r>
                    <w:rPr>
                      <w:rFonts w:hint="eastAsia" w:ascii="Times New Roman" w:hAnsi="Times New Roman" w:cs="Times New Roman"/>
                      <w:color w:val="auto"/>
                      <w:sz w:val="21"/>
                      <w:szCs w:val="18"/>
                      <w:lang w:val="en-US" w:eastAsia="zh-CN"/>
                    </w:rPr>
                    <w:t>24</w:t>
                  </w:r>
                  <w:r>
                    <w:rPr>
                      <w:rFonts w:hint="default" w:ascii="Times New Roman" w:hAnsi="Times New Roman" w:cs="Times New Roman"/>
                      <w:color w:val="auto"/>
                      <w:sz w:val="21"/>
                      <w:szCs w:val="18"/>
                    </w:rPr>
                    <w:t>m</w:t>
                  </w:r>
                </w:p>
              </w:tc>
              <w:tc>
                <w:tcPr>
                  <w:tcW w:w="530" w:type="pct"/>
                  <w:noWrap w:val="0"/>
                  <w:vAlign w:val="center"/>
                </w:tcPr>
                <w:p w14:paraId="5440B12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4F74CC5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家具生产</w:t>
                  </w:r>
                </w:p>
              </w:tc>
            </w:tr>
            <w:tr w14:paraId="17BBC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393DD3E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蓬溪达美门业有限公司</w:t>
                  </w:r>
                </w:p>
              </w:tc>
              <w:tc>
                <w:tcPr>
                  <w:tcW w:w="538" w:type="pct"/>
                  <w:vMerge w:val="continue"/>
                  <w:noWrap w:val="0"/>
                  <w:vAlign w:val="center"/>
                </w:tcPr>
                <w:p w14:paraId="1126136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p>
              </w:tc>
              <w:tc>
                <w:tcPr>
                  <w:tcW w:w="483" w:type="pct"/>
                  <w:noWrap w:val="0"/>
                  <w:vAlign w:val="center"/>
                </w:tcPr>
                <w:p w14:paraId="4E6693F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3</w:t>
                  </w:r>
                  <w:r>
                    <w:rPr>
                      <w:rFonts w:hint="eastAsia" w:ascii="Times New Roman" w:hAnsi="Times New Roman" w:cs="Times New Roman"/>
                      <w:color w:val="auto"/>
                      <w:sz w:val="21"/>
                      <w:szCs w:val="18"/>
                      <w:lang w:val="en-US" w:eastAsia="zh-CN"/>
                    </w:rPr>
                    <w:t>06</w:t>
                  </w:r>
                  <w:r>
                    <w:rPr>
                      <w:rFonts w:hint="default" w:ascii="Times New Roman" w:hAnsi="Times New Roman" w:cs="Times New Roman"/>
                      <w:color w:val="auto"/>
                      <w:sz w:val="21"/>
                      <w:szCs w:val="18"/>
                    </w:rPr>
                    <w:t>m</w:t>
                  </w:r>
                </w:p>
              </w:tc>
              <w:tc>
                <w:tcPr>
                  <w:tcW w:w="530" w:type="pct"/>
                  <w:noWrap w:val="0"/>
                  <w:vAlign w:val="center"/>
                </w:tcPr>
                <w:p w14:paraId="202280C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06D7C40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门窗生产</w:t>
                  </w:r>
                </w:p>
              </w:tc>
            </w:tr>
            <w:tr w14:paraId="4F142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2D5E692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遂宁齐川环保设备有限公司</w:t>
                  </w:r>
                </w:p>
              </w:tc>
              <w:tc>
                <w:tcPr>
                  <w:tcW w:w="538" w:type="pct"/>
                  <w:vMerge w:val="continue"/>
                  <w:noWrap w:val="0"/>
                  <w:vAlign w:val="center"/>
                </w:tcPr>
                <w:p w14:paraId="6A4BF06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p>
              </w:tc>
              <w:tc>
                <w:tcPr>
                  <w:tcW w:w="483" w:type="pct"/>
                  <w:noWrap w:val="0"/>
                  <w:vAlign w:val="center"/>
                </w:tcPr>
                <w:p w14:paraId="02CFB2B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4</w:t>
                  </w:r>
                  <w:r>
                    <w:rPr>
                      <w:rFonts w:hint="eastAsia" w:ascii="Times New Roman" w:hAnsi="Times New Roman" w:cs="Times New Roman"/>
                      <w:color w:val="auto"/>
                      <w:sz w:val="21"/>
                      <w:szCs w:val="18"/>
                      <w:lang w:val="en-US" w:eastAsia="zh-CN"/>
                    </w:rPr>
                    <w:t>05</w:t>
                  </w:r>
                  <w:r>
                    <w:rPr>
                      <w:rFonts w:hint="default" w:ascii="Times New Roman" w:hAnsi="Times New Roman" w:cs="Times New Roman"/>
                      <w:color w:val="auto"/>
                      <w:sz w:val="21"/>
                      <w:szCs w:val="18"/>
                    </w:rPr>
                    <w:t>m</w:t>
                  </w:r>
                </w:p>
              </w:tc>
              <w:tc>
                <w:tcPr>
                  <w:tcW w:w="530" w:type="pct"/>
                  <w:noWrap w:val="0"/>
                  <w:vAlign w:val="center"/>
                </w:tcPr>
                <w:p w14:paraId="47C5810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7408F40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环保设备生产</w:t>
                  </w:r>
                </w:p>
              </w:tc>
            </w:tr>
            <w:tr w14:paraId="3CB843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00B015E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eastAsia="宋体" w:cs="Times New Roman"/>
                      <w:bCs/>
                      <w:color w:val="auto"/>
                      <w:sz w:val="21"/>
                      <w:szCs w:val="21"/>
                      <w:lang w:val="en-US" w:eastAsia="zh-CN"/>
                    </w:rPr>
                    <w:t>建材市场</w:t>
                  </w:r>
                </w:p>
              </w:tc>
              <w:tc>
                <w:tcPr>
                  <w:tcW w:w="538" w:type="pct"/>
                  <w:vMerge w:val="continue"/>
                  <w:noWrap w:val="0"/>
                  <w:vAlign w:val="center"/>
                </w:tcPr>
                <w:p w14:paraId="6358707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p>
              </w:tc>
              <w:tc>
                <w:tcPr>
                  <w:tcW w:w="483" w:type="pct"/>
                  <w:noWrap w:val="0"/>
                  <w:vAlign w:val="center"/>
                </w:tcPr>
                <w:p w14:paraId="72A987D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4</w:t>
                  </w:r>
                  <w:r>
                    <w:rPr>
                      <w:rFonts w:hint="eastAsia" w:ascii="Times New Roman" w:hAnsi="Times New Roman" w:cs="Times New Roman"/>
                      <w:color w:val="auto"/>
                      <w:sz w:val="21"/>
                      <w:szCs w:val="18"/>
                      <w:lang w:val="en-US" w:eastAsia="zh-CN"/>
                    </w:rPr>
                    <w:t>46</w:t>
                  </w:r>
                  <w:r>
                    <w:rPr>
                      <w:rFonts w:hint="default" w:ascii="Times New Roman" w:hAnsi="Times New Roman" w:cs="Times New Roman"/>
                      <w:color w:val="auto"/>
                      <w:sz w:val="21"/>
                      <w:szCs w:val="18"/>
                    </w:rPr>
                    <w:t>m</w:t>
                  </w:r>
                </w:p>
              </w:tc>
              <w:tc>
                <w:tcPr>
                  <w:tcW w:w="530" w:type="pct"/>
                  <w:noWrap w:val="0"/>
                  <w:vAlign w:val="center"/>
                </w:tcPr>
                <w:p w14:paraId="6B0EC59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企业</w:t>
                  </w:r>
                </w:p>
              </w:tc>
              <w:tc>
                <w:tcPr>
                  <w:tcW w:w="1537" w:type="pct"/>
                  <w:shd w:val="clear" w:color="auto" w:fill="auto"/>
                  <w:noWrap w:val="0"/>
                  <w:vAlign w:val="center"/>
                </w:tcPr>
                <w:p w14:paraId="4E3F7CE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瓷砖等建材销售</w:t>
                  </w:r>
                </w:p>
              </w:tc>
            </w:tr>
            <w:tr w14:paraId="42E25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9" w:hRule="atLeast"/>
                <w:jc w:val="center"/>
              </w:trPr>
              <w:tc>
                <w:tcPr>
                  <w:tcW w:w="1910" w:type="pct"/>
                  <w:noWrap w:val="0"/>
                  <w:vAlign w:val="center"/>
                </w:tcPr>
                <w:p w14:paraId="76928A5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cs="Times New Roman"/>
                      <w:color w:val="auto"/>
                      <w:sz w:val="21"/>
                      <w:szCs w:val="18"/>
                      <w:lang w:val="en-US" w:eastAsia="zh-CN"/>
                    </w:rPr>
                    <w:t>永锐门业</w:t>
                  </w:r>
                  <w:r>
                    <w:rPr>
                      <w:rFonts w:hint="default" w:ascii="Times New Roman" w:hAnsi="Times New Roman" w:cs="Times New Roman"/>
                      <w:color w:val="auto"/>
                      <w:sz w:val="21"/>
                      <w:szCs w:val="18"/>
                    </w:rPr>
                    <w:t>有限公司</w:t>
                  </w:r>
                </w:p>
              </w:tc>
              <w:tc>
                <w:tcPr>
                  <w:tcW w:w="538" w:type="pct"/>
                  <w:vMerge w:val="restart"/>
                  <w:noWrap w:val="0"/>
                  <w:vAlign w:val="center"/>
                </w:tcPr>
                <w:p w14:paraId="127E194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东侧</w:t>
                  </w:r>
                </w:p>
              </w:tc>
              <w:tc>
                <w:tcPr>
                  <w:tcW w:w="483" w:type="pct"/>
                  <w:shd w:val="clear" w:color="auto" w:fill="auto"/>
                  <w:noWrap w:val="0"/>
                  <w:vAlign w:val="center"/>
                </w:tcPr>
                <w:p w14:paraId="292F6B7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36</w:t>
                  </w:r>
                  <w:r>
                    <w:rPr>
                      <w:rFonts w:hint="default" w:ascii="Times New Roman" w:hAnsi="Times New Roman" w:cs="Times New Roman"/>
                      <w:color w:val="auto"/>
                      <w:sz w:val="21"/>
                      <w:szCs w:val="18"/>
                    </w:rPr>
                    <w:t>m</w:t>
                  </w:r>
                </w:p>
              </w:tc>
              <w:tc>
                <w:tcPr>
                  <w:tcW w:w="530" w:type="pct"/>
                  <w:shd w:val="clear" w:color="auto" w:fill="auto"/>
                  <w:noWrap w:val="0"/>
                  <w:vAlign w:val="center"/>
                </w:tcPr>
                <w:p w14:paraId="3CA0706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sz w:val="21"/>
                      <w:szCs w:val="18"/>
                    </w:rPr>
                    <w:t>企业</w:t>
                  </w:r>
                </w:p>
              </w:tc>
              <w:tc>
                <w:tcPr>
                  <w:tcW w:w="1537" w:type="pct"/>
                  <w:shd w:val="clear" w:color="auto" w:fill="auto"/>
                  <w:noWrap w:val="0"/>
                  <w:vAlign w:val="center"/>
                </w:tcPr>
                <w:p w14:paraId="0CB55A9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18"/>
                      <w:lang w:val="en-US" w:eastAsia="zh-CN" w:bidi="ar-SA"/>
                    </w:rPr>
                  </w:pPr>
                  <w:r>
                    <w:rPr>
                      <w:rFonts w:hint="eastAsia" w:ascii="Times New Roman" w:hAnsi="Times New Roman" w:cs="Times New Roman"/>
                      <w:color w:val="auto"/>
                      <w:sz w:val="21"/>
                      <w:szCs w:val="18"/>
                    </w:rPr>
                    <w:t>门窗生产</w:t>
                  </w:r>
                </w:p>
              </w:tc>
            </w:tr>
            <w:tr w14:paraId="535B3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910" w:type="pct"/>
                  <w:noWrap w:val="0"/>
                  <w:vAlign w:val="center"/>
                </w:tcPr>
                <w:p w14:paraId="24BFF23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渝澳纺织</w:t>
                  </w:r>
                </w:p>
              </w:tc>
              <w:tc>
                <w:tcPr>
                  <w:tcW w:w="538" w:type="pct"/>
                  <w:vMerge w:val="continue"/>
                  <w:noWrap w:val="0"/>
                  <w:vAlign w:val="center"/>
                </w:tcPr>
                <w:p w14:paraId="327723AD">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18"/>
                    </w:rPr>
                  </w:pPr>
                </w:p>
              </w:tc>
              <w:tc>
                <w:tcPr>
                  <w:tcW w:w="483" w:type="pct"/>
                  <w:shd w:val="clear" w:color="auto" w:fill="auto"/>
                  <w:noWrap w:val="0"/>
                  <w:vAlign w:val="center"/>
                </w:tcPr>
                <w:p w14:paraId="4315022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sz w:val="21"/>
                      <w:szCs w:val="18"/>
                    </w:rPr>
                    <w:t>1</w:t>
                  </w:r>
                  <w:r>
                    <w:rPr>
                      <w:rFonts w:hint="eastAsia" w:ascii="Times New Roman" w:hAnsi="Times New Roman" w:cs="Times New Roman"/>
                      <w:color w:val="auto"/>
                      <w:sz w:val="21"/>
                      <w:szCs w:val="18"/>
                      <w:lang w:val="en-US" w:eastAsia="zh-CN"/>
                    </w:rPr>
                    <w:t>7</w:t>
                  </w:r>
                  <w:r>
                    <w:rPr>
                      <w:rFonts w:hint="default" w:ascii="Times New Roman" w:hAnsi="Times New Roman" w:cs="Times New Roman"/>
                      <w:color w:val="auto"/>
                      <w:sz w:val="21"/>
                      <w:szCs w:val="18"/>
                    </w:rPr>
                    <w:t>6m</w:t>
                  </w:r>
                </w:p>
              </w:tc>
              <w:tc>
                <w:tcPr>
                  <w:tcW w:w="530" w:type="pct"/>
                  <w:shd w:val="clear" w:color="auto" w:fill="auto"/>
                  <w:noWrap w:val="0"/>
                  <w:vAlign w:val="center"/>
                </w:tcPr>
                <w:p w14:paraId="2ABD071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sz w:val="21"/>
                      <w:szCs w:val="18"/>
                    </w:rPr>
                    <w:t>企业</w:t>
                  </w:r>
                </w:p>
              </w:tc>
              <w:tc>
                <w:tcPr>
                  <w:tcW w:w="1537" w:type="pct"/>
                  <w:shd w:val="clear" w:color="auto" w:fill="auto"/>
                  <w:noWrap w:val="0"/>
                  <w:vAlign w:val="center"/>
                </w:tcPr>
                <w:p w14:paraId="7474DF51">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18"/>
                      <w:lang w:val="en-US" w:eastAsia="zh-CN" w:bidi="ar-SA"/>
                    </w:rPr>
                  </w:pPr>
                  <w:r>
                    <w:rPr>
                      <w:rFonts w:hint="eastAsia" w:ascii="Times New Roman" w:hAnsi="Times New Roman" w:cs="Times New Roman"/>
                      <w:color w:val="auto"/>
                      <w:sz w:val="21"/>
                      <w:szCs w:val="18"/>
                    </w:rPr>
                    <w:t>纺织产品</w:t>
                  </w:r>
                </w:p>
              </w:tc>
            </w:tr>
            <w:tr w14:paraId="0B79B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1FCD7DA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遂宁欣鑫纺织有限公司</w:t>
                  </w:r>
                </w:p>
              </w:tc>
              <w:tc>
                <w:tcPr>
                  <w:tcW w:w="538" w:type="pct"/>
                  <w:vMerge w:val="restart"/>
                  <w:noWrap w:val="0"/>
                  <w:vAlign w:val="center"/>
                </w:tcPr>
                <w:p w14:paraId="5B9CEE17">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18"/>
                      <w:lang w:val="en-US" w:eastAsia="zh-CN"/>
                    </w:rPr>
                  </w:pPr>
                  <w:r>
                    <w:rPr>
                      <w:rFonts w:hint="eastAsia" w:ascii="Times New Roman" w:hAnsi="Times New Roman" w:cs="Times New Roman"/>
                      <w:color w:val="auto"/>
                      <w:sz w:val="21"/>
                      <w:szCs w:val="18"/>
                      <w:lang w:val="en-US" w:eastAsia="zh-CN"/>
                    </w:rPr>
                    <w:t>东北侧</w:t>
                  </w:r>
                </w:p>
              </w:tc>
              <w:tc>
                <w:tcPr>
                  <w:tcW w:w="483" w:type="pct"/>
                  <w:noWrap w:val="0"/>
                  <w:vAlign w:val="center"/>
                </w:tcPr>
                <w:p w14:paraId="39BEAF6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1</w:t>
                  </w:r>
                  <w:r>
                    <w:rPr>
                      <w:rFonts w:hint="eastAsia" w:ascii="Times New Roman" w:hAnsi="Times New Roman" w:cs="Times New Roman"/>
                      <w:color w:val="auto"/>
                      <w:sz w:val="21"/>
                      <w:szCs w:val="18"/>
                      <w:lang w:val="en-US" w:eastAsia="zh-CN"/>
                    </w:rPr>
                    <w:t>32</w:t>
                  </w:r>
                  <w:r>
                    <w:rPr>
                      <w:rFonts w:hint="default" w:ascii="Times New Roman" w:hAnsi="Times New Roman" w:cs="Times New Roman"/>
                      <w:color w:val="auto"/>
                      <w:sz w:val="21"/>
                      <w:szCs w:val="18"/>
                    </w:rPr>
                    <w:t>m</w:t>
                  </w:r>
                </w:p>
              </w:tc>
              <w:tc>
                <w:tcPr>
                  <w:tcW w:w="530" w:type="pct"/>
                  <w:noWrap w:val="0"/>
                  <w:vAlign w:val="center"/>
                </w:tcPr>
                <w:p w14:paraId="334A0A5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7276E3F8">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18"/>
                      <w:lang w:eastAsia="zh-CN"/>
                    </w:rPr>
                  </w:pPr>
                  <w:r>
                    <w:rPr>
                      <w:rFonts w:hint="eastAsia" w:ascii="Times New Roman" w:hAnsi="Times New Roman" w:cs="Times New Roman"/>
                      <w:color w:val="auto"/>
                      <w:sz w:val="21"/>
                      <w:szCs w:val="18"/>
                    </w:rPr>
                    <w:t>纺织产品</w:t>
                  </w:r>
                  <w:r>
                    <w:rPr>
                      <w:rFonts w:hint="eastAsia" w:cs="Times New Roman"/>
                      <w:color w:val="auto"/>
                      <w:sz w:val="21"/>
                      <w:szCs w:val="18"/>
                      <w:lang w:eastAsia="zh-CN"/>
                    </w:rPr>
                    <w:t>（</w:t>
                  </w:r>
                  <w:r>
                    <w:rPr>
                      <w:rFonts w:hint="eastAsia" w:cs="Times New Roman"/>
                      <w:color w:val="auto"/>
                      <w:sz w:val="21"/>
                      <w:szCs w:val="18"/>
                      <w:lang w:val="en-US" w:eastAsia="zh-CN"/>
                    </w:rPr>
                    <w:t>停产</w:t>
                  </w:r>
                  <w:r>
                    <w:rPr>
                      <w:rFonts w:hint="eastAsia" w:cs="Times New Roman"/>
                      <w:color w:val="auto"/>
                      <w:sz w:val="21"/>
                      <w:szCs w:val="18"/>
                      <w:lang w:eastAsia="zh-CN"/>
                    </w:rPr>
                    <w:t>）</w:t>
                  </w:r>
                </w:p>
              </w:tc>
            </w:tr>
            <w:tr w14:paraId="2BC7C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473CDAA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default" w:ascii="Times New Roman" w:hAnsi="Times New Roman" w:cs="Times New Roman"/>
                      <w:color w:val="auto"/>
                      <w:sz w:val="21"/>
                      <w:szCs w:val="18"/>
                    </w:rPr>
                    <w:t>蓬溪县汽车综合检测中心</w:t>
                  </w:r>
                </w:p>
              </w:tc>
              <w:tc>
                <w:tcPr>
                  <w:tcW w:w="538" w:type="pct"/>
                  <w:vMerge w:val="continue"/>
                  <w:noWrap w:val="0"/>
                  <w:vAlign w:val="center"/>
                </w:tcPr>
                <w:p w14:paraId="1D099E4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p>
              </w:tc>
              <w:tc>
                <w:tcPr>
                  <w:tcW w:w="483" w:type="pct"/>
                  <w:noWrap w:val="0"/>
                  <w:vAlign w:val="center"/>
                </w:tcPr>
                <w:p w14:paraId="72737DD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eastAsia" w:ascii="Times New Roman" w:hAnsi="Times New Roman" w:cs="Times New Roman"/>
                      <w:color w:val="auto"/>
                      <w:sz w:val="21"/>
                      <w:szCs w:val="18"/>
                      <w:lang w:val="en-US" w:eastAsia="zh-CN"/>
                    </w:rPr>
                    <w:t>203</w:t>
                  </w:r>
                  <w:r>
                    <w:rPr>
                      <w:rFonts w:hint="default" w:ascii="Times New Roman" w:hAnsi="Times New Roman" w:cs="Times New Roman"/>
                      <w:color w:val="auto"/>
                      <w:sz w:val="21"/>
                      <w:szCs w:val="18"/>
                    </w:rPr>
                    <w:t>m</w:t>
                  </w:r>
                </w:p>
              </w:tc>
              <w:tc>
                <w:tcPr>
                  <w:tcW w:w="530" w:type="pct"/>
                  <w:noWrap w:val="0"/>
                  <w:vAlign w:val="center"/>
                </w:tcPr>
                <w:p w14:paraId="664F291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default" w:ascii="Times New Roman" w:hAnsi="Times New Roman" w:cs="Times New Roman"/>
                      <w:color w:val="auto"/>
                      <w:sz w:val="21"/>
                      <w:szCs w:val="18"/>
                    </w:rPr>
                    <w:t>企业</w:t>
                  </w:r>
                </w:p>
              </w:tc>
              <w:tc>
                <w:tcPr>
                  <w:tcW w:w="1537" w:type="pct"/>
                  <w:noWrap w:val="0"/>
                  <w:vAlign w:val="center"/>
                </w:tcPr>
                <w:p w14:paraId="4BF9D39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eastAsia" w:ascii="Times New Roman" w:hAnsi="Times New Roman" w:cs="Times New Roman"/>
                      <w:color w:val="auto"/>
                      <w:sz w:val="21"/>
                      <w:szCs w:val="18"/>
                    </w:rPr>
                    <w:t>汽车维修</w:t>
                  </w:r>
                </w:p>
              </w:tc>
            </w:tr>
            <w:tr w14:paraId="44F02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607C9E4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default" w:ascii="Times New Roman" w:hAnsi="Times New Roman" w:cs="Times New Roman"/>
                      <w:b/>
                      <w:bCs/>
                      <w:color w:val="auto"/>
                      <w:sz w:val="21"/>
                      <w:szCs w:val="18"/>
                    </w:rPr>
                    <w:t>梨园社区A区</w:t>
                  </w:r>
                </w:p>
              </w:tc>
              <w:tc>
                <w:tcPr>
                  <w:tcW w:w="538" w:type="pct"/>
                  <w:vMerge w:val="continue"/>
                  <w:noWrap w:val="0"/>
                  <w:vAlign w:val="center"/>
                </w:tcPr>
                <w:p w14:paraId="12F87C5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p>
              </w:tc>
              <w:tc>
                <w:tcPr>
                  <w:tcW w:w="483" w:type="pct"/>
                  <w:noWrap w:val="0"/>
                  <w:vAlign w:val="center"/>
                </w:tcPr>
                <w:p w14:paraId="351D0A5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default" w:ascii="Times New Roman" w:hAnsi="Times New Roman" w:cs="Times New Roman"/>
                      <w:b/>
                      <w:bCs/>
                      <w:color w:val="auto"/>
                      <w:sz w:val="21"/>
                      <w:szCs w:val="18"/>
                    </w:rPr>
                    <w:t>2</w:t>
                  </w:r>
                  <w:r>
                    <w:rPr>
                      <w:rFonts w:hint="eastAsia" w:ascii="Times New Roman" w:hAnsi="Times New Roman" w:cs="Times New Roman"/>
                      <w:b/>
                      <w:bCs/>
                      <w:color w:val="auto"/>
                      <w:sz w:val="21"/>
                      <w:szCs w:val="18"/>
                      <w:lang w:val="en-US" w:eastAsia="zh-CN"/>
                    </w:rPr>
                    <w:t>12</w:t>
                  </w:r>
                  <w:r>
                    <w:rPr>
                      <w:rFonts w:hint="default" w:ascii="Times New Roman" w:hAnsi="Times New Roman" w:cs="Times New Roman"/>
                      <w:b/>
                      <w:bCs/>
                      <w:color w:val="auto"/>
                      <w:sz w:val="21"/>
                      <w:szCs w:val="18"/>
                    </w:rPr>
                    <w:t>m</w:t>
                  </w:r>
                </w:p>
              </w:tc>
              <w:tc>
                <w:tcPr>
                  <w:tcW w:w="530" w:type="pct"/>
                  <w:noWrap w:val="0"/>
                  <w:vAlign w:val="center"/>
                </w:tcPr>
                <w:p w14:paraId="77F8391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eastAsia" w:ascii="Times New Roman" w:hAnsi="Times New Roman" w:cs="Times New Roman"/>
                      <w:b/>
                      <w:bCs/>
                      <w:color w:val="auto"/>
                      <w:sz w:val="21"/>
                      <w:szCs w:val="18"/>
                    </w:rPr>
                    <w:t>居民</w:t>
                  </w:r>
                </w:p>
              </w:tc>
              <w:tc>
                <w:tcPr>
                  <w:tcW w:w="1537" w:type="pct"/>
                  <w:noWrap w:val="0"/>
                  <w:vAlign w:val="center"/>
                </w:tcPr>
                <w:p w14:paraId="7FDE772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eastAsia" w:ascii="Times New Roman" w:hAnsi="Times New Roman" w:cs="Times New Roman"/>
                      <w:b/>
                      <w:bCs/>
                      <w:color w:val="auto"/>
                      <w:sz w:val="21"/>
                      <w:szCs w:val="18"/>
                    </w:rPr>
                    <w:t>约1000人</w:t>
                  </w:r>
                </w:p>
              </w:tc>
            </w:tr>
            <w:tr w14:paraId="558CA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6E0801E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default" w:ascii="Times New Roman" w:hAnsi="Times New Roman" w:cs="Times New Roman"/>
                      <w:color w:val="auto"/>
                      <w:sz w:val="21"/>
                      <w:szCs w:val="18"/>
                    </w:rPr>
                    <w:t>蓬溪县万泰商贸有限公司</w:t>
                  </w:r>
                </w:p>
              </w:tc>
              <w:tc>
                <w:tcPr>
                  <w:tcW w:w="538" w:type="pct"/>
                  <w:vMerge w:val="continue"/>
                  <w:noWrap w:val="0"/>
                  <w:vAlign w:val="center"/>
                </w:tcPr>
                <w:p w14:paraId="16EB39B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p>
              </w:tc>
              <w:tc>
                <w:tcPr>
                  <w:tcW w:w="483" w:type="pct"/>
                  <w:noWrap w:val="0"/>
                  <w:vAlign w:val="center"/>
                </w:tcPr>
                <w:p w14:paraId="49151B6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default" w:ascii="Times New Roman" w:hAnsi="Times New Roman" w:cs="Times New Roman"/>
                      <w:color w:val="auto"/>
                      <w:sz w:val="21"/>
                      <w:szCs w:val="18"/>
                    </w:rPr>
                    <w:t>3</w:t>
                  </w:r>
                  <w:r>
                    <w:rPr>
                      <w:rFonts w:hint="eastAsia" w:ascii="Times New Roman" w:hAnsi="Times New Roman" w:cs="Times New Roman"/>
                      <w:color w:val="auto"/>
                      <w:sz w:val="21"/>
                      <w:szCs w:val="18"/>
                      <w:lang w:val="en-US" w:eastAsia="zh-CN"/>
                    </w:rPr>
                    <w:t>45</w:t>
                  </w:r>
                  <w:r>
                    <w:rPr>
                      <w:rFonts w:hint="default" w:ascii="Times New Roman" w:hAnsi="Times New Roman" w:cs="Times New Roman"/>
                      <w:color w:val="auto"/>
                      <w:sz w:val="21"/>
                      <w:szCs w:val="18"/>
                    </w:rPr>
                    <w:t>m</w:t>
                  </w:r>
                </w:p>
              </w:tc>
              <w:tc>
                <w:tcPr>
                  <w:tcW w:w="530" w:type="pct"/>
                  <w:noWrap w:val="0"/>
                  <w:vAlign w:val="center"/>
                </w:tcPr>
                <w:p w14:paraId="542F471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default" w:ascii="Times New Roman" w:hAnsi="Times New Roman" w:cs="Times New Roman"/>
                      <w:color w:val="auto"/>
                      <w:sz w:val="21"/>
                      <w:szCs w:val="18"/>
                    </w:rPr>
                    <w:t>企业</w:t>
                  </w:r>
                </w:p>
              </w:tc>
              <w:tc>
                <w:tcPr>
                  <w:tcW w:w="1537" w:type="pct"/>
                  <w:noWrap w:val="0"/>
                  <w:vAlign w:val="center"/>
                </w:tcPr>
                <w:p w14:paraId="2B6341B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18"/>
                      <w:lang w:val="en-US" w:eastAsia="zh-CN" w:bidi="ar-SA"/>
                    </w:rPr>
                  </w:pPr>
                  <w:r>
                    <w:rPr>
                      <w:rFonts w:hint="eastAsia" w:ascii="Times New Roman" w:hAnsi="Times New Roman" w:cs="Times New Roman"/>
                      <w:color w:val="auto"/>
                      <w:sz w:val="21"/>
                      <w:szCs w:val="18"/>
                    </w:rPr>
                    <w:t>汽车维修</w:t>
                  </w:r>
                </w:p>
              </w:tc>
            </w:tr>
            <w:tr w14:paraId="6F819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710489E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四川驸桦蜜蜂园有限公司</w:t>
                  </w:r>
                </w:p>
              </w:tc>
              <w:tc>
                <w:tcPr>
                  <w:tcW w:w="538" w:type="pct"/>
                  <w:vMerge w:val="continue"/>
                  <w:noWrap w:val="0"/>
                  <w:vAlign w:val="center"/>
                </w:tcPr>
                <w:p w14:paraId="54F0828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p>
              </w:tc>
              <w:tc>
                <w:tcPr>
                  <w:tcW w:w="483" w:type="pct"/>
                  <w:noWrap w:val="0"/>
                  <w:vAlign w:val="center"/>
                </w:tcPr>
                <w:p w14:paraId="678607A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3</w:t>
                  </w:r>
                  <w:r>
                    <w:rPr>
                      <w:rFonts w:hint="eastAsia" w:ascii="Times New Roman" w:hAnsi="Times New Roman" w:cs="Times New Roman"/>
                      <w:color w:val="auto"/>
                      <w:sz w:val="21"/>
                      <w:szCs w:val="18"/>
                      <w:lang w:val="en-US" w:eastAsia="zh-CN"/>
                    </w:rPr>
                    <w:t>20</w:t>
                  </w:r>
                  <w:r>
                    <w:rPr>
                      <w:rFonts w:hint="default" w:ascii="Times New Roman" w:hAnsi="Times New Roman" w:cs="Times New Roman"/>
                      <w:color w:val="auto"/>
                      <w:sz w:val="21"/>
                      <w:szCs w:val="18"/>
                    </w:rPr>
                    <w:t>m</w:t>
                  </w:r>
                </w:p>
              </w:tc>
              <w:tc>
                <w:tcPr>
                  <w:tcW w:w="530" w:type="pct"/>
                  <w:noWrap w:val="0"/>
                  <w:vAlign w:val="center"/>
                </w:tcPr>
                <w:p w14:paraId="6F9F9FE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企业</w:t>
                  </w:r>
                </w:p>
              </w:tc>
              <w:tc>
                <w:tcPr>
                  <w:tcW w:w="1537" w:type="pct"/>
                  <w:noWrap w:val="0"/>
                  <w:vAlign w:val="center"/>
                </w:tcPr>
                <w:p w14:paraId="73EA21B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蜜蜂产品系列生产</w:t>
                  </w:r>
                </w:p>
              </w:tc>
            </w:tr>
            <w:tr w14:paraId="155C7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10" w:type="pct"/>
                  <w:noWrap w:val="0"/>
                  <w:vAlign w:val="center"/>
                </w:tcPr>
                <w:p w14:paraId="54BC78E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18"/>
                    </w:rPr>
                  </w:pPr>
                  <w:r>
                    <w:rPr>
                      <w:rFonts w:hint="default" w:ascii="Times New Roman" w:hAnsi="Times New Roman" w:cs="Times New Roman"/>
                      <w:b/>
                      <w:bCs/>
                      <w:color w:val="auto"/>
                      <w:sz w:val="21"/>
                      <w:szCs w:val="18"/>
                    </w:rPr>
                    <w:t>梨园社区B区</w:t>
                  </w:r>
                </w:p>
              </w:tc>
              <w:tc>
                <w:tcPr>
                  <w:tcW w:w="538" w:type="pct"/>
                  <w:vMerge w:val="continue"/>
                  <w:noWrap w:val="0"/>
                  <w:vAlign w:val="center"/>
                </w:tcPr>
                <w:p w14:paraId="77544BA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18"/>
                    </w:rPr>
                  </w:pPr>
                </w:p>
              </w:tc>
              <w:tc>
                <w:tcPr>
                  <w:tcW w:w="483" w:type="pct"/>
                  <w:noWrap w:val="0"/>
                  <w:vAlign w:val="center"/>
                </w:tcPr>
                <w:p w14:paraId="344DD33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18"/>
                    </w:rPr>
                  </w:pPr>
                  <w:r>
                    <w:rPr>
                      <w:rFonts w:hint="eastAsia" w:ascii="Times New Roman" w:hAnsi="Times New Roman" w:cs="Times New Roman"/>
                      <w:b/>
                      <w:bCs/>
                      <w:color w:val="auto"/>
                      <w:sz w:val="21"/>
                      <w:szCs w:val="18"/>
                      <w:lang w:val="en-US" w:eastAsia="zh-CN"/>
                    </w:rPr>
                    <w:t>412</w:t>
                  </w:r>
                  <w:r>
                    <w:rPr>
                      <w:rFonts w:hint="default" w:ascii="Times New Roman" w:hAnsi="Times New Roman" w:cs="Times New Roman"/>
                      <w:b/>
                      <w:bCs/>
                      <w:color w:val="auto"/>
                      <w:sz w:val="21"/>
                      <w:szCs w:val="18"/>
                    </w:rPr>
                    <w:t>m</w:t>
                  </w:r>
                </w:p>
              </w:tc>
              <w:tc>
                <w:tcPr>
                  <w:tcW w:w="530" w:type="pct"/>
                  <w:noWrap w:val="0"/>
                  <w:vAlign w:val="center"/>
                </w:tcPr>
                <w:p w14:paraId="2D9AD9A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18"/>
                    </w:rPr>
                  </w:pPr>
                  <w:r>
                    <w:rPr>
                      <w:rFonts w:hint="eastAsia" w:ascii="Times New Roman" w:hAnsi="Times New Roman" w:cs="Times New Roman"/>
                      <w:b/>
                      <w:bCs/>
                      <w:color w:val="auto"/>
                      <w:sz w:val="21"/>
                      <w:szCs w:val="18"/>
                    </w:rPr>
                    <w:t>居民</w:t>
                  </w:r>
                </w:p>
              </w:tc>
              <w:tc>
                <w:tcPr>
                  <w:tcW w:w="1537" w:type="pct"/>
                  <w:noWrap w:val="0"/>
                  <w:vAlign w:val="center"/>
                </w:tcPr>
                <w:p w14:paraId="019C31B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18"/>
                    </w:rPr>
                  </w:pPr>
                  <w:r>
                    <w:rPr>
                      <w:rFonts w:hint="eastAsia" w:ascii="Times New Roman" w:hAnsi="Times New Roman" w:cs="Times New Roman"/>
                      <w:b/>
                      <w:bCs/>
                      <w:color w:val="auto"/>
                      <w:sz w:val="21"/>
                      <w:szCs w:val="18"/>
                    </w:rPr>
                    <w:t>约500人</w:t>
                  </w:r>
                </w:p>
              </w:tc>
            </w:tr>
          </w:tbl>
          <w:p w14:paraId="1304FE4C">
            <w:pPr>
              <w:pStyle w:val="5"/>
              <w:suppressLineNumbers w:val="0"/>
              <w:snapToGrid w:val="0"/>
              <w:spacing w:before="0" w:beforeAutospacing="0" w:after="0" w:afterAutospacing="0" w:line="360" w:lineRule="auto"/>
              <w:ind w:left="0" w:right="0" w:firstLine="482"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（2）外环境相容性分析</w:t>
            </w:r>
          </w:p>
          <w:p w14:paraId="398AAA84">
            <w:pPr>
              <w:keepNext w:val="0"/>
              <w:keepLines w:val="0"/>
              <w:suppressLineNumbers w:val="0"/>
              <w:spacing w:before="0" w:beforeAutospacing="0" w:after="0" w:afterAutospacing="0"/>
              <w:ind w:left="0" w:right="0" w:firstLine="482" w:firstLineChars="200"/>
              <w:outlineLvl w:val="1"/>
              <w:rPr>
                <w:rFonts w:hint="default" w:ascii="Times New Roman" w:hAnsi="Times New Roman" w:cs="Times New Roman"/>
                <w:b/>
                <w:bCs/>
                <w:color w:val="auto"/>
                <w:szCs w:val="32"/>
                <w:lang w:bidi="ar"/>
              </w:rPr>
            </w:pPr>
            <w:r>
              <w:rPr>
                <w:rFonts w:hint="eastAsia" w:ascii="Times New Roman" w:hAnsi="Times New Roman" w:cs="Times New Roman"/>
                <w:b/>
                <w:bCs/>
                <w:color w:val="auto"/>
                <w:szCs w:val="32"/>
                <w:lang w:bidi="ar"/>
              </w:rPr>
              <w:t>①</w:t>
            </w:r>
            <w:r>
              <w:rPr>
                <w:rFonts w:hint="default" w:ascii="Times New Roman" w:hAnsi="Times New Roman" w:cs="Times New Roman"/>
                <w:b/>
                <w:bCs/>
                <w:color w:val="auto"/>
                <w:szCs w:val="32"/>
                <w:lang w:bidi="ar"/>
              </w:rPr>
              <w:t>外环境对本项目的影响</w:t>
            </w:r>
          </w:p>
          <w:p w14:paraId="3123114C">
            <w:pPr>
              <w:keepNext w:val="0"/>
              <w:keepLines w:val="0"/>
              <w:suppressLineNumbers w:val="0"/>
              <w:spacing w:before="0" w:beforeAutospacing="0" w:after="0" w:afterAutospacing="0"/>
              <w:ind w:left="0" w:right="0" w:firstLine="480" w:firstLineChars="200"/>
              <w:outlineLvl w:val="1"/>
              <w:rPr>
                <w:rFonts w:hint="eastAsia" w:ascii="Times New Roman" w:hAnsi="Times New Roman" w:eastAsia="宋体" w:cs="Times New Roman"/>
                <w:b/>
                <w:bCs/>
                <w:color w:val="auto"/>
                <w:szCs w:val="32"/>
                <w:lang w:eastAsia="zh-CN" w:bidi="ar"/>
              </w:rPr>
            </w:pPr>
            <w:r>
              <w:rPr>
                <w:rFonts w:hint="default" w:ascii="Times New Roman" w:hAnsi="Times New Roman" w:cs="Times New Roman"/>
                <w:color w:val="auto"/>
                <w:szCs w:val="32"/>
                <w:lang w:bidi="ar"/>
              </w:rPr>
              <w:t>本项目位于蓬溪县</w:t>
            </w:r>
            <w:r>
              <w:rPr>
                <w:rFonts w:hint="eastAsia" w:ascii="Times New Roman" w:hAnsi="Times New Roman" w:cs="Times New Roman"/>
                <w:color w:val="auto"/>
                <w:szCs w:val="32"/>
                <w:lang w:bidi="ar"/>
              </w:rPr>
              <w:t>经开区上游片区</w:t>
            </w:r>
            <w:r>
              <w:rPr>
                <w:rFonts w:hint="default" w:ascii="Times New Roman" w:hAnsi="Times New Roman" w:cs="Times New Roman"/>
                <w:color w:val="auto"/>
                <w:szCs w:val="32"/>
                <w:lang w:bidi="ar"/>
              </w:rPr>
              <w:t>，</w:t>
            </w:r>
            <w:r>
              <w:rPr>
                <w:rFonts w:hint="eastAsia" w:ascii="Times New Roman" w:hAnsi="Times New Roman" w:cs="Times New Roman"/>
                <w:color w:val="auto"/>
                <w:szCs w:val="32"/>
                <w:lang w:val="en-US" w:eastAsia="zh-CN" w:bidi="ar"/>
              </w:rPr>
              <w:t>周边主要为工业企业，</w:t>
            </w:r>
            <w:r>
              <w:rPr>
                <w:rFonts w:hint="eastAsia" w:ascii="Times New Roman" w:hAnsi="Times New Roman" w:cs="Times New Roman"/>
                <w:color w:val="auto"/>
                <w:szCs w:val="32"/>
                <w:lang w:bidi="ar"/>
              </w:rPr>
              <w:t>主要进行</w:t>
            </w:r>
            <w:r>
              <w:rPr>
                <w:rFonts w:hint="eastAsia" w:ascii="Times New Roman" w:hAnsi="Times New Roman" w:cs="Times New Roman"/>
                <w:color w:val="auto"/>
                <w:szCs w:val="32"/>
                <w:lang w:val="en-US" w:eastAsia="zh-CN" w:bidi="ar"/>
              </w:rPr>
              <w:t>柏木油及生物质颗粒生产</w:t>
            </w:r>
            <w:r>
              <w:rPr>
                <w:rFonts w:hint="default" w:ascii="Times New Roman" w:hAnsi="Times New Roman" w:cs="Times New Roman"/>
                <w:color w:val="auto"/>
                <w:szCs w:val="32"/>
                <w:lang w:bidi="ar"/>
              </w:rPr>
              <w:t>，对周边环境无特殊要求，外环境</w:t>
            </w:r>
            <w:r>
              <w:rPr>
                <w:rFonts w:hint="default" w:ascii="Times New Roman" w:hAnsi="Times New Roman" w:cs="Times New Roman"/>
                <w:bCs/>
                <w:color w:val="auto"/>
                <w:szCs w:val="32"/>
                <w:lang w:bidi="ar"/>
              </w:rPr>
              <w:t>与本项目相容</w:t>
            </w:r>
            <w:r>
              <w:rPr>
                <w:rFonts w:hint="eastAsia" w:ascii="Times New Roman" w:hAnsi="Times New Roman" w:cs="Times New Roman"/>
                <w:bCs/>
                <w:color w:val="auto"/>
                <w:szCs w:val="32"/>
                <w:lang w:eastAsia="zh-CN" w:bidi="ar"/>
              </w:rPr>
              <w:t>。</w:t>
            </w:r>
          </w:p>
          <w:p w14:paraId="23EF416C">
            <w:pPr>
              <w:keepNext w:val="0"/>
              <w:keepLines w:val="0"/>
              <w:suppressLineNumbers w:val="0"/>
              <w:spacing w:before="0" w:beforeAutospacing="0" w:after="0" w:afterAutospacing="0"/>
              <w:ind w:left="0" w:right="0" w:firstLine="482" w:firstLineChars="200"/>
              <w:outlineLvl w:val="1"/>
              <w:rPr>
                <w:rFonts w:hint="default" w:ascii="Times New Roman" w:hAnsi="Times New Roman" w:cs="Times New Roman"/>
                <w:b/>
                <w:bCs/>
                <w:color w:val="auto"/>
                <w:szCs w:val="32"/>
                <w:lang w:bidi="ar"/>
              </w:rPr>
            </w:pPr>
            <w:r>
              <w:rPr>
                <w:rFonts w:hint="eastAsia" w:ascii="Times New Roman" w:hAnsi="Times New Roman" w:cs="Times New Roman"/>
                <w:b/>
                <w:bCs/>
                <w:color w:val="auto"/>
                <w:szCs w:val="32"/>
                <w:lang w:bidi="ar"/>
              </w:rPr>
              <w:t>②</w:t>
            </w:r>
            <w:r>
              <w:rPr>
                <w:rFonts w:hint="default" w:ascii="Times New Roman" w:hAnsi="Times New Roman" w:cs="Times New Roman"/>
                <w:b/>
                <w:bCs/>
                <w:color w:val="auto"/>
                <w:szCs w:val="32"/>
                <w:lang w:bidi="ar"/>
              </w:rPr>
              <w:t>本项目对外环境的影响</w:t>
            </w:r>
          </w:p>
          <w:p w14:paraId="317884E8">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cs="Times New Roman"/>
                <w:color w:val="auto"/>
                <w:kern w:val="0"/>
                <w:lang w:bidi="ar"/>
              </w:rPr>
            </w:pPr>
            <w:r>
              <w:rPr>
                <w:rFonts w:hint="eastAsia" w:ascii="Times New Roman" w:hAnsi="Times New Roman" w:cs="Times New Roman"/>
                <w:color w:val="auto"/>
                <w:kern w:val="0"/>
                <w:lang w:bidi="ar"/>
              </w:rPr>
              <w:t>项目区域环境空气质量属于达标区域，有环境容量，可供本项目建设，</w:t>
            </w:r>
            <w:r>
              <w:rPr>
                <w:rFonts w:hint="default" w:ascii="Times New Roman" w:hAnsi="Times New Roman" w:cs="Times New Roman"/>
                <w:color w:val="auto"/>
                <w:kern w:val="0"/>
                <w:lang w:bidi="ar"/>
              </w:rPr>
              <w:t>根据现场勘查可知，项目周边500m范围内主要为</w:t>
            </w:r>
            <w:r>
              <w:rPr>
                <w:rFonts w:hint="eastAsia" w:ascii="Times New Roman" w:hAnsi="Times New Roman" w:cs="Times New Roman"/>
                <w:color w:val="auto"/>
                <w:kern w:val="0"/>
                <w:lang w:bidi="ar"/>
              </w:rPr>
              <w:t>企业、居民区</w:t>
            </w:r>
            <w:r>
              <w:rPr>
                <w:rFonts w:hint="default" w:ascii="Times New Roman" w:hAnsi="Times New Roman" w:cs="Times New Roman"/>
                <w:color w:val="auto"/>
                <w:kern w:val="0"/>
                <w:lang w:bidi="ar"/>
              </w:rPr>
              <w:t>。</w:t>
            </w:r>
            <w:r>
              <w:rPr>
                <w:rFonts w:hint="eastAsia" w:ascii="Times New Roman" w:hAnsi="Times New Roman" w:cs="Times New Roman"/>
                <w:color w:val="auto"/>
                <w:kern w:val="0"/>
                <w:lang w:bidi="ar"/>
              </w:rPr>
              <w:t>根据外环境关系图可知，吉星贡食品有限责任公司</w:t>
            </w:r>
            <w:r>
              <w:rPr>
                <w:rFonts w:hint="eastAsia" w:cs="Times New Roman"/>
                <w:color w:val="auto"/>
                <w:kern w:val="0"/>
                <w:lang w:val="en-US" w:eastAsia="zh-CN" w:bidi="ar"/>
              </w:rPr>
              <w:t>为</w:t>
            </w:r>
            <w:r>
              <w:rPr>
                <w:rFonts w:hint="eastAsia" w:ascii="Times New Roman" w:hAnsi="Times New Roman" w:cs="Times New Roman"/>
                <w:color w:val="auto"/>
                <w:kern w:val="0"/>
                <w:lang w:bidi="ar"/>
              </w:rPr>
              <w:t>食品企业</w:t>
            </w:r>
            <w:r>
              <w:rPr>
                <w:rFonts w:hint="eastAsia" w:cs="Times New Roman"/>
                <w:color w:val="auto"/>
                <w:kern w:val="0"/>
                <w:lang w:eastAsia="zh-CN" w:bidi="ar"/>
              </w:rPr>
              <w:t>，</w:t>
            </w:r>
            <w:r>
              <w:rPr>
                <w:rFonts w:hint="eastAsia" w:cs="Times New Roman"/>
                <w:color w:val="auto"/>
                <w:kern w:val="0"/>
                <w:lang w:val="en-US" w:eastAsia="zh-CN" w:bidi="ar"/>
              </w:rPr>
              <w:t>目前为停产状态，且该企业</w:t>
            </w:r>
            <w:r>
              <w:rPr>
                <w:rFonts w:hint="eastAsia" w:ascii="Times New Roman" w:hAnsi="Times New Roman" w:cs="Times New Roman"/>
                <w:color w:val="auto"/>
                <w:kern w:val="0"/>
                <w:lang w:bidi="ar"/>
              </w:rPr>
              <w:t>位于本项目上风向</w:t>
            </w:r>
            <w:r>
              <w:rPr>
                <w:rFonts w:hint="eastAsia" w:cs="Times New Roman"/>
                <w:color w:val="auto"/>
                <w:kern w:val="0"/>
                <w:lang w:eastAsia="zh-CN" w:bidi="ar"/>
              </w:rPr>
              <w:t>，</w:t>
            </w:r>
            <w:r>
              <w:rPr>
                <w:rFonts w:hint="eastAsia" w:cs="Times New Roman"/>
                <w:color w:val="auto"/>
                <w:kern w:val="0"/>
                <w:lang w:val="en-US" w:eastAsia="zh-CN" w:bidi="ar"/>
              </w:rPr>
              <w:t>与本项目距离160m，本项目对其影响较小</w:t>
            </w:r>
            <w:r>
              <w:rPr>
                <w:rFonts w:hint="eastAsia" w:ascii="Times New Roman" w:hAnsi="Times New Roman" w:cs="Times New Roman"/>
                <w:color w:val="auto"/>
                <w:kern w:val="0"/>
                <w:lang w:bidi="ar"/>
              </w:rPr>
              <w:t>；项目所在区域500m范围下风向不存在大气环境敏感保护目标，项目下风向人从纵食品有限公司与本项目与山间隔，可减少对食品企业的影响。</w:t>
            </w:r>
          </w:p>
          <w:p w14:paraId="31984A62">
            <w:pPr>
              <w:keepNext w:val="0"/>
              <w:keepLines w:val="0"/>
              <w:suppressLineNumbers w:val="0"/>
              <w:adjustRightInd w:val="0"/>
              <w:spacing w:before="0" w:beforeAutospacing="0" w:after="0" w:afterAutospacing="0"/>
              <w:ind w:left="0" w:right="0" w:firstLine="480" w:firstLineChars="200"/>
              <w:jc w:val="left"/>
              <w:rPr>
                <w:rFonts w:hint="default" w:ascii="Times New Roman" w:hAnsi="宋体" w:cs="Times New Roman"/>
                <w:bCs/>
                <w:color w:val="auto"/>
                <w:lang w:val="en-US" w:eastAsia="zh-CN"/>
              </w:rPr>
            </w:pPr>
            <w:r>
              <w:rPr>
                <w:rFonts w:hint="eastAsia" w:ascii="Times New Roman" w:hAnsi="Times New Roman" w:cs="Times New Roman"/>
                <w:color w:val="auto"/>
                <w:kern w:val="0"/>
                <w:lang w:bidi="ar"/>
              </w:rPr>
              <w:t>本项目</w:t>
            </w:r>
            <w:r>
              <w:rPr>
                <w:rFonts w:hint="default" w:ascii="Times New Roman" w:hAnsi="Times New Roman" w:cs="Times New Roman"/>
                <w:color w:val="auto"/>
                <w:kern w:val="0"/>
                <w:lang w:bidi="ar"/>
              </w:rPr>
              <w:t>大气污染物主要为</w:t>
            </w:r>
            <w:r>
              <w:rPr>
                <w:rFonts w:hint="eastAsia" w:ascii="Times New Roman" w:hAnsi="Times New Roman" w:cs="Times New Roman"/>
                <w:color w:val="auto"/>
                <w:kern w:val="0"/>
                <w:lang w:val="en-US" w:eastAsia="zh-CN" w:bidi="ar"/>
              </w:rPr>
              <w:t>锅炉</w:t>
            </w:r>
            <w:r>
              <w:rPr>
                <w:rFonts w:hint="default" w:ascii="Times New Roman" w:hAnsi="Times New Roman" w:cs="Times New Roman"/>
                <w:color w:val="auto"/>
                <w:kern w:val="0"/>
                <w:lang w:bidi="ar"/>
              </w:rPr>
              <w:t>废气</w:t>
            </w:r>
            <w:r>
              <w:rPr>
                <w:rFonts w:hint="eastAsia" w:ascii="Times New Roman" w:hAnsi="Times New Roman" w:cs="Times New Roman"/>
                <w:color w:val="auto"/>
                <w:kern w:val="0"/>
                <w:lang w:bidi="ar"/>
              </w:rPr>
              <w:t>、粉尘</w:t>
            </w:r>
            <w:r>
              <w:rPr>
                <w:rFonts w:hint="eastAsia" w:ascii="Times New Roman" w:hAnsi="Times New Roman" w:cs="Times New Roman"/>
                <w:color w:val="auto"/>
                <w:kern w:val="0"/>
                <w:lang w:eastAsia="zh-CN" w:bidi="ar"/>
              </w:rPr>
              <w:t>、</w:t>
            </w:r>
            <w:r>
              <w:rPr>
                <w:rFonts w:hint="eastAsia" w:ascii="Times New Roman" w:hAnsi="Times New Roman" w:cs="Times New Roman"/>
                <w:color w:val="auto"/>
                <w:kern w:val="0"/>
                <w:lang w:val="en-US" w:eastAsia="zh-CN" w:bidi="ar"/>
              </w:rPr>
              <w:t>有机废气等</w:t>
            </w:r>
            <w:r>
              <w:rPr>
                <w:rFonts w:hint="default" w:ascii="Times New Roman" w:hAnsi="Times New Roman" w:cs="Times New Roman"/>
                <w:color w:val="auto"/>
                <w:kern w:val="0"/>
                <w:lang w:bidi="ar"/>
              </w:rPr>
              <w:t>，</w:t>
            </w:r>
            <w:r>
              <w:rPr>
                <w:rFonts w:hint="eastAsia" w:ascii="Times New Roman" w:hAnsi="Times New Roman" w:cs="Times New Roman"/>
                <w:color w:val="auto"/>
                <w:kern w:val="0"/>
                <w:lang w:val="en-US" w:eastAsia="zh-CN" w:bidi="ar"/>
              </w:rPr>
              <w:t>经相应污染治理措施处理后可以做到达标排放。</w:t>
            </w:r>
            <w:r>
              <w:rPr>
                <w:rFonts w:hint="eastAsia" w:ascii="Times New Roman" w:hAnsi="Times New Roman" w:cs="宋体"/>
                <w:color w:val="auto"/>
                <w:sz w:val="24"/>
                <w:szCs w:val="24"/>
              </w:rPr>
              <w:t>原料堆场设置于室内，破碎机</w:t>
            </w:r>
            <w:r>
              <w:rPr>
                <w:rFonts w:hint="eastAsia" w:cs="宋体"/>
                <w:color w:val="auto"/>
                <w:sz w:val="24"/>
                <w:szCs w:val="24"/>
                <w:lang w:val="en-US" w:eastAsia="zh-CN"/>
              </w:rPr>
              <w:t>上方设置集气罩，</w:t>
            </w:r>
            <w:r>
              <w:rPr>
                <w:rFonts w:hint="eastAsia" w:ascii="Times New Roman" w:hAnsi="Times New Roman" w:cs="宋体"/>
                <w:color w:val="auto"/>
                <w:sz w:val="24"/>
                <w:szCs w:val="24"/>
              </w:rPr>
              <w:t>破碎粉尘经</w:t>
            </w:r>
            <w:r>
              <w:rPr>
                <w:rFonts w:hint="eastAsia" w:cs="宋体"/>
                <w:color w:val="auto"/>
                <w:sz w:val="24"/>
                <w:szCs w:val="24"/>
                <w:lang w:val="en-US" w:eastAsia="zh-CN"/>
              </w:rPr>
              <w:t>集气罩收集，</w:t>
            </w:r>
            <w:r>
              <w:rPr>
                <w:rFonts w:hint="eastAsia" w:ascii="Times New Roman" w:hAnsi="Times New Roman" w:cs="宋体"/>
                <w:color w:val="auto"/>
                <w:sz w:val="24"/>
                <w:szCs w:val="24"/>
              </w:rPr>
              <w:t>布袋除尘器处理后15m高</w:t>
            </w:r>
            <w:r>
              <w:rPr>
                <w:rFonts w:hint="eastAsia" w:cs="宋体"/>
                <w:color w:val="auto"/>
                <w:sz w:val="24"/>
                <w:szCs w:val="24"/>
                <w:lang w:eastAsia="zh-CN"/>
              </w:rPr>
              <w:t>1#排气筒</w:t>
            </w:r>
            <w:r>
              <w:rPr>
                <w:rFonts w:hint="eastAsia" w:ascii="Times New Roman" w:hAnsi="Times New Roman" w:cs="宋体"/>
                <w:color w:val="auto"/>
                <w:sz w:val="24"/>
                <w:szCs w:val="24"/>
              </w:rPr>
              <w:t>排放</w:t>
            </w:r>
            <w:r>
              <w:rPr>
                <w:rFonts w:hint="eastAsia" w:ascii="Times New Roman" w:hAnsi="Times New Roman" w:cs="Times New Roman"/>
                <w:color w:val="auto"/>
                <w:kern w:val="0"/>
                <w:sz w:val="24"/>
                <w:szCs w:val="24"/>
                <w:lang w:val="en-US" w:eastAsia="zh-CN" w:bidi="ar"/>
              </w:rPr>
              <w:t>；</w:t>
            </w:r>
            <w:r>
              <w:rPr>
                <w:rFonts w:hint="eastAsia" w:cs="宋体"/>
                <w:color w:val="auto"/>
                <w:sz w:val="24"/>
                <w:szCs w:val="24"/>
                <w:lang w:val="en-US" w:eastAsia="zh-CN"/>
              </w:rPr>
              <w:t>木片</w:t>
            </w:r>
            <w:r>
              <w:rPr>
                <w:rFonts w:hint="eastAsia" w:ascii="Times New Roman" w:hAnsi="Times New Roman" w:cs="宋体"/>
                <w:color w:val="auto"/>
                <w:sz w:val="24"/>
                <w:szCs w:val="24"/>
              </w:rPr>
              <w:t>采用料仓进料，密闭输送带输送，破碎粉尘经布袋除尘器处理后15m高</w:t>
            </w:r>
            <w:r>
              <w:rPr>
                <w:rFonts w:hint="eastAsia" w:cs="宋体"/>
                <w:color w:val="auto"/>
                <w:sz w:val="24"/>
                <w:szCs w:val="24"/>
                <w:lang w:eastAsia="zh-CN"/>
              </w:rPr>
              <w:t>2#排气筒</w:t>
            </w:r>
            <w:r>
              <w:rPr>
                <w:rFonts w:hint="eastAsia" w:ascii="Times New Roman" w:hAnsi="Times New Roman" w:cs="宋体"/>
                <w:color w:val="auto"/>
                <w:sz w:val="24"/>
                <w:szCs w:val="24"/>
              </w:rPr>
              <w:t>排放</w:t>
            </w:r>
            <w:r>
              <w:rPr>
                <w:rFonts w:hint="eastAsia" w:cs="宋体"/>
                <w:color w:val="auto"/>
                <w:sz w:val="24"/>
                <w:szCs w:val="24"/>
                <w:lang w:eastAsia="zh-CN"/>
              </w:rPr>
              <w:t>；</w:t>
            </w:r>
            <w:r>
              <w:rPr>
                <w:rFonts w:hint="eastAsia" w:ascii="Times New Roman" w:hAnsi="Times New Roman" w:cs="Times New Roman"/>
                <w:color w:val="auto"/>
                <w:kern w:val="0"/>
                <w:sz w:val="24"/>
                <w:szCs w:val="24"/>
                <w:lang w:val="en-US" w:eastAsia="zh-CN" w:bidi="ar"/>
              </w:rPr>
              <w:t>有机废气两级活性炭吸附处理后15m高</w:t>
            </w:r>
            <w:r>
              <w:rPr>
                <w:rFonts w:hint="eastAsia" w:cs="Times New Roman"/>
                <w:color w:val="auto"/>
                <w:kern w:val="0"/>
                <w:sz w:val="24"/>
                <w:szCs w:val="24"/>
                <w:lang w:val="en-US" w:eastAsia="zh-CN" w:bidi="ar"/>
              </w:rPr>
              <w:t>3#排气筒</w:t>
            </w:r>
            <w:r>
              <w:rPr>
                <w:rFonts w:hint="eastAsia" w:ascii="Times New Roman" w:hAnsi="Times New Roman" w:cs="Times New Roman"/>
                <w:color w:val="auto"/>
                <w:kern w:val="0"/>
                <w:sz w:val="24"/>
                <w:szCs w:val="24"/>
                <w:lang w:val="en-US" w:eastAsia="zh-CN" w:bidi="ar"/>
              </w:rPr>
              <w:t>排放</w:t>
            </w:r>
            <w:r>
              <w:rPr>
                <w:rFonts w:hint="eastAsia" w:ascii="Times New Roman" w:hAnsi="Times New Roman" w:cs="Times New Roman"/>
                <w:color w:val="auto"/>
                <w:kern w:val="0"/>
                <w:lang w:val="en-US" w:eastAsia="zh-CN" w:bidi="ar"/>
              </w:rPr>
              <w:t>；锅炉采用低氮燃烧，废气经</w:t>
            </w:r>
            <w:r>
              <w:rPr>
                <w:rFonts w:hint="eastAsia" w:cs="Times New Roman"/>
                <w:color w:val="auto"/>
                <w:kern w:val="0"/>
                <w:lang w:val="en-US" w:eastAsia="zh-CN" w:bidi="ar"/>
              </w:rPr>
              <w:t>多管旋风+布袋除尘器</w:t>
            </w:r>
            <w:r>
              <w:rPr>
                <w:rFonts w:hint="eastAsia" w:ascii="Times New Roman" w:hAnsi="Times New Roman" w:cs="Times New Roman"/>
                <w:color w:val="auto"/>
                <w:kern w:val="0"/>
                <w:lang w:val="en-US" w:eastAsia="zh-CN" w:bidi="ar"/>
              </w:rPr>
              <w:t>处理后15m高</w:t>
            </w:r>
            <w:r>
              <w:rPr>
                <w:rFonts w:hint="eastAsia" w:cs="Times New Roman"/>
                <w:color w:val="auto"/>
                <w:kern w:val="0"/>
                <w:lang w:val="en-US" w:eastAsia="zh-CN" w:bidi="ar"/>
              </w:rPr>
              <w:t>4#排气筒</w:t>
            </w:r>
            <w:r>
              <w:rPr>
                <w:rFonts w:hint="eastAsia" w:ascii="Times New Roman" w:hAnsi="Times New Roman" w:cs="Times New Roman"/>
                <w:color w:val="auto"/>
                <w:kern w:val="0"/>
                <w:lang w:val="en-US" w:eastAsia="zh-CN" w:bidi="ar"/>
              </w:rPr>
              <w:t>排放。</w:t>
            </w:r>
            <w:r>
              <w:rPr>
                <w:rFonts w:hint="default" w:ascii="Times New Roman" w:hAnsi="Times New Roman" w:cs="Times New Roman"/>
                <w:color w:val="auto"/>
                <w:kern w:val="0"/>
                <w:lang w:bidi="ar"/>
              </w:rPr>
              <w:t>本项目废水主要为员工生活</w:t>
            </w:r>
            <w:r>
              <w:rPr>
                <w:rFonts w:hint="eastAsia" w:ascii="Times New Roman" w:hAnsi="Times New Roman" w:cs="Times New Roman"/>
                <w:color w:val="auto"/>
                <w:kern w:val="0"/>
                <w:lang w:val="en-US" w:eastAsia="zh-CN" w:bidi="ar"/>
              </w:rPr>
              <w:t>污水</w:t>
            </w:r>
            <w:r>
              <w:rPr>
                <w:rFonts w:hint="eastAsia" w:ascii="Times New Roman" w:hAnsi="Times New Roman" w:cs="Times New Roman"/>
                <w:color w:val="auto"/>
                <w:kern w:val="0"/>
                <w:lang w:bidi="ar"/>
              </w:rPr>
              <w:t>、</w:t>
            </w:r>
            <w:r>
              <w:rPr>
                <w:rFonts w:hint="eastAsia" w:ascii="Times New Roman" w:hAnsi="Times New Roman" w:cs="Times New Roman"/>
                <w:color w:val="auto"/>
                <w:kern w:val="0"/>
                <w:lang w:val="en-US" w:eastAsia="zh-CN" w:bidi="ar"/>
              </w:rPr>
              <w:t>生产废水等，其中生活污水经中建节能建材公司已建预处理池处理后排入污水管网，</w:t>
            </w:r>
            <w:r>
              <w:rPr>
                <w:rFonts w:hint="eastAsia" w:cs="Times New Roman"/>
                <w:color w:val="auto"/>
                <w:kern w:val="0"/>
                <w:lang w:val="en-US" w:eastAsia="zh-CN" w:bidi="ar"/>
              </w:rPr>
              <w:t>生产废水经油水分离、厌氧处理后进入污水管网，</w:t>
            </w:r>
            <w:r>
              <w:rPr>
                <w:rFonts w:hint="eastAsia" w:ascii="Times New Roman" w:hAnsi="Times New Roman" w:cs="Times New Roman"/>
                <w:color w:val="auto"/>
                <w:kern w:val="0"/>
                <w:lang w:val="en-US" w:eastAsia="zh-CN" w:bidi="ar"/>
              </w:rPr>
              <w:t>送至蓬溪县经开区废水处理厂处理，冷却水循环使用不外排。</w:t>
            </w:r>
            <w:r>
              <w:rPr>
                <w:rFonts w:hint="default" w:ascii="Times New Roman" w:hAnsi="Times New Roman" w:cs="Times New Roman"/>
                <w:color w:val="auto"/>
                <w:kern w:val="0"/>
                <w:lang w:bidi="ar"/>
              </w:rPr>
              <w:t>运营期噪声通过</w:t>
            </w:r>
            <w:r>
              <w:rPr>
                <w:rFonts w:hint="default" w:ascii="Times New Roman" w:hAnsi="Times New Roman" w:cs="Times New Roman"/>
                <w:color w:val="auto"/>
              </w:rPr>
              <w:t>选用低噪声设备</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合理平面布局，</w:t>
            </w:r>
            <w:r>
              <w:rPr>
                <w:rFonts w:hint="eastAsia" w:ascii="Times New Roman" w:hAnsi="宋体" w:cs="Times New Roman"/>
                <w:bCs/>
                <w:color w:val="auto"/>
              </w:rPr>
              <w:t>厂房隔声</w:t>
            </w:r>
            <w:r>
              <w:rPr>
                <w:rFonts w:hint="eastAsia" w:ascii="Times New Roman" w:hAnsi="宋体" w:cs="Times New Roman"/>
                <w:bCs/>
                <w:color w:val="auto"/>
                <w:lang w:val="en-US" w:eastAsia="zh-CN"/>
              </w:rPr>
              <w:t>等措施予以防治</w:t>
            </w:r>
            <w:r>
              <w:rPr>
                <w:rFonts w:hint="eastAsia" w:ascii="Times New Roman" w:hAnsi="宋体" w:cs="Times New Roman"/>
                <w:bCs/>
                <w:color w:val="auto"/>
                <w:lang w:eastAsia="zh-CN"/>
              </w:rPr>
              <w:t>。</w:t>
            </w:r>
            <w:r>
              <w:rPr>
                <w:rFonts w:hint="eastAsia" w:ascii="Times New Roman" w:hAnsi="宋体" w:cs="Times New Roman"/>
                <w:bCs/>
                <w:color w:val="auto"/>
                <w:lang w:val="en-US" w:eastAsia="zh-CN"/>
              </w:rPr>
              <w:t>项目</w:t>
            </w:r>
            <w:r>
              <w:rPr>
                <w:rFonts w:hint="eastAsia" w:ascii="Times New Roman" w:hAnsi="宋体" w:cs="Times New Roman"/>
                <w:bCs/>
                <w:color w:val="auto"/>
                <w:lang w:eastAsia="zh-CN"/>
              </w:rPr>
              <w:t>生活垃圾交由当地环卫部门清运处理；废包装袋外卖废品收购单位；锅炉灰渣及</w:t>
            </w:r>
            <w:r>
              <w:rPr>
                <w:rFonts w:hint="eastAsia"/>
                <w:color w:val="auto"/>
                <w:lang w:val="en-US" w:eastAsia="zh-CN"/>
              </w:rPr>
              <w:t>锅炉</w:t>
            </w:r>
            <w:r>
              <w:rPr>
                <w:rFonts w:hint="eastAsia" w:ascii="Times New Roman" w:hAnsi="宋体" w:cs="Times New Roman"/>
                <w:bCs/>
                <w:color w:val="auto"/>
                <w:lang w:eastAsia="zh-CN"/>
              </w:rPr>
              <w:t>除尘器除尘灰外卖有机肥厂或交由农户作为肥料使用；</w:t>
            </w:r>
            <w:r>
              <w:rPr>
                <w:rFonts w:hint="eastAsia" w:hAnsi="宋体" w:cs="Times New Roman"/>
                <w:bCs/>
                <w:color w:val="auto"/>
                <w:lang w:eastAsia="zh-CN"/>
              </w:rPr>
              <w:t>破碎及制粒粉尘</w:t>
            </w:r>
            <w:r>
              <w:rPr>
                <w:rFonts w:hint="eastAsia" w:ascii="Times New Roman" w:hAnsi="宋体" w:cs="Times New Roman"/>
                <w:bCs/>
                <w:color w:val="auto"/>
                <w:lang w:eastAsia="zh-CN"/>
              </w:rPr>
              <w:t>除尘器收集除尘灰回用于生产；废离子交换树脂交由厂家回收处理</w:t>
            </w:r>
            <w:r>
              <w:rPr>
                <w:rFonts w:hint="eastAsia" w:hAnsi="宋体" w:cs="Times New Roman"/>
                <w:bCs/>
                <w:color w:val="auto"/>
                <w:lang w:eastAsia="zh-CN"/>
              </w:rPr>
              <w:t>；</w:t>
            </w:r>
            <w:r>
              <w:rPr>
                <w:rFonts w:hint="eastAsia" w:ascii="Times New Roman" w:hAnsi="宋体" w:cs="Times New Roman"/>
                <w:bCs/>
                <w:color w:val="auto"/>
                <w:lang w:eastAsia="zh-CN"/>
              </w:rPr>
              <w:t>废吸油布、</w:t>
            </w:r>
            <w:r>
              <w:rPr>
                <w:rFonts w:hint="eastAsia" w:hAnsi="宋体" w:cs="Times New Roman"/>
                <w:bCs/>
                <w:color w:val="auto"/>
                <w:lang w:val="en-US" w:eastAsia="zh-CN"/>
              </w:rPr>
              <w:t>废活性炭及废机油交由资质单位处理</w:t>
            </w:r>
            <w:r>
              <w:rPr>
                <w:rFonts w:hint="eastAsia" w:ascii="Times New Roman" w:hAnsi="宋体" w:cs="Times New Roman"/>
                <w:bCs/>
                <w:color w:val="auto"/>
                <w:lang w:eastAsia="zh-CN"/>
              </w:rPr>
              <w:t>。</w:t>
            </w:r>
          </w:p>
          <w:p w14:paraId="0C326FB4">
            <w:pPr>
              <w:keepNext w:val="0"/>
              <w:keepLines w:val="0"/>
              <w:suppressLineNumbers w:val="0"/>
              <w:adjustRightInd w:val="0"/>
              <w:spacing w:before="0" w:beforeAutospacing="0" w:after="0" w:afterAutospacing="0"/>
              <w:ind w:left="0" w:right="0" w:firstLine="480" w:firstLineChars="200"/>
              <w:jc w:val="left"/>
              <w:rPr>
                <w:rFonts w:hint="eastAsia" w:ascii="Times New Roman" w:hAnsi="Times New Roman" w:eastAsia="宋体" w:cs="Times New Roman"/>
                <w:color w:val="auto"/>
                <w:kern w:val="0"/>
                <w:lang w:eastAsia="zh-CN" w:bidi="ar"/>
              </w:rPr>
            </w:pPr>
            <w:r>
              <w:rPr>
                <w:rFonts w:hint="eastAsia" w:ascii="Times New Roman" w:hAnsi="Times New Roman" w:cs="Times New Roman"/>
                <w:color w:val="auto"/>
                <w:lang w:val="en-US" w:eastAsia="zh-CN"/>
              </w:rPr>
              <w:t>本项目</w:t>
            </w:r>
            <w:r>
              <w:rPr>
                <w:rFonts w:hint="default" w:ascii="Times New Roman" w:hAnsi="Times New Roman" w:cs="Times New Roman"/>
                <w:color w:val="auto"/>
              </w:rPr>
              <w:t>原辅材料等运输车辆主要集中在昼间，在途经路段附近有居民点路段时，应减速慢行、禁止鸣笛</w:t>
            </w:r>
            <w:r>
              <w:rPr>
                <w:rFonts w:hint="eastAsia" w:ascii="Times New Roman" w:hAnsi="Times New Roman" w:cs="Times New Roman"/>
                <w:color w:val="auto"/>
              </w:rPr>
              <w:t>；</w:t>
            </w:r>
            <w:r>
              <w:rPr>
                <w:rFonts w:hint="default" w:ascii="Times New Roman" w:hAnsi="Times New Roman" w:cs="Times New Roman"/>
                <w:color w:val="auto"/>
              </w:rPr>
              <w:t>加强运输车辆管理，合理安排车辆运输路线，尽量避开居民点和环境敏感点</w:t>
            </w:r>
            <w:r>
              <w:rPr>
                <w:rFonts w:hint="eastAsia" w:ascii="Times New Roman" w:hAnsi="Times New Roman" w:cs="Times New Roman"/>
                <w:color w:val="auto"/>
              </w:rPr>
              <w:t>；</w:t>
            </w:r>
            <w:r>
              <w:rPr>
                <w:rFonts w:hint="default" w:ascii="Times New Roman" w:hAnsi="宋体" w:cs="Times New Roman"/>
                <w:bCs/>
                <w:color w:val="auto"/>
              </w:rPr>
              <w:t>定期对设备进行检修，确保设备正常运转</w:t>
            </w:r>
            <w:r>
              <w:rPr>
                <w:rFonts w:hint="eastAsia" w:ascii="Times New Roman" w:hAnsi="宋体" w:cs="Times New Roman"/>
                <w:bCs/>
                <w:color w:val="auto"/>
                <w:lang w:eastAsia="zh-CN"/>
              </w:rPr>
              <w:t>。</w:t>
            </w:r>
          </w:p>
          <w:p w14:paraId="4E5844F0">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cs="Times New Roman"/>
                <w:color w:val="auto"/>
                <w:kern w:val="0"/>
                <w:lang w:bidi="ar"/>
              </w:rPr>
            </w:pPr>
            <w:r>
              <w:rPr>
                <w:rFonts w:hint="eastAsia" w:ascii="Times New Roman" w:hAnsi="Times New Roman" w:cs="Times New Roman"/>
                <w:color w:val="auto"/>
                <w:kern w:val="0"/>
                <w:lang w:bidi="ar"/>
              </w:rPr>
              <w:t>根据《四川蓬溪经济开发区（上游片区）（暨蓬溪县上游工业园产业聚集区）规划修编环境影响报告书》及其审查意见，项目东北侧敏感目标梨园社区A（距本项目2</w:t>
            </w:r>
            <w:r>
              <w:rPr>
                <w:rFonts w:hint="eastAsia" w:ascii="Times New Roman" w:hAnsi="Times New Roman" w:cs="Times New Roman"/>
                <w:color w:val="auto"/>
                <w:kern w:val="0"/>
                <w:lang w:val="en-US" w:eastAsia="zh-CN" w:bidi="ar"/>
              </w:rPr>
              <w:t>12</w:t>
            </w:r>
            <w:r>
              <w:rPr>
                <w:rFonts w:hint="eastAsia" w:ascii="Times New Roman" w:hAnsi="Times New Roman" w:cs="Times New Roman"/>
                <w:color w:val="auto"/>
                <w:kern w:val="0"/>
                <w:lang w:bidi="ar"/>
              </w:rPr>
              <w:t>m）、梨园社区B（距本项目</w:t>
            </w:r>
            <w:r>
              <w:rPr>
                <w:rFonts w:hint="eastAsia" w:ascii="Times New Roman" w:hAnsi="Times New Roman" w:cs="Times New Roman"/>
                <w:color w:val="auto"/>
                <w:kern w:val="0"/>
                <w:lang w:val="en-US" w:eastAsia="zh-CN" w:bidi="ar"/>
              </w:rPr>
              <w:t>412</w:t>
            </w:r>
            <w:r>
              <w:rPr>
                <w:rFonts w:hint="eastAsia" w:ascii="Times New Roman" w:hAnsi="Times New Roman" w:cs="Times New Roman"/>
                <w:color w:val="auto"/>
                <w:kern w:val="0"/>
                <w:lang w:bidi="ar"/>
              </w:rPr>
              <w:t>m）周边设置了防护绿地，且与本项目之间有企业、道路、山脊间隔</w:t>
            </w:r>
            <w:r>
              <w:rPr>
                <w:rFonts w:hint="eastAsia" w:ascii="Times New Roman" w:hAnsi="Times New Roman" w:cs="Times New Roman"/>
                <w:color w:val="auto"/>
                <w:kern w:val="0"/>
                <w:lang w:eastAsia="zh-CN" w:bidi="ar"/>
              </w:rPr>
              <w:t>，</w:t>
            </w:r>
            <w:r>
              <w:rPr>
                <w:rFonts w:hint="eastAsia" w:ascii="Times New Roman" w:hAnsi="Times New Roman" w:cs="Times New Roman"/>
                <w:color w:val="auto"/>
                <w:kern w:val="0"/>
                <w:lang w:val="en-US" w:eastAsia="zh-CN" w:bidi="ar"/>
              </w:rPr>
              <w:t>本项目位于其下风向，达标排放的废气对其影响较小</w:t>
            </w:r>
            <w:r>
              <w:rPr>
                <w:rFonts w:hint="eastAsia" w:ascii="Times New Roman" w:hAnsi="Times New Roman" w:cs="Times New Roman"/>
                <w:color w:val="auto"/>
                <w:kern w:val="0"/>
                <w:lang w:bidi="ar"/>
              </w:rPr>
              <w:t>。</w:t>
            </w:r>
          </w:p>
          <w:p w14:paraId="6041C8D5">
            <w:pPr>
              <w:keepNext w:val="0"/>
              <w:keepLines w:val="0"/>
              <w:widowControl/>
              <w:suppressLineNumbers w:val="0"/>
              <w:spacing w:before="0" w:beforeAutospacing="0" w:after="0" w:afterAutospacing="0"/>
              <w:ind w:left="0" w:right="0" w:firstLine="482" w:firstLineChars="200"/>
              <w:jc w:val="left"/>
              <w:rPr>
                <w:rFonts w:hint="eastAsia" w:ascii="Times New Roman" w:hAnsi="Times New Roman" w:eastAsia="宋体" w:cs="Times New Roman"/>
                <w:color w:val="auto"/>
                <w:sz w:val="30"/>
                <w:vertAlign w:val="baseline"/>
                <w:lang w:eastAsia="zh-CN"/>
              </w:rPr>
            </w:pPr>
            <w:r>
              <w:rPr>
                <w:rFonts w:hint="default" w:ascii="Times New Roman" w:hAnsi="Times New Roman" w:cs="Times New Roman"/>
                <w:b/>
                <w:bCs/>
                <w:color w:val="auto"/>
              </w:rPr>
              <w:t>综上所述，</w:t>
            </w:r>
            <w:r>
              <w:rPr>
                <w:rFonts w:hint="eastAsia" w:ascii="Times New Roman" w:hAnsi="Times New Roman" w:cs="Times New Roman"/>
                <w:b/>
                <w:bCs/>
                <w:color w:val="auto"/>
                <w:kern w:val="0"/>
                <w:lang w:bidi="ar"/>
              </w:rPr>
              <w:t>通过以上环保措施，本项目产生的污染物均得到有效处理，对项目周边居民产生的不良影响可接受，</w:t>
            </w:r>
            <w:r>
              <w:rPr>
                <w:rFonts w:hint="default" w:ascii="Times New Roman" w:hAnsi="Times New Roman" w:cs="Times New Roman"/>
                <w:b/>
                <w:bCs/>
                <w:color w:val="auto"/>
              </w:rPr>
              <w:t>项目选址合理，与外环境相容</w:t>
            </w:r>
            <w:r>
              <w:rPr>
                <w:rFonts w:hint="eastAsia" w:ascii="Times New Roman" w:hAnsi="Times New Roman" w:cs="Times New Roman"/>
                <w:b/>
                <w:bCs/>
                <w:color w:val="auto"/>
                <w:kern w:val="0"/>
                <w:lang w:bidi="ar"/>
              </w:rPr>
              <w:t>。</w:t>
            </w:r>
          </w:p>
        </w:tc>
      </w:tr>
    </w:tbl>
    <w:p w14:paraId="70EFD8F1">
      <w:pPr>
        <w:outlineLvl w:val="0"/>
        <w:rPr>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79636A61">
      <w:pPr>
        <w:pStyle w:val="25"/>
        <w:spacing w:line="240" w:lineRule="auto"/>
        <w:jc w:val="center"/>
        <w:outlineLvl w:val="0"/>
        <w:rPr>
          <w:rFonts w:hint="eastAsia" w:ascii="Times New Roman" w:hAnsi="Times New Roman" w:eastAsia="黑体" w:cs="Times New Roman"/>
          <w:snapToGrid w:val="0"/>
          <w:color w:val="auto"/>
          <w:sz w:val="30"/>
          <w:szCs w:val="30"/>
        </w:rPr>
      </w:pPr>
      <w:r>
        <w:rPr>
          <w:rFonts w:hint="eastAsia" w:ascii="Times New Roman" w:hAnsi="Times New Roman" w:eastAsia="黑体" w:cs="Times New Roman"/>
          <w:snapToGrid w:val="0"/>
          <w:color w:val="auto"/>
          <w:sz w:val="30"/>
          <w:szCs w:val="30"/>
        </w:rPr>
        <w:t>二、建设项目工程分析</w:t>
      </w:r>
    </w:p>
    <w:tbl>
      <w:tblPr>
        <w:tblStyle w:val="28"/>
        <w:tblW w:w="51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8550"/>
      </w:tblGrid>
      <w:tr w14:paraId="0FC9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 w:type="pct"/>
            <w:noWrap w:val="0"/>
            <w:vAlign w:val="center"/>
          </w:tcPr>
          <w:p w14:paraId="6B7EAA7F">
            <w:pPr>
              <w:pStyle w:val="2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Cs w:val="24"/>
              </w:rPr>
              <w:t>建设内容</w:t>
            </w:r>
          </w:p>
        </w:tc>
        <w:tc>
          <w:tcPr>
            <w:tcW w:w="4624" w:type="pct"/>
            <w:noWrap w:val="0"/>
            <w:vAlign w:val="top"/>
          </w:tcPr>
          <w:p w14:paraId="0A0A284D">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一、项目由来</w:t>
            </w:r>
          </w:p>
          <w:p w14:paraId="2FF46760">
            <w:pPr>
              <w:keepNext w:val="0"/>
              <w:keepLines w:val="0"/>
              <w:suppressLineNumbers w:val="0"/>
              <w:autoSpaceDE w:val="0"/>
              <w:autoSpaceDN w:val="0"/>
              <w:adjustRightInd w:val="0"/>
              <w:spacing w:before="0" w:beforeAutospacing="0" w:after="0" w:afterAutospacing="0"/>
              <w:ind w:left="0" w:right="0" w:firstLine="480"/>
              <w:rPr>
                <w:rFonts w:hint="eastAsia" w:ascii="Times New Roman" w:hAnsi="Times New Roman" w:cs="Times New Roman"/>
                <w:color w:val="auto"/>
                <w:kern w:val="0"/>
                <w:lang w:eastAsia="zh-CN"/>
              </w:rPr>
            </w:pPr>
            <w:r>
              <w:rPr>
                <w:rFonts w:hint="eastAsia" w:ascii="Times New Roman" w:hAnsi="Times New Roman" w:cs="Times New Roman"/>
                <w:color w:val="auto"/>
                <w:kern w:val="0"/>
                <w:lang w:eastAsia="zh-CN"/>
              </w:rPr>
              <w:t>柏木油是一种植物精油，源自于柏木的花朵和枝叶。它具有淡淡的柏木香气，被广泛用于香氛和美容产品中。柏木油的市场需求逐渐增长，而且在未来几年有望继续发展。</w:t>
            </w:r>
          </w:p>
          <w:p w14:paraId="35E2827A">
            <w:pPr>
              <w:keepNext w:val="0"/>
              <w:keepLines w:val="0"/>
              <w:suppressLineNumbers w:val="0"/>
              <w:autoSpaceDE w:val="0"/>
              <w:autoSpaceDN w:val="0"/>
              <w:adjustRightInd w:val="0"/>
              <w:spacing w:before="0" w:beforeAutospacing="0" w:after="0" w:afterAutospacing="0"/>
              <w:ind w:left="0" w:right="0" w:firstLine="480"/>
              <w:rPr>
                <w:rFonts w:hint="eastAsia" w:ascii="Times New Roman" w:hAnsi="Times New Roman" w:cs="Times New Roman"/>
                <w:color w:val="auto"/>
                <w:kern w:val="0"/>
                <w:lang w:eastAsia="zh-CN"/>
              </w:rPr>
            </w:pPr>
            <w:r>
              <w:rPr>
                <w:rFonts w:hint="eastAsia" w:ascii="Times New Roman" w:hAnsi="Times New Roman" w:cs="Times New Roman"/>
                <w:color w:val="auto"/>
                <w:kern w:val="0"/>
                <w:lang w:eastAsia="zh-CN"/>
              </w:rPr>
              <w:t>首先，柏木油在香氛行业中的需求逐渐增加。柏木油作为一种具有自然芳香和独特气息的精油，被广泛应用于香水、香薰和氛围喷雾等产品中。其清新木质的味道能够带给人们宁静和放松的感觉，因此备受消费者青睐。其次，柏木油在美容行业中的需求也在不断上升。柏木油被赋予了各种美容功效，例如具有抗菌、抗氧化和抗炎作用，可以帮助改善皮肤问题，促进肌肤健康。因此，柏木油成为了很多美容品牌的首选成分之一，不仅仅应用于面部护肤产品，还广泛用于身体乳液、洗发水和沐浴露等。</w:t>
            </w:r>
            <w:r>
              <w:rPr>
                <w:rFonts w:hint="eastAsia" w:ascii="Times New Roman" w:hAnsi="Times New Roman" w:cs="Times New Roman"/>
                <w:color w:val="auto"/>
                <w:kern w:val="0"/>
                <w:lang w:val="en-US" w:eastAsia="zh-CN"/>
              </w:rPr>
              <w:t>同时柏木油具有抗菌、消炎、镇痛等药理作用，可用于制药和保健品，还可用于木材防腐、驱虫等，应用范围较为广泛。</w:t>
            </w:r>
          </w:p>
          <w:p w14:paraId="76D10911">
            <w:pPr>
              <w:keepNext w:val="0"/>
              <w:keepLines w:val="0"/>
              <w:suppressLineNumbers w:val="0"/>
              <w:autoSpaceDE w:val="0"/>
              <w:autoSpaceDN w:val="0"/>
              <w:adjustRightInd w:val="0"/>
              <w:spacing w:before="0" w:beforeAutospacing="0" w:after="0" w:afterAutospacing="0"/>
              <w:ind w:left="0" w:right="0" w:firstLine="480"/>
              <w:rPr>
                <w:rFonts w:hint="eastAsia" w:ascii="Times New Roman" w:hAnsi="Times New Roman" w:cs="Times New Roman"/>
                <w:color w:val="auto"/>
                <w:kern w:val="0"/>
                <w:lang w:eastAsia="zh-CN"/>
              </w:rPr>
            </w:pPr>
            <w:r>
              <w:rPr>
                <w:rFonts w:hint="eastAsia" w:ascii="Times New Roman" w:hAnsi="Times New Roman" w:cs="Times New Roman"/>
                <w:color w:val="auto"/>
                <w:kern w:val="0"/>
                <w:lang w:eastAsia="zh-CN"/>
              </w:rPr>
              <w:t>遂宁宜诚柏利香料香精有限公司成立于2024年10月22日，注册地位于四川省遂宁市蓬溪县赤城镇上游工业园区遂宁市中通实业集团节能建材有限公司内，经营范围包括一般项目：日用化学产品制造；日用化学产品销售；生物质燃料加工；生物质成型燃料销售；木材加工；木材收购；木材销售。</w:t>
            </w:r>
          </w:p>
          <w:p w14:paraId="643F398D">
            <w:pPr>
              <w:keepNext w:val="0"/>
              <w:keepLines w:val="0"/>
              <w:suppressLineNumbers w:val="0"/>
              <w:autoSpaceDE w:val="0"/>
              <w:autoSpaceDN w:val="0"/>
              <w:adjustRightInd w:val="0"/>
              <w:spacing w:before="0" w:beforeAutospacing="0" w:after="0" w:afterAutospacing="0"/>
              <w:ind w:left="0" w:right="0" w:firstLine="480"/>
              <w:rPr>
                <w:rFonts w:hint="eastAsia" w:ascii="Times New Roman" w:hAnsi="Times New Roman" w:cs="Times New Roman"/>
                <w:color w:val="auto"/>
                <w:kern w:val="0"/>
              </w:rPr>
            </w:pPr>
            <w:r>
              <w:rPr>
                <w:rFonts w:hint="eastAsia" w:ascii="Times New Roman" w:hAnsi="Times New Roman" w:cs="Times New Roman"/>
                <w:color w:val="auto"/>
                <w:kern w:val="0"/>
              </w:rPr>
              <w:t>根据市场需求，建设单位拟</w:t>
            </w:r>
            <w:r>
              <w:rPr>
                <w:rFonts w:hint="eastAsia" w:ascii="Times New Roman" w:hAnsi="Times New Roman" w:cs="Times New Roman"/>
                <w:color w:val="auto"/>
                <w:kern w:val="0"/>
                <w:lang w:val="en-US" w:eastAsia="zh-CN"/>
              </w:rPr>
              <w:t>租用</w:t>
            </w:r>
            <w:r>
              <w:rPr>
                <w:rFonts w:hint="eastAsia" w:ascii="Times New Roman" w:hAnsi="Times New Roman" w:cs="Times New Roman"/>
                <w:color w:val="auto"/>
                <w:kern w:val="0"/>
                <w:lang w:eastAsia="zh-CN"/>
              </w:rPr>
              <w:t>遂宁市中通实业集团节能建材有限公司（</w:t>
            </w:r>
            <w:r>
              <w:rPr>
                <w:rFonts w:hint="eastAsia" w:ascii="Times New Roman" w:hAnsi="Times New Roman" w:cs="Times New Roman"/>
                <w:color w:val="auto"/>
                <w:kern w:val="0"/>
                <w:lang w:val="en-US" w:eastAsia="zh-CN"/>
              </w:rPr>
              <w:t>以下简称</w:t>
            </w:r>
            <w:r>
              <w:rPr>
                <w:rFonts w:hint="eastAsia" w:cs="Times New Roman"/>
                <w:color w:val="auto"/>
                <w:kern w:val="0"/>
                <w:lang w:val="en-US" w:eastAsia="zh-CN"/>
              </w:rPr>
              <w:t>中通建材公司</w:t>
            </w:r>
            <w:r>
              <w:rPr>
                <w:rFonts w:hint="eastAsia" w:ascii="Times New Roman" w:hAnsi="Times New Roman" w:cs="Times New Roman"/>
                <w:color w:val="auto"/>
                <w:kern w:val="0"/>
                <w:lang w:eastAsia="zh-CN"/>
              </w:rPr>
              <w:t>）</w:t>
            </w:r>
            <w:r>
              <w:rPr>
                <w:rFonts w:hint="eastAsia" w:ascii="Times New Roman" w:hAnsi="Times New Roman" w:cs="Times New Roman"/>
                <w:color w:val="auto"/>
                <w:kern w:val="0"/>
              </w:rPr>
              <w:t>厂房进行“</w:t>
            </w:r>
            <w:r>
              <w:rPr>
                <w:rFonts w:hint="eastAsia" w:ascii="Times New Roman" w:hAnsi="Times New Roman" w:cs="Times New Roman"/>
                <w:color w:val="auto"/>
                <w:kern w:val="0"/>
                <w:lang w:eastAsia="zh-CN"/>
              </w:rPr>
              <w:t>遂宁宜诚柏利柏木油及生物质颗粒制造项目</w:t>
            </w:r>
            <w:r>
              <w:rPr>
                <w:rFonts w:hint="eastAsia" w:ascii="Times New Roman" w:hAnsi="Times New Roman" w:cs="Times New Roman"/>
                <w:color w:val="auto"/>
                <w:kern w:val="0"/>
              </w:rPr>
              <w:t>”建设，</w:t>
            </w:r>
            <w:r>
              <w:rPr>
                <w:rFonts w:hint="eastAsia" w:ascii="Times New Roman" w:hAnsi="Times New Roman" w:cs="Times New Roman"/>
                <w:color w:val="auto"/>
                <w:lang w:val="en-US" w:eastAsia="zh-CN"/>
              </w:rPr>
              <w:t>建成后达到年产150吨柏木油、4500吨生物质颗粒生产能力</w:t>
            </w:r>
            <w:r>
              <w:rPr>
                <w:rFonts w:hint="eastAsia" w:ascii="Times New Roman" w:hAnsi="Times New Roman" w:cs="Times New Roman"/>
                <w:color w:val="auto"/>
                <w:kern w:val="0"/>
              </w:rPr>
              <w:t>。</w:t>
            </w:r>
          </w:p>
          <w:p w14:paraId="207380D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rPr>
              <w:t>根据中华人民共和国生态环境部公布的《建设项目环境影响评价分类管理名录（2021年版）》（部令第16号），本项目属于名录中“二十三、化学原料和化学制品制造业</w:t>
            </w:r>
            <w:r>
              <w:rPr>
                <w:rFonts w:hint="eastAsia" w:ascii="Times New Roman" w:hAnsi="Times New Roman" w:cs="Times New Roman"/>
                <w:color w:val="auto"/>
                <w:sz w:val="24"/>
                <w:lang w:val="en-US" w:eastAsia="zh-CN"/>
              </w:rPr>
              <w:t>中</w:t>
            </w:r>
            <w:r>
              <w:rPr>
                <w:rFonts w:hint="eastAsia" w:ascii="Times New Roman" w:hAnsi="Times New Roman" w:cs="Times New Roman"/>
                <w:color w:val="auto"/>
                <w:sz w:val="24"/>
                <w:szCs w:val="24"/>
                <w:lang w:eastAsia="zh-CN"/>
              </w:rPr>
              <w:t>“专用化学产品制造266”，</w:t>
            </w:r>
            <w:r>
              <w:rPr>
                <w:rFonts w:hint="eastAsia" w:ascii="Times New Roman" w:hAnsi="Times New Roman" w:cs="Times New Roman"/>
                <w:color w:val="auto"/>
                <w:sz w:val="24"/>
                <w:szCs w:val="24"/>
                <w:lang w:val="en-US" w:eastAsia="zh-CN"/>
              </w:rPr>
              <w:t>其中</w:t>
            </w:r>
            <w:r>
              <w:rPr>
                <w:rFonts w:hint="eastAsia" w:ascii="Times New Roman" w:hAnsi="Times New Roman" w:cs="Times New Roman"/>
                <w:color w:val="auto"/>
                <w:sz w:val="24"/>
                <w:szCs w:val="24"/>
                <w:lang w:eastAsia="zh-CN"/>
              </w:rPr>
              <w:t>单纯物理分离、物理提纯、混合、分装的（不产生废水或挥发性有机物的除外）</w:t>
            </w:r>
            <w:r>
              <w:rPr>
                <w:rFonts w:hint="eastAsia" w:ascii="Times New Roman" w:hAnsi="Times New Roman" w:cs="Times New Roman"/>
                <w:color w:val="auto"/>
                <w:sz w:val="24"/>
                <w:szCs w:val="24"/>
                <w:lang w:val="en-US" w:eastAsia="zh-CN"/>
              </w:rPr>
              <w:t>应编制环境影响报告表</w:t>
            </w:r>
            <w:r>
              <w:rPr>
                <w:rFonts w:hint="default" w:ascii="Times New Roman" w:hAnsi="Times New Roman" w:cs="Times New Roman"/>
                <w:color w:val="auto"/>
                <w:sz w:val="24"/>
              </w:rPr>
              <w:t>。</w:t>
            </w:r>
          </w:p>
          <w:p w14:paraId="17EE7193">
            <w:pPr>
              <w:keepNext w:val="0"/>
              <w:keepLines w:val="0"/>
              <w:suppressLineNumbers w:val="0"/>
              <w:autoSpaceDE w:val="0"/>
              <w:autoSpaceDN w:val="0"/>
              <w:adjustRightInd w:val="0"/>
              <w:spacing w:before="0" w:beforeAutospacing="0" w:after="0" w:afterAutospacing="0"/>
              <w:ind w:left="0" w:right="0" w:firstLine="480"/>
              <w:rPr>
                <w:rFonts w:hint="eastAsia" w:ascii="Times New Roman" w:hAnsi="Times New Roman" w:cs="Times New Roman"/>
                <w:color w:val="auto"/>
                <w:kern w:val="0"/>
              </w:rPr>
            </w:pPr>
            <w:r>
              <w:rPr>
                <w:rFonts w:hint="default" w:ascii="Times New Roman" w:hAnsi="Times New Roman" w:cs="Times New Roman"/>
                <w:color w:val="auto"/>
                <w:sz w:val="24"/>
              </w:rPr>
              <w:t>我公司接受</w:t>
            </w:r>
            <w:r>
              <w:rPr>
                <w:rFonts w:hint="eastAsia" w:ascii="Times New Roman" w:hAnsi="Times New Roman" w:cs="Times New Roman"/>
                <w:color w:val="auto"/>
                <w:lang w:eastAsia="zh-CN"/>
              </w:rPr>
              <w:t>遂宁宜诚柏利香料香精有限公司</w:t>
            </w:r>
            <w:r>
              <w:rPr>
                <w:rFonts w:hint="default" w:ascii="Times New Roman" w:hAnsi="Times New Roman" w:cs="Times New Roman"/>
                <w:color w:val="auto"/>
                <w:sz w:val="24"/>
              </w:rPr>
              <w:t>委托后，通过现场踏勘、资料收集及整理等工作，并在对有关环境现状和可能产生的环境影响进行分析的基础上，按照国家建设项目环境影响报告表的编制说明和环评技术规范要求，编制完成</w:t>
            </w:r>
            <w:r>
              <w:rPr>
                <w:rFonts w:hint="eastAsia" w:ascii="Times New Roman" w:hAnsi="Times New Roman" w:cs="Times New Roman"/>
                <w:color w:val="auto"/>
                <w:sz w:val="24"/>
              </w:rPr>
              <w:t>《</w:t>
            </w:r>
            <w:r>
              <w:rPr>
                <w:rFonts w:hint="eastAsia" w:ascii="Times New Roman" w:hAnsi="Times New Roman" w:cs="Times New Roman"/>
                <w:color w:val="auto"/>
                <w:lang w:eastAsia="zh-CN"/>
              </w:rPr>
              <w:t>遂宁宜诚柏利柏木油及生物质颗粒制造项目</w:t>
            </w:r>
            <w:r>
              <w:rPr>
                <w:rFonts w:hint="default" w:ascii="Times New Roman" w:hAnsi="Times New Roman" w:cs="Times New Roman"/>
                <w:color w:val="auto"/>
                <w:sz w:val="24"/>
              </w:rPr>
              <w:t>环境影响报告表</w:t>
            </w:r>
            <w:r>
              <w:rPr>
                <w:rFonts w:hint="eastAsia" w:ascii="Times New Roman" w:hAnsi="Times New Roman" w:cs="Times New Roman"/>
                <w:color w:val="auto"/>
                <w:sz w:val="24"/>
              </w:rPr>
              <w:t>》</w:t>
            </w:r>
            <w:r>
              <w:rPr>
                <w:rFonts w:hint="default" w:ascii="Times New Roman" w:hAnsi="Times New Roman" w:cs="Times New Roman"/>
                <w:color w:val="auto"/>
                <w:sz w:val="24"/>
              </w:rPr>
              <w:t>。</w:t>
            </w:r>
          </w:p>
          <w:p w14:paraId="0748AC5A">
            <w:pPr>
              <w:pStyle w:val="72"/>
              <w:keepNext w:val="0"/>
              <w:keepLines w:val="0"/>
              <w:widowControl/>
              <w:suppressLineNumbers w:val="0"/>
              <w:spacing w:before="0" w:beforeAutospacing="0" w:after="0" w:afterAutospacing="0"/>
              <w:ind w:left="0" w:right="0" w:firstLine="482"/>
              <w:rPr>
                <w:rFonts w:hint="eastAsia" w:ascii="Times New Roman" w:hAnsi="Times New Roman" w:cs="Times New Roman"/>
                <w:b/>
                <w:color w:val="auto"/>
              </w:rPr>
            </w:pPr>
            <w:r>
              <w:rPr>
                <w:rFonts w:hint="default" w:ascii="Times New Roman" w:hAnsi="Times New Roman" w:cs="Times New Roman"/>
                <w:b/>
                <w:color w:val="auto"/>
              </w:rPr>
              <w:t>二、建设</w:t>
            </w:r>
            <w:r>
              <w:rPr>
                <w:rFonts w:hint="eastAsia" w:ascii="Times New Roman" w:hAnsi="Times New Roman" w:cs="Times New Roman"/>
                <w:b/>
                <w:color w:val="auto"/>
              </w:rPr>
              <w:t>项目概况</w:t>
            </w:r>
          </w:p>
          <w:p w14:paraId="07371FED">
            <w:pPr>
              <w:pStyle w:val="72"/>
              <w:keepNext w:val="0"/>
              <w:keepLines w:val="0"/>
              <w:widowControl/>
              <w:suppressLineNumbers w:val="0"/>
              <w:spacing w:before="0" w:beforeAutospacing="0" w:after="0" w:afterAutospacing="0"/>
              <w:ind w:left="0" w:right="0" w:firstLine="482"/>
              <w:rPr>
                <w:rFonts w:hint="default" w:ascii="Times New Roman" w:hAnsi="Times New Roman" w:cs="Times New Roman"/>
                <w:color w:val="auto"/>
              </w:rPr>
            </w:pPr>
            <w:r>
              <w:rPr>
                <w:rFonts w:hint="eastAsia" w:ascii="Times New Roman" w:hAnsi="Times New Roman" w:cs="Times New Roman"/>
                <w:b/>
                <w:bCs/>
                <w:color w:val="auto"/>
              </w:rPr>
              <w:t>1、建设规模和投资</w:t>
            </w:r>
          </w:p>
          <w:p w14:paraId="6AE99C80">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eastAsia="宋体" w:cs="Times New Roman"/>
                <w:bCs/>
                <w:color w:val="auto"/>
                <w:lang w:eastAsia="zh-CN"/>
              </w:rPr>
            </w:pPr>
            <w:r>
              <w:rPr>
                <w:rFonts w:hint="default" w:ascii="Times New Roman" w:hAnsi="Times New Roman" w:cs="Times New Roman"/>
                <w:color w:val="auto"/>
              </w:rPr>
              <w:t>项目名称：</w:t>
            </w:r>
            <w:r>
              <w:rPr>
                <w:rFonts w:hint="eastAsia" w:ascii="Times New Roman" w:hAnsi="Times New Roman" w:cs="Times New Roman"/>
                <w:color w:val="auto"/>
                <w:lang w:eastAsia="zh-CN"/>
              </w:rPr>
              <w:t>遂宁宜诚柏利柏木油及生物质颗粒制造项目</w:t>
            </w:r>
          </w:p>
          <w:p w14:paraId="72D32DB2">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eastAsia="宋体" w:cs="Times New Roman"/>
                <w:color w:val="auto"/>
                <w:lang w:eastAsia="zh-CN"/>
              </w:rPr>
            </w:pPr>
            <w:r>
              <w:rPr>
                <w:rFonts w:hint="default" w:ascii="Times New Roman" w:hAnsi="Times New Roman" w:cs="Times New Roman"/>
                <w:color w:val="auto"/>
              </w:rPr>
              <w:t>建设单位：</w:t>
            </w:r>
            <w:r>
              <w:rPr>
                <w:rFonts w:hint="eastAsia" w:ascii="Times New Roman" w:hAnsi="Times New Roman" w:cs="Times New Roman"/>
                <w:color w:val="auto"/>
                <w:lang w:eastAsia="zh-CN"/>
              </w:rPr>
              <w:t>遂宁宜诚柏利香料香精有限公司</w:t>
            </w:r>
          </w:p>
          <w:p w14:paraId="6933EDF3">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eastAsia="宋体" w:cs="Times New Roman"/>
                <w:color w:val="auto"/>
                <w:lang w:eastAsia="zh-CN"/>
              </w:rPr>
            </w:pPr>
            <w:r>
              <w:rPr>
                <w:rFonts w:hint="default" w:ascii="Times New Roman" w:hAnsi="Times New Roman" w:cs="Times New Roman"/>
                <w:color w:val="auto"/>
              </w:rPr>
              <w:t>建设性质：</w:t>
            </w:r>
            <w:r>
              <w:rPr>
                <w:rFonts w:hint="eastAsia" w:ascii="Times New Roman" w:hAnsi="Times New Roman" w:cs="Times New Roman"/>
                <w:color w:val="auto"/>
                <w:lang w:eastAsia="zh-CN"/>
              </w:rPr>
              <w:t>新建</w:t>
            </w:r>
          </w:p>
          <w:p w14:paraId="65C1B9CB">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eastAsia="宋体" w:cs="Times New Roman"/>
                <w:color w:val="auto"/>
                <w:u w:val="single"/>
                <w:lang w:eastAsia="zh-CN"/>
              </w:rPr>
            </w:pPr>
            <w:r>
              <w:rPr>
                <w:rFonts w:hint="default" w:ascii="Times New Roman" w:hAnsi="Times New Roman" w:cs="Times New Roman"/>
                <w:color w:val="auto"/>
              </w:rPr>
              <w:t>建设地点：</w:t>
            </w:r>
            <w:r>
              <w:rPr>
                <w:rFonts w:hint="eastAsia" w:ascii="Times New Roman" w:hAnsi="Times New Roman" w:cs="Times New Roman"/>
                <w:color w:val="auto"/>
                <w:lang w:eastAsia="zh-CN"/>
              </w:rPr>
              <w:t>蓬溪县赤城镇上游工业园区遂宁市中通实业集团节能建材有限公司内</w:t>
            </w:r>
          </w:p>
          <w:p w14:paraId="5B9995B7">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项目</w:t>
            </w:r>
            <w:r>
              <w:rPr>
                <w:rFonts w:hint="eastAsia" w:ascii="Times New Roman" w:hAnsi="Times New Roman" w:cs="Times New Roman"/>
                <w:color w:val="auto"/>
                <w:lang w:val="en-US" w:eastAsia="zh-CN"/>
              </w:rPr>
              <w:t>总</w:t>
            </w:r>
            <w:r>
              <w:rPr>
                <w:rFonts w:hint="default" w:ascii="Times New Roman" w:hAnsi="Times New Roman" w:cs="Times New Roman"/>
                <w:color w:val="auto"/>
              </w:rPr>
              <w:t>投资：</w:t>
            </w:r>
            <w:r>
              <w:rPr>
                <w:rFonts w:hint="eastAsia" w:ascii="Times New Roman" w:hAnsi="Times New Roman" w:cs="Times New Roman"/>
                <w:color w:val="auto"/>
                <w:lang w:val="en-US" w:eastAsia="zh-CN"/>
              </w:rPr>
              <w:t>6</w:t>
            </w:r>
            <w:r>
              <w:rPr>
                <w:rFonts w:hint="eastAsia" w:ascii="Times New Roman" w:hAnsi="Times New Roman" w:cs="Times New Roman"/>
                <w:color w:val="auto"/>
              </w:rPr>
              <w:t>00</w:t>
            </w:r>
            <w:r>
              <w:rPr>
                <w:rFonts w:hint="default" w:ascii="Times New Roman" w:hAnsi="Times New Roman" w:cs="Times New Roman"/>
                <w:color w:val="auto"/>
              </w:rPr>
              <w:t>万元</w:t>
            </w:r>
          </w:p>
          <w:p w14:paraId="70DBEFE1">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建设内容及规模：</w:t>
            </w:r>
            <w:r>
              <w:rPr>
                <w:rFonts w:hint="eastAsia" w:cs="Times New Roman"/>
                <w:color w:val="auto"/>
                <w:lang w:val="en-US" w:eastAsia="zh-CN"/>
              </w:rPr>
              <w:t>租赁位于蓬溪县赤城镇上游工业园区遂宁市中通实业集团节能建材有限公司内的生产车间及空地占地面积共3000平方米，建设柏木油及生物质颗粒生产线，建成后达到年产150吨柏木油、4500吨生物质颗粒生产能力。项目内设车间、仓库、办公室等配套设施，采用行业内先进的生产设备，主要生产设备包含锅炉1台，蒸馏釜32台，综合破碎机1台，粉碎机1台，生物质制粒机2台，并配套相应的环保治理设备。</w:t>
            </w:r>
          </w:p>
          <w:p w14:paraId="468BB8AB">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kern w:val="0"/>
              </w:rPr>
            </w:pPr>
            <w:r>
              <w:rPr>
                <w:rFonts w:hint="default" w:ascii="Times New Roman" w:hAnsi="Times New Roman" w:cs="Times New Roman"/>
                <w:color w:val="auto"/>
              </w:rPr>
              <w:t>劳动定员及生产制度：</w:t>
            </w:r>
            <w:r>
              <w:rPr>
                <w:rFonts w:hint="eastAsia" w:ascii="Times New Roman" w:hAnsi="Times New Roman" w:cs="Times New Roman"/>
                <w:color w:val="auto"/>
              </w:rPr>
              <w:t>工作人员为</w:t>
            </w:r>
            <w:r>
              <w:rPr>
                <w:rFonts w:hint="eastAsia" w:ascii="Times New Roman" w:hAnsi="Times New Roman" w:cs="Times New Roman"/>
                <w:color w:val="auto"/>
                <w:lang w:eastAsia="zh-CN"/>
              </w:rPr>
              <w:t>20人</w:t>
            </w:r>
            <w:r>
              <w:rPr>
                <w:rFonts w:hint="eastAsia" w:ascii="Times New Roman" w:hAnsi="Times New Roman" w:cs="Times New Roman"/>
                <w:color w:val="auto"/>
              </w:rPr>
              <w:t>，</w:t>
            </w:r>
            <w:r>
              <w:rPr>
                <w:rFonts w:hint="default" w:ascii="Times New Roman" w:hAnsi="Times New Roman" w:cs="Times New Roman"/>
                <w:color w:val="auto"/>
              </w:rPr>
              <w:t>年工作天数为</w:t>
            </w:r>
            <w:r>
              <w:rPr>
                <w:rFonts w:hint="eastAsia" w:ascii="Times New Roman" w:hAnsi="Times New Roman" w:cs="Times New Roman"/>
                <w:color w:val="auto"/>
              </w:rPr>
              <w:t>300</w:t>
            </w:r>
            <w:r>
              <w:rPr>
                <w:rFonts w:hint="default" w:ascii="Times New Roman" w:hAnsi="Times New Roman" w:cs="Times New Roman"/>
                <w:color w:val="auto"/>
              </w:rPr>
              <w:t>天，每天8小时</w:t>
            </w:r>
            <w:r>
              <w:rPr>
                <w:rFonts w:hint="default" w:ascii="Times New Roman" w:hAnsi="Times New Roman" w:cs="Times New Roman"/>
                <w:color w:val="auto"/>
                <w:kern w:val="0"/>
              </w:rPr>
              <w:t>。</w:t>
            </w:r>
          </w:p>
          <w:p w14:paraId="72BD8E65">
            <w:pPr>
              <w:keepNext w:val="0"/>
              <w:keepLines w:val="0"/>
              <w:suppressLineNumbers w:val="0"/>
              <w:spacing w:before="0" w:beforeAutospacing="0" w:after="0" w:afterAutospacing="0"/>
              <w:ind w:left="0" w:right="0" w:firstLine="482" w:firstLineChars="200"/>
              <w:rPr>
                <w:rFonts w:hint="default" w:ascii="Times New Roman" w:hAnsi="Times New Roman" w:cs="Times New Roman"/>
                <w:b/>
                <w:color w:val="auto"/>
              </w:rPr>
            </w:pPr>
            <w:r>
              <w:rPr>
                <w:rFonts w:hint="eastAsia" w:ascii="Times New Roman" w:hAnsi="Times New Roman" w:cs="Times New Roman"/>
                <w:b/>
                <w:color w:val="auto"/>
              </w:rPr>
              <w:t>2、</w:t>
            </w:r>
            <w:r>
              <w:rPr>
                <w:rFonts w:hint="default" w:ascii="Times New Roman" w:hAnsi="Times New Roman" w:cs="Times New Roman"/>
                <w:b/>
                <w:color w:val="auto"/>
              </w:rPr>
              <w:t>产品方案</w:t>
            </w:r>
          </w:p>
          <w:p w14:paraId="74AC24EA">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本项目产品主要为</w:t>
            </w:r>
            <w:r>
              <w:rPr>
                <w:rFonts w:hint="eastAsia" w:ascii="Times New Roman" w:hAnsi="Times New Roman" w:cs="Times New Roman"/>
                <w:color w:val="auto"/>
                <w:lang w:val="en-US" w:eastAsia="zh-CN"/>
              </w:rPr>
              <w:t>柏木油及生物质颗粒</w:t>
            </w:r>
            <w:r>
              <w:rPr>
                <w:rFonts w:hint="default" w:ascii="Times New Roman" w:hAnsi="Times New Roman" w:cs="Times New Roman"/>
                <w:color w:val="auto"/>
              </w:rPr>
              <w:t>，</w:t>
            </w:r>
            <w:r>
              <w:rPr>
                <w:rFonts w:hint="eastAsia" w:ascii="Times New Roman" w:hAnsi="Times New Roman" w:cs="Times New Roman"/>
                <w:color w:val="auto"/>
              </w:rPr>
              <w:t>具体的</w:t>
            </w:r>
            <w:r>
              <w:rPr>
                <w:rFonts w:hint="default" w:ascii="Times New Roman" w:hAnsi="Times New Roman" w:cs="Times New Roman"/>
                <w:color w:val="auto"/>
              </w:rPr>
              <w:t>产品</w:t>
            </w:r>
            <w:r>
              <w:rPr>
                <w:rFonts w:hint="eastAsia" w:ascii="Times New Roman" w:hAnsi="Times New Roman" w:cs="Times New Roman"/>
                <w:color w:val="auto"/>
              </w:rPr>
              <w:t>方案</w:t>
            </w:r>
            <w:r>
              <w:rPr>
                <w:rFonts w:hint="default" w:ascii="Times New Roman" w:hAnsi="Times New Roman" w:cs="Times New Roman"/>
                <w:color w:val="auto"/>
              </w:rPr>
              <w:t>如下表所示：</w:t>
            </w:r>
          </w:p>
          <w:p w14:paraId="59F982BE">
            <w:pPr>
              <w:keepNext w:val="0"/>
              <w:keepLines w:val="0"/>
              <w:suppressLineNumbers w:val="0"/>
              <w:spacing w:before="0" w:beforeAutospacing="0" w:after="0" w:afterAutospacing="0" w:line="240" w:lineRule="auto"/>
              <w:ind w:left="0" w:right="0" w:firstLine="422" w:firstLineChars="200"/>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rPr>
              <w:t>2</w:t>
            </w:r>
            <w:r>
              <w:rPr>
                <w:rFonts w:hint="default" w:ascii="Times New Roman" w:hAnsi="Times New Roman" w:cs="Times New Roman"/>
                <w:b/>
                <w:color w:val="auto"/>
                <w:sz w:val="21"/>
                <w:szCs w:val="21"/>
              </w:rPr>
              <w:t>-</w:t>
            </w:r>
            <w:r>
              <w:rPr>
                <w:rFonts w:hint="eastAsia" w:ascii="Times New Roman" w:hAnsi="Times New Roman" w:cs="Times New Roman"/>
                <w:b/>
                <w:color w:val="auto"/>
                <w:sz w:val="21"/>
                <w:szCs w:val="21"/>
              </w:rPr>
              <w:t>1</w:t>
            </w:r>
            <w:r>
              <w:rPr>
                <w:rFonts w:hint="default" w:ascii="Times New Roman" w:hAnsi="Times New Roman" w:cs="Times New Roman"/>
                <w:b/>
                <w:color w:val="auto"/>
                <w:sz w:val="21"/>
                <w:szCs w:val="21"/>
              </w:rPr>
              <w:t xml:space="preserve">  项目产品规模一览表</w:t>
            </w:r>
          </w:p>
          <w:tbl>
            <w:tblPr>
              <w:tblStyle w:val="28"/>
              <w:tblW w:w="840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6"/>
              <w:gridCol w:w="846"/>
              <w:gridCol w:w="1453"/>
              <w:gridCol w:w="718"/>
              <w:gridCol w:w="1412"/>
              <w:gridCol w:w="1370"/>
              <w:gridCol w:w="622"/>
              <w:gridCol w:w="1345"/>
            </w:tblGrid>
            <w:tr w14:paraId="31FCD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378" w:type="pct"/>
                  <w:tcBorders>
                    <w:tl2br w:val="nil"/>
                    <w:tr2bl w:val="nil"/>
                  </w:tcBorders>
                  <w:noWrap w:val="0"/>
                  <w:vAlign w:val="center"/>
                </w:tcPr>
                <w:p w14:paraId="39FB6AA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产品</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名称</w:t>
                  </w:r>
                </w:p>
              </w:tc>
              <w:tc>
                <w:tcPr>
                  <w:tcW w:w="503" w:type="pct"/>
                  <w:tcBorders>
                    <w:tl2br w:val="nil"/>
                    <w:tr2bl w:val="nil"/>
                  </w:tcBorders>
                  <w:noWrap w:val="0"/>
                  <w:vAlign w:val="center"/>
                </w:tcPr>
                <w:p w14:paraId="11EC107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产量</w:t>
                  </w:r>
                </w:p>
              </w:tc>
              <w:tc>
                <w:tcPr>
                  <w:tcW w:w="864" w:type="pct"/>
                  <w:tcBorders>
                    <w:tl2br w:val="nil"/>
                    <w:tr2bl w:val="nil"/>
                  </w:tcBorders>
                  <w:noWrap w:val="0"/>
                  <w:vAlign w:val="center"/>
                </w:tcPr>
                <w:p w14:paraId="4828C79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化学组成及</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含量</w:t>
                  </w:r>
                </w:p>
              </w:tc>
              <w:tc>
                <w:tcPr>
                  <w:tcW w:w="427" w:type="pct"/>
                  <w:tcBorders>
                    <w:tl2br w:val="nil"/>
                    <w:tr2bl w:val="nil"/>
                  </w:tcBorders>
                  <w:noWrap w:val="0"/>
                  <w:vAlign w:val="center"/>
                </w:tcPr>
                <w:p w14:paraId="7BABF42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包装</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方式</w:t>
                  </w:r>
                </w:p>
              </w:tc>
              <w:tc>
                <w:tcPr>
                  <w:tcW w:w="840" w:type="pct"/>
                  <w:tcBorders>
                    <w:tl2br w:val="nil"/>
                    <w:tr2bl w:val="nil"/>
                  </w:tcBorders>
                  <w:noWrap w:val="0"/>
                  <w:vAlign w:val="center"/>
                </w:tcPr>
                <w:p w14:paraId="2401301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规格</w:t>
                  </w:r>
                </w:p>
              </w:tc>
              <w:tc>
                <w:tcPr>
                  <w:tcW w:w="815" w:type="pct"/>
                  <w:tcBorders>
                    <w:tl2br w:val="nil"/>
                    <w:tr2bl w:val="nil"/>
                  </w:tcBorders>
                  <w:noWrap w:val="0"/>
                  <w:vAlign w:val="center"/>
                </w:tcPr>
                <w:p w14:paraId="0EDD3A2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用途</w:t>
                  </w:r>
                </w:p>
              </w:tc>
              <w:tc>
                <w:tcPr>
                  <w:tcW w:w="370" w:type="pct"/>
                  <w:tcBorders>
                    <w:tl2br w:val="nil"/>
                    <w:tr2bl w:val="nil"/>
                  </w:tcBorders>
                  <w:noWrap w:val="0"/>
                  <w:vAlign w:val="center"/>
                </w:tcPr>
                <w:p w14:paraId="1947839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备注</w:t>
                  </w:r>
                </w:p>
              </w:tc>
              <w:tc>
                <w:tcPr>
                  <w:tcW w:w="800" w:type="pct"/>
                  <w:tcBorders>
                    <w:tl2br w:val="nil"/>
                    <w:tr2bl w:val="nil"/>
                  </w:tcBorders>
                  <w:noWrap w:val="0"/>
                  <w:vAlign w:val="center"/>
                </w:tcPr>
                <w:p w14:paraId="4E86539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产品标准</w:t>
                  </w:r>
                </w:p>
              </w:tc>
            </w:tr>
            <w:tr w14:paraId="6B135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378" w:type="pct"/>
                  <w:tcBorders>
                    <w:tl2br w:val="nil"/>
                    <w:tr2bl w:val="nil"/>
                  </w:tcBorders>
                  <w:noWrap w:val="0"/>
                  <w:vAlign w:val="center"/>
                </w:tcPr>
                <w:p w14:paraId="70C28E8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柏木油</w:t>
                  </w:r>
                  <w:r>
                    <w:rPr>
                      <w:rFonts w:hint="default" w:ascii="Times New Roman" w:hAnsi="Times New Roman" w:eastAsia="宋体" w:cs="Times New Roman"/>
                      <w:i w:val="0"/>
                      <w:iCs w:val="0"/>
                      <w:color w:val="auto"/>
                      <w:kern w:val="0"/>
                      <w:sz w:val="21"/>
                      <w:szCs w:val="21"/>
                      <w:u w:val="none"/>
                      <w:lang w:val="en-US" w:eastAsia="zh-CN" w:bidi="ar"/>
                    </w:rPr>
                    <w:t>(香</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柏木油）</w:t>
                  </w:r>
                </w:p>
              </w:tc>
              <w:tc>
                <w:tcPr>
                  <w:tcW w:w="503" w:type="pct"/>
                  <w:tcBorders>
                    <w:tl2br w:val="nil"/>
                    <w:tr2bl w:val="nil"/>
                  </w:tcBorders>
                  <w:noWrap w:val="0"/>
                  <w:vAlign w:val="center"/>
                </w:tcPr>
                <w:p w14:paraId="0ACF31F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0t/a</w:t>
                  </w:r>
                </w:p>
              </w:tc>
              <w:tc>
                <w:tcPr>
                  <w:tcW w:w="864" w:type="pct"/>
                  <w:tcBorders>
                    <w:tl2br w:val="nil"/>
                    <w:tr2bl w:val="nil"/>
                  </w:tcBorders>
                  <w:noWrap w:val="0"/>
                  <w:vAlign w:val="center"/>
                </w:tcPr>
                <w:p w14:paraId="2DF3BA1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主要成分为罗汉30.11%、柏木烯5.44%、柏木脑18.98%，含水率为1.8%</w:t>
                  </w:r>
                </w:p>
              </w:tc>
              <w:tc>
                <w:tcPr>
                  <w:tcW w:w="427" w:type="pct"/>
                  <w:tcBorders>
                    <w:tl2br w:val="nil"/>
                    <w:tr2bl w:val="nil"/>
                  </w:tcBorders>
                  <w:noWrap w:val="0"/>
                  <w:vAlign w:val="center"/>
                </w:tcPr>
                <w:p w14:paraId="2ABFF59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桶装</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(塑料</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桶)</w:t>
                  </w:r>
                </w:p>
              </w:tc>
              <w:tc>
                <w:tcPr>
                  <w:tcW w:w="840" w:type="pct"/>
                  <w:tcBorders>
                    <w:tl2br w:val="nil"/>
                    <w:tr2bl w:val="nil"/>
                  </w:tcBorders>
                  <w:noWrap w:val="0"/>
                  <w:vAlign w:val="center"/>
                </w:tcPr>
                <w:p w14:paraId="6639A31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200kg/桶</w:t>
                  </w:r>
                </w:p>
              </w:tc>
              <w:tc>
                <w:tcPr>
                  <w:tcW w:w="815" w:type="pct"/>
                  <w:tcBorders>
                    <w:tl2br w:val="nil"/>
                    <w:tr2bl w:val="nil"/>
                  </w:tcBorders>
                  <w:noWrap w:val="0"/>
                  <w:vAlign w:val="center"/>
                </w:tcPr>
                <w:p w14:paraId="379393B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主要外售，用以调配香皂，是化妆品香精的重要香料</w:t>
                  </w:r>
                </w:p>
              </w:tc>
              <w:tc>
                <w:tcPr>
                  <w:tcW w:w="370" w:type="pct"/>
                  <w:tcBorders>
                    <w:tl2br w:val="nil"/>
                    <w:tr2bl w:val="nil"/>
                  </w:tcBorders>
                  <w:noWrap w:val="0"/>
                  <w:vAlign w:val="center"/>
                </w:tcPr>
                <w:p w14:paraId="717F323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主要</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产品</w:t>
                  </w:r>
                </w:p>
              </w:tc>
              <w:tc>
                <w:tcPr>
                  <w:tcW w:w="800" w:type="pct"/>
                  <w:tcBorders>
                    <w:tl2br w:val="nil"/>
                    <w:tr2bl w:val="nil"/>
                  </w:tcBorders>
                  <w:noWrap w:val="0"/>
                  <w:vAlign w:val="center"/>
                </w:tcPr>
                <w:p w14:paraId="7635665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w:t>
                  </w:r>
                  <w:r>
                    <w:rPr>
                      <w:rFonts w:hint="eastAsia" w:ascii="Times New Roman" w:hAnsi="Times New Roman" w:eastAsia="宋体" w:cs="Times New Roman"/>
                      <w:i w:val="0"/>
                      <w:iCs w:val="0"/>
                      <w:color w:val="auto"/>
                      <w:kern w:val="0"/>
                      <w:sz w:val="21"/>
                      <w:szCs w:val="21"/>
                      <w:u w:val="none"/>
                      <w:lang w:val="en-US" w:eastAsia="zh-CN" w:bidi="ar"/>
                    </w:rPr>
                    <w:t>柏木油</w:t>
                  </w:r>
                  <w:r>
                    <w:rPr>
                      <w:rFonts w:hint="default" w:ascii="Times New Roman" w:hAnsi="Times New Roman" w:eastAsia="宋体" w:cs="Times New Roman"/>
                      <w:i w:val="0"/>
                      <w:iCs w:val="0"/>
                      <w:color w:val="auto"/>
                      <w:kern w:val="0"/>
                      <w:sz w:val="21"/>
                      <w:szCs w:val="21"/>
                      <w:u w:val="none"/>
                      <w:lang w:val="en-US" w:eastAsia="zh-CN" w:bidi="ar"/>
                    </w:rPr>
                    <w:t>为粗加</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工，不是</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最终产品，只有产品组分表，尚无产品标准</w:t>
                  </w:r>
                </w:p>
              </w:tc>
            </w:tr>
            <w:tr w14:paraId="00B576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378" w:type="pct"/>
                  <w:tcBorders>
                    <w:tl2br w:val="nil"/>
                    <w:tr2bl w:val="nil"/>
                  </w:tcBorders>
                  <w:noWrap w:val="0"/>
                  <w:vAlign w:val="center"/>
                </w:tcPr>
                <w:p w14:paraId="23AD2B4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生物质颗粒</w:t>
                  </w:r>
                </w:p>
              </w:tc>
              <w:tc>
                <w:tcPr>
                  <w:tcW w:w="503" w:type="pct"/>
                  <w:tcBorders>
                    <w:tl2br w:val="nil"/>
                    <w:tr2bl w:val="nil"/>
                  </w:tcBorders>
                  <w:noWrap w:val="0"/>
                  <w:vAlign w:val="center"/>
                </w:tcPr>
                <w:p w14:paraId="02A680A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45</w:t>
                  </w:r>
                  <w:r>
                    <w:rPr>
                      <w:rFonts w:hint="default" w:ascii="Times New Roman" w:hAnsi="Times New Roman" w:eastAsia="宋体" w:cs="Times New Roman"/>
                      <w:i w:val="0"/>
                      <w:iCs w:val="0"/>
                      <w:color w:val="auto"/>
                      <w:kern w:val="0"/>
                      <w:sz w:val="21"/>
                      <w:szCs w:val="21"/>
                      <w:u w:val="none"/>
                      <w:lang w:val="en-US" w:eastAsia="zh-CN" w:bidi="ar"/>
                    </w:rPr>
                    <w:t>00t/a</w:t>
                  </w:r>
                </w:p>
              </w:tc>
              <w:tc>
                <w:tcPr>
                  <w:tcW w:w="864" w:type="pct"/>
                  <w:tcBorders>
                    <w:tl2br w:val="nil"/>
                    <w:tr2bl w:val="nil"/>
                  </w:tcBorders>
                  <w:noWrap w:val="0"/>
                  <w:vAlign w:val="center"/>
                </w:tcPr>
                <w:p w14:paraId="0BD2849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含碳量</w:t>
                  </w:r>
                  <w:r>
                    <w:rPr>
                      <w:rFonts w:hint="default" w:ascii="Times New Roman" w:hAnsi="Times New Roman" w:eastAsia="宋体" w:cs="Times New Roman"/>
                      <w:i w:val="0"/>
                      <w:iCs w:val="0"/>
                      <w:color w:val="auto"/>
                      <w:kern w:val="0"/>
                      <w:sz w:val="21"/>
                      <w:szCs w:val="21"/>
                      <w:u w:val="none"/>
                      <w:lang w:val="en-US" w:eastAsia="zh-CN" w:bidi="ar"/>
                    </w:rPr>
                    <w:t>75~85%，灰份3~6%，含水率约8.87%</w:t>
                  </w:r>
                </w:p>
              </w:tc>
              <w:tc>
                <w:tcPr>
                  <w:tcW w:w="427" w:type="pct"/>
                  <w:tcBorders>
                    <w:tl2br w:val="nil"/>
                    <w:tr2bl w:val="nil"/>
                  </w:tcBorders>
                  <w:noWrap w:val="0"/>
                  <w:vAlign w:val="center"/>
                </w:tcPr>
                <w:p w14:paraId="05AA44F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袋装</w:t>
                  </w:r>
                </w:p>
              </w:tc>
              <w:tc>
                <w:tcPr>
                  <w:tcW w:w="840" w:type="pct"/>
                  <w:tcBorders>
                    <w:tl2br w:val="nil"/>
                    <w:tr2bl w:val="nil"/>
                  </w:tcBorders>
                  <w:noWrap w:val="0"/>
                  <w:vAlign w:val="center"/>
                </w:tcPr>
                <w:p w14:paraId="792BC4C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1吨/袋</w:t>
                  </w:r>
                </w:p>
                <w:p w14:paraId="2EA6F0C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15" w:type="pct"/>
                  <w:tcBorders>
                    <w:tl2br w:val="nil"/>
                    <w:tr2bl w:val="nil"/>
                  </w:tcBorders>
                  <w:noWrap w:val="0"/>
                  <w:vAlign w:val="center"/>
                </w:tcPr>
                <w:p w14:paraId="489E998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除本项目锅炉使用外其余</w:t>
                  </w:r>
                  <w:r>
                    <w:rPr>
                      <w:rFonts w:hint="default" w:ascii="Times New Roman" w:hAnsi="Times New Roman" w:eastAsia="宋体" w:cs="Times New Roman"/>
                      <w:i w:val="0"/>
                      <w:iCs w:val="0"/>
                      <w:color w:val="auto"/>
                      <w:kern w:val="0"/>
                      <w:sz w:val="21"/>
                      <w:szCs w:val="21"/>
                      <w:u w:val="none"/>
                      <w:lang w:val="en-US" w:eastAsia="zh-CN" w:bidi="ar"/>
                    </w:rPr>
                    <w:t>外售，作</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为生物质</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燃料</w:t>
                  </w:r>
                </w:p>
              </w:tc>
              <w:tc>
                <w:tcPr>
                  <w:tcW w:w="370" w:type="pct"/>
                  <w:tcBorders>
                    <w:tl2br w:val="nil"/>
                    <w:tr2bl w:val="nil"/>
                  </w:tcBorders>
                  <w:noWrap w:val="0"/>
                  <w:vAlign w:val="center"/>
                </w:tcPr>
                <w:p w14:paraId="15C05E7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副产</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品</w:t>
                  </w:r>
                </w:p>
              </w:tc>
              <w:tc>
                <w:tcPr>
                  <w:tcW w:w="800" w:type="pct"/>
                  <w:tcBorders>
                    <w:tl2br w:val="nil"/>
                    <w:tr2bl w:val="nil"/>
                  </w:tcBorders>
                  <w:noWrap w:val="0"/>
                  <w:vAlign w:val="center"/>
                </w:tcPr>
                <w:p w14:paraId="3DA4785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粗产品，无产品质量标准</w:t>
                  </w:r>
                </w:p>
              </w:tc>
            </w:tr>
          </w:tbl>
          <w:p w14:paraId="3BD53A7B">
            <w:pPr>
              <w:pStyle w:val="25"/>
              <w:keepNext w:val="0"/>
              <w:keepLines w:val="0"/>
              <w:widowControl w:val="0"/>
              <w:suppressLineNumbers w:val="0"/>
              <w:overflowPunct w:val="0"/>
              <w:topLinePunct/>
              <w:adjustRightInd w:val="0"/>
              <w:snapToGrid w:val="0"/>
              <w:spacing w:before="0" w:beforeAutospacing="0" w:after="0" w:afterAutospacing="0"/>
              <w:ind w:left="0" w:right="0" w:firstLine="482" w:firstLineChars="200"/>
              <w:contextualSpacing/>
              <w:jc w:val="both"/>
              <w:rPr>
                <w:rFonts w:hint="default" w:ascii="Times New Roman" w:hAnsi="Times New Roman" w:eastAsia="宋体" w:cs="宋体"/>
                <w:b/>
                <w:bCs/>
                <w:color w:val="auto"/>
                <w:kern w:val="2"/>
                <w:sz w:val="24"/>
                <w:szCs w:val="24"/>
                <w:lang w:val="en-US" w:eastAsia="zh-CN" w:bidi="ar"/>
              </w:rPr>
            </w:pPr>
            <w:r>
              <w:rPr>
                <w:rFonts w:hint="eastAsia" w:ascii="Times New Roman" w:hAnsi="Times New Roman" w:eastAsia="宋体" w:cs="宋体"/>
                <w:b/>
                <w:bCs/>
                <w:color w:val="auto"/>
                <w:kern w:val="2"/>
                <w:sz w:val="24"/>
                <w:szCs w:val="24"/>
                <w:lang w:val="en-US" w:eastAsia="zh-CN" w:bidi="ar"/>
              </w:rPr>
              <w:t>1）柏木油</w:t>
            </w:r>
          </w:p>
          <w:p w14:paraId="0B6EA2E4">
            <w:pPr>
              <w:pStyle w:val="25"/>
              <w:keepNext w:val="0"/>
              <w:keepLines w:val="0"/>
              <w:widowControl w:val="0"/>
              <w:suppressLineNumbers w:val="0"/>
              <w:overflowPunct w:val="0"/>
              <w:topLinePunct/>
              <w:adjustRightInd w:val="0"/>
              <w:snapToGrid w:val="0"/>
              <w:spacing w:before="0" w:beforeAutospacing="0" w:after="0" w:afterAutospacing="0"/>
              <w:ind w:left="0" w:right="0" w:firstLine="480" w:firstLineChars="200"/>
              <w:contextualSpacing/>
              <w:jc w:val="both"/>
              <w:rPr>
                <w:rFonts w:hint="eastAsia" w:ascii="Times New Roman" w:hAnsi="Times New Roman" w:eastAsia="宋体" w:cs="宋体"/>
                <w:color w:val="auto"/>
                <w:kern w:val="2"/>
                <w:sz w:val="21"/>
                <w:szCs w:val="21"/>
                <w:lang w:bidi="ar"/>
              </w:rPr>
            </w:pPr>
            <w:r>
              <w:rPr>
                <w:rFonts w:hint="eastAsia" w:ascii="Times New Roman" w:hAnsi="Times New Roman" w:eastAsia="宋体" w:cs="宋体"/>
                <w:color w:val="auto"/>
                <w:kern w:val="2"/>
                <w:sz w:val="24"/>
                <w:szCs w:val="24"/>
                <w:lang w:bidi="ar"/>
              </w:rPr>
              <w:t>柏木油：是一种混合性油类物质，液体，密度0.952g/ml（25</w:t>
            </w:r>
            <w:r>
              <w:rPr>
                <w:rFonts w:hint="eastAsia" w:ascii="Times New Roman" w:hAnsi="Times New Roman" w:eastAsia="宋体" w:cs="宋体"/>
                <w:color w:val="auto"/>
                <w:kern w:val="2"/>
                <w:sz w:val="24"/>
                <w:szCs w:val="24"/>
                <w:lang w:eastAsia="zh-CN" w:bidi="ar"/>
              </w:rPr>
              <w:t>℃</w:t>
            </w:r>
            <w:r>
              <w:rPr>
                <w:rFonts w:hint="eastAsia" w:ascii="Times New Roman" w:hAnsi="Times New Roman" w:eastAsia="宋体" w:cs="宋体"/>
                <w:color w:val="auto"/>
                <w:kern w:val="2"/>
                <w:sz w:val="24"/>
                <w:szCs w:val="24"/>
                <w:lang w:bidi="ar"/>
              </w:rPr>
              <w:t>），折射率1.456～1.460，闪点135</w:t>
            </w:r>
            <w:r>
              <w:rPr>
                <w:rFonts w:hint="eastAsia" w:ascii="Times New Roman" w:hAnsi="Times New Roman" w:eastAsia="宋体" w:cs="宋体"/>
                <w:color w:val="auto"/>
                <w:kern w:val="2"/>
                <w:sz w:val="24"/>
                <w:szCs w:val="24"/>
                <w:lang w:eastAsia="zh-CN" w:bidi="ar"/>
              </w:rPr>
              <w:t>℃</w:t>
            </w:r>
            <w:r>
              <w:rPr>
                <w:rFonts w:hint="eastAsia" w:ascii="Times New Roman" w:hAnsi="Times New Roman" w:eastAsia="宋体" w:cs="宋体"/>
                <w:color w:val="auto"/>
                <w:kern w:val="2"/>
                <w:sz w:val="24"/>
                <w:szCs w:val="24"/>
                <w:lang w:bidi="ar"/>
              </w:rPr>
              <w:t>，沸点279</w:t>
            </w:r>
            <w:r>
              <w:rPr>
                <w:rFonts w:hint="eastAsia" w:ascii="Times New Roman" w:hAnsi="Times New Roman" w:eastAsia="宋体" w:cs="宋体"/>
                <w:color w:val="auto"/>
                <w:kern w:val="2"/>
                <w:sz w:val="24"/>
                <w:szCs w:val="24"/>
                <w:lang w:eastAsia="zh-CN" w:bidi="ar"/>
              </w:rPr>
              <w:t>℃</w:t>
            </w:r>
            <w:r>
              <w:rPr>
                <w:rFonts w:hint="eastAsia" w:ascii="Times New Roman" w:hAnsi="Times New Roman" w:eastAsia="宋体" w:cs="宋体"/>
                <w:color w:val="auto"/>
                <w:kern w:val="2"/>
                <w:sz w:val="24"/>
                <w:szCs w:val="24"/>
                <w:lang w:bidi="ar"/>
              </w:rPr>
              <w:t>，比重0.96～0.97，水的溶解性（＜0.1%）。</w:t>
            </w:r>
          </w:p>
          <w:p w14:paraId="3DF91357">
            <w:pPr>
              <w:pStyle w:val="25"/>
              <w:keepNext w:val="0"/>
              <w:keepLines w:val="0"/>
              <w:widowControl w:val="0"/>
              <w:suppressLineNumbers w:val="0"/>
              <w:overflowPunct w:val="0"/>
              <w:topLinePunct/>
              <w:adjustRightInd w:val="0"/>
              <w:snapToGrid w:val="0"/>
              <w:spacing w:before="0" w:beforeAutospacing="0" w:after="0" w:afterAutospacing="0"/>
              <w:ind w:left="0" w:right="0" w:firstLine="480" w:firstLineChars="200"/>
              <w:contextualSpacing/>
              <w:jc w:val="both"/>
              <w:rPr>
                <w:rFonts w:hint="eastAsia" w:ascii="Calibri" w:hAnsi="Calibri" w:eastAsia="宋体" w:cs="Calibri"/>
                <w:i w:val="0"/>
                <w:iCs w:val="0"/>
                <w:color w:val="auto"/>
                <w:kern w:val="0"/>
                <w:sz w:val="24"/>
                <w:szCs w:val="24"/>
                <w:u w:val="none"/>
                <w:vertAlign w:val="baseline"/>
                <w:lang w:val="en-US" w:eastAsia="zh-CN" w:bidi="ar"/>
              </w:rPr>
            </w:pPr>
            <w:r>
              <w:rPr>
                <w:rFonts w:hint="eastAsia" w:ascii="Calibri" w:hAnsi="Calibri" w:eastAsia="宋体" w:cs="Calibri"/>
                <w:i w:val="0"/>
                <w:iCs w:val="0"/>
                <w:color w:val="auto"/>
                <w:kern w:val="0"/>
                <w:sz w:val="24"/>
                <w:szCs w:val="24"/>
                <w:u w:val="none"/>
                <w:vertAlign w:val="baseline"/>
                <w:lang w:val="en-US" w:eastAsia="zh-CN" w:bidi="ar"/>
              </w:rPr>
              <w:t>目前</w:t>
            </w:r>
            <w:r>
              <w:rPr>
                <w:rFonts w:hint="eastAsia" w:ascii="Calibri" w:hAnsi="Calibri" w:cs="Calibri"/>
                <w:i w:val="0"/>
                <w:iCs w:val="0"/>
                <w:color w:val="auto"/>
                <w:kern w:val="0"/>
                <w:sz w:val="24"/>
                <w:szCs w:val="24"/>
                <w:u w:val="none"/>
                <w:vertAlign w:val="baseline"/>
                <w:lang w:val="en-US" w:eastAsia="zh-CN" w:bidi="ar"/>
              </w:rPr>
              <w:t>项目</w:t>
            </w:r>
            <w:r>
              <w:rPr>
                <w:rFonts w:hint="eastAsia" w:ascii="Calibri" w:hAnsi="Calibri" w:eastAsia="宋体" w:cs="Calibri"/>
                <w:i w:val="0"/>
                <w:iCs w:val="0"/>
                <w:color w:val="auto"/>
                <w:kern w:val="0"/>
                <w:sz w:val="24"/>
                <w:szCs w:val="24"/>
                <w:u w:val="none"/>
                <w:vertAlign w:val="baseline"/>
                <w:lang w:val="en-US" w:eastAsia="zh-CN" w:bidi="ar"/>
              </w:rPr>
              <w:t>尚未投产，类比同类型企业生产柏木油产品检验报告（见附件），柏木油产品检验性质如下表所示。本项目生产的柏木油为粗加工半成品，不是最终产品，只有产品组分表，尚无产品标准。</w:t>
            </w:r>
          </w:p>
          <w:p w14:paraId="3661BB94">
            <w:pPr>
              <w:keepNext w:val="0"/>
              <w:keepLines w:val="0"/>
              <w:suppressLineNumbers w:val="0"/>
              <w:spacing w:before="0" w:beforeAutospacing="0" w:after="0" w:afterAutospacing="0" w:line="240" w:lineRule="auto"/>
              <w:ind w:left="0" w:right="0" w:firstLine="422" w:firstLineChars="200"/>
              <w:jc w:val="center"/>
              <w:rPr>
                <w:rFonts w:hint="eastAsia"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w:t>
            </w:r>
            <w:r>
              <w:rPr>
                <w:rFonts w:hint="eastAsia" w:ascii="Times New Roman" w:hAnsi="Times New Roman" w:eastAsia="宋体" w:cs="Times New Roman"/>
                <w:b/>
                <w:color w:val="auto"/>
                <w:sz w:val="21"/>
                <w:szCs w:val="21"/>
                <w:lang w:val="en-US" w:eastAsia="zh-CN"/>
              </w:rPr>
              <w:t>2-2</w:t>
            </w:r>
            <w:r>
              <w:rPr>
                <w:rFonts w:hint="default" w:ascii="Times New Roman" w:hAnsi="Times New Roman" w:eastAsia="宋体" w:cs="Times New Roman"/>
                <w:b/>
                <w:color w:val="auto"/>
                <w:sz w:val="21"/>
                <w:szCs w:val="21"/>
                <w:lang w:val="en-US" w:eastAsia="zh-CN"/>
              </w:rPr>
              <w:t xml:space="preserve"> </w:t>
            </w:r>
            <w:r>
              <w:rPr>
                <w:rFonts w:hint="eastAsia" w:ascii="Times New Roman" w:hAnsi="Times New Roman" w:eastAsia="宋体" w:cs="Times New Roman"/>
                <w:b/>
                <w:color w:val="auto"/>
                <w:sz w:val="21"/>
                <w:szCs w:val="21"/>
                <w:lang w:val="en-US" w:eastAsia="zh-CN"/>
              </w:rPr>
              <w:t>柏木油产品检验报告</w:t>
            </w:r>
          </w:p>
          <w:tbl>
            <w:tblPr>
              <w:tblStyle w:val="29"/>
              <w:tblW w:w="833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340"/>
              <w:gridCol w:w="4289"/>
            </w:tblGrid>
            <w:tr w14:paraId="10726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noWrap w:val="0"/>
                  <w:vAlign w:val="center"/>
                </w:tcPr>
                <w:p w14:paraId="450F3163">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序号</w:t>
                  </w:r>
                </w:p>
              </w:tc>
              <w:tc>
                <w:tcPr>
                  <w:tcW w:w="2340" w:type="dxa"/>
                  <w:tcBorders>
                    <w:tl2br w:val="nil"/>
                    <w:tr2bl w:val="nil"/>
                  </w:tcBorders>
                  <w:noWrap w:val="0"/>
                  <w:vAlign w:val="center"/>
                </w:tcPr>
                <w:p w14:paraId="6BDED23A">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技术指标</w:t>
                  </w:r>
                </w:p>
              </w:tc>
              <w:tc>
                <w:tcPr>
                  <w:tcW w:w="4289" w:type="dxa"/>
                  <w:tcBorders>
                    <w:tl2br w:val="nil"/>
                    <w:tr2bl w:val="nil"/>
                  </w:tcBorders>
                  <w:noWrap w:val="0"/>
                  <w:vAlign w:val="center"/>
                </w:tcPr>
                <w:p w14:paraId="4EBC705E">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检验数据</w:t>
                  </w:r>
                </w:p>
              </w:tc>
            </w:tr>
            <w:tr w14:paraId="3967C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noWrap w:val="0"/>
                  <w:vAlign w:val="center"/>
                </w:tcPr>
                <w:p w14:paraId="7493346C">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1</w:t>
                  </w:r>
                </w:p>
              </w:tc>
              <w:tc>
                <w:tcPr>
                  <w:tcW w:w="2340" w:type="dxa"/>
                  <w:tcBorders>
                    <w:tl2br w:val="nil"/>
                    <w:tr2bl w:val="nil"/>
                  </w:tcBorders>
                  <w:noWrap w:val="0"/>
                  <w:vAlign w:val="center"/>
                </w:tcPr>
                <w:p w14:paraId="51F6CFAE">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性状</w:t>
                  </w:r>
                </w:p>
              </w:tc>
              <w:tc>
                <w:tcPr>
                  <w:tcW w:w="4289" w:type="dxa"/>
                  <w:tcBorders>
                    <w:tl2br w:val="nil"/>
                    <w:tr2bl w:val="nil"/>
                  </w:tcBorders>
                  <w:noWrap w:val="0"/>
                  <w:vAlign w:val="center"/>
                </w:tcPr>
                <w:p w14:paraId="1E2B0716">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淡黄色液体</w:t>
                  </w:r>
                </w:p>
              </w:tc>
            </w:tr>
            <w:tr w14:paraId="5941D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noWrap w:val="0"/>
                  <w:vAlign w:val="center"/>
                </w:tcPr>
                <w:p w14:paraId="38B6431B">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2</w:t>
                  </w:r>
                </w:p>
              </w:tc>
              <w:tc>
                <w:tcPr>
                  <w:tcW w:w="2340" w:type="dxa"/>
                  <w:tcBorders>
                    <w:tl2br w:val="nil"/>
                    <w:tr2bl w:val="nil"/>
                  </w:tcBorders>
                  <w:noWrap w:val="0"/>
                  <w:vAlign w:val="center"/>
                </w:tcPr>
                <w:p w14:paraId="2FBD6455">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香气</w:t>
                  </w:r>
                </w:p>
              </w:tc>
              <w:tc>
                <w:tcPr>
                  <w:tcW w:w="4289" w:type="dxa"/>
                  <w:tcBorders>
                    <w:tl2br w:val="nil"/>
                    <w:tr2bl w:val="nil"/>
                  </w:tcBorders>
                  <w:noWrap w:val="0"/>
                  <w:vAlign w:val="center"/>
                </w:tcPr>
                <w:p w14:paraId="10DB890B">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有强烈的柏木香气</w:t>
                  </w:r>
                </w:p>
              </w:tc>
            </w:tr>
            <w:tr w14:paraId="5DC95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noWrap w:val="0"/>
                  <w:vAlign w:val="center"/>
                </w:tcPr>
                <w:p w14:paraId="6CDC1B9F">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3</w:t>
                  </w:r>
                </w:p>
              </w:tc>
              <w:tc>
                <w:tcPr>
                  <w:tcW w:w="2340" w:type="dxa"/>
                  <w:tcBorders>
                    <w:tl2br w:val="nil"/>
                    <w:tr2bl w:val="nil"/>
                  </w:tcBorders>
                  <w:noWrap w:val="0"/>
                  <w:vAlign w:val="center"/>
                </w:tcPr>
                <w:p w14:paraId="543E4F90">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罗汉</w:t>
                  </w:r>
                </w:p>
              </w:tc>
              <w:tc>
                <w:tcPr>
                  <w:tcW w:w="4289" w:type="dxa"/>
                  <w:tcBorders>
                    <w:tl2br w:val="nil"/>
                    <w:tr2bl w:val="nil"/>
                  </w:tcBorders>
                  <w:noWrap w:val="0"/>
                  <w:vAlign w:val="center"/>
                </w:tcPr>
                <w:p w14:paraId="5751F162">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30.11%</w:t>
                  </w:r>
                </w:p>
              </w:tc>
            </w:tr>
            <w:tr w14:paraId="3DC0D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noWrap w:val="0"/>
                  <w:vAlign w:val="center"/>
                </w:tcPr>
                <w:p w14:paraId="6BBFA90B">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4</w:t>
                  </w:r>
                </w:p>
              </w:tc>
              <w:tc>
                <w:tcPr>
                  <w:tcW w:w="2340" w:type="dxa"/>
                  <w:tcBorders>
                    <w:tl2br w:val="nil"/>
                    <w:tr2bl w:val="nil"/>
                  </w:tcBorders>
                  <w:noWrap w:val="0"/>
                  <w:vAlign w:val="center"/>
                </w:tcPr>
                <w:p w14:paraId="7EE0A3DD">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柏木烯</w:t>
                  </w:r>
                </w:p>
              </w:tc>
              <w:tc>
                <w:tcPr>
                  <w:tcW w:w="4289" w:type="dxa"/>
                  <w:tcBorders>
                    <w:tl2br w:val="nil"/>
                    <w:tr2bl w:val="nil"/>
                  </w:tcBorders>
                  <w:noWrap w:val="0"/>
                  <w:vAlign w:val="center"/>
                </w:tcPr>
                <w:p w14:paraId="2A78626B">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5.44%</w:t>
                  </w:r>
                </w:p>
              </w:tc>
            </w:tr>
            <w:tr w14:paraId="292A3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noWrap w:val="0"/>
                  <w:vAlign w:val="center"/>
                </w:tcPr>
                <w:p w14:paraId="01A6F45F">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5</w:t>
                  </w:r>
                </w:p>
              </w:tc>
              <w:tc>
                <w:tcPr>
                  <w:tcW w:w="2340" w:type="dxa"/>
                  <w:tcBorders>
                    <w:tl2br w:val="nil"/>
                    <w:tr2bl w:val="nil"/>
                  </w:tcBorders>
                  <w:noWrap w:val="0"/>
                  <w:vAlign w:val="center"/>
                </w:tcPr>
                <w:p w14:paraId="4E968339">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柏木脑</w:t>
                  </w:r>
                </w:p>
              </w:tc>
              <w:tc>
                <w:tcPr>
                  <w:tcW w:w="4289" w:type="dxa"/>
                  <w:tcBorders>
                    <w:tl2br w:val="nil"/>
                    <w:tr2bl w:val="nil"/>
                  </w:tcBorders>
                  <w:noWrap w:val="0"/>
                  <w:vAlign w:val="center"/>
                </w:tcPr>
                <w:p w14:paraId="23048620">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18.98%</w:t>
                  </w:r>
                </w:p>
              </w:tc>
            </w:tr>
            <w:tr w14:paraId="177B3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tcBorders>
                    <w:tl2br w:val="nil"/>
                    <w:tr2bl w:val="nil"/>
                  </w:tcBorders>
                  <w:noWrap w:val="0"/>
                  <w:vAlign w:val="center"/>
                </w:tcPr>
                <w:p w14:paraId="290915FF">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6</w:t>
                  </w:r>
                </w:p>
              </w:tc>
              <w:tc>
                <w:tcPr>
                  <w:tcW w:w="2340" w:type="dxa"/>
                  <w:tcBorders>
                    <w:tl2br w:val="nil"/>
                    <w:tr2bl w:val="nil"/>
                  </w:tcBorders>
                  <w:noWrap w:val="0"/>
                  <w:vAlign w:val="center"/>
                </w:tcPr>
                <w:p w14:paraId="05131932">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含水</w:t>
                  </w:r>
                </w:p>
              </w:tc>
              <w:tc>
                <w:tcPr>
                  <w:tcW w:w="4289" w:type="dxa"/>
                  <w:tcBorders>
                    <w:tl2br w:val="nil"/>
                    <w:tr2bl w:val="nil"/>
                  </w:tcBorders>
                  <w:noWrap w:val="0"/>
                  <w:vAlign w:val="center"/>
                </w:tcPr>
                <w:p w14:paraId="6959AFB6">
                  <w:pPr>
                    <w:pStyle w:val="25"/>
                    <w:keepNext w:val="0"/>
                    <w:keepLines w:val="0"/>
                    <w:widowControl w:val="0"/>
                    <w:suppressLineNumbers w:val="0"/>
                    <w:overflowPunct w:val="0"/>
                    <w:topLinePunct/>
                    <w:adjustRightInd w:val="0"/>
                    <w:snapToGrid w:val="0"/>
                    <w:spacing w:before="0" w:beforeAutospacing="0" w:after="0" w:afterAutospacing="0"/>
                    <w:ind w:left="0" w:right="0"/>
                    <w:contextualSpacing/>
                    <w:jc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1.8%</w:t>
                  </w:r>
                </w:p>
              </w:tc>
            </w:tr>
          </w:tbl>
          <w:p w14:paraId="641AAB9D">
            <w:pPr>
              <w:pStyle w:val="25"/>
              <w:keepNext w:val="0"/>
              <w:keepLines w:val="0"/>
              <w:widowControl w:val="0"/>
              <w:suppressLineNumbers w:val="0"/>
              <w:overflowPunct w:val="0"/>
              <w:topLinePunct/>
              <w:adjustRightInd w:val="0"/>
              <w:snapToGrid w:val="0"/>
              <w:spacing w:before="0" w:beforeAutospacing="0" w:after="0" w:afterAutospacing="0"/>
              <w:ind w:left="0" w:right="0" w:firstLine="480" w:firstLineChars="200"/>
              <w:contextualSpacing/>
              <w:jc w:val="both"/>
              <w:rPr>
                <w:rFonts w:hint="default" w:ascii="Times New Roman" w:hAnsi="Times New Roman" w:eastAsia="宋体" w:cs="Times New Roman"/>
                <w:i w:val="0"/>
                <w:iCs w:val="0"/>
                <w:color w:val="auto"/>
                <w:kern w:val="0"/>
                <w:sz w:val="24"/>
                <w:szCs w:val="24"/>
                <w:u w:val="none"/>
                <w:vertAlign w:val="baseline"/>
                <w:lang w:val="en-US" w:eastAsia="zh-CN" w:bidi="ar"/>
              </w:rPr>
            </w:pPr>
            <w:r>
              <w:rPr>
                <w:rFonts w:hint="eastAsia" w:ascii="Times New Roman" w:hAnsi="Times New Roman" w:eastAsia="宋体" w:cs="Times New Roman"/>
                <w:i w:val="0"/>
                <w:iCs w:val="0"/>
                <w:color w:val="auto"/>
                <w:kern w:val="0"/>
                <w:sz w:val="24"/>
                <w:szCs w:val="24"/>
                <w:u w:val="none"/>
                <w:vertAlign w:val="baseline"/>
                <w:lang w:val="en-US" w:eastAsia="zh-CN" w:bidi="ar"/>
              </w:rPr>
              <w:t>柏木油</w:t>
            </w:r>
            <w:r>
              <w:rPr>
                <w:rFonts w:hint="eastAsia" w:ascii="Times New Roman" w:hAnsi="Times New Roman" w:cs="Times New Roman"/>
                <w:i w:val="0"/>
                <w:iCs w:val="0"/>
                <w:color w:val="auto"/>
                <w:kern w:val="0"/>
                <w:sz w:val="24"/>
                <w:szCs w:val="24"/>
                <w:u w:val="none"/>
                <w:vertAlign w:val="baseline"/>
                <w:lang w:val="en-US" w:eastAsia="zh-CN" w:bidi="ar"/>
              </w:rPr>
              <w:t>的主要成分</w:t>
            </w:r>
            <w:r>
              <w:rPr>
                <w:rFonts w:hint="default" w:ascii="Times New Roman" w:hAnsi="Times New Roman" w:eastAsia="宋体" w:cs="Times New Roman"/>
                <w:i w:val="0"/>
                <w:iCs w:val="0"/>
                <w:color w:val="auto"/>
                <w:kern w:val="0"/>
                <w:sz w:val="24"/>
                <w:szCs w:val="24"/>
                <w:u w:val="none"/>
                <w:vertAlign w:val="baseline"/>
                <w:lang w:val="en-US" w:eastAsia="zh-CN" w:bidi="ar"/>
              </w:rPr>
              <w:t>包括罗汉柏木烯和柏木脑，其性质如下:</w:t>
            </w:r>
          </w:p>
          <w:p w14:paraId="187C0C51">
            <w:pPr>
              <w:pStyle w:val="25"/>
              <w:keepNext w:val="0"/>
              <w:keepLines w:val="0"/>
              <w:widowControl w:val="0"/>
              <w:suppressLineNumbers w:val="0"/>
              <w:overflowPunct w:val="0"/>
              <w:topLinePunct/>
              <w:adjustRightInd w:val="0"/>
              <w:snapToGrid w:val="0"/>
              <w:spacing w:before="0" w:beforeAutospacing="0" w:after="0" w:afterAutospacing="0"/>
              <w:ind w:left="0" w:right="0" w:firstLine="480" w:firstLineChars="200"/>
              <w:contextualSpacing/>
              <w:jc w:val="both"/>
              <w:rPr>
                <w:rFonts w:hint="default" w:ascii="Times New Roman" w:hAnsi="Times New Roman" w:eastAsia="宋体" w:cs="Times New Roman"/>
                <w:i w:val="0"/>
                <w:iCs w:val="0"/>
                <w:color w:val="auto"/>
                <w:kern w:val="0"/>
                <w:sz w:val="24"/>
                <w:szCs w:val="24"/>
                <w:u w:val="none"/>
                <w:vertAlign w:val="baseline"/>
                <w:lang w:val="en-US" w:eastAsia="zh-CN" w:bidi="ar"/>
              </w:rPr>
            </w:pPr>
            <w:r>
              <w:rPr>
                <w:rFonts w:hint="default" w:ascii="Times New Roman" w:hAnsi="Times New Roman" w:eastAsia="宋体" w:cs="Times New Roman"/>
                <w:i w:val="0"/>
                <w:iCs w:val="0"/>
                <w:color w:val="auto"/>
                <w:kern w:val="0"/>
                <w:sz w:val="24"/>
                <w:szCs w:val="24"/>
                <w:u w:val="none"/>
                <w:vertAlign w:val="baseline"/>
                <w:lang w:val="en-US" w:eastAsia="zh-CN" w:bidi="ar"/>
              </w:rPr>
              <w:t>罗汉柏木烯</w:t>
            </w:r>
            <w:r>
              <w:rPr>
                <w:rFonts w:hint="eastAsia" w:ascii="Times New Roman" w:hAnsi="Times New Roman" w:eastAsia="宋体" w:cs="Times New Roman"/>
                <w:i w:val="0"/>
                <w:iCs w:val="0"/>
                <w:color w:val="auto"/>
                <w:kern w:val="0"/>
                <w:sz w:val="24"/>
                <w:szCs w:val="24"/>
                <w:u w:val="none"/>
                <w:vertAlign w:val="baseline"/>
                <w:lang w:val="en-US" w:eastAsia="zh-CN" w:bidi="ar"/>
              </w:rPr>
              <w:t>：</w:t>
            </w:r>
            <w:r>
              <w:rPr>
                <w:rFonts w:hint="default" w:ascii="Times New Roman" w:hAnsi="Times New Roman" w:eastAsia="宋体" w:cs="Times New Roman"/>
                <w:i w:val="0"/>
                <w:iCs w:val="0"/>
                <w:color w:val="auto"/>
                <w:kern w:val="0"/>
                <w:sz w:val="24"/>
                <w:szCs w:val="24"/>
                <w:u w:val="none"/>
                <w:vertAlign w:val="baseline"/>
                <w:lang w:val="en-US" w:eastAsia="zh-CN" w:bidi="ar"/>
              </w:rPr>
              <w:t>CAS号</w:t>
            </w:r>
            <w:r>
              <w:rPr>
                <w:rFonts w:hint="eastAsia" w:ascii="Times New Roman" w:hAnsi="Times New Roman" w:eastAsia="宋体" w:cs="Times New Roman"/>
                <w:i w:val="0"/>
                <w:iCs w:val="0"/>
                <w:color w:val="auto"/>
                <w:kern w:val="0"/>
                <w:sz w:val="24"/>
                <w:szCs w:val="24"/>
                <w:u w:val="none"/>
                <w:vertAlign w:val="baseline"/>
                <w:lang w:val="en-US" w:eastAsia="zh-CN" w:bidi="ar"/>
              </w:rPr>
              <w:t>：</w:t>
            </w:r>
            <w:r>
              <w:rPr>
                <w:rFonts w:hint="default" w:ascii="Times New Roman" w:hAnsi="Times New Roman" w:eastAsia="宋体" w:cs="Times New Roman"/>
                <w:i w:val="0"/>
                <w:iCs w:val="0"/>
                <w:color w:val="auto"/>
                <w:kern w:val="0"/>
                <w:sz w:val="24"/>
                <w:szCs w:val="24"/>
                <w:u w:val="none"/>
                <w:vertAlign w:val="baseline"/>
                <w:lang w:val="en-US" w:eastAsia="zh-CN" w:bidi="ar"/>
              </w:rPr>
              <w:t>470-40-6，分子式</w:t>
            </w:r>
            <w:r>
              <w:rPr>
                <w:rFonts w:hint="eastAsia" w:ascii="Times New Roman" w:hAnsi="Times New Roman" w:eastAsia="宋体" w:cs="Times New Roman"/>
                <w:i w:val="0"/>
                <w:iCs w:val="0"/>
                <w:color w:val="auto"/>
                <w:kern w:val="0"/>
                <w:sz w:val="24"/>
                <w:szCs w:val="24"/>
                <w:u w:val="none"/>
                <w:vertAlign w:val="baseline"/>
                <w:lang w:val="en-US" w:eastAsia="zh-CN" w:bidi="ar"/>
              </w:rPr>
              <w:t>：</w:t>
            </w:r>
            <w:r>
              <w:rPr>
                <w:rFonts w:hint="default" w:ascii="Times New Roman" w:hAnsi="Times New Roman" w:eastAsia="宋体" w:cs="Times New Roman"/>
                <w:i w:val="0"/>
                <w:iCs w:val="0"/>
                <w:color w:val="auto"/>
                <w:kern w:val="0"/>
                <w:sz w:val="24"/>
                <w:szCs w:val="24"/>
                <w:u w:val="none"/>
                <w:vertAlign w:val="baseline"/>
                <w:lang w:val="en-US" w:eastAsia="zh-CN" w:bidi="ar"/>
              </w:rPr>
              <w:t>C</w:t>
            </w:r>
            <w:r>
              <w:rPr>
                <w:rFonts w:hint="eastAsia" w:ascii="Times New Roman" w:hAnsi="Times New Roman" w:eastAsia="宋体" w:cs="Times New Roman"/>
                <w:i w:val="0"/>
                <w:iCs w:val="0"/>
                <w:color w:val="auto"/>
                <w:kern w:val="0"/>
                <w:sz w:val="24"/>
                <w:szCs w:val="24"/>
                <w:u w:val="none"/>
                <w:vertAlign w:val="subscript"/>
                <w:lang w:val="en-US" w:eastAsia="zh-CN" w:bidi="ar"/>
              </w:rPr>
              <w:t>15</w:t>
            </w:r>
            <w:r>
              <w:rPr>
                <w:rFonts w:hint="default" w:ascii="Times New Roman" w:hAnsi="Times New Roman" w:eastAsia="宋体" w:cs="Times New Roman"/>
                <w:i w:val="0"/>
                <w:iCs w:val="0"/>
                <w:color w:val="auto"/>
                <w:kern w:val="0"/>
                <w:sz w:val="24"/>
                <w:szCs w:val="24"/>
                <w:u w:val="none"/>
                <w:vertAlign w:val="baseline"/>
                <w:lang w:val="en-US" w:eastAsia="zh-CN" w:bidi="ar"/>
              </w:rPr>
              <w:t>H</w:t>
            </w:r>
            <w:r>
              <w:rPr>
                <w:rFonts w:hint="default" w:ascii="Times New Roman" w:hAnsi="Times New Roman" w:eastAsia="宋体" w:cs="Times New Roman"/>
                <w:i w:val="0"/>
                <w:iCs w:val="0"/>
                <w:color w:val="auto"/>
                <w:kern w:val="0"/>
                <w:sz w:val="24"/>
                <w:szCs w:val="24"/>
                <w:u w:val="none"/>
                <w:vertAlign w:val="subscript"/>
                <w:lang w:val="en-US" w:eastAsia="zh-CN" w:bidi="ar"/>
              </w:rPr>
              <w:t>24</w:t>
            </w:r>
            <w:r>
              <w:rPr>
                <w:rFonts w:hint="default" w:ascii="Times New Roman" w:hAnsi="Times New Roman" w:eastAsia="宋体" w:cs="Times New Roman"/>
                <w:i w:val="0"/>
                <w:iCs w:val="0"/>
                <w:color w:val="auto"/>
                <w:kern w:val="0"/>
                <w:sz w:val="24"/>
                <w:szCs w:val="24"/>
                <w:u w:val="none"/>
                <w:vertAlign w:val="baseline"/>
                <w:lang w:val="en-US" w:eastAsia="zh-CN" w:bidi="ar"/>
              </w:rPr>
              <w:t>，密度</w:t>
            </w:r>
            <w:r>
              <w:rPr>
                <w:rFonts w:hint="eastAsia" w:ascii="Times New Roman" w:hAnsi="Times New Roman" w:eastAsia="宋体" w:cs="Times New Roman"/>
                <w:i w:val="0"/>
                <w:iCs w:val="0"/>
                <w:color w:val="auto"/>
                <w:kern w:val="0"/>
                <w:sz w:val="24"/>
                <w:szCs w:val="24"/>
                <w:u w:val="none"/>
                <w:vertAlign w:val="baseline"/>
                <w:lang w:val="en-US" w:eastAsia="zh-CN" w:bidi="ar"/>
              </w:rPr>
              <w:t>：</w:t>
            </w:r>
            <w:r>
              <w:rPr>
                <w:rFonts w:hint="default" w:ascii="Times New Roman" w:hAnsi="Times New Roman" w:eastAsia="宋体" w:cs="Times New Roman"/>
                <w:i w:val="0"/>
                <w:iCs w:val="0"/>
                <w:color w:val="auto"/>
                <w:kern w:val="0"/>
                <w:sz w:val="24"/>
                <w:szCs w:val="24"/>
                <w:u w:val="none"/>
                <w:vertAlign w:val="baseline"/>
                <w:lang w:val="en-US" w:eastAsia="zh-CN" w:bidi="ar"/>
              </w:rPr>
              <w:t>0.95g/cm</w:t>
            </w:r>
            <w:r>
              <w:rPr>
                <w:rFonts w:hint="eastAsia" w:ascii="Times New Roman" w:hAnsi="Times New Roman" w:eastAsia="宋体" w:cs="Times New Roman"/>
                <w:i w:val="0"/>
                <w:iCs w:val="0"/>
                <w:color w:val="auto"/>
                <w:kern w:val="0"/>
                <w:sz w:val="24"/>
                <w:szCs w:val="24"/>
                <w:u w:val="none"/>
                <w:vertAlign w:val="superscript"/>
                <w:lang w:val="en-US" w:eastAsia="zh-CN" w:bidi="ar"/>
              </w:rPr>
              <w:t>3</w:t>
            </w:r>
            <w:r>
              <w:rPr>
                <w:rFonts w:hint="default" w:ascii="Times New Roman" w:hAnsi="Times New Roman" w:eastAsia="宋体" w:cs="Times New Roman"/>
                <w:i w:val="0"/>
                <w:iCs w:val="0"/>
                <w:color w:val="auto"/>
                <w:kern w:val="0"/>
                <w:sz w:val="24"/>
                <w:szCs w:val="24"/>
                <w:u w:val="none"/>
                <w:vertAlign w:val="baseline"/>
                <w:lang w:val="en-US" w:eastAsia="zh-CN" w:bidi="ar"/>
              </w:rPr>
              <w:t>，沸点256.5</w:t>
            </w:r>
            <w:r>
              <w:rPr>
                <w:rFonts w:hint="eastAsia" w:ascii="Times New Roman" w:hAnsi="Times New Roman" w:eastAsia="宋体" w:cs="Times New Roman"/>
                <w:i w:val="0"/>
                <w:iCs w:val="0"/>
                <w:color w:val="auto"/>
                <w:kern w:val="0"/>
                <w:sz w:val="24"/>
                <w:szCs w:val="24"/>
                <w:u w:val="none"/>
                <w:vertAlign w:val="baseline"/>
                <w:lang w:val="en-US" w:eastAsia="zh-CN" w:bidi="ar"/>
              </w:rPr>
              <w:t>℃</w:t>
            </w:r>
            <w:r>
              <w:rPr>
                <w:rFonts w:hint="default" w:ascii="Times New Roman" w:hAnsi="Times New Roman" w:eastAsia="宋体" w:cs="Times New Roman"/>
                <w:i w:val="0"/>
                <w:iCs w:val="0"/>
                <w:color w:val="auto"/>
                <w:kern w:val="0"/>
                <w:sz w:val="24"/>
                <w:szCs w:val="24"/>
                <w:u w:val="none"/>
                <w:vertAlign w:val="baseline"/>
                <w:lang w:val="en-US" w:eastAsia="zh-CN" w:bidi="ar"/>
              </w:rPr>
              <w:t>，常温常压下为透明的液体，稳定。</w:t>
            </w:r>
          </w:p>
          <w:p w14:paraId="5B7B554C">
            <w:pPr>
              <w:pStyle w:val="25"/>
              <w:keepNext w:val="0"/>
              <w:keepLines w:val="0"/>
              <w:widowControl w:val="0"/>
              <w:suppressLineNumbers w:val="0"/>
              <w:overflowPunct w:val="0"/>
              <w:topLinePunct/>
              <w:adjustRightInd w:val="0"/>
              <w:snapToGrid w:val="0"/>
              <w:spacing w:before="0" w:beforeAutospacing="0" w:after="0" w:afterAutospacing="0"/>
              <w:ind w:left="0" w:right="0" w:firstLine="480" w:firstLineChars="200"/>
              <w:contextualSpacing/>
              <w:jc w:val="both"/>
              <w:rPr>
                <w:rFonts w:hint="default" w:ascii="Times New Roman" w:hAnsi="Times New Roman" w:eastAsia="宋体" w:cs="Times New Roman"/>
                <w:i w:val="0"/>
                <w:iCs w:val="0"/>
                <w:color w:val="auto"/>
                <w:kern w:val="0"/>
                <w:sz w:val="24"/>
                <w:szCs w:val="24"/>
                <w:u w:val="none"/>
                <w:vertAlign w:val="baseline"/>
                <w:lang w:val="en-US" w:eastAsia="zh-CN" w:bidi="ar"/>
              </w:rPr>
            </w:pPr>
            <w:r>
              <w:rPr>
                <w:rFonts w:hint="default" w:ascii="Times New Roman" w:hAnsi="Times New Roman" w:eastAsia="宋体" w:cs="Times New Roman"/>
                <w:i w:val="0"/>
                <w:iCs w:val="0"/>
                <w:color w:val="auto"/>
                <w:kern w:val="0"/>
                <w:sz w:val="24"/>
                <w:szCs w:val="24"/>
                <w:u w:val="none"/>
                <w:vertAlign w:val="baseline"/>
                <w:lang w:val="en-US" w:eastAsia="zh-CN" w:bidi="ar"/>
              </w:rPr>
              <w:t>柏木脑</w:t>
            </w:r>
            <w:r>
              <w:rPr>
                <w:rFonts w:hint="eastAsia" w:ascii="Times New Roman" w:hAnsi="Times New Roman" w:eastAsia="宋体" w:cs="Times New Roman"/>
                <w:i w:val="0"/>
                <w:iCs w:val="0"/>
                <w:color w:val="auto"/>
                <w:kern w:val="0"/>
                <w:sz w:val="24"/>
                <w:szCs w:val="24"/>
                <w:u w:val="none"/>
                <w:vertAlign w:val="baseline"/>
                <w:lang w:val="en-US" w:eastAsia="zh-CN" w:bidi="ar"/>
              </w:rPr>
              <w:t>：</w:t>
            </w:r>
            <w:r>
              <w:rPr>
                <w:rFonts w:hint="default" w:ascii="Times New Roman" w:hAnsi="Times New Roman" w:eastAsia="宋体" w:cs="Times New Roman"/>
                <w:i w:val="0"/>
                <w:iCs w:val="0"/>
                <w:color w:val="auto"/>
                <w:kern w:val="0"/>
                <w:sz w:val="24"/>
                <w:szCs w:val="24"/>
                <w:u w:val="none"/>
                <w:vertAlign w:val="baseline"/>
                <w:lang w:val="en-US" w:eastAsia="zh-CN" w:bidi="ar"/>
              </w:rPr>
              <w:t>CAS号</w:t>
            </w:r>
            <w:r>
              <w:rPr>
                <w:rFonts w:hint="eastAsia" w:ascii="Times New Roman" w:hAnsi="Times New Roman" w:eastAsia="宋体" w:cs="Times New Roman"/>
                <w:i w:val="0"/>
                <w:iCs w:val="0"/>
                <w:color w:val="auto"/>
                <w:kern w:val="0"/>
                <w:sz w:val="24"/>
                <w:szCs w:val="24"/>
                <w:u w:val="none"/>
                <w:vertAlign w:val="baseline"/>
                <w:lang w:val="en-US" w:eastAsia="zh-CN" w:bidi="ar"/>
              </w:rPr>
              <w:t>：</w:t>
            </w:r>
            <w:r>
              <w:rPr>
                <w:rFonts w:hint="default" w:ascii="Times New Roman" w:hAnsi="Times New Roman" w:eastAsia="宋体" w:cs="Times New Roman"/>
                <w:i w:val="0"/>
                <w:iCs w:val="0"/>
                <w:color w:val="auto"/>
                <w:kern w:val="0"/>
                <w:sz w:val="24"/>
                <w:szCs w:val="24"/>
                <w:u w:val="none"/>
                <w:vertAlign w:val="baseline"/>
                <w:lang w:val="en-US" w:eastAsia="zh-CN" w:bidi="ar"/>
              </w:rPr>
              <w:t>77-53-2，分子式</w:t>
            </w:r>
            <w:r>
              <w:rPr>
                <w:rFonts w:hint="eastAsia" w:ascii="Times New Roman" w:hAnsi="Times New Roman" w:eastAsia="宋体" w:cs="Times New Roman"/>
                <w:i w:val="0"/>
                <w:iCs w:val="0"/>
                <w:color w:val="auto"/>
                <w:kern w:val="0"/>
                <w:sz w:val="24"/>
                <w:szCs w:val="24"/>
                <w:u w:val="none"/>
                <w:vertAlign w:val="baseline"/>
                <w:lang w:val="en-US" w:eastAsia="zh-CN" w:bidi="ar"/>
              </w:rPr>
              <w:t>：</w:t>
            </w:r>
            <w:r>
              <w:rPr>
                <w:rFonts w:hint="default" w:ascii="Times New Roman" w:hAnsi="Times New Roman" w:eastAsia="宋体" w:cs="Times New Roman"/>
                <w:i w:val="0"/>
                <w:iCs w:val="0"/>
                <w:color w:val="auto"/>
                <w:kern w:val="0"/>
                <w:sz w:val="24"/>
                <w:szCs w:val="24"/>
                <w:u w:val="none"/>
                <w:vertAlign w:val="baseline"/>
                <w:lang w:val="en-US" w:eastAsia="zh-CN" w:bidi="ar"/>
              </w:rPr>
              <w:t>C</w:t>
            </w:r>
            <w:r>
              <w:rPr>
                <w:rFonts w:hint="eastAsia" w:ascii="Times New Roman" w:hAnsi="Times New Roman" w:eastAsia="宋体" w:cs="Times New Roman"/>
                <w:i w:val="0"/>
                <w:iCs w:val="0"/>
                <w:color w:val="auto"/>
                <w:kern w:val="0"/>
                <w:sz w:val="24"/>
                <w:szCs w:val="24"/>
                <w:u w:val="none"/>
                <w:vertAlign w:val="subscript"/>
                <w:lang w:val="en-US" w:eastAsia="zh-CN" w:bidi="ar"/>
              </w:rPr>
              <w:t>15</w:t>
            </w:r>
            <w:r>
              <w:rPr>
                <w:rFonts w:hint="default" w:ascii="Times New Roman" w:hAnsi="Times New Roman" w:eastAsia="宋体" w:cs="Times New Roman"/>
                <w:i w:val="0"/>
                <w:iCs w:val="0"/>
                <w:color w:val="auto"/>
                <w:kern w:val="0"/>
                <w:sz w:val="24"/>
                <w:szCs w:val="24"/>
                <w:u w:val="none"/>
                <w:vertAlign w:val="baseline"/>
                <w:lang w:val="en-US" w:eastAsia="zh-CN" w:bidi="ar"/>
              </w:rPr>
              <w:t>H</w:t>
            </w:r>
            <w:r>
              <w:rPr>
                <w:rFonts w:hint="eastAsia" w:ascii="Times New Roman" w:hAnsi="Times New Roman" w:eastAsia="宋体" w:cs="Times New Roman"/>
                <w:i w:val="0"/>
                <w:iCs w:val="0"/>
                <w:color w:val="auto"/>
                <w:kern w:val="0"/>
                <w:sz w:val="24"/>
                <w:szCs w:val="24"/>
                <w:u w:val="none"/>
                <w:vertAlign w:val="subscript"/>
                <w:lang w:val="en-US" w:eastAsia="zh-CN" w:bidi="ar"/>
              </w:rPr>
              <w:t>26</w:t>
            </w:r>
            <w:r>
              <w:rPr>
                <w:rFonts w:hint="eastAsia" w:ascii="Times New Roman" w:hAnsi="Times New Roman" w:eastAsia="宋体" w:cs="Times New Roman"/>
                <w:i w:val="0"/>
                <w:iCs w:val="0"/>
                <w:color w:val="auto"/>
                <w:kern w:val="0"/>
                <w:sz w:val="24"/>
                <w:szCs w:val="24"/>
                <w:u w:val="none"/>
                <w:vertAlign w:val="baseline"/>
                <w:lang w:val="en-US" w:eastAsia="zh-CN" w:bidi="ar"/>
              </w:rPr>
              <w:t>O</w:t>
            </w:r>
            <w:r>
              <w:rPr>
                <w:rFonts w:hint="default" w:ascii="Times New Roman" w:hAnsi="Times New Roman" w:eastAsia="宋体" w:cs="Times New Roman"/>
                <w:i w:val="0"/>
                <w:iCs w:val="0"/>
                <w:color w:val="auto"/>
                <w:kern w:val="0"/>
                <w:sz w:val="24"/>
                <w:szCs w:val="24"/>
                <w:u w:val="none"/>
                <w:vertAlign w:val="baseline"/>
                <w:lang w:val="en-US" w:eastAsia="zh-CN" w:bidi="ar"/>
              </w:rPr>
              <w:t>，密度</w:t>
            </w:r>
            <w:r>
              <w:rPr>
                <w:rFonts w:hint="eastAsia" w:ascii="Times New Roman" w:hAnsi="Times New Roman" w:eastAsia="宋体" w:cs="Times New Roman"/>
                <w:i w:val="0"/>
                <w:iCs w:val="0"/>
                <w:color w:val="auto"/>
                <w:kern w:val="0"/>
                <w:sz w:val="24"/>
                <w:szCs w:val="24"/>
                <w:u w:val="none"/>
                <w:vertAlign w:val="baseline"/>
                <w:lang w:val="en-US" w:eastAsia="zh-CN" w:bidi="ar"/>
              </w:rPr>
              <w:t>：</w:t>
            </w:r>
            <w:r>
              <w:rPr>
                <w:rFonts w:hint="default" w:ascii="Times New Roman" w:hAnsi="Times New Roman" w:eastAsia="宋体" w:cs="Times New Roman"/>
                <w:i w:val="0"/>
                <w:iCs w:val="0"/>
                <w:color w:val="auto"/>
                <w:kern w:val="0"/>
                <w:sz w:val="24"/>
                <w:szCs w:val="24"/>
                <w:u w:val="none"/>
                <w:vertAlign w:val="baseline"/>
                <w:lang w:val="en-US" w:eastAsia="zh-CN" w:bidi="ar"/>
              </w:rPr>
              <w:t>1.0+0.1g/cm</w:t>
            </w:r>
            <w:r>
              <w:rPr>
                <w:rFonts w:hint="eastAsia" w:ascii="Times New Roman" w:hAnsi="Times New Roman" w:eastAsia="宋体" w:cs="Times New Roman"/>
                <w:i w:val="0"/>
                <w:iCs w:val="0"/>
                <w:color w:val="auto"/>
                <w:kern w:val="0"/>
                <w:sz w:val="24"/>
                <w:szCs w:val="24"/>
                <w:u w:val="none"/>
                <w:vertAlign w:val="superscript"/>
                <w:lang w:val="en-US" w:eastAsia="zh-CN" w:bidi="ar"/>
              </w:rPr>
              <w:t>3</w:t>
            </w:r>
            <w:r>
              <w:rPr>
                <w:rFonts w:hint="default" w:ascii="Times New Roman" w:hAnsi="Times New Roman" w:eastAsia="宋体" w:cs="Times New Roman"/>
                <w:i w:val="0"/>
                <w:iCs w:val="0"/>
                <w:color w:val="auto"/>
                <w:kern w:val="0"/>
                <w:sz w:val="24"/>
                <w:szCs w:val="24"/>
                <w:u w:val="none"/>
                <w:vertAlign w:val="baseline"/>
                <w:lang w:val="en-US" w:eastAsia="zh-CN" w:bidi="ar"/>
              </w:rPr>
              <w:t>，沸点277.2+0.1</w:t>
            </w:r>
            <w:r>
              <w:rPr>
                <w:rFonts w:hint="eastAsia" w:ascii="Times New Roman" w:hAnsi="Times New Roman" w:eastAsia="宋体" w:cs="Times New Roman"/>
                <w:i w:val="0"/>
                <w:iCs w:val="0"/>
                <w:color w:val="auto"/>
                <w:kern w:val="0"/>
                <w:sz w:val="24"/>
                <w:szCs w:val="24"/>
                <w:u w:val="none"/>
                <w:vertAlign w:val="baseline"/>
                <w:lang w:val="en-US" w:eastAsia="zh-CN" w:bidi="ar"/>
              </w:rPr>
              <w:t>℃，</w:t>
            </w:r>
            <w:r>
              <w:rPr>
                <w:rFonts w:hint="default" w:ascii="Times New Roman" w:hAnsi="Times New Roman" w:eastAsia="宋体" w:cs="Times New Roman"/>
                <w:i w:val="0"/>
                <w:iCs w:val="0"/>
                <w:color w:val="auto"/>
                <w:kern w:val="0"/>
                <w:sz w:val="24"/>
                <w:szCs w:val="24"/>
                <w:u w:val="none"/>
                <w:vertAlign w:val="baseline"/>
                <w:lang w:val="en-US" w:eastAsia="zh-CN" w:bidi="ar"/>
              </w:rPr>
              <w:t>常温下为白色</w:t>
            </w:r>
            <w:r>
              <w:rPr>
                <w:rFonts w:hint="eastAsia" w:ascii="Times New Roman" w:hAnsi="Times New Roman" w:cs="Times New Roman"/>
                <w:i w:val="0"/>
                <w:iCs w:val="0"/>
                <w:color w:val="auto"/>
                <w:kern w:val="0"/>
                <w:sz w:val="24"/>
                <w:szCs w:val="24"/>
                <w:u w:val="none"/>
                <w:vertAlign w:val="baseline"/>
                <w:lang w:val="en-US" w:eastAsia="zh-CN" w:bidi="ar"/>
              </w:rPr>
              <w:t>晶体</w:t>
            </w:r>
            <w:r>
              <w:rPr>
                <w:rFonts w:hint="default" w:ascii="Times New Roman" w:hAnsi="Times New Roman" w:eastAsia="宋体" w:cs="Times New Roman"/>
                <w:i w:val="0"/>
                <w:iCs w:val="0"/>
                <w:color w:val="auto"/>
                <w:kern w:val="0"/>
                <w:sz w:val="24"/>
                <w:szCs w:val="24"/>
                <w:u w:val="none"/>
                <w:vertAlign w:val="baseline"/>
                <w:lang w:val="en-US" w:eastAsia="zh-CN" w:bidi="ar"/>
              </w:rPr>
              <w:t>，具有温和的柏木香气，溶于乙醇及油类，有弱木香带些</w:t>
            </w:r>
            <w:r>
              <w:rPr>
                <w:rFonts w:hint="eastAsia" w:ascii="Times New Roman" w:hAnsi="Times New Roman" w:eastAsia="宋体" w:cs="Times New Roman"/>
                <w:i w:val="0"/>
                <w:iCs w:val="0"/>
                <w:color w:val="auto"/>
                <w:kern w:val="0"/>
                <w:sz w:val="24"/>
                <w:szCs w:val="24"/>
                <w:u w:val="none"/>
                <w:vertAlign w:val="baseline"/>
                <w:lang w:val="en-US" w:eastAsia="zh-CN" w:bidi="ar"/>
              </w:rPr>
              <w:t>膏香</w:t>
            </w:r>
            <w:r>
              <w:rPr>
                <w:rFonts w:hint="default" w:ascii="Times New Roman" w:hAnsi="Times New Roman" w:eastAsia="宋体" w:cs="Times New Roman"/>
                <w:i w:val="0"/>
                <w:iCs w:val="0"/>
                <w:color w:val="auto"/>
                <w:kern w:val="0"/>
                <w:sz w:val="24"/>
                <w:szCs w:val="24"/>
                <w:u w:val="none"/>
                <w:vertAlign w:val="baseline"/>
                <w:lang w:val="en-US" w:eastAsia="zh-CN" w:bidi="ar"/>
              </w:rPr>
              <w:t>，持久性甚强。</w:t>
            </w:r>
          </w:p>
          <w:p w14:paraId="3519920A">
            <w:pPr>
              <w:pStyle w:val="25"/>
              <w:keepNext w:val="0"/>
              <w:keepLines w:val="0"/>
              <w:widowControl w:val="0"/>
              <w:numPr>
                <w:ilvl w:val="0"/>
                <w:numId w:val="3"/>
              </w:numPr>
              <w:suppressLineNumbers w:val="0"/>
              <w:overflowPunct w:val="0"/>
              <w:topLinePunct/>
              <w:adjustRightInd w:val="0"/>
              <w:snapToGrid w:val="0"/>
              <w:spacing w:before="0" w:beforeAutospacing="0" w:after="0" w:afterAutospacing="0"/>
              <w:ind w:left="0" w:right="0" w:firstLine="482" w:firstLineChars="200"/>
              <w:contextualSpacing/>
              <w:jc w:val="both"/>
              <w:rPr>
                <w:rFonts w:hint="eastAsia" w:ascii="Times New Roman" w:hAnsi="Times New Roman" w:eastAsia="宋体" w:cs="Times New Roman"/>
                <w:b/>
                <w:bCs/>
                <w:i w:val="0"/>
                <w:iCs w:val="0"/>
                <w:color w:val="auto"/>
                <w:kern w:val="0"/>
                <w:sz w:val="24"/>
                <w:szCs w:val="24"/>
                <w:u w:val="none"/>
                <w:vertAlign w:val="baseline"/>
                <w:lang w:val="en-US" w:eastAsia="zh-CN" w:bidi="ar"/>
              </w:rPr>
            </w:pPr>
            <w:r>
              <w:rPr>
                <w:rFonts w:hint="eastAsia" w:ascii="Times New Roman" w:hAnsi="Times New Roman" w:eastAsia="宋体" w:cs="Times New Roman"/>
                <w:b/>
                <w:bCs/>
                <w:i w:val="0"/>
                <w:iCs w:val="0"/>
                <w:color w:val="auto"/>
                <w:kern w:val="0"/>
                <w:sz w:val="24"/>
                <w:szCs w:val="24"/>
                <w:u w:val="none"/>
                <w:vertAlign w:val="baseline"/>
                <w:lang w:val="en-US" w:eastAsia="zh-CN" w:bidi="ar"/>
              </w:rPr>
              <w:t>生物质颗粒</w:t>
            </w:r>
          </w:p>
          <w:p w14:paraId="36C93F7D">
            <w:pPr>
              <w:pStyle w:val="25"/>
              <w:keepNext w:val="0"/>
              <w:keepLines w:val="0"/>
              <w:widowControl w:val="0"/>
              <w:suppressLineNumbers w:val="0"/>
              <w:overflowPunct w:val="0"/>
              <w:topLinePunct/>
              <w:adjustRightInd w:val="0"/>
              <w:snapToGrid w:val="0"/>
              <w:spacing w:before="0" w:beforeAutospacing="0" w:after="0" w:afterAutospacing="0"/>
              <w:ind w:left="0" w:right="0" w:firstLine="480" w:firstLineChars="200"/>
              <w:contextualSpacing/>
              <w:jc w:val="both"/>
              <w:rPr>
                <w:rFonts w:hint="eastAsia" w:ascii="宋体" w:hAnsi="宋体" w:eastAsia="宋体" w:cs="宋体"/>
                <w:color w:val="auto"/>
                <w:kern w:val="0"/>
                <w:sz w:val="24"/>
                <w:szCs w:val="24"/>
                <w:lang w:val="en-US" w:eastAsia="zh-CN" w:bidi="ar"/>
              </w:rPr>
            </w:pPr>
            <w:r>
              <w:rPr>
                <w:rFonts w:hint="eastAsia" w:ascii="Times New Roman" w:hAnsi="Times New Roman" w:eastAsia="宋体" w:cs="Times New Roman"/>
                <w:i w:val="0"/>
                <w:iCs w:val="0"/>
                <w:color w:val="auto"/>
                <w:kern w:val="0"/>
                <w:sz w:val="24"/>
                <w:szCs w:val="24"/>
                <w:u w:val="none"/>
                <w:vertAlign w:val="baseline"/>
                <w:lang w:val="en-US" w:eastAsia="zh-CN" w:bidi="ar"/>
              </w:rPr>
              <w:t>生物质燃料由秸秆、稻草、稻壳、花生壳、玉米芯、油茶壳、棉籽壳等以及</w:t>
            </w:r>
            <w:r>
              <w:rPr>
                <w:rFonts w:hint="default" w:ascii="Times New Roman" w:hAnsi="Times New Roman" w:eastAsia="宋体" w:cs="Times New Roman"/>
                <w:i w:val="0"/>
                <w:iCs w:val="0"/>
                <w:color w:val="auto"/>
                <w:kern w:val="0"/>
                <w:sz w:val="24"/>
                <w:szCs w:val="24"/>
                <w:u w:val="none"/>
                <w:vertAlign w:val="baseline"/>
                <w:lang w:val="en-US" w:eastAsia="zh-CN" w:bidi="ar"/>
              </w:rPr>
              <w:t>“</w:t>
            </w:r>
            <w:r>
              <w:rPr>
                <w:rFonts w:hint="eastAsia" w:ascii="Times New Roman" w:hAnsi="Times New Roman" w:eastAsia="宋体" w:cs="Times New Roman"/>
                <w:i w:val="0"/>
                <w:iCs w:val="0"/>
                <w:color w:val="auto"/>
                <w:kern w:val="0"/>
                <w:sz w:val="24"/>
                <w:szCs w:val="24"/>
                <w:u w:val="none"/>
                <w:vertAlign w:val="baseline"/>
                <w:lang w:val="en-US" w:eastAsia="zh-CN" w:bidi="ar"/>
              </w:rPr>
              <w:t>三剩物</w:t>
            </w:r>
            <w:r>
              <w:rPr>
                <w:rFonts w:hint="default" w:ascii="Times New Roman" w:hAnsi="Times New Roman" w:eastAsia="宋体" w:cs="Times New Roman"/>
                <w:i w:val="0"/>
                <w:iCs w:val="0"/>
                <w:color w:val="auto"/>
                <w:kern w:val="0"/>
                <w:sz w:val="24"/>
                <w:szCs w:val="24"/>
                <w:u w:val="none"/>
                <w:vertAlign w:val="baseline"/>
                <w:lang w:val="en-US" w:eastAsia="zh-CN" w:bidi="ar"/>
              </w:rPr>
              <w:t>”</w:t>
            </w:r>
            <w:r>
              <w:rPr>
                <w:rFonts w:hint="eastAsia" w:ascii="Times New Roman" w:hAnsi="Times New Roman" w:eastAsia="宋体" w:cs="Times New Roman"/>
                <w:i w:val="0"/>
                <w:iCs w:val="0"/>
                <w:color w:val="auto"/>
                <w:kern w:val="0"/>
                <w:sz w:val="24"/>
                <w:szCs w:val="24"/>
                <w:u w:val="none"/>
                <w:vertAlign w:val="baseline"/>
                <w:lang w:val="en-US" w:eastAsia="zh-CN" w:bidi="ar"/>
              </w:rPr>
              <w:t>经过加工产生的柱状环保新能源，本项目的生物质颗粒是采用提取柏木油后剩余的柏木木渣制成。尺寸规格为</w:t>
            </w:r>
            <w:r>
              <w:rPr>
                <w:rFonts w:hint="default" w:ascii="Times New Roman" w:hAnsi="Times New Roman" w:eastAsia="宋体" w:cs="Times New Roman"/>
                <w:i w:val="0"/>
                <w:iCs w:val="0"/>
                <w:color w:val="auto"/>
                <w:kern w:val="0"/>
                <w:sz w:val="24"/>
                <w:szCs w:val="24"/>
                <w:u w:val="none"/>
                <w:vertAlign w:val="baseline"/>
                <w:lang w:val="en-US" w:eastAsia="zh-CN" w:bidi="ar"/>
              </w:rPr>
              <w:t>φ10mm×</w:t>
            </w:r>
            <w:r>
              <w:rPr>
                <w:rFonts w:hint="eastAsia" w:ascii="Times New Roman" w:hAnsi="Times New Roman" w:eastAsia="宋体" w:cs="Times New Roman"/>
                <w:i w:val="0"/>
                <w:iCs w:val="0"/>
                <w:color w:val="auto"/>
                <w:kern w:val="0"/>
                <w:sz w:val="24"/>
                <w:szCs w:val="24"/>
                <w:u w:val="none"/>
                <w:vertAlign w:val="baseline"/>
                <w:lang w:val="en-US" w:eastAsia="zh-CN" w:bidi="ar"/>
              </w:rPr>
              <w:t>长</w:t>
            </w:r>
            <w:r>
              <w:rPr>
                <w:rFonts w:hint="default" w:ascii="Times New Roman" w:hAnsi="Times New Roman" w:eastAsia="宋体" w:cs="Times New Roman"/>
                <w:i w:val="0"/>
                <w:iCs w:val="0"/>
                <w:color w:val="auto"/>
                <w:kern w:val="0"/>
                <w:sz w:val="24"/>
                <w:szCs w:val="24"/>
                <w:u w:val="none"/>
                <w:vertAlign w:val="baseline"/>
                <w:lang w:val="en-US" w:eastAsia="zh-CN" w:bidi="ar"/>
              </w:rPr>
              <w:t>60mm</w:t>
            </w:r>
            <w:r>
              <w:rPr>
                <w:rFonts w:hint="eastAsia" w:ascii="Times New Roman" w:hAnsi="Times New Roman" w:eastAsia="宋体" w:cs="Times New Roman"/>
                <w:i w:val="0"/>
                <w:iCs w:val="0"/>
                <w:color w:val="auto"/>
                <w:kern w:val="0"/>
                <w:sz w:val="24"/>
                <w:szCs w:val="24"/>
                <w:u w:val="none"/>
                <w:vertAlign w:val="baseline"/>
                <w:lang w:val="en-US" w:eastAsia="zh-CN" w:bidi="ar"/>
              </w:rPr>
              <w:t>，</w:t>
            </w:r>
            <w:r>
              <w:rPr>
                <w:rFonts w:hint="eastAsia" w:ascii="Times New Roman" w:hAnsi="Times New Roman" w:cs="Times New Roman"/>
                <w:i w:val="0"/>
                <w:iCs w:val="0"/>
                <w:color w:val="auto"/>
                <w:kern w:val="0"/>
                <w:sz w:val="24"/>
                <w:szCs w:val="24"/>
                <w:u w:val="none"/>
                <w:vertAlign w:val="baseline"/>
                <w:lang w:val="en-US" w:eastAsia="zh-CN" w:bidi="ar"/>
              </w:rPr>
              <w:t>1吨</w:t>
            </w:r>
            <w:r>
              <w:rPr>
                <w:rFonts w:hint="default" w:ascii="Times New Roman" w:hAnsi="Times New Roman" w:eastAsia="宋体" w:cs="Times New Roman"/>
                <w:i w:val="0"/>
                <w:iCs w:val="0"/>
                <w:color w:val="auto"/>
                <w:kern w:val="0"/>
                <w:sz w:val="24"/>
                <w:szCs w:val="24"/>
                <w:u w:val="none"/>
                <w:vertAlign w:val="baseline"/>
                <w:lang w:val="en-US" w:eastAsia="zh-CN" w:bidi="ar"/>
              </w:rPr>
              <w:t>/</w:t>
            </w:r>
            <w:r>
              <w:rPr>
                <w:rFonts w:hint="eastAsia" w:ascii="Times New Roman" w:hAnsi="Times New Roman" w:eastAsia="宋体" w:cs="Times New Roman"/>
                <w:i w:val="0"/>
                <w:iCs w:val="0"/>
                <w:color w:val="auto"/>
                <w:kern w:val="0"/>
                <w:sz w:val="24"/>
                <w:szCs w:val="24"/>
                <w:u w:val="none"/>
                <w:vertAlign w:val="baseline"/>
                <w:lang w:val="en-US" w:eastAsia="zh-CN" w:bidi="ar"/>
              </w:rPr>
              <w:t>袋。本项目生物质颗粒</w:t>
            </w:r>
            <w:r>
              <w:rPr>
                <w:rFonts w:hint="eastAsia" w:ascii="Times New Roman" w:hAnsi="Times New Roman" w:cs="Times New Roman"/>
                <w:i w:val="0"/>
                <w:iCs w:val="0"/>
                <w:color w:val="auto"/>
                <w:kern w:val="0"/>
                <w:sz w:val="24"/>
                <w:szCs w:val="24"/>
                <w:u w:val="none"/>
                <w:vertAlign w:val="baseline"/>
                <w:lang w:val="en-US" w:eastAsia="zh-CN" w:bidi="ar"/>
              </w:rPr>
              <w:t>除自用外其余</w:t>
            </w:r>
            <w:r>
              <w:rPr>
                <w:rFonts w:hint="eastAsia" w:ascii="Times New Roman" w:hAnsi="Times New Roman" w:eastAsia="宋体" w:cs="Times New Roman"/>
                <w:i w:val="0"/>
                <w:iCs w:val="0"/>
                <w:color w:val="auto"/>
                <w:kern w:val="0"/>
                <w:sz w:val="24"/>
                <w:szCs w:val="24"/>
                <w:u w:val="none"/>
                <w:vertAlign w:val="baseline"/>
                <w:lang w:val="en-US" w:eastAsia="zh-CN" w:bidi="ar"/>
              </w:rPr>
              <w:t>将外售，类比四川子童香料有限公司产品，该产品由</w:t>
            </w:r>
            <w:r>
              <w:rPr>
                <w:rFonts w:hint="eastAsia" w:ascii="宋体" w:hAnsi="宋体" w:eastAsia="宋体" w:cs="宋体"/>
                <w:color w:val="auto"/>
                <w:kern w:val="0"/>
                <w:sz w:val="24"/>
                <w:szCs w:val="24"/>
                <w:lang w:val="en-US" w:eastAsia="zh-CN" w:bidi="ar"/>
              </w:rPr>
              <w:t>广汉市聚心生物质能源有限公司进行了含水率检测，检测情况如下：</w:t>
            </w:r>
          </w:p>
          <w:p w14:paraId="54705D4B">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67960" cy="3647440"/>
                  <wp:effectExtent l="0" t="0" r="8890" b="10160"/>
                  <wp:docPr id="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pic:cNvPicPr>
                            <a:picLocks noChangeAspect="1"/>
                          </pic:cNvPicPr>
                        </pic:nvPicPr>
                        <pic:blipFill>
                          <a:blip r:embed="rId12"/>
                          <a:srcRect l="348" b="7385"/>
                          <a:stretch>
                            <a:fillRect/>
                          </a:stretch>
                        </pic:blipFill>
                        <pic:spPr>
                          <a:xfrm>
                            <a:off x="0" y="0"/>
                            <a:ext cx="5267960" cy="3647440"/>
                          </a:xfrm>
                          <a:prstGeom prst="rect">
                            <a:avLst/>
                          </a:prstGeom>
                          <a:noFill/>
                          <a:ln>
                            <a:noFill/>
                          </a:ln>
                        </pic:spPr>
                      </pic:pic>
                    </a:graphicData>
                  </a:graphic>
                </wp:inline>
              </w:drawing>
            </w:r>
          </w:p>
          <w:p w14:paraId="5A55C08B">
            <w:pPr>
              <w:keepNext w:val="0"/>
              <w:keepLines w:val="0"/>
              <w:suppressLineNumbers w:val="0"/>
              <w:bidi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生物质颗粒照片                                检验时照片</w:t>
            </w:r>
          </w:p>
          <w:p w14:paraId="1B263445">
            <w:pPr>
              <w:pStyle w:val="25"/>
              <w:keepNext w:val="0"/>
              <w:keepLines w:val="0"/>
              <w:widowControl w:val="0"/>
              <w:suppressLineNumbers w:val="0"/>
              <w:overflowPunct w:val="0"/>
              <w:topLinePunct/>
              <w:adjustRightInd w:val="0"/>
              <w:snapToGrid w:val="0"/>
              <w:spacing w:before="0" w:beforeAutospacing="0" w:after="0" w:afterAutospacing="0"/>
              <w:ind w:left="0" w:right="0" w:firstLine="480" w:firstLineChars="200"/>
              <w:contextualSpacing/>
              <w:jc w:val="both"/>
              <w:rPr>
                <w:rFonts w:hint="default" w:ascii="Times New Roman" w:hAnsi="Times New Roman" w:eastAsia="宋体" w:cs="Times New Roman"/>
                <w:i w:val="0"/>
                <w:iCs w:val="0"/>
                <w:color w:val="auto"/>
                <w:kern w:val="0"/>
                <w:sz w:val="24"/>
                <w:szCs w:val="24"/>
                <w:u w:val="none"/>
                <w:vertAlign w:val="baseline"/>
                <w:lang w:val="en-US" w:eastAsia="zh-CN" w:bidi="ar"/>
              </w:rPr>
            </w:pPr>
            <w:r>
              <w:rPr>
                <w:rFonts w:hint="eastAsia" w:ascii="Times New Roman" w:hAnsi="Times New Roman" w:eastAsia="宋体" w:cs="Times New Roman"/>
                <w:i w:val="0"/>
                <w:iCs w:val="0"/>
                <w:color w:val="auto"/>
                <w:kern w:val="0"/>
                <w:sz w:val="24"/>
                <w:szCs w:val="24"/>
                <w:u w:val="none"/>
                <w:vertAlign w:val="baseline"/>
                <w:lang w:val="en-US" w:eastAsia="zh-CN" w:bidi="ar"/>
              </w:rPr>
              <w:t>由此可知成型生物质颗粒含水率约为</w:t>
            </w:r>
            <w:r>
              <w:rPr>
                <w:rFonts w:hint="default" w:ascii="Times New Roman" w:hAnsi="Times New Roman" w:eastAsia="宋体" w:cs="Times New Roman"/>
                <w:i w:val="0"/>
                <w:iCs w:val="0"/>
                <w:color w:val="auto"/>
                <w:kern w:val="0"/>
                <w:sz w:val="24"/>
                <w:szCs w:val="24"/>
                <w:u w:val="none"/>
                <w:vertAlign w:val="baseline"/>
                <w:lang w:val="en-US" w:eastAsia="zh-CN" w:bidi="ar"/>
              </w:rPr>
              <w:t>8.87%</w:t>
            </w:r>
            <w:r>
              <w:rPr>
                <w:rFonts w:hint="eastAsia" w:ascii="Times New Roman" w:hAnsi="Times New Roman" w:eastAsia="宋体" w:cs="Times New Roman"/>
                <w:i w:val="0"/>
                <w:iCs w:val="0"/>
                <w:color w:val="auto"/>
                <w:kern w:val="0"/>
                <w:sz w:val="24"/>
                <w:szCs w:val="24"/>
                <w:u w:val="none"/>
                <w:vertAlign w:val="baseline"/>
                <w:lang w:val="en-US" w:eastAsia="zh-CN" w:bidi="ar"/>
              </w:rPr>
              <w:t>。</w:t>
            </w:r>
          </w:p>
          <w:p w14:paraId="731DDBBC">
            <w:pPr>
              <w:pStyle w:val="25"/>
              <w:keepNext w:val="0"/>
              <w:keepLines w:val="0"/>
              <w:suppressLineNumbers w:val="0"/>
              <w:overflowPunct w:val="0"/>
              <w:topLinePunct/>
              <w:adjustRightInd w:val="0"/>
              <w:snapToGrid w:val="0"/>
              <w:spacing w:before="0" w:beforeAutospacing="0" w:after="0" w:afterAutospacing="0"/>
              <w:ind w:left="0" w:right="0"/>
              <w:contextualSpacing/>
              <w:jc w:val="both"/>
              <w:rPr>
                <w:rFonts w:hint="default" w:ascii="Times New Roman" w:hAnsi="Times New Roman" w:cs="Times New Roman"/>
                <w:b/>
                <w:bCs/>
                <w:color w:val="auto"/>
                <w:kern w:val="2"/>
                <w:szCs w:val="24"/>
              </w:rPr>
            </w:pPr>
            <w:r>
              <w:rPr>
                <w:rFonts w:hint="eastAsia" w:ascii="Times New Roman" w:hAnsi="Times New Roman" w:cs="宋体"/>
                <w:b/>
                <w:bCs/>
                <w:color w:val="auto"/>
                <w:kern w:val="2"/>
                <w:szCs w:val="24"/>
                <w:lang w:bidi="ar"/>
              </w:rPr>
              <w:t>（三）项目组成</w:t>
            </w:r>
          </w:p>
          <w:p w14:paraId="4E440510">
            <w:pPr>
              <w:pStyle w:val="25"/>
              <w:keepNext w:val="0"/>
              <w:keepLines w:val="0"/>
              <w:widowControl w:val="0"/>
              <w:suppressLineNumbers w:val="0"/>
              <w:overflowPunct w:val="0"/>
              <w:topLinePunct/>
              <w:adjustRightInd w:val="0"/>
              <w:snapToGrid w:val="0"/>
              <w:spacing w:before="0" w:beforeAutospacing="0" w:after="0" w:afterAutospacing="0"/>
              <w:ind w:left="0" w:right="0" w:firstLine="480" w:firstLineChars="200"/>
              <w:contextualSpacing/>
              <w:jc w:val="both"/>
              <w:rPr>
                <w:rFonts w:hint="eastAsia" w:ascii="Times New Roman" w:hAnsi="Times New Roman" w:cs="宋体"/>
                <w:color w:val="auto"/>
                <w:kern w:val="2"/>
                <w:szCs w:val="24"/>
                <w:lang w:bidi="ar"/>
              </w:rPr>
            </w:pPr>
            <w:r>
              <w:rPr>
                <w:rFonts w:hint="eastAsia" w:ascii="Times New Roman" w:hAnsi="Times New Roman" w:cs="宋体"/>
                <w:color w:val="auto"/>
                <w:kern w:val="2"/>
                <w:szCs w:val="24"/>
                <w:lang w:bidi="ar"/>
              </w:rPr>
              <w:t>项目建设内容、项目组成问题见表</w:t>
            </w:r>
            <w:r>
              <w:rPr>
                <w:rFonts w:hint="default" w:ascii="Times New Roman" w:hAnsi="Times New Roman" w:cs="Times New Roman"/>
                <w:color w:val="auto"/>
                <w:kern w:val="2"/>
                <w:szCs w:val="24"/>
                <w:lang w:bidi="ar"/>
              </w:rPr>
              <w:t>2-</w:t>
            </w:r>
            <w:r>
              <w:rPr>
                <w:rFonts w:hint="eastAsia" w:ascii="Times New Roman" w:hAnsi="Times New Roman" w:cs="Times New Roman"/>
                <w:color w:val="auto"/>
                <w:kern w:val="2"/>
                <w:szCs w:val="24"/>
                <w:lang w:val="en-US" w:eastAsia="zh-CN" w:bidi="ar"/>
              </w:rPr>
              <w:t>3</w:t>
            </w:r>
            <w:r>
              <w:rPr>
                <w:rFonts w:hint="eastAsia" w:ascii="Times New Roman" w:hAnsi="Times New Roman" w:cs="宋体"/>
                <w:color w:val="auto"/>
                <w:kern w:val="2"/>
                <w:szCs w:val="24"/>
                <w:lang w:bidi="ar"/>
              </w:rPr>
              <w:t>。</w:t>
            </w:r>
          </w:p>
          <w:p w14:paraId="3CDF95E2">
            <w:pPr>
              <w:pStyle w:val="25"/>
              <w:keepNext w:val="0"/>
              <w:keepLines w:val="0"/>
              <w:suppressLineNumbers w:val="0"/>
              <w:adjustRightInd w:val="0"/>
              <w:snapToGrid w:val="0"/>
              <w:spacing w:before="0" w:beforeAutospacing="0" w:after="0" w:afterAutospacing="0" w:line="240" w:lineRule="auto"/>
              <w:ind w:left="0" w:right="0"/>
              <w:contextualSpacing/>
              <w:jc w:val="center"/>
              <w:rPr>
                <w:rFonts w:hint="eastAsia" w:ascii="Times New Roman" w:hAnsi="Times New Roman" w:cs="Times New Roman"/>
                <w:b/>
                <w:bCs/>
                <w:color w:val="auto"/>
                <w:sz w:val="21"/>
                <w:szCs w:val="21"/>
              </w:rPr>
            </w:pPr>
            <w:r>
              <w:rPr>
                <w:rFonts w:hint="eastAsia" w:ascii="Times New Roman" w:hAnsi="Times New Roman" w:cs="Times New Roman"/>
                <w:b/>
                <w:bCs/>
                <w:color w:val="auto"/>
                <w:sz w:val="21"/>
                <w:szCs w:val="21"/>
              </w:rPr>
              <w:t>表</w:t>
            </w:r>
            <w:r>
              <w:rPr>
                <w:rFonts w:hint="default" w:ascii="Times New Roman" w:hAnsi="Times New Roman" w:cs="Times New Roman"/>
                <w:b/>
                <w:bCs/>
                <w:color w:val="auto"/>
                <w:sz w:val="21"/>
                <w:szCs w:val="21"/>
              </w:rPr>
              <w:t>2-</w:t>
            </w:r>
            <w:r>
              <w:rPr>
                <w:rFonts w:hint="eastAsia"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rPr>
              <w:t>项目组成及主要环境问题</w:t>
            </w:r>
          </w:p>
          <w:tbl>
            <w:tblPr>
              <w:tblStyle w:val="28"/>
              <w:tblW w:w="470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054"/>
              <w:gridCol w:w="3980"/>
              <w:gridCol w:w="963"/>
              <w:gridCol w:w="1144"/>
            </w:tblGrid>
            <w:tr w14:paraId="3E9E0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6" w:type="pct"/>
                  <w:vMerge w:val="restart"/>
                  <w:tcBorders>
                    <w:tl2br w:val="nil"/>
                    <w:tr2bl w:val="nil"/>
                  </w:tcBorders>
                  <w:noWrap w:val="0"/>
                  <w:vAlign w:val="center"/>
                </w:tcPr>
                <w:p w14:paraId="6FCAEBDF">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工程</w:t>
                  </w:r>
                </w:p>
                <w:p w14:paraId="4B7E65C0">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分类</w:t>
                  </w:r>
                </w:p>
              </w:tc>
              <w:tc>
                <w:tcPr>
                  <w:tcW w:w="672" w:type="pct"/>
                  <w:vMerge w:val="restart"/>
                  <w:tcBorders>
                    <w:tl2br w:val="nil"/>
                    <w:tr2bl w:val="nil"/>
                  </w:tcBorders>
                  <w:noWrap w:val="0"/>
                  <w:vAlign w:val="center"/>
                </w:tcPr>
                <w:p w14:paraId="19B688B6">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项目</w:t>
                  </w:r>
                </w:p>
                <w:p w14:paraId="20608A90">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2537" w:type="pct"/>
                  <w:vMerge w:val="restart"/>
                  <w:tcBorders>
                    <w:tl2br w:val="nil"/>
                    <w:tr2bl w:val="nil"/>
                  </w:tcBorders>
                  <w:noWrap w:val="0"/>
                  <w:vAlign w:val="center"/>
                </w:tcPr>
                <w:p w14:paraId="18FF277E">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建设内容</w:t>
                  </w:r>
                </w:p>
              </w:tc>
              <w:tc>
                <w:tcPr>
                  <w:tcW w:w="1343" w:type="pct"/>
                  <w:gridSpan w:val="2"/>
                  <w:tcBorders>
                    <w:tl2br w:val="nil"/>
                    <w:tr2bl w:val="nil"/>
                  </w:tcBorders>
                  <w:noWrap w:val="0"/>
                  <w:vAlign w:val="center"/>
                </w:tcPr>
                <w:p w14:paraId="2D8DB971">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可能产生的环境问题</w:t>
                  </w:r>
                </w:p>
              </w:tc>
            </w:tr>
            <w:tr w14:paraId="2B783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6" w:type="pct"/>
                  <w:vMerge w:val="continue"/>
                  <w:tcBorders>
                    <w:tl2br w:val="nil"/>
                    <w:tr2bl w:val="nil"/>
                  </w:tcBorders>
                  <w:noWrap w:val="0"/>
                  <w:vAlign w:val="center"/>
                </w:tcPr>
                <w:p w14:paraId="74519F7D">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p>
              </w:tc>
              <w:tc>
                <w:tcPr>
                  <w:tcW w:w="672" w:type="pct"/>
                  <w:vMerge w:val="continue"/>
                  <w:tcBorders>
                    <w:tl2br w:val="nil"/>
                    <w:tr2bl w:val="nil"/>
                  </w:tcBorders>
                  <w:noWrap w:val="0"/>
                  <w:vAlign w:val="center"/>
                </w:tcPr>
                <w:p w14:paraId="279754CB">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p>
              </w:tc>
              <w:tc>
                <w:tcPr>
                  <w:tcW w:w="2537" w:type="pct"/>
                  <w:vMerge w:val="continue"/>
                  <w:tcBorders>
                    <w:tl2br w:val="nil"/>
                    <w:tr2bl w:val="nil"/>
                  </w:tcBorders>
                  <w:noWrap w:val="0"/>
                  <w:vAlign w:val="center"/>
                </w:tcPr>
                <w:p w14:paraId="1B6EC592">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p>
              </w:tc>
              <w:tc>
                <w:tcPr>
                  <w:tcW w:w="614" w:type="pct"/>
                  <w:tcBorders>
                    <w:tl2br w:val="nil"/>
                    <w:tr2bl w:val="nil"/>
                  </w:tcBorders>
                  <w:noWrap w:val="0"/>
                  <w:vAlign w:val="center"/>
                </w:tcPr>
                <w:p w14:paraId="65DA25C9">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施</w:t>
                  </w:r>
                  <w:r>
                    <w:rPr>
                      <w:rFonts w:hint="default" w:ascii="Times New Roman" w:hAnsi="Times New Roman" w:cs="Times New Roman"/>
                      <w:b/>
                      <w:bCs/>
                      <w:color w:val="auto"/>
                      <w:kern w:val="0"/>
                      <w:sz w:val="21"/>
                      <w:szCs w:val="21"/>
                    </w:rPr>
                    <w:cr/>
                  </w:r>
                  <w:r>
                    <w:rPr>
                      <w:rFonts w:hint="default" w:ascii="Times New Roman" w:hAnsi="Times New Roman" w:cs="Times New Roman"/>
                      <w:b/>
                      <w:bCs/>
                      <w:color w:val="auto"/>
                      <w:kern w:val="0"/>
                      <w:sz w:val="21"/>
                      <w:szCs w:val="21"/>
                    </w:rPr>
                    <w:t>期</w:t>
                  </w:r>
                </w:p>
              </w:tc>
              <w:tc>
                <w:tcPr>
                  <w:tcW w:w="729" w:type="pct"/>
                  <w:tcBorders>
                    <w:tl2br w:val="nil"/>
                    <w:tr2bl w:val="nil"/>
                  </w:tcBorders>
                  <w:noWrap w:val="0"/>
                  <w:vAlign w:val="center"/>
                </w:tcPr>
                <w:p w14:paraId="6BAEF72B">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营运期</w:t>
                  </w:r>
                </w:p>
              </w:tc>
            </w:tr>
            <w:tr w14:paraId="037BC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restart"/>
                  <w:tcBorders>
                    <w:tl2br w:val="nil"/>
                    <w:tr2bl w:val="nil"/>
                  </w:tcBorders>
                  <w:noWrap w:val="0"/>
                  <w:vAlign w:val="center"/>
                </w:tcPr>
                <w:p w14:paraId="4B9080E0">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主体</w:t>
                  </w:r>
                </w:p>
                <w:p w14:paraId="17256301">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工程</w:t>
                  </w:r>
                </w:p>
              </w:tc>
              <w:tc>
                <w:tcPr>
                  <w:tcW w:w="672" w:type="pct"/>
                  <w:tcBorders>
                    <w:tl2br w:val="nil"/>
                    <w:tr2bl w:val="nil"/>
                  </w:tcBorders>
                  <w:noWrap w:val="0"/>
                  <w:vAlign w:val="center"/>
                </w:tcPr>
                <w:p w14:paraId="2367AEFC">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生产</w:t>
                  </w:r>
                  <w:r>
                    <w:rPr>
                      <w:rFonts w:hint="eastAsia" w:ascii="Times New Roman" w:hAnsi="Times New Roman" w:cs="Times New Roman"/>
                      <w:color w:val="auto"/>
                      <w:kern w:val="0"/>
                      <w:sz w:val="21"/>
                      <w:szCs w:val="21"/>
                    </w:rPr>
                    <w:t>车间</w:t>
                  </w:r>
                </w:p>
              </w:tc>
              <w:tc>
                <w:tcPr>
                  <w:tcW w:w="2537" w:type="pct"/>
                  <w:tcBorders>
                    <w:tl2br w:val="nil"/>
                    <w:tr2bl w:val="nil"/>
                  </w:tcBorders>
                  <w:noWrap w:val="0"/>
                  <w:vAlign w:val="center"/>
                </w:tcPr>
                <w:p w14:paraId="225FB2AE">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1栋，1F，建筑面积2000平方米，混</w:t>
                  </w:r>
                </w:p>
                <w:p w14:paraId="254A111B">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凝土硬化地面。在车间内进行合理分区，</w:t>
                  </w:r>
                  <w:r>
                    <w:rPr>
                      <w:rFonts w:hint="eastAsia" w:cs="Times New Roman"/>
                      <w:color w:val="auto"/>
                      <w:kern w:val="0"/>
                      <w:sz w:val="21"/>
                      <w:szCs w:val="21"/>
                      <w:lang w:val="en-US" w:eastAsia="zh-CN"/>
                    </w:rPr>
                    <w:t>西侧设置</w:t>
                  </w:r>
                  <w:r>
                    <w:rPr>
                      <w:rFonts w:hint="eastAsia" w:ascii="Times New Roman" w:hAnsi="Times New Roman" w:cs="Times New Roman"/>
                      <w:color w:val="auto"/>
                      <w:kern w:val="0"/>
                      <w:sz w:val="21"/>
                      <w:szCs w:val="21"/>
                      <w:lang w:val="en-US" w:eastAsia="zh-CN"/>
                    </w:rPr>
                    <w:t>一条柏木油生产线，</w:t>
                  </w:r>
                  <w:r>
                    <w:rPr>
                      <w:rFonts w:hint="eastAsia" w:cs="Times New Roman"/>
                      <w:color w:val="auto"/>
                      <w:kern w:val="0"/>
                      <w:sz w:val="21"/>
                      <w:szCs w:val="21"/>
                      <w:lang w:val="en-US" w:eastAsia="zh-CN"/>
                    </w:rPr>
                    <w:t>东侧设置</w:t>
                  </w:r>
                  <w:r>
                    <w:rPr>
                      <w:rFonts w:hint="eastAsia" w:ascii="Times New Roman" w:hAnsi="Times New Roman" w:cs="Times New Roman"/>
                      <w:color w:val="auto"/>
                      <w:kern w:val="0"/>
                      <w:sz w:val="21"/>
                      <w:szCs w:val="21"/>
                      <w:lang w:val="en-US" w:eastAsia="zh-CN"/>
                    </w:rPr>
                    <w:t>一条生物</w:t>
                  </w:r>
                  <w:r>
                    <w:rPr>
                      <w:rFonts w:hint="eastAsia"/>
                      <w:color w:val="auto"/>
                      <w:sz w:val="21"/>
                      <w:szCs w:val="21"/>
                      <w:lang w:val="en-US" w:eastAsia="zh-CN"/>
                    </w:rPr>
                    <w:t>质颗粒</w:t>
                  </w:r>
                  <w:r>
                    <w:rPr>
                      <w:rFonts w:hint="eastAsia" w:cs="Times New Roman"/>
                      <w:color w:val="auto"/>
                      <w:kern w:val="0"/>
                      <w:sz w:val="21"/>
                      <w:szCs w:val="21"/>
                      <w:lang w:val="en-US" w:eastAsia="zh-CN"/>
                    </w:rPr>
                    <w:t>生产</w:t>
                  </w:r>
                  <w:r>
                    <w:rPr>
                      <w:rFonts w:hint="eastAsia" w:ascii="Times New Roman" w:hAnsi="Times New Roman" w:cs="Times New Roman"/>
                      <w:color w:val="auto"/>
                      <w:kern w:val="0"/>
                      <w:sz w:val="21"/>
                      <w:szCs w:val="21"/>
                      <w:lang w:val="en-US" w:eastAsia="zh-CN"/>
                    </w:rPr>
                    <w:t>线，</w:t>
                  </w:r>
                  <w:r>
                    <w:rPr>
                      <w:rFonts w:hint="eastAsia" w:cs="Times New Roman"/>
                      <w:color w:val="auto"/>
                      <w:kern w:val="0"/>
                      <w:sz w:val="21"/>
                      <w:szCs w:val="21"/>
                      <w:lang w:val="en-US" w:eastAsia="zh-CN"/>
                    </w:rPr>
                    <w:t>并配套设置木片</w:t>
                  </w:r>
                  <w:r>
                    <w:rPr>
                      <w:rFonts w:hint="eastAsia" w:ascii="Times New Roman" w:hAnsi="Times New Roman" w:cs="Times New Roman"/>
                      <w:color w:val="auto"/>
                      <w:kern w:val="0"/>
                      <w:sz w:val="21"/>
                      <w:szCs w:val="21"/>
                      <w:lang w:val="en-US" w:eastAsia="zh-CN"/>
                    </w:rPr>
                    <w:t>堆放区</w:t>
                  </w:r>
                  <w:r>
                    <w:rPr>
                      <w:rFonts w:hint="eastAsia" w:cs="Times New Roman"/>
                      <w:color w:val="auto"/>
                      <w:kern w:val="0"/>
                      <w:sz w:val="21"/>
                      <w:szCs w:val="21"/>
                      <w:lang w:val="en-US" w:eastAsia="zh-CN"/>
                    </w:rPr>
                    <w:t>（北侧，面积</w:t>
                  </w:r>
                  <w:r>
                    <w:rPr>
                      <w:rFonts w:hint="eastAsia" w:ascii="Times New Roman" w:hAnsi="Times New Roman" w:cs="Times New Roman"/>
                      <w:color w:val="auto"/>
                      <w:kern w:val="0"/>
                      <w:sz w:val="21"/>
                      <w:szCs w:val="21"/>
                      <w:lang w:val="en-US" w:eastAsia="zh-CN"/>
                    </w:rPr>
                    <w:t>12</w:t>
                  </w:r>
                  <w:r>
                    <w:rPr>
                      <w:rFonts w:hint="eastAsia" w:ascii="Times New Roman" w:hAnsi="Times New Roman" w:cs="Times New Roman"/>
                      <w:color w:val="auto"/>
                      <w:kern w:val="0"/>
                      <w:sz w:val="21"/>
                      <w:szCs w:val="21"/>
                    </w:rPr>
                    <w:t>0m</w:t>
                  </w:r>
                  <w:r>
                    <w:rPr>
                      <w:rFonts w:hint="eastAsia" w:ascii="Times New Roman" w:hAnsi="Times New Roman" w:cs="Times New Roman"/>
                      <w:color w:val="auto"/>
                      <w:kern w:val="0"/>
                      <w:sz w:val="21"/>
                      <w:szCs w:val="21"/>
                      <w:vertAlign w:val="superscript"/>
                    </w:rPr>
                    <w:t>2</w:t>
                  </w:r>
                  <w:r>
                    <w:rPr>
                      <w:rFonts w:hint="eastAsia" w:cs="Times New Roman"/>
                      <w:color w:val="auto"/>
                      <w:kern w:val="0"/>
                      <w:sz w:val="21"/>
                      <w:szCs w:val="21"/>
                      <w:lang w:val="en-US" w:eastAsia="zh-CN"/>
                    </w:rPr>
                    <w:t>）</w:t>
                  </w:r>
                  <w:r>
                    <w:rPr>
                      <w:rFonts w:hint="eastAsia" w:ascii="Times New Roman" w:hAnsi="Times New Roman" w:cs="Times New Roman"/>
                      <w:color w:val="auto"/>
                      <w:kern w:val="0"/>
                      <w:sz w:val="21"/>
                      <w:szCs w:val="21"/>
                      <w:lang w:val="en-US" w:eastAsia="zh-CN"/>
                    </w:rPr>
                    <w:t>、蒸馏木渣堆放区</w:t>
                  </w:r>
                  <w:r>
                    <w:rPr>
                      <w:rFonts w:hint="eastAsia" w:cs="Times New Roman"/>
                      <w:color w:val="auto"/>
                      <w:kern w:val="0"/>
                      <w:sz w:val="21"/>
                      <w:szCs w:val="21"/>
                      <w:lang w:val="en-US" w:eastAsia="zh-CN"/>
                    </w:rPr>
                    <w:t>（东侧，面积80</w:t>
                  </w:r>
                  <w:r>
                    <w:rPr>
                      <w:rFonts w:hint="eastAsia" w:ascii="Times New Roman" w:hAnsi="Times New Roman" w:cs="Times New Roman"/>
                      <w:color w:val="auto"/>
                      <w:kern w:val="0"/>
                      <w:sz w:val="21"/>
                      <w:szCs w:val="21"/>
                    </w:rPr>
                    <w:t>m</w:t>
                  </w:r>
                  <w:r>
                    <w:rPr>
                      <w:rFonts w:hint="eastAsia" w:ascii="Times New Roman" w:hAnsi="Times New Roman" w:cs="Times New Roman"/>
                      <w:color w:val="auto"/>
                      <w:kern w:val="0"/>
                      <w:sz w:val="21"/>
                      <w:szCs w:val="21"/>
                      <w:vertAlign w:val="superscript"/>
                    </w:rPr>
                    <w:t>2</w:t>
                  </w:r>
                  <w:r>
                    <w:rPr>
                      <w:rFonts w:hint="eastAsia" w:cs="Times New Roman"/>
                      <w:color w:val="auto"/>
                      <w:kern w:val="0"/>
                      <w:sz w:val="21"/>
                      <w:szCs w:val="21"/>
                      <w:lang w:val="en-US" w:eastAsia="zh-CN"/>
                    </w:rPr>
                    <w:t>）、</w:t>
                  </w:r>
                  <w:r>
                    <w:rPr>
                      <w:rFonts w:hint="eastAsia" w:cs="Times New Roman"/>
                      <w:color w:val="auto"/>
                      <w:kern w:val="0"/>
                      <w:sz w:val="21"/>
                      <w:szCs w:val="21"/>
                      <w:highlight w:val="none"/>
                      <w:lang w:val="en-US" w:eastAsia="zh-CN"/>
                    </w:rPr>
                    <w:t>生物质</w:t>
                  </w:r>
                  <w:r>
                    <w:rPr>
                      <w:rFonts w:hint="eastAsia" w:ascii="Times New Roman" w:hAnsi="Times New Roman" w:cs="Times New Roman"/>
                      <w:color w:val="auto"/>
                      <w:kern w:val="0"/>
                      <w:sz w:val="21"/>
                      <w:szCs w:val="21"/>
                      <w:highlight w:val="none"/>
                      <w:lang w:val="en-US" w:eastAsia="zh-CN"/>
                    </w:rPr>
                    <w:t>颗粒</w:t>
                  </w:r>
                  <w:r>
                    <w:rPr>
                      <w:rFonts w:hint="eastAsia" w:ascii="Times New Roman" w:hAnsi="Times New Roman" w:cs="Times New Roman"/>
                      <w:color w:val="auto"/>
                      <w:kern w:val="0"/>
                      <w:sz w:val="21"/>
                      <w:szCs w:val="21"/>
                      <w:lang w:val="en-US" w:eastAsia="zh-CN"/>
                    </w:rPr>
                    <w:t>堆放区</w:t>
                  </w:r>
                  <w:r>
                    <w:rPr>
                      <w:rFonts w:hint="eastAsia" w:cs="Times New Roman"/>
                      <w:color w:val="auto"/>
                      <w:kern w:val="0"/>
                      <w:sz w:val="21"/>
                      <w:szCs w:val="21"/>
                      <w:lang w:val="en-US" w:eastAsia="zh-CN"/>
                    </w:rPr>
                    <w:t>（东南侧，面积20</w:t>
                  </w:r>
                  <w:r>
                    <w:rPr>
                      <w:rFonts w:hint="eastAsia" w:ascii="Times New Roman" w:hAnsi="Times New Roman" w:cs="Times New Roman"/>
                      <w:color w:val="auto"/>
                      <w:kern w:val="0"/>
                      <w:sz w:val="21"/>
                      <w:szCs w:val="21"/>
                    </w:rPr>
                    <w:t>0m</w:t>
                  </w:r>
                  <w:r>
                    <w:rPr>
                      <w:rFonts w:hint="eastAsia" w:ascii="Times New Roman" w:hAnsi="Times New Roman" w:cs="Times New Roman"/>
                      <w:color w:val="auto"/>
                      <w:kern w:val="0"/>
                      <w:sz w:val="21"/>
                      <w:szCs w:val="21"/>
                      <w:vertAlign w:val="superscript"/>
                    </w:rPr>
                    <w:t>2</w:t>
                  </w:r>
                  <w:r>
                    <w:rPr>
                      <w:rFonts w:hint="eastAsia" w:cs="Times New Roman"/>
                      <w:color w:val="auto"/>
                      <w:kern w:val="0"/>
                      <w:sz w:val="21"/>
                      <w:szCs w:val="21"/>
                      <w:lang w:val="en-US" w:eastAsia="zh-CN"/>
                    </w:rPr>
                    <w:t>）</w:t>
                  </w:r>
                  <w:r>
                    <w:rPr>
                      <w:rFonts w:hint="eastAsia"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柏木油产品库（东北侧，面积</w:t>
                  </w:r>
                  <w:r>
                    <w:rPr>
                      <w:rFonts w:hint="eastAsia" w:ascii="Times New Roman" w:hAnsi="Times New Roman" w:cs="Times New Roman"/>
                      <w:color w:val="auto"/>
                      <w:kern w:val="0"/>
                      <w:sz w:val="21"/>
                      <w:szCs w:val="21"/>
                      <w:lang w:val="en-US" w:eastAsia="zh-CN"/>
                    </w:rPr>
                    <w:t>12</w:t>
                  </w:r>
                  <w:r>
                    <w:rPr>
                      <w:rFonts w:hint="eastAsia" w:ascii="Times New Roman" w:hAnsi="Times New Roman" w:cs="Times New Roman"/>
                      <w:color w:val="auto"/>
                      <w:kern w:val="0"/>
                      <w:sz w:val="21"/>
                      <w:szCs w:val="21"/>
                    </w:rPr>
                    <w:t>0m</w:t>
                  </w:r>
                  <w:r>
                    <w:rPr>
                      <w:rFonts w:hint="eastAsia" w:ascii="Times New Roman" w:hAnsi="Times New Roman" w:cs="Times New Roman"/>
                      <w:color w:val="auto"/>
                      <w:kern w:val="0"/>
                      <w:sz w:val="21"/>
                      <w:szCs w:val="21"/>
                      <w:vertAlign w:val="superscript"/>
                    </w:rPr>
                    <w:t>2</w:t>
                  </w:r>
                  <w:r>
                    <w:rPr>
                      <w:rFonts w:hint="eastAsia" w:cs="Times New Roman"/>
                      <w:color w:val="auto"/>
                      <w:kern w:val="0"/>
                      <w:sz w:val="21"/>
                      <w:szCs w:val="21"/>
                      <w:lang w:val="en-US" w:eastAsia="zh-CN"/>
                    </w:rPr>
                    <w:t>）</w:t>
                  </w:r>
                  <w:r>
                    <w:rPr>
                      <w:rFonts w:hint="eastAsia" w:ascii="Times New Roman" w:hAnsi="Times New Roman" w:cs="Times New Roman"/>
                      <w:color w:val="auto"/>
                      <w:kern w:val="0"/>
                      <w:sz w:val="21"/>
                      <w:szCs w:val="21"/>
                      <w:lang w:val="en-US" w:eastAsia="zh-CN"/>
                    </w:rPr>
                    <w:t>、拟</w:t>
                  </w:r>
                  <w:r>
                    <w:rPr>
                      <w:rFonts w:hint="eastAsia" w:cs="Times New Roman"/>
                      <w:color w:val="auto"/>
                      <w:kern w:val="0"/>
                      <w:sz w:val="21"/>
                      <w:szCs w:val="21"/>
                      <w:lang w:val="en-US" w:eastAsia="zh-CN"/>
                    </w:rPr>
                    <w:t>自北向南依次</w:t>
                  </w:r>
                  <w:r>
                    <w:rPr>
                      <w:rFonts w:hint="eastAsia" w:ascii="Times New Roman" w:hAnsi="Times New Roman" w:cs="Times New Roman"/>
                      <w:color w:val="auto"/>
                      <w:kern w:val="0"/>
                      <w:sz w:val="21"/>
                      <w:szCs w:val="21"/>
                      <w:lang w:val="en-US" w:eastAsia="zh-CN"/>
                    </w:rPr>
                    <w:t>设置粉碎机、蒸馏釜、冷凝器、</w:t>
                  </w:r>
                  <w:r>
                    <w:rPr>
                      <w:rFonts w:hint="eastAsia" w:cs="Times New Roman"/>
                      <w:color w:val="auto"/>
                      <w:kern w:val="0"/>
                      <w:sz w:val="21"/>
                      <w:szCs w:val="21"/>
                      <w:lang w:val="en-US" w:eastAsia="zh-CN"/>
                    </w:rPr>
                    <w:t>并在东侧设置生物质制粒机</w:t>
                  </w:r>
                  <w:r>
                    <w:rPr>
                      <w:rFonts w:hint="eastAsia" w:ascii="Times New Roman" w:hAnsi="Times New Roman" w:cs="Times New Roman"/>
                      <w:color w:val="auto"/>
                      <w:kern w:val="0"/>
                      <w:sz w:val="21"/>
                      <w:szCs w:val="21"/>
                      <w:lang w:val="en-US" w:eastAsia="zh-CN"/>
                    </w:rPr>
                    <w:t>等设施设备</w:t>
                  </w:r>
                </w:p>
              </w:tc>
              <w:tc>
                <w:tcPr>
                  <w:tcW w:w="614" w:type="pct"/>
                  <w:vMerge w:val="restart"/>
                  <w:tcBorders>
                    <w:tl2br w:val="nil"/>
                    <w:tr2bl w:val="nil"/>
                  </w:tcBorders>
                  <w:noWrap w:val="0"/>
                  <w:vAlign w:val="center"/>
                </w:tcPr>
                <w:p w14:paraId="254DBB1C">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施工废水、施工噪声、施工建渣、施工扬尘、生活污水、生活垃圾</w:t>
                  </w:r>
                </w:p>
              </w:tc>
              <w:tc>
                <w:tcPr>
                  <w:tcW w:w="729" w:type="pct"/>
                  <w:vMerge w:val="restart"/>
                  <w:tcBorders>
                    <w:tl2br w:val="nil"/>
                    <w:tr2bl w:val="nil"/>
                  </w:tcBorders>
                  <w:noWrap w:val="0"/>
                  <w:vAlign w:val="center"/>
                </w:tcPr>
                <w:p w14:paraId="43A52C3A">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噪声、固废、废气、废水</w:t>
                  </w:r>
                </w:p>
              </w:tc>
            </w:tr>
            <w:tr w14:paraId="123D5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continue"/>
                  <w:tcBorders>
                    <w:tl2br w:val="nil"/>
                    <w:tr2bl w:val="nil"/>
                  </w:tcBorders>
                  <w:noWrap w:val="0"/>
                  <w:vAlign w:val="center"/>
                </w:tcPr>
                <w:p w14:paraId="6F93A1AB">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672" w:type="pct"/>
                  <w:tcBorders>
                    <w:tl2br w:val="nil"/>
                    <w:tr2bl w:val="nil"/>
                  </w:tcBorders>
                  <w:noWrap w:val="0"/>
                  <w:vAlign w:val="center"/>
                </w:tcPr>
                <w:p w14:paraId="02E12A91">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破碎间</w:t>
                  </w:r>
                </w:p>
              </w:tc>
              <w:tc>
                <w:tcPr>
                  <w:tcW w:w="2537" w:type="pct"/>
                  <w:tcBorders>
                    <w:tl2br w:val="nil"/>
                    <w:tr2bl w:val="nil"/>
                  </w:tcBorders>
                  <w:noWrap w:val="0"/>
                  <w:vAlign w:val="center"/>
                </w:tcPr>
                <w:p w14:paraId="5AFA9C58">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在锅炉房旁设置破碎间，面积400平方米，设置原材料堆场及破碎机，对枯柏树蔸进行初步破碎</w:t>
                  </w:r>
                </w:p>
              </w:tc>
              <w:tc>
                <w:tcPr>
                  <w:tcW w:w="614" w:type="pct"/>
                  <w:vMerge w:val="continue"/>
                  <w:tcBorders>
                    <w:tl2br w:val="nil"/>
                    <w:tr2bl w:val="nil"/>
                  </w:tcBorders>
                  <w:noWrap w:val="0"/>
                  <w:vAlign w:val="center"/>
                </w:tcPr>
                <w:p w14:paraId="7D47BE2D">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p>
              </w:tc>
              <w:tc>
                <w:tcPr>
                  <w:tcW w:w="729" w:type="pct"/>
                  <w:vMerge w:val="continue"/>
                  <w:tcBorders>
                    <w:tl2br w:val="nil"/>
                    <w:tr2bl w:val="nil"/>
                  </w:tcBorders>
                  <w:noWrap w:val="0"/>
                  <w:vAlign w:val="center"/>
                </w:tcPr>
                <w:p w14:paraId="6577774D">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p>
              </w:tc>
            </w:tr>
            <w:tr w14:paraId="6C08A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restart"/>
                  <w:tcBorders>
                    <w:tl2br w:val="nil"/>
                    <w:tr2bl w:val="nil"/>
                  </w:tcBorders>
                  <w:noWrap w:val="0"/>
                  <w:vAlign w:val="center"/>
                </w:tcPr>
                <w:p w14:paraId="555174D2">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辅助</w:t>
                  </w:r>
                </w:p>
                <w:p w14:paraId="7F84898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工程</w:t>
                  </w:r>
                </w:p>
              </w:tc>
              <w:tc>
                <w:tcPr>
                  <w:tcW w:w="672" w:type="pct"/>
                  <w:tcBorders>
                    <w:tl2br w:val="nil"/>
                    <w:tr2bl w:val="nil"/>
                  </w:tcBorders>
                  <w:noWrap w:val="0"/>
                  <w:vAlign w:val="center"/>
                </w:tcPr>
                <w:p w14:paraId="38A29091">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锅炉房</w:t>
                  </w:r>
                </w:p>
              </w:tc>
              <w:tc>
                <w:tcPr>
                  <w:tcW w:w="2537" w:type="pct"/>
                  <w:tcBorders>
                    <w:tl2br w:val="nil"/>
                    <w:tr2bl w:val="nil"/>
                  </w:tcBorders>
                  <w:noWrap w:val="0"/>
                  <w:vAlign w:val="center"/>
                </w:tcPr>
                <w:p w14:paraId="082C4F8F">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在生产车间西南侧设置</w:t>
                  </w:r>
                  <w:r>
                    <w:rPr>
                      <w:rFonts w:hint="default" w:ascii="Times New Roman" w:hAnsi="Times New Roman" w:eastAsia="宋体" w:cs="Times New Roman"/>
                      <w:color w:val="auto"/>
                      <w:kern w:val="0"/>
                      <w:sz w:val="21"/>
                      <w:szCs w:val="21"/>
                      <w:lang w:val="en-US" w:eastAsia="zh-CN"/>
                    </w:rPr>
                    <w:t>1</w:t>
                  </w:r>
                  <w:r>
                    <w:rPr>
                      <w:rFonts w:hint="eastAsia" w:ascii="Times New Roman" w:hAnsi="Times New Roman" w:eastAsia="宋体" w:cs="Times New Roman"/>
                      <w:color w:val="auto"/>
                      <w:kern w:val="0"/>
                      <w:sz w:val="21"/>
                      <w:szCs w:val="21"/>
                      <w:lang w:val="en-US" w:eastAsia="zh-CN"/>
                    </w:rPr>
                    <w:t>间锅炉房，建筑面积6</w:t>
                  </w:r>
                  <w:r>
                    <w:rPr>
                      <w:rFonts w:hint="default" w:ascii="Times New Roman" w:hAnsi="Times New Roman" w:eastAsia="宋体" w:cs="Times New Roman"/>
                      <w:color w:val="auto"/>
                      <w:kern w:val="0"/>
                      <w:sz w:val="21"/>
                      <w:szCs w:val="21"/>
                      <w:lang w:val="en-US" w:eastAsia="zh-CN"/>
                    </w:rPr>
                    <w:t>0</w:t>
                  </w:r>
                  <w:r>
                    <w:rPr>
                      <w:rFonts w:hint="eastAsia" w:ascii="Times New Roman" w:hAnsi="Times New Roman" w:eastAsia="宋体" w:cs="Times New Roman"/>
                      <w:color w:val="auto"/>
                      <w:kern w:val="0"/>
                      <w:sz w:val="21"/>
                      <w:szCs w:val="21"/>
                      <w:lang w:val="en-US" w:eastAsia="zh-CN"/>
                    </w:rPr>
                    <w:t>0m</w:t>
                  </w:r>
                  <w:r>
                    <w:rPr>
                      <w:rFonts w:hint="eastAsia" w:ascii="Times New Roman" w:hAnsi="Times New Roman" w:eastAsia="宋体" w:cs="Times New Roman"/>
                      <w:color w:val="auto"/>
                      <w:kern w:val="0"/>
                      <w:sz w:val="21"/>
                      <w:szCs w:val="21"/>
                      <w:vertAlign w:val="superscript"/>
                      <w:lang w:val="en-US" w:eastAsia="zh-CN"/>
                    </w:rPr>
                    <w:t>2</w:t>
                  </w:r>
                  <w:r>
                    <w:rPr>
                      <w:rFonts w:hint="eastAsia" w:ascii="Times New Roman" w:hAnsi="Times New Roman" w:eastAsia="宋体" w:cs="Times New Roman"/>
                      <w:color w:val="auto"/>
                      <w:kern w:val="0"/>
                      <w:sz w:val="21"/>
                      <w:szCs w:val="21"/>
                      <w:lang w:val="en-US" w:eastAsia="zh-CN"/>
                    </w:rPr>
                    <w:t>，内设</w:t>
                  </w:r>
                  <w:r>
                    <w:rPr>
                      <w:rFonts w:hint="default" w:ascii="Times New Roman" w:hAnsi="Times New Roman" w:eastAsia="宋体" w:cs="Times New Roman"/>
                      <w:color w:val="auto"/>
                      <w:kern w:val="0"/>
                      <w:sz w:val="21"/>
                      <w:szCs w:val="21"/>
                      <w:lang w:val="en-US" w:eastAsia="zh-CN"/>
                    </w:rPr>
                    <w:t>1</w:t>
                  </w:r>
                  <w:r>
                    <w:rPr>
                      <w:rFonts w:hint="eastAsia" w:ascii="Times New Roman" w:hAnsi="Times New Roman" w:eastAsia="宋体" w:cs="Times New Roman"/>
                      <w:color w:val="auto"/>
                      <w:kern w:val="0"/>
                      <w:sz w:val="21"/>
                      <w:szCs w:val="21"/>
                      <w:lang w:val="en-US" w:eastAsia="zh-CN"/>
                    </w:rPr>
                    <w:t>台8t/h的生物质锅炉</w:t>
                  </w:r>
                </w:p>
              </w:tc>
              <w:tc>
                <w:tcPr>
                  <w:tcW w:w="614" w:type="pct"/>
                  <w:vMerge w:val="continue"/>
                  <w:tcBorders>
                    <w:tl2br w:val="nil"/>
                    <w:tr2bl w:val="nil"/>
                  </w:tcBorders>
                  <w:noWrap w:val="0"/>
                  <w:vAlign w:val="center"/>
                </w:tcPr>
                <w:p w14:paraId="469DB13E">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tcBorders>
                    <w:tl2br w:val="nil"/>
                    <w:tr2bl w:val="nil"/>
                  </w:tcBorders>
                  <w:noWrap w:val="0"/>
                  <w:vAlign w:val="center"/>
                </w:tcPr>
                <w:p w14:paraId="730A8C11">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废气、废水、噪声</w:t>
                  </w:r>
                </w:p>
              </w:tc>
            </w:tr>
            <w:tr w14:paraId="5FCBE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continue"/>
                  <w:tcBorders>
                    <w:tl2br w:val="nil"/>
                    <w:tr2bl w:val="nil"/>
                  </w:tcBorders>
                  <w:noWrap w:val="0"/>
                  <w:vAlign w:val="center"/>
                </w:tcPr>
                <w:p w14:paraId="54BDE2F1">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p>
              </w:tc>
              <w:tc>
                <w:tcPr>
                  <w:tcW w:w="672" w:type="pct"/>
                  <w:tcBorders>
                    <w:tl2br w:val="nil"/>
                    <w:tr2bl w:val="nil"/>
                  </w:tcBorders>
                  <w:noWrap w:val="0"/>
                  <w:vAlign w:val="center"/>
                </w:tcPr>
                <w:p w14:paraId="060419FC">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冷却塔</w:t>
                  </w:r>
                </w:p>
              </w:tc>
              <w:tc>
                <w:tcPr>
                  <w:tcW w:w="2537" w:type="pct"/>
                  <w:tcBorders>
                    <w:tl2br w:val="nil"/>
                    <w:tr2bl w:val="nil"/>
                  </w:tcBorders>
                  <w:noWrap w:val="0"/>
                  <w:vAlign w:val="center"/>
                </w:tcPr>
                <w:p w14:paraId="1EBE0B85">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采用闭式冷却塔，并设置储水箱，用于项目循环水冷却</w:t>
                  </w:r>
                </w:p>
              </w:tc>
              <w:tc>
                <w:tcPr>
                  <w:tcW w:w="614" w:type="pct"/>
                  <w:vMerge w:val="restart"/>
                  <w:tcBorders>
                    <w:tl2br w:val="nil"/>
                    <w:tr2bl w:val="nil"/>
                  </w:tcBorders>
                  <w:noWrap w:val="0"/>
                  <w:vAlign w:val="center"/>
                </w:tcPr>
                <w:p w14:paraId="7D120C6F">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施工废水、施工噪声、施工建渣、施工扬尘、生活污水、生活垃圾</w:t>
                  </w:r>
                </w:p>
              </w:tc>
              <w:tc>
                <w:tcPr>
                  <w:tcW w:w="729" w:type="pct"/>
                  <w:tcBorders>
                    <w:tl2br w:val="nil"/>
                    <w:tr2bl w:val="nil"/>
                  </w:tcBorders>
                  <w:noWrap w:val="0"/>
                  <w:vAlign w:val="center"/>
                </w:tcPr>
                <w:p w14:paraId="5BEC2618">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废水、噪声</w:t>
                  </w:r>
                </w:p>
              </w:tc>
            </w:tr>
            <w:tr w14:paraId="6A352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tcBorders>
                    <w:tl2br w:val="nil"/>
                    <w:tr2bl w:val="nil"/>
                  </w:tcBorders>
                  <w:noWrap w:val="0"/>
                  <w:vAlign w:val="center"/>
                </w:tcPr>
                <w:p w14:paraId="40C3D5A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办公及生活设施</w:t>
                  </w:r>
                </w:p>
              </w:tc>
              <w:tc>
                <w:tcPr>
                  <w:tcW w:w="672" w:type="pct"/>
                  <w:tcBorders>
                    <w:tl2br w:val="nil"/>
                    <w:tr2bl w:val="nil"/>
                  </w:tcBorders>
                  <w:noWrap w:val="0"/>
                  <w:vAlign w:val="center"/>
                </w:tcPr>
                <w:p w14:paraId="32490B3D">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rPr>
                    <w:t>办公楼</w:t>
                  </w:r>
                </w:p>
              </w:tc>
              <w:tc>
                <w:tcPr>
                  <w:tcW w:w="2537" w:type="pct"/>
                  <w:tcBorders>
                    <w:tl2br w:val="nil"/>
                    <w:tr2bl w:val="nil"/>
                  </w:tcBorders>
                  <w:noWrap w:val="0"/>
                  <w:vAlign w:val="center"/>
                </w:tcPr>
                <w:p w14:paraId="485EAC8D">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依托中建公司已建办公楼，2F，</w:t>
                  </w:r>
                  <w:r>
                    <w:rPr>
                      <w:rFonts w:hint="eastAsia" w:ascii="Times New Roman" w:hAnsi="Times New Roman" w:cs="Times New Roman"/>
                      <w:color w:val="auto"/>
                      <w:kern w:val="0"/>
                      <w:sz w:val="21"/>
                      <w:szCs w:val="21"/>
                    </w:rPr>
                    <w:t>位于厂区东南侧，占地面积约780m</w:t>
                  </w:r>
                  <w:r>
                    <w:rPr>
                      <w:rFonts w:hint="eastAsia" w:ascii="Times New Roman" w:hAnsi="Times New Roman" w:cs="Times New Roman"/>
                      <w:color w:val="auto"/>
                      <w:kern w:val="0"/>
                      <w:sz w:val="21"/>
                      <w:szCs w:val="21"/>
                      <w:vertAlign w:val="superscript"/>
                    </w:rPr>
                    <w:t>2</w:t>
                  </w:r>
                  <w:r>
                    <w:rPr>
                      <w:rFonts w:hint="eastAsia" w:ascii="Times New Roman" w:hAnsi="Times New Roman" w:cs="Times New Roman"/>
                      <w:color w:val="auto"/>
                      <w:kern w:val="0"/>
                      <w:sz w:val="21"/>
                      <w:szCs w:val="21"/>
                    </w:rPr>
                    <w:t>，主要用于管理人员办公、生活使用</w:t>
                  </w:r>
                </w:p>
              </w:tc>
              <w:tc>
                <w:tcPr>
                  <w:tcW w:w="614" w:type="pct"/>
                  <w:vMerge w:val="continue"/>
                  <w:tcBorders>
                    <w:tl2br w:val="nil"/>
                    <w:tr2bl w:val="nil"/>
                  </w:tcBorders>
                  <w:noWrap w:val="0"/>
                  <w:vAlign w:val="center"/>
                </w:tcPr>
                <w:p w14:paraId="417194A3">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tcBorders>
                    <w:tl2br w:val="nil"/>
                    <w:tr2bl w:val="nil"/>
                  </w:tcBorders>
                  <w:noWrap w:val="0"/>
                  <w:vAlign w:val="center"/>
                </w:tcPr>
                <w:p w14:paraId="7BAAC8CB">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废水、噪声、固废</w:t>
                  </w:r>
                </w:p>
              </w:tc>
            </w:tr>
            <w:tr w14:paraId="7D4B5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restart"/>
                  <w:tcBorders>
                    <w:tl2br w:val="nil"/>
                    <w:tr2bl w:val="nil"/>
                  </w:tcBorders>
                  <w:noWrap w:val="0"/>
                  <w:vAlign w:val="center"/>
                </w:tcPr>
                <w:p w14:paraId="6A790E74">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公用工程</w:t>
                  </w:r>
                </w:p>
              </w:tc>
              <w:tc>
                <w:tcPr>
                  <w:tcW w:w="672" w:type="pct"/>
                  <w:tcBorders>
                    <w:tl2br w:val="nil"/>
                    <w:tr2bl w:val="nil"/>
                  </w:tcBorders>
                  <w:noWrap w:val="0"/>
                  <w:vAlign w:val="center"/>
                </w:tcPr>
                <w:p w14:paraId="18F1A555">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供电系统</w:t>
                  </w:r>
                </w:p>
              </w:tc>
              <w:tc>
                <w:tcPr>
                  <w:tcW w:w="2537" w:type="pct"/>
                  <w:tcBorders>
                    <w:tl2br w:val="nil"/>
                    <w:tr2bl w:val="nil"/>
                  </w:tcBorders>
                  <w:noWrap w:val="0"/>
                  <w:vAlign w:val="center"/>
                </w:tcPr>
                <w:p w14:paraId="497802A3">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由市政电网供电</w:t>
                  </w:r>
                </w:p>
              </w:tc>
              <w:tc>
                <w:tcPr>
                  <w:tcW w:w="614" w:type="pct"/>
                  <w:vMerge w:val="continue"/>
                  <w:tcBorders>
                    <w:tl2br w:val="nil"/>
                    <w:tr2bl w:val="nil"/>
                  </w:tcBorders>
                  <w:noWrap w:val="0"/>
                  <w:vAlign w:val="center"/>
                </w:tcPr>
                <w:p w14:paraId="22698170">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tcBorders>
                    <w:tl2br w:val="nil"/>
                    <w:tr2bl w:val="nil"/>
                  </w:tcBorders>
                  <w:noWrap w:val="0"/>
                  <w:vAlign w:val="center"/>
                </w:tcPr>
                <w:p w14:paraId="5B9B48D2">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14:paraId="7D552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46" w:type="pct"/>
                  <w:vMerge w:val="continue"/>
                  <w:tcBorders>
                    <w:tl2br w:val="nil"/>
                    <w:tr2bl w:val="nil"/>
                  </w:tcBorders>
                  <w:noWrap w:val="0"/>
                  <w:vAlign w:val="center"/>
                </w:tcPr>
                <w:p w14:paraId="6C9AEC05">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672" w:type="pct"/>
                  <w:tcBorders>
                    <w:tl2br w:val="nil"/>
                    <w:tr2bl w:val="nil"/>
                  </w:tcBorders>
                  <w:noWrap w:val="0"/>
                  <w:vAlign w:val="center"/>
                </w:tcPr>
                <w:p w14:paraId="43200D44">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供水系统</w:t>
                  </w:r>
                </w:p>
              </w:tc>
              <w:tc>
                <w:tcPr>
                  <w:tcW w:w="2537" w:type="pct"/>
                  <w:tcBorders>
                    <w:tl2br w:val="nil"/>
                    <w:tr2bl w:val="nil"/>
                  </w:tcBorders>
                  <w:noWrap w:val="0"/>
                  <w:vAlign w:val="center"/>
                </w:tcPr>
                <w:p w14:paraId="0D8E1624">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rPr>
                    <w:t>由市政管网供水</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设置循环水装置，储水箱容积75m</w:t>
                  </w:r>
                  <w:r>
                    <w:rPr>
                      <w:rFonts w:hint="eastAsia" w:ascii="Times New Roman" w:hAnsi="Times New Roman" w:cs="Times New Roman"/>
                      <w:color w:val="auto"/>
                      <w:kern w:val="0"/>
                      <w:sz w:val="21"/>
                      <w:szCs w:val="21"/>
                      <w:vertAlign w:val="superscript"/>
                      <w:lang w:val="en-US" w:eastAsia="zh-CN"/>
                    </w:rPr>
                    <w:t>3</w:t>
                  </w:r>
                  <w:r>
                    <w:rPr>
                      <w:rFonts w:hint="eastAsia" w:ascii="Times New Roman" w:hAnsi="Times New Roman" w:cs="Times New Roman"/>
                      <w:color w:val="auto"/>
                      <w:kern w:val="0"/>
                      <w:sz w:val="21"/>
                      <w:szCs w:val="21"/>
                      <w:vertAlign w:val="baseline"/>
                      <w:lang w:val="en-US" w:eastAsia="zh-CN"/>
                    </w:rPr>
                    <w:t>，循环水量200m</w:t>
                  </w:r>
                  <w:r>
                    <w:rPr>
                      <w:rFonts w:hint="eastAsia" w:ascii="Times New Roman" w:hAnsi="Times New Roman" w:cs="Times New Roman"/>
                      <w:color w:val="auto"/>
                      <w:kern w:val="0"/>
                      <w:sz w:val="21"/>
                      <w:szCs w:val="21"/>
                      <w:vertAlign w:val="superscript"/>
                      <w:lang w:val="en-US" w:eastAsia="zh-CN"/>
                    </w:rPr>
                    <w:t>3</w:t>
                  </w:r>
                  <w:r>
                    <w:rPr>
                      <w:rFonts w:hint="eastAsia" w:ascii="Times New Roman" w:hAnsi="Times New Roman" w:cs="Times New Roman"/>
                      <w:color w:val="auto"/>
                      <w:kern w:val="0"/>
                      <w:sz w:val="21"/>
                      <w:szCs w:val="21"/>
                      <w:vertAlign w:val="baseline"/>
                      <w:lang w:val="en-US" w:eastAsia="zh-CN"/>
                    </w:rPr>
                    <w:t>/h。</w:t>
                  </w:r>
                </w:p>
              </w:tc>
              <w:tc>
                <w:tcPr>
                  <w:tcW w:w="614" w:type="pct"/>
                  <w:vMerge w:val="continue"/>
                  <w:tcBorders>
                    <w:tl2br w:val="nil"/>
                    <w:tr2bl w:val="nil"/>
                  </w:tcBorders>
                  <w:noWrap w:val="0"/>
                  <w:vAlign w:val="center"/>
                </w:tcPr>
                <w:p w14:paraId="1A33CC0D">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tcBorders>
                    <w:tl2br w:val="nil"/>
                    <w:tr2bl w:val="nil"/>
                  </w:tcBorders>
                  <w:noWrap w:val="0"/>
                  <w:vAlign w:val="center"/>
                </w:tcPr>
                <w:p w14:paraId="7C879101">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14:paraId="1F4BD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46" w:type="pct"/>
                  <w:vMerge w:val="continue"/>
                  <w:tcBorders>
                    <w:tl2br w:val="nil"/>
                    <w:tr2bl w:val="nil"/>
                  </w:tcBorders>
                  <w:noWrap w:val="0"/>
                  <w:vAlign w:val="center"/>
                </w:tcPr>
                <w:p w14:paraId="33BE6E31">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672" w:type="pct"/>
                  <w:tcBorders>
                    <w:tl2br w:val="nil"/>
                    <w:tr2bl w:val="nil"/>
                  </w:tcBorders>
                  <w:noWrap w:val="0"/>
                  <w:vAlign w:val="center"/>
                </w:tcPr>
                <w:p w14:paraId="3D1291CF">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供热系统</w:t>
                  </w:r>
                </w:p>
              </w:tc>
              <w:tc>
                <w:tcPr>
                  <w:tcW w:w="2537" w:type="pct"/>
                  <w:tcBorders>
                    <w:tl2br w:val="nil"/>
                    <w:tr2bl w:val="nil"/>
                  </w:tcBorders>
                  <w:noWrap w:val="0"/>
                  <w:vAlign w:val="center"/>
                </w:tcPr>
                <w:p w14:paraId="652DF4F4">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rPr>
                  </w:pPr>
                  <w:r>
                    <w:rPr>
                      <w:rFonts w:hint="eastAsia" w:ascii="Times New Roman" w:hAnsi="Times New Roman" w:eastAsia="宋体" w:cs="Times New Roman"/>
                      <w:color w:val="auto"/>
                      <w:kern w:val="0"/>
                      <w:sz w:val="21"/>
                      <w:szCs w:val="21"/>
                      <w:lang w:val="en-US" w:eastAsia="zh-CN"/>
                    </w:rPr>
                    <w:t>由</w:t>
                  </w:r>
                  <w:r>
                    <w:rPr>
                      <w:rFonts w:hint="default" w:ascii="Times New Roman" w:hAnsi="Times New Roman" w:eastAsia="宋体" w:cs="Times New Roman"/>
                      <w:color w:val="auto"/>
                      <w:kern w:val="0"/>
                      <w:sz w:val="21"/>
                      <w:szCs w:val="21"/>
                      <w:lang w:val="en-US" w:eastAsia="zh-CN"/>
                    </w:rPr>
                    <w:t>1</w:t>
                  </w:r>
                  <w:r>
                    <w:rPr>
                      <w:rFonts w:hint="eastAsia" w:ascii="Times New Roman" w:hAnsi="Times New Roman" w:eastAsia="宋体" w:cs="Times New Roman"/>
                      <w:color w:val="auto"/>
                      <w:kern w:val="0"/>
                      <w:sz w:val="21"/>
                      <w:szCs w:val="21"/>
                      <w:lang w:val="en-US" w:eastAsia="zh-CN"/>
                    </w:rPr>
                    <w:t>台8t/h的燃生物质锅炉供热</w:t>
                  </w:r>
                </w:p>
              </w:tc>
              <w:tc>
                <w:tcPr>
                  <w:tcW w:w="614" w:type="pct"/>
                  <w:vMerge w:val="continue"/>
                  <w:tcBorders>
                    <w:tl2br w:val="nil"/>
                    <w:tr2bl w:val="nil"/>
                  </w:tcBorders>
                  <w:noWrap w:val="0"/>
                  <w:vAlign w:val="center"/>
                </w:tcPr>
                <w:p w14:paraId="19982076">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tcBorders>
                    <w:tl2br w:val="nil"/>
                    <w:tr2bl w:val="nil"/>
                  </w:tcBorders>
                  <w:noWrap w:val="0"/>
                  <w:vAlign w:val="center"/>
                </w:tcPr>
                <w:p w14:paraId="6997B630">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w:t>
                  </w:r>
                </w:p>
              </w:tc>
            </w:tr>
            <w:tr w14:paraId="67587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restart"/>
                  <w:tcBorders>
                    <w:tl2br w:val="nil"/>
                    <w:tr2bl w:val="nil"/>
                  </w:tcBorders>
                  <w:noWrap w:val="0"/>
                  <w:vAlign w:val="center"/>
                </w:tcPr>
                <w:p w14:paraId="17D1EDA2">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仓储及其他</w:t>
                  </w:r>
                </w:p>
              </w:tc>
              <w:tc>
                <w:tcPr>
                  <w:tcW w:w="672" w:type="pct"/>
                  <w:tcBorders>
                    <w:tl2br w:val="nil"/>
                    <w:tr2bl w:val="nil"/>
                  </w:tcBorders>
                  <w:noWrap w:val="0"/>
                  <w:vAlign w:val="center"/>
                </w:tcPr>
                <w:p w14:paraId="1D46A858">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原材料堆放区</w:t>
                  </w:r>
                </w:p>
              </w:tc>
              <w:tc>
                <w:tcPr>
                  <w:tcW w:w="2537" w:type="pct"/>
                  <w:tcBorders>
                    <w:tl2br w:val="nil"/>
                    <w:tr2bl w:val="nil"/>
                  </w:tcBorders>
                  <w:noWrap w:val="0"/>
                  <w:vAlign w:val="center"/>
                </w:tcPr>
                <w:p w14:paraId="41C24104">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rPr>
                    <w:t>位于</w:t>
                  </w:r>
                  <w:r>
                    <w:rPr>
                      <w:rFonts w:hint="eastAsia" w:cs="Times New Roman"/>
                      <w:color w:val="auto"/>
                      <w:kern w:val="0"/>
                      <w:sz w:val="21"/>
                      <w:szCs w:val="21"/>
                      <w:lang w:val="en-US" w:eastAsia="zh-CN"/>
                    </w:rPr>
                    <w:t>破碎间东侧</w:t>
                  </w:r>
                  <w:r>
                    <w:rPr>
                      <w:rFonts w:hint="eastAsia" w:ascii="Times New Roman" w:hAnsi="Times New Roman" w:cs="Times New Roman"/>
                      <w:color w:val="auto"/>
                      <w:kern w:val="0"/>
                      <w:sz w:val="21"/>
                      <w:szCs w:val="21"/>
                    </w:rPr>
                    <w:t>，堆存面积约</w:t>
                  </w:r>
                  <w:r>
                    <w:rPr>
                      <w:rFonts w:hint="eastAsia" w:ascii="Times New Roman" w:hAnsi="Times New Roman" w:cs="Times New Roman"/>
                      <w:color w:val="auto"/>
                      <w:kern w:val="0"/>
                      <w:sz w:val="21"/>
                      <w:szCs w:val="21"/>
                      <w:lang w:val="en-US" w:eastAsia="zh-CN"/>
                    </w:rPr>
                    <w:t>1</w:t>
                  </w:r>
                  <w:r>
                    <w:rPr>
                      <w:rFonts w:hint="eastAsia" w:cs="Times New Roman"/>
                      <w:color w:val="auto"/>
                      <w:kern w:val="0"/>
                      <w:sz w:val="21"/>
                      <w:szCs w:val="21"/>
                      <w:lang w:val="en-US" w:eastAsia="zh-CN"/>
                    </w:rPr>
                    <w:t>0</w:t>
                  </w:r>
                  <w:r>
                    <w:rPr>
                      <w:rFonts w:hint="eastAsia" w:ascii="Times New Roman" w:hAnsi="Times New Roman" w:cs="Times New Roman"/>
                      <w:color w:val="auto"/>
                      <w:kern w:val="0"/>
                      <w:sz w:val="21"/>
                      <w:szCs w:val="21"/>
                    </w:rPr>
                    <w:t>0m</w:t>
                  </w:r>
                  <w:r>
                    <w:rPr>
                      <w:rFonts w:hint="eastAsia" w:ascii="Times New Roman" w:hAnsi="Times New Roman" w:cs="Times New Roman"/>
                      <w:color w:val="auto"/>
                      <w:kern w:val="0"/>
                      <w:sz w:val="21"/>
                      <w:szCs w:val="21"/>
                      <w:vertAlign w:val="superscript"/>
                    </w:rPr>
                    <w:t>2</w:t>
                  </w:r>
                  <w:r>
                    <w:rPr>
                      <w:rFonts w:hint="eastAsia" w:ascii="Times New Roman" w:hAnsi="Times New Roman" w:cs="Times New Roman"/>
                      <w:color w:val="auto"/>
                      <w:kern w:val="0"/>
                      <w:sz w:val="21"/>
                      <w:szCs w:val="21"/>
                    </w:rPr>
                    <w:t>，用于暂存本项目原材料</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贮存能力</w:t>
                  </w:r>
                  <w:r>
                    <w:rPr>
                      <w:rFonts w:hint="eastAsia" w:cs="Times New Roman"/>
                      <w:color w:val="auto"/>
                      <w:kern w:val="0"/>
                      <w:sz w:val="21"/>
                      <w:szCs w:val="21"/>
                      <w:lang w:val="en-US" w:eastAsia="zh-CN"/>
                    </w:rPr>
                    <w:t>15</w:t>
                  </w:r>
                  <w:r>
                    <w:rPr>
                      <w:rFonts w:hint="eastAsia" w:ascii="Times New Roman" w:hAnsi="Times New Roman" w:cs="Times New Roman"/>
                      <w:color w:val="auto"/>
                      <w:kern w:val="0"/>
                      <w:sz w:val="21"/>
                      <w:szCs w:val="21"/>
                      <w:lang w:val="en-US" w:eastAsia="zh-CN"/>
                    </w:rPr>
                    <w:t>0t</w:t>
                  </w:r>
                </w:p>
              </w:tc>
              <w:tc>
                <w:tcPr>
                  <w:tcW w:w="614" w:type="pct"/>
                  <w:vMerge w:val="continue"/>
                  <w:tcBorders>
                    <w:tl2br w:val="nil"/>
                    <w:tr2bl w:val="nil"/>
                  </w:tcBorders>
                  <w:noWrap w:val="0"/>
                  <w:vAlign w:val="center"/>
                </w:tcPr>
                <w:p w14:paraId="59045024">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vMerge w:val="restart"/>
                  <w:tcBorders>
                    <w:tl2br w:val="nil"/>
                    <w:tr2bl w:val="nil"/>
                  </w:tcBorders>
                  <w:noWrap w:val="0"/>
                  <w:vAlign w:val="center"/>
                </w:tcPr>
                <w:p w14:paraId="7744ADF5">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粉尘</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rPr>
                    <w:t>噪声、固废</w:t>
                  </w:r>
                </w:p>
              </w:tc>
            </w:tr>
            <w:tr w14:paraId="38092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continue"/>
                  <w:tcBorders>
                    <w:tl2br w:val="nil"/>
                    <w:tr2bl w:val="nil"/>
                  </w:tcBorders>
                  <w:noWrap w:val="0"/>
                  <w:vAlign w:val="center"/>
                </w:tcPr>
                <w:p w14:paraId="496E46AB">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p>
              </w:tc>
              <w:tc>
                <w:tcPr>
                  <w:tcW w:w="672" w:type="pct"/>
                  <w:tcBorders>
                    <w:tl2br w:val="nil"/>
                    <w:tr2bl w:val="nil"/>
                  </w:tcBorders>
                  <w:noWrap w:val="0"/>
                  <w:vAlign w:val="center"/>
                </w:tcPr>
                <w:p w14:paraId="1677DD56">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木片堆放区</w:t>
                  </w:r>
                </w:p>
              </w:tc>
              <w:tc>
                <w:tcPr>
                  <w:tcW w:w="2537" w:type="pct"/>
                  <w:tcBorders>
                    <w:tl2br w:val="nil"/>
                    <w:tr2bl w:val="nil"/>
                  </w:tcBorders>
                  <w:noWrap w:val="0"/>
                  <w:vAlign w:val="center"/>
                </w:tcPr>
                <w:p w14:paraId="2300DC1F">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位于生产车间北侧</w:t>
                  </w:r>
                  <w:r>
                    <w:rPr>
                      <w:rFonts w:hint="eastAsia" w:ascii="Times New Roman" w:hAnsi="Times New Roman" w:cs="Times New Roman"/>
                      <w:color w:val="auto"/>
                      <w:kern w:val="0"/>
                      <w:sz w:val="21"/>
                      <w:szCs w:val="21"/>
                    </w:rPr>
                    <w:t>，堆存面积约</w:t>
                  </w:r>
                  <w:r>
                    <w:rPr>
                      <w:rFonts w:hint="eastAsia" w:ascii="Times New Roman" w:hAnsi="Times New Roman" w:cs="Times New Roman"/>
                      <w:color w:val="auto"/>
                      <w:kern w:val="0"/>
                      <w:sz w:val="21"/>
                      <w:szCs w:val="21"/>
                      <w:lang w:val="en-US" w:eastAsia="zh-CN"/>
                    </w:rPr>
                    <w:t>12</w:t>
                  </w:r>
                  <w:r>
                    <w:rPr>
                      <w:rFonts w:hint="eastAsia" w:ascii="Times New Roman" w:hAnsi="Times New Roman" w:cs="Times New Roman"/>
                      <w:color w:val="auto"/>
                      <w:kern w:val="0"/>
                      <w:sz w:val="21"/>
                      <w:szCs w:val="21"/>
                    </w:rPr>
                    <w:t>0m</w:t>
                  </w:r>
                  <w:r>
                    <w:rPr>
                      <w:rFonts w:hint="eastAsia" w:ascii="Times New Roman" w:hAnsi="Times New Roman" w:cs="Times New Roman"/>
                      <w:color w:val="auto"/>
                      <w:kern w:val="0"/>
                      <w:sz w:val="21"/>
                      <w:szCs w:val="21"/>
                      <w:vertAlign w:val="superscript"/>
                    </w:rPr>
                    <w:t>2</w:t>
                  </w:r>
                  <w:r>
                    <w:rPr>
                      <w:rFonts w:hint="eastAsia" w:ascii="Times New Roman" w:hAnsi="Times New Roman" w:cs="Times New Roman"/>
                      <w:color w:val="auto"/>
                      <w:kern w:val="0"/>
                      <w:sz w:val="21"/>
                      <w:szCs w:val="21"/>
                    </w:rPr>
                    <w:t>，用于暂存本项目原材料</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贮存能力200</w:t>
                  </w:r>
                  <w:r>
                    <w:rPr>
                      <w:rFonts w:hint="eastAsia" w:cs="Times New Roman"/>
                      <w:color w:val="auto"/>
                      <w:kern w:val="0"/>
                      <w:sz w:val="21"/>
                      <w:szCs w:val="21"/>
                      <w:lang w:val="en-US" w:eastAsia="zh-CN"/>
                    </w:rPr>
                    <w:t>t</w:t>
                  </w:r>
                </w:p>
              </w:tc>
              <w:tc>
                <w:tcPr>
                  <w:tcW w:w="614" w:type="pct"/>
                  <w:vMerge w:val="continue"/>
                  <w:tcBorders>
                    <w:tl2br w:val="nil"/>
                    <w:tr2bl w:val="nil"/>
                  </w:tcBorders>
                  <w:noWrap w:val="0"/>
                  <w:vAlign w:val="center"/>
                </w:tcPr>
                <w:p w14:paraId="77A9F852">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p>
              </w:tc>
              <w:tc>
                <w:tcPr>
                  <w:tcW w:w="729" w:type="pct"/>
                  <w:vMerge w:val="continue"/>
                  <w:tcBorders>
                    <w:tl2br w:val="nil"/>
                    <w:tr2bl w:val="nil"/>
                  </w:tcBorders>
                  <w:noWrap w:val="0"/>
                  <w:vAlign w:val="center"/>
                </w:tcPr>
                <w:p w14:paraId="1550DE22">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p>
              </w:tc>
            </w:tr>
            <w:tr w14:paraId="5061F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continue"/>
                  <w:tcBorders>
                    <w:tl2br w:val="nil"/>
                    <w:tr2bl w:val="nil"/>
                  </w:tcBorders>
                  <w:noWrap w:val="0"/>
                  <w:vAlign w:val="center"/>
                </w:tcPr>
                <w:p w14:paraId="075E0F99">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672" w:type="pct"/>
                  <w:tcBorders>
                    <w:tl2br w:val="nil"/>
                    <w:tr2bl w:val="nil"/>
                  </w:tcBorders>
                  <w:noWrap w:val="0"/>
                  <w:vAlign w:val="center"/>
                </w:tcPr>
                <w:p w14:paraId="4DEB48E1">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生物质颗粒堆放区</w:t>
                  </w:r>
                </w:p>
              </w:tc>
              <w:tc>
                <w:tcPr>
                  <w:tcW w:w="2537" w:type="pct"/>
                  <w:tcBorders>
                    <w:tl2br w:val="nil"/>
                    <w:tr2bl w:val="nil"/>
                  </w:tcBorders>
                  <w:noWrap w:val="0"/>
                  <w:vAlign w:val="center"/>
                </w:tcPr>
                <w:p w14:paraId="41DFC1CD">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vertAlign w:val="superscript"/>
                      <w:lang w:val="en-US"/>
                    </w:rPr>
                  </w:pPr>
                  <w:r>
                    <w:rPr>
                      <w:rFonts w:hint="eastAsia" w:ascii="Times New Roman" w:hAnsi="Times New Roman" w:cs="Times New Roman"/>
                      <w:color w:val="auto"/>
                      <w:kern w:val="0"/>
                      <w:sz w:val="22"/>
                      <w:szCs w:val="22"/>
                    </w:rPr>
                    <w:t>位于车间</w:t>
                  </w:r>
                  <w:r>
                    <w:rPr>
                      <w:rFonts w:hint="eastAsia" w:cs="Times New Roman"/>
                      <w:color w:val="auto"/>
                      <w:kern w:val="0"/>
                      <w:sz w:val="22"/>
                      <w:szCs w:val="22"/>
                      <w:lang w:val="en-US" w:eastAsia="zh-CN"/>
                    </w:rPr>
                    <w:t>东南侧</w:t>
                  </w:r>
                  <w:r>
                    <w:rPr>
                      <w:rFonts w:hint="eastAsia" w:ascii="Times New Roman" w:hAnsi="Times New Roman" w:cs="Times New Roman"/>
                      <w:color w:val="auto"/>
                      <w:kern w:val="0"/>
                      <w:sz w:val="22"/>
                      <w:szCs w:val="22"/>
                    </w:rPr>
                    <w:t>，堆存面积约200m</w:t>
                  </w:r>
                  <w:r>
                    <w:rPr>
                      <w:rFonts w:hint="eastAsia" w:ascii="Times New Roman" w:hAnsi="Times New Roman" w:cs="Times New Roman"/>
                      <w:color w:val="auto"/>
                      <w:kern w:val="0"/>
                      <w:sz w:val="22"/>
                      <w:szCs w:val="22"/>
                      <w:vertAlign w:val="superscript"/>
                    </w:rPr>
                    <w:t>2</w:t>
                  </w:r>
                  <w:r>
                    <w:rPr>
                      <w:rFonts w:hint="eastAsia" w:ascii="Times New Roman" w:hAnsi="Times New Roman" w:cs="Times New Roman"/>
                      <w:color w:val="auto"/>
                      <w:kern w:val="0"/>
                      <w:sz w:val="22"/>
                      <w:szCs w:val="22"/>
                    </w:rPr>
                    <w:t>，用于暂存本项目</w:t>
                  </w:r>
                  <w:r>
                    <w:rPr>
                      <w:rFonts w:hint="eastAsia" w:ascii="Times New Roman" w:hAnsi="Times New Roman" w:cs="Times New Roman"/>
                      <w:color w:val="auto"/>
                      <w:kern w:val="0"/>
                      <w:sz w:val="22"/>
                      <w:szCs w:val="22"/>
                      <w:lang w:val="en-US" w:eastAsia="zh-CN"/>
                    </w:rPr>
                    <w:t>成品生物质颗粒，贮存能力600t</w:t>
                  </w:r>
                </w:p>
              </w:tc>
              <w:tc>
                <w:tcPr>
                  <w:tcW w:w="614" w:type="pct"/>
                  <w:vMerge w:val="continue"/>
                  <w:tcBorders>
                    <w:tl2br w:val="nil"/>
                    <w:tr2bl w:val="nil"/>
                  </w:tcBorders>
                  <w:noWrap w:val="0"/>
                  <w:vAlign w:val="center"/>
                </w:tcPr>
                <w:p w14:paraId="5479DCDB">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vMerge w:val="continue"/>
                  <w:tcBorders>
                    <w:tl2br w:val="nil"/>
                    <w:tr2bl w:val="nil"/>
                  </w:tcBorders>
                  <w:noWrap w:val="0"/>
                  <w:vAlign w:val="center"/>
                </w:tcPr>
                <w:p w14:paraId="0ABF6E08">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r>
            <w:tr w14:paraId="49BD6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continue"/>
                  <w:tcBorders>
                    <w:tl2br w:val="nil"/>
                    <w:tr2bl w:val="nil"/>
                  </w:tcBorders>
                  <w:noWrap w:val="0"/>
                  <w:vAlign w:val="center"/>
                </w:tcPr>
                <w:p w14:paraId="5CEAD580">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672" w:type="pct"/>
                  <w:tcBorders>
                    <w:tl2br w:val="nil"/>
                    <w:tr2bl w:val="nil"/>
                  </w:tcBorders>
                  <w:noWrap w:val="0"/>
                  <w:vAlign w:val="center"/>
                </w:tcPr>
                <w:p w14:paraId="7B0CEE6D">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蒸馏木渣堆放区</w:t>
                  </w:r>
                </w:p>
              </w:tc>
              <w:tc>
                <w:tcPr>
                  <w:tcW w:w="2537" w:type="pct"/>
                  <w:tcBorders>
                    <w:tl2br w:val="nil"/>
                    <w:tr2bl w:val="nil"/>
                  </w:tcBorders>
                  <w:noWrap w:val="0"/>
                  <w:vAlign w:val="center"/>
                </w:tcPr>
                <w:p w14:paraId="1DAB8BBF">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lang w:val="en-US"/>
                    </w:rPr>
                  </w:pPr>
                  <w:r>
                    <w:rPr>
                      <w:rFonts w:hint="eastAsia" w:ascii="Times New Roman" w:hAnsi="Times New Roman" w:cs="Times New Roman"/>
                      <w:color w:val="auto"/>
                      <w:sz w:val="21"/>
                      <w:szCs w:val="21"/>
                    </w:rPr>
                    <w:t>拟在项目</w:t>
                  </w:r>
                  <w:r>
                    <w:rPr>
                      <w:rFonts w:hint="eastAsia" w:ascii="Times New Roman" w:hAnsi="Times New Roman" w:cs="Times New Roman"/>
                      <w:color w:val="auto"/>
                      <w:sz w:val="21"/>
                      <w:szCs w:val="21"/>
                      <w:lang w:val="en-US" w:eastAsia="zh-CN"/>
                    </w:rPr>
                    <w:t>生产车间东</w:t>
                  </w:r>
                  <w:r>
                    <w:rPr>
                      <w:rFonts w:hint="eastAsia" w:ascii="Times New Roman" w:hAnsi="Times New Roman" w:cs="Times New Roman"/>
                      <w:color w:val="auto"/>
                      <w:sz w:val="21"/>
                      <w:szCs w:val="21"/>
                    </w:rPr>
                    <w:t>侧设置</w:t>
                  </w:r>
                  <w:r>
                    <w:rPr>
                      <w:rFonts w:hint="eastAsia" w:ascii="Times New Roman" w:hAnsi="Times New Roman" w:cs="Times New Roman"/>
                      <w:color w:val="auto"/>
                      <w:kern w:val="0"/>
                      <w:sz w:val="21"/>
                      <w:szCs w:val="21"/>
                      <w:lang w:val="en-US" w:eastAsia="zh-CN"/>
                    </w:rPr>
                    <w:t>蒸馏木渣堆放区</w:t>
                  </w:r>
                  <w:r>
                    <w:rPr>
                      <w:rFonts w:hint="eastAsia"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面积</w:t>
                  </w:r>
                  <w:r>
                    <w:rPr>
                      <w:rFonts w:hint="eastAsia" w:cs="Times New Roman"/>
                      <w:color w:val="auto"/>
                      <w:sz w:val="21"/>
                      <w:szCs w:val="21"/>
                      <w:lang w:val="en-US" w:eastAsia="zh-CN"/>
                    </w:rPr>
                    <w:t>8</w:t>
                  </w:r>
                  <w:r>
                    <w:rPr>
                      <w:rFonts w:hint="eastAsia" w:ascii="Times New Roman" w:hAnsi="Times New Roman" w:cs="Times New Roman"/>
                      <w:color w:val="auto"/>
                      <w:sz w:val="21"/>
                      <w:szCs w:val="21"/>
                      <w:lang w:val="en-US" w:eastAsia="zh-CN"/>
                    </w:rPr>
                    <w:t>0m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vertAlign w:val="baseline"/>
                      <w:lang w:val="en-US" w:eastAsia="zh-CN"/>
                    </w:rPr>
                    <w:t>，</w:t>
                  </w:r>
                  <w:r>
                    <w:rPr>
                      <w:rFonts w:hint="eastAsia" w:ascii="Times New Roman" w:hAnsi="Times New Roman" w:cs="Times New Roman"/>
                      <w:color w:val="auto"/>
                      <w:sz w:val="21"/>
                      <w:szCs w:val="21"/>
                    </w:rPr>
                    <w:t>用于</w:t>
                  </w:r>
                  <w:r>
                    <w:rPr>
                      <w:rFonts w:hint="eastAsia" w:ascii="Times New Roman" w:hAnsi="Times New Roman" w:cs="Times New Roman"/>
                      <w:color w:val="auto"/>
                      <w:kern w:val="0"/>
                      <w:sz w:val="21"/>
                      <w:szCs w:val="21"/>
                      <w:lang w:val="en-US" w:eastAsia="zh-CN"/>
                    </w:rPr>
                    <w:t>蒸馏木渣自然</w:t>
                  </w:r>
                  <w:r>
                    <w:rPr>
                      <w:rFonts w:hint="eastAsia" w:cs="Times New Roman"/>
                      <w:color w:val="auto"/>
                      <w:kern w:val="0"/>
                      <w:sz w:val="21"/>
                      <w:szCs w:val="21"/>
                      <w:lang w:val="en-US" w:eastAsia="zh-CN"/>
                    </w:rPr>
                    <w:t>晾干</w:t>
                  </w:r>
                </w:p>
              </w:tc>
              <w:tc>
                <w:tcPr>
                  <w:tcW w:w="614" w:type="pct"/>
                  <w:vMerge w:val="continue"/>
                  <w:tcBorders>
                    <w:tl2br w:val="nil"/>
                    <w:tr2bl w:val="nil"/>
                  </w:tcBorders>
                  <w:noWrap w:val="0"/>
                  <w:vAlign w:val="center"/>
                </w:tcPr>
                <w:p w14:paraId="73508C2F">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tcBorders>
                    <w:tl2br w:val="nil"/>
                    <w:tr2bl w:val="nil"/>
                  </w:tcBorders>
                  <w:noWrap w:val="0"/>
                  <w:vAlign w:val="center"/>
                </w:tcPr>
                <w:p w14:paraId="6CCEC7AF">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废气、固废</w:t>
                  </w:r>
                </w:p>
              </w:tc>
            </w:tr>
            <w:tr w14:paraId="736D8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continue"/>
                  <w:tcBorders>
                    <w:tl2br w:val="nil"/>
                    <w:tr2bl w:val="nil"/>
                  </w:tcBorders>
                  <w:noWrap w:val="0"/>
                  <w:vAlign w:val="center"/>
                </w:tcPr>
                <w:p w14:paraId="5176F0CF">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672" w:type="pct"/>
                  <w:tcBorders>
                    <w:tl2br w:val="nil"/>
                    <w:tr2bl w:val="nil"/>
                  </w:tcBorders>
                  <w:noWrap w:val="0"/>
                  <w:vAlign w:val="center"/>
                </w:tcPr>
                <w:p w14:paraId="5D6DEE17">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柏木油仓库</w:t>
                  </w:r>
                </w:p>
              </w:tc>
              <w:tc>
                <w:tcPr>
                  <w:tcW w:w="2537" w:type="pct"/>
                  <w:tcBorders>
                    <w:tl2br w:val="nil"/>
                    <w:tr2bl w:val="nil"/>
                  </w:tcBorders>
                  <w:noWrap w:val="0"/>
                  <w:vAlign w:val="center"/>
                </w:tcPr>
                <w:p w14:paraId="6C1F8302">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lang w:val="en-US"/>
                    </w:rPr>
                  </w:pPr>
                  <w:r>
                    <w:rPr>
                      <w:rFonts w:hint="eastAsia" w:ascii="Times New Roman" w:hAnsi="Times New Roman" w:cs="Times New Roman"/>
                      <w:color w:val="auto"/>
                      <w:kern w:val="0"/>
                      <w:sz w:val="21"/>
                      <w:szCs w:val="21"/>
                    </w:rPr>
                    <w:t>位于车间</w:t>
                  </w:r>
                  <w:r>
                    <w:rPr>
                      <w:rFonts w:hint="eastAsia" w:cs="Times New Roman"/>
                      <w:color w:val="auto"/>
                      <w:kern w:val="0"/>
                      <w:sz w:val="21"/>
                      <w:szCs w:val="21"/>
                      <w:lang w:val="en-US" w:eastAsia="zh-CN"/>
                    </w:rPr>
                    <w:t>东北侧</w:t>
                  </w:r>
                  <w:r>
                    <w:rPr>
                      <w:rFonts w:hint="eastAsia" w:ascii="Times New Roman" w:hAnsi="Times New Roman" w:cs="Times New Roman"/>
                      <w:color w:val="auto"/>
                      <w:kern w:val="0"/>
                      <w:sz w:val="21"/>
                      <w:szCs w:val="21"/>
                    </w:rPr>
                    <w:t>，堆存面积约</w:t>
                  </w:r>
                  <w:r>
                    <w:rPr>
                      <w:rFonts w:hint="eastAsia" w:ascii="Times New Roman" w:hAnsi="Times New Roman" w:cs="Times New Roman"/>
                      <w:color w:val="auto"/>
                      <w:kern w:val="0"/>
                      <w:sz w:val="21"/>
                      <w:szCs w:val="21"/>
                      <w:lang w:val="en-US" w:eastAsia="zh-CN"/>
                    </w:rPr>
                    <w:t>4</w:t>
                  </w:r>
                  <w:r>
                    <w:rPr>
                      <w:rFonts w:hint="eastAsia" w:ascii="Times New Roman" w:hAnsi="Times New Roman" w:cs="Times New Roman"/>
                      <w:color w:val="auto"/>
                      <w:kern w:val="0"/>
                      <w:sz w:val="21"/>
                      <w:szCs w:val="21"/>
                    </w:rPr>
                    <w:t>0m</w:t>
                  </w:r>
                  <w:r>
                    <w:rPr>
                      <w:rFonts w:hint="eastAsia" w:ascii="Times New Roman" w:hAnsi="Times New Roman" w:cs="Times New Roman"/>
                      <w:color w:val="auto"/>
                      <w:kern w:val="0"/>
                      <w:sz w:val="21"/>
                      <w:szCs w:val="21"/>
                      <w:vertAlign w:val="superscript"/>
                    </w:rPr>
                    <w:t>2</w:t>
                  </w:r>
                  <w:r>
                    <w:rPr>
                      <w:rFonts w:hint="eastAsia" w:ascii="Times New Roman" w:hAnsi="Times New Roman" w:cs="Times New Roman"/>
                      <w:color w:val="auto"/>
                      <w:kern w:val="0"/>
                      <w:sz w:val="21"/>
                      <w:szCs w:val="21"/>
                    </w:rPr>
                    <w:t>，用于暂存本项目</w:t>
                  </w:r>
                  <w:r>
                    <w:rPr>
                      <w:rFonts w:hint="eastAsia" w:ascii="Times New Roman" w:hAnsi="Times New Roman" w:cs="Times New Roman"/>
                      <w:color w:val="auto"/>
                      <w:kern w:val="0"/>
                      <w:sz w:val="21"/>
                      <w:szCs w:val="21"/>
                      <w:lang w:val="en-US" w:eastAsia="zh-CN"/>
                    </w:rPr>
                    <w:t>成品柏木油，贮存能力100t</w:t>
                  </w:r>
                </w:p>
              </w:tc>
              <w:tc>
                <w:tcPr>
                  <w:tcW w:w="614" w:type="pct"/>
                  <w:vMerge w:val="continue"/>
                  <w:tcBorders>
                    <w:tl2br w:val="nil"/>
                    <w:tr2bl w:val="nil"/>
                  </w:tcBorders>
                  <w:noWrap w:val="0"/>
                  <w:vAlign w:val="center"/>
                </w:tcPr>
                <w:p w14:paraId="70C396C0">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tcBorders>
                    <w:tl2br w:val="nil"/>
                    <w:tr2bl w:val="nil"/>
                  </w:tcBorders>
                  <w:noWrap w:val="0"/>
                  <w:vAlign w:val="center"/>
                </w:tcPr>
                <w:p w14:paraId="44C992EB">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噪声、废气</w:t>
                  </w:r>
                </w:p>
              </w:tc>
            </w:tr>
            <w:tr w14:paraId="05451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restart"/>
                  <w:tcBorders>
                    <w:tl2br w:val="nil"/>
                    <w:tr2bl w:val="nil"/>
                  </w:tcBorders>
                  <w:noWrap w:val="0"/>
                  <w:vAlign w:val="center"/>
                </w:tcPr>
                <w:p w14:paraId="0F093754">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环保</w:t>
                  </w:r>
                </w:p>
                <w:p w14:paraId="61E9992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工程</w:t>
                  </w:r>
                </w:p>
              </w:tc>
              <w:tc>
                <w:tcPr>
                  <w:tcW w:w="672" w:type="pct"/>
                  <w:vMerge w:val="restart"/>
                  <w:tcBorders>
                    <w:tl2br w:val="nil"/>
                    <w:tr2bl w:val="nil"/>
                  </w:tcBorders>
                  <w:noWrap w:val="0"/>
                  <w:vAlign w:val="center"/>
                </w:tcPr>
                <w:p w14:paraId="0D0B320D">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废水</w:t>
                  </w:r>
                </w:p>
              </w:tc>
              <w:tc>
                <w:tcPr>
                  <w:tcW w:w="2537" w:type="pct"/>
                  <w:tcBorders>
                    <w:tl2br w:val="nil"/>
                    <w:tr2bl w:val="nil"/>
                  </w:tcBorders>
                  <w:noWrap w:val="0"/>
                  <w:vAlign w:val="center"/>
                </w:tcPr>
                <w:p w14:paraId="3147E7BC">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生产废水经油水分离池、厌氧池处理后</w:t>
                  </w:r>
                  <w:r>
                    <w:rPr>
                      <w:rFonts w:hint="eastAsia" w:ascii="Times New Roman" w:hAnsi="Times New Roman" w:cs="Times New Roman"/>
                      <w:color w:val="auto"/>
                      <w:kern w:val="0"/>
                      <w:sz w:val="21"/>
                      <w:szCs w:val="21"/>
                      <w:lang w:val="en-US" w:eastAsia="zh-CN"/>
                    </w:rPr>
                    <w:t>排入园区污水管网</w:t>
                  </w:r>
                </w:p>
              </w:tc>
              <w:tc>
                <w:tcPr>
                  <w:tcW w:w="614" w:type="pct"/>
                  <w:vMerge w:val="restart"/>
                  <w:tcBorders>
                    <w:tl2br w:val="nil"/>
                    <w:tr2bl w:val="nil"/>
                  </w:tcBorders>
                  <w:noWrap w:val="0"/>
                  <w:vAlign w:val="center"/>
                </w:tcPr>
                <w:p w14:paraId="1EFDC80E">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729" w:type="pct"/>
                  <w:tcBorders>
                    <w:tl2br w:val="nil"/>
                    <w:tr2bl w:val="nil"/>
                  </w:tcBorders>
                  <w:noWrap w:val="0"/>
                  <w:vAlign w:val="center"/>
                </w:tcPr>
                <w:p w14:paraId="1C5972AF">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废油</w:t>
                  </w:r>
                </w:p>
              </w:tc>
            </w:tr>
            <w:tr w14:paraId="51622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continue"/>
                  <w:tcBorders>
                    <w:tl2br w:val="nil"/>
                    <w:tr2bl w:val="nil"/>
                  </w:tcBorders>
                  <w:noWrap w:val="0"/>
                  <w:vAlign w:val="center"/>
                </w:tcPr>
                <w:p w14:paraId="4CAC1AAB">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p>
              </w:tc>
              <w:tc>
                <w:tcPr>
                  <w:tcW w:w="672" w:type="pct"/>
                  <w:vMerge w:val="continue"/>
                  <w:tcBorders>
                    <w:tl2br w:val="nil"/>
                    <w:tr2bl w:val="nil"/>
                  </w:tcBorders>
                  <w:noWrap w:val="0"/>
                  <w:vAlign w:val="center"/>
                </w:tcPr>
                <w:p w14:paraId="5DBE9667">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2537" w:type="pct"/>
                  <w:tcBorders>
                    <w:tl2br w:val="nil"/>
                    <w:tr2bl w:val="nil"/>
                  </w:tcBorders>
                  <w:noWrap w:val="0"/>
                  <w:vAlign w:val="center"/>
                </w:tcPr>
                <w:p w14:paraId="64A79FE2">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生活污水经</w:t>
                  </w:r>
                  <w:r>
                    <w:rPr>
                      <w:rFonts w:hint="eastAsia" w:cs="Times New Roman"/>
                      <w:color w:val="auto"/>
                      <w:kern w:val="0"/>
                      <w:sz w:val="21"/>
                      <w:szCs w:val="21"/>
                      <w:lang w:eastAsia="zh-CN"/>
                    </w:rPr>
                    <w:t>中通建材公司</w:t>
                  </w:r>
                  <w:r>
                    <w:rPr>
                      <w:rFonts w:hint="eastAsia" w:ascii="Times New Roman" w:hAnsi="Times New Roman" w:cs="Times New Roman"/>
                      <w:color w:val="auto"/>
                      <w:kern w:val="0"/>
                      <w:sz w:val="21"/>
                      <w:szCs w:val="21"/>
                    </w:rPr>
                    <w:t>预处理池处理达标后排入园区污水管网</w:t>
                  </w:r>
                </w:p>
              </w:tc>
              <w:tc>
                <w:tcPr>
                  <w:tcW w:w="614" w:type="pct"/>
                  <w:vMerge w:val="continue"/>
                  <w:tcBorders>
                    <w:tl2br w:val="nil"/>
                    <w:tr2bl w:val="nil"/>
                  </w:tcBorders>
                  <w:noWrap w:val="0"/>
                  <w:vAlign w:val="center"/>
                </w:tcPr>
                <w:p w14:paraId="276F69A2">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tcBorders>
                    <w:tl2br w:val="nil"/>
                    <w:tr2bl w:val="nil"/>
                  </w:tcBorders>
                  <w:noWrap w:val="0"/>
                  <w:vAlign w:val="center"/>
                </w:tcPr>
                <w:p w14:paraId="1B05B80E">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污泥</w:t>
                  </w:r>
                </w:p>
              </w:tc>
            </w:tr>
            <w:tr w14:paraId="5A5A4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continue"/>
                  <w:tcBorders>
                    <w:tl2br w:val="nil"/>
                    <w:tr2bl w:val="nil"/>
                  </w:tcBorders>
                  <w:noWrap w:val="0"/>
                  <w:vAlign w:val="center"/>
                </w:tcPr>
                <w:p w14:paraId="25F416CE">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p>
              </w:tc>
              <w:tc>
                <w:tcPr>
                  <w:tcW w:w="672" w:type="pct"/>
                  <w:vMerge w:val="restart"/>
                  <w:tcBorders>
                    <w:tl2br w:val="nil"/>
                    <w:tr2bl w:val="nil"/>
                  </w:tcBorders>
                  <w:noWrap w:val="0"/>
                  <w:vAlign w:val="center"/>
                </w:tcPr>
                <w:p w14:paraId="39FDCD68">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废气</w:t>
                  </w:r>
                </w:p>
              </w:tc>
              <w:tc>
                <w:tcPr>
                  <w:tcW w:w="2537" w:type="pct"/>
                  <w:tcBorders>
                    <w:tl2br w:val="nil"/>
                    <w:tr2bl w:val="nil"/>
                  </w:tcBorders>
                  <w:noWrap w:val="0"/>
                  <w:vAlign w:val="center"/>
                </w:tcPr>
                <w:p w14:paraId="72189CD2">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破碎机上方设置集气罩</w:t>
                  </w:r>
                  <w:r>
                    <w:rPr>
                      <w:rFonts w:hint="eastAsia" w:ascii="Times New Roman" w:hAnsi="Times New Roman" w:cs="Times New Roman"/>
                      <w:color w:val="auto"/>
                      <w:sz w:val="21"/>
                      <w:szCs w:val="21"/>
                      <w:lang w:val="en-US" w:eastAsia="zh-CN"/>
                    </w:rPr>
                    <w:t>，粉尘经抽风进入布袋除尘器处理后15m高</w:t>
                  </w:r>
                  <w:r>
                    <w:rPr>
                      <w:rFonts w:hint="eastAsia" w:cs="Times New Roman"/>
                      <w:color w:val="auto"/>
                      <w:sz w:val="21"/>
                      <w:szCs w:val="21"/>
                      <w:lang w:val="en-US" w:eastAsia="zh-CN"/>
                    </w:rPr>
                    <w:t>1#排气筒</w:t>
                  </w:r>
                  <w:r>
                    <w:rPr>
                      <w:rFonts w:hint="eastAsia" w:ascii="Times New Roman" w:hAnsi="Times New Roman" w:cs="Times New Roman"/>
                      <w:color w:val="auto"/>
                      <w:sz w:val="21"/>
                      <w:szCs w:val="21"/>
                      <w:lang w:val="en-US" w:eastAsia="zh-CN"/>
                    </w:rPr>
                    <w:t>排放</w:t>
                  </w:r>
                </w:p>
              </w:tc>
              <w:tc>
                <w:tcPr>
                  <w:tcW w:w="614" w:type="pct"/>
                  <w:vMerge w:val="continue"/>
                  <w:tcBorders>
                    <w:tl2br w:val="nil"/>
                    <w:tr2bl w:val="nil"/>
                  </w:tcBorders>
                  <w:noWrap w:val="0"/>
                  <w:vAlign w:val="center"/>
                </w:tcPr>
                <w:p w14:paraId="070EB439">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tcBorders>
                    <w:tl2br w:val="nil"/>
                    <w:tr2bl w:val="nil"/>
                  </w:tcBorders>
                  <w:noWrap w:val="0"/>
                  <w:vAlign w:val="center"/>
                </w:tcPr>
                <w:p w14:paraId="167E9805">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除尘灰、噪声</w:t>
                  </w:r>
                </w:p>
              </w:tc>
            </w:tr>
            <w:tr w14:paraId="76E8A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continue"/>
                  <w:tcBorders>
                    <w:tl2br w:val="nil"/>
                    <w:tr2bl w:val="nil"/>
                  </w:tcBorders>
                  <w:noWrap w:val="0"/>
                  <w:vAlign w:val="center"/>
                </w:tcPr>
                <w:p w14:paraId="1BBEECE1">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p>
              </w:tc>
              <w:tc>
                <w:tcPr>
                  <w:tcW w:w="672" w:type="pct"/>
                  <w:vMerge w:val="continue"/>
                  <w:tcBorders>
                    <w:tl2br w:val="nil"/>
                    <w:tr2bl w:val="nil"/>
                  </w:tcBorders>
                  <w:noWrap w:val="0"/>
                  <w:vAlign w:val="center"/>
                </w:tcPr>
                <w:p w14:paraId="29A4D5C1">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p>
              </w:tc>
              <w:tc>
                <w:tcPr>
                  <w:tcW w:w="2537" w:type="pct"/>
                  <w:tcBorders>
                    <w:tl2br w:val="nil"/>
                    <w:tr2bl w:val="nil"/>
                  </w:tcBorders>
                  <w:noWrap w:val="0"/>
                  <w:vAlign w:val="center"/>
                </w:tcPr>
                <w:p w14:paraId="4EA96B6A">
                  <w:pPr>
                    <w:keepNext w:val="0"/>
                    <w:keepLines w:val="0"/>
                    <w:widowControl/>
                    <w:suppressLineNumbers w:val="0"/>
                    <w:snapToGrid w:val="0"/>
                    <w:spacing w:before="0" w:beforeAutospacing="0" w:after="0" w:afterAutospacing="0" w:line="240" w:lineRule="auto"/>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粉碎机上方设置集气罩</w:t>
                  </w:r>
                  <w:r>
                    <w:rPr>
                      <w:rFonts w:hint="eastAsia" w:ascii="Times New Roman" w:hAnsi="Times New Roman" w:cs="Times New Roman"/>
                      <w:color w:val="auto"/>
                      <w:sz w:val="21"/>
                      <w:szCs w:val="21"/>
                      <w:lang w:val="en-US" w:eastAsia="zh-CN"/>
                    </w:rPr>
                    <w:t>，粉尘经抽风进入布袋除尘器处理后15m高</w:t>
                  </w:r>
                  <w:r>
                    <w:rPr>
                      <w:rFonts w:hint="eastAsia" w:cs="Times New Roman"/>
                      <w:color w:val="auto"/>
                      <w:sz w:val="21"/>
                      <w:szCs w:val="21"/>
                      <w:lang w:val="en-US" w:eastAsia="zh-CN"/>
                    </w:rPr>
                    <w:t>2#排气筒</w:t>
                  </w:r>
                  <w:r>
                    <w:rPr>
                      <w:rFonts w:hint="eastAsia" w:ascii="Times New Roman" w:hAnsi="Times New Roman" w:cs="Times New Roman"/>
                      <w:color w:val="auto"/>
                      <w:sz w:val="21"/>
                      <w:szCs w:val="21"/>
                      <w:lang w:val="en-US" w:eastAsia="zh-CN"/>
                    </w:rPr>
                    <w:t>排放</w:t>
                  </w:r>
                </w:p>
              </w:tc>
              <w:tc>
                <w:tcPr>
                  <w:tcW w:w="614" w:type="pct"/>
                  <w:vMerge w:val="continue"/>
                  <w:tcBorders>
                    <w:tl2br w:val="nil"/>
                    <w:tr2bl w:val="nil"/>
                  </w:tcBorders>
                  <w:noWrap w:val="0"/>
                  <w:vAlign w:val="center"/>
                </w:tcPr>
                <w:p w14:paraId="48A4ADBF">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tcBorders>
                    <w:tl2br w:val="nil"/>
                    <w:tr2bl w:val="nil"/>
                  </w:tcBorders>
                  <w:noWrap w:val="0"/>
                  <w:vAlign w:val="center"/>
                </w:tcPr>
                <w:p w14:paraId="70FA04B8">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除尘灰、噪声</w:t>
                  </w:r>
                </w:p>
              </w:tc>
            </w:tr>
            <w:tr w14:paraId="00566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continue"/>
                  <w:tcBorders>
                    <w:tl2br w:val="nil"/>
                    <w:tr2bl w:val="nil"/>
                  </w:tcBorders>
                  <w:noWrap w:val="0"/>
                  <w:vAlign w:val="center"/>
                </w:tcPr>
                <w:p w14:paraId="383D8FBC">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p>
              </w:tc>
              <w:tc>
                <w:tcPr>
                  <w:tcW w:w="672" w:type="pct"/>
                  <w:vMerge w:val="continue"/>
                  <w:tcBorders>
                    <w:tl2br w:val="nil"/>
                    <w:tr2bl w:val="nil"/>
                  </w:tcBorders>
                  <w:noWrap w:val="0"/>
                  <w:vAlign w:val="center"/>
                </w:tcPr>
                <w:p w14:paraId="27B15270">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p>
              </w:tc>
              <w:tc>
                <w:tcPr>
                  <w:tcW w:w="2537" w:type="pct"/>
                  <w:tcBorders>
                    <w:tl2br w:val="nil"/>
                    <w:tr2bl w:val="nil"/>
                  </w:tcBorders>
                  <w:noWrap w:val="0"/>
                  <w:vAlign w:val="center"/>
                </w:tcPr>
                <w:p w14:paraId="4AC194A6">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lang w:val="en-US" w:eastAsia="zh-CN" w:bidi="ar-SA"/>
                    </w:rPr>
                  </w:pPr>
                  <w:r>
                    <w:rPr>
                      <w:rFonts w:hint="eastAsia" w:cs="Times New Roman"/>
                      <w:color w:val="auto"/>
                      <w:sz w:val="21"/>
                      <w:szCs w:val="21"/>
                      <w:lang w:val="en-US" w:eastAsia="zh-CN"/>
                    </w:rPr>
                    <w:t>蒸馏釜油水混合蒸汽经冷凝器冷凝后进入</w:t>
                  </w:r>
                  <w:r>
                    <w:rPr>
                      <w:rFonts w:hint="eastAsia" w:ascii="Times New Roman" w:hAnsi="Times New Roman" w:eastAsia="宋体" w:cs="Times New Roman"/>
                      <w:color w:val="auto"/>
                      <w:sz w:val="21"/>
                      <w:szCs w:val="21"/>
                      <w:lang w:val="en-US" w:eastAsia="zh-CN"/>
                    </w:rPr>
                    <w:t>油水分离池内进行油水分离；分离过程产生的</w:t>
                  </w:r>
                  <w:r>
                    <w:rPr>
                      <w:rFonts w:hint="eastAsia" w:cs="Times New Roman"/>
                      <w:color w:val="auto"/>
                      <w:sz w:val="21"/>
                      <w:szCs w:val="21"/>
                      <w:lang w:val="en-US" w:eastAsia="zh-CN"/>
                    </w:rPr>
                    <w:t>有机</w:t>
                  </w:r>
                  <w:r>
                    <w:rPr>
                      <w:rFonts w:hint="eastAsia" w:ascii="Times New Roman" w:hAnsi="Times New Roman" w:eastAsia="宋体" w:cs="Times New Roman"/>
                      <w:color w:val="auto"/>
                      <w:sz w:val="21"/>
                      <w:szCs w:val="21"/>
                      <w:lang w:val="en-US" w:eastAsia="zh-CN"/>
                    </w:rPr>
                    <w:t>废气通过“两级活性炭”装置进行处理后通过</w:t>
                  </w:r>
                  <w:r>
                    <w:rPr>
                      <w:rFonts w:hint="default" w:ascii="Times New Roman" w:hAnsi="Times New Roman" w:eastAsia="宋体" w:cs="Times New Roman"/>
                      <w:color w:val="auto"/>
                      <w:sz w:val="21"/>
                      <w:szCs w:val="21"/>
                      <w:lang w:val="en-US" w:eastAsia="zh-CN"/>
                    </w:rPr>
                    <w:t>15m</w:t>
                  </w:r>
                  <w:r>
                    <w:rPr>
                      <w:rFonts w:hint="eastAsia" w:cs="Times New Roman"/>
                      <w:color w:val="auto"/>
                      <w:sz w:val="21"/>
                      <w:szCs w:val="21"/>
                      <w:lang w:val="en-US" w:eastAsia="zh-CN"/>
                    </w:rPr>
                    <w:t>高3#排气筒</w:t>
                  </w:r>
                  <w:r>
                    <w:rPr>
                      <w:rFonts w:hint="eastAsia" w:ascii="Times New Roman" w:hAnsi="Times New Roman" w:eastAsia="宋体" w:cs="Times New Roman"/>
                      <w:color w:val="auto"/>
                      <w:sz w:val="21"/>
                      <w:szCs w:val="21"/>
                      <w:lang w:val="en-US" w:eastAsia="zh-CN"/>
                    </w:rPr>
                    <w:t>排放。</w:t>
                  </w:r>
                </w:p>
              </w:tc>
              <w:tc>
                <w:tcPr>
                  <w:tcW w:w="614" w:type="pct"/>
                  <w:vMerge w:val="continue"/>
                  <w:tcBorders>
                    <w:tl2br w:val="nil"/>
                    <w:tr2bl w:val="nil"/>
                  </w:tcBorders>
                  <w:noWrap w:val="0"/>
                  <w:vAlign w:val="center"/>
                </w:tcPr>
                <w:p w14:paraId="5886AB8F">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lang w:val="en-US" w:eastAsia="zh-CN" w:bidi="ar-SA"/>
                    </w:rPr>
                  </w:pPr>
                </w:p>
              </w:tc>
              <w:tc>
                <w:tcPr>
                  <w:tcW w:w="729" w:type="pct"/>
                  <w:tcBorders>
                    <w:tl2br w:val="nil"/>
                    <w:tr2bl w:val="nil"/>
                  </w:tcBorders>
                  <w:noWrap w:val="0"/>
                  <w:vAlign w:val="center"/>
                </w:tcPr>
                <w:p w14:paraId="0E17BAFE">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固废、噪声</w:t>
                  </w:r>
                </w:p>
              </w:tc>
            </w:tr>
            <w:tr w14:paraId="531FC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continue"/>
                  <w:tcBorders>
                    <w:tl2br w:val="nil"/>
                    <w:tr2bl w:val="nil"/>
                  </w:tcBorders>
                  <w:noWrap w:val="0"/>
                  <w:vAlign w:val="center"/>
                </w:tcPr>
                <w:p w14:paraId="2CD4072A">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p>
              </w:tc>
              <w:tc>
                <w:tcPr>
                  <w:tcW w:w="672" w:type="pct"/>
                  <w:vMerge w:val="continue"/>
                  <w:tcBorders>
                    <w:tl2br w:val="nil"/>
                    <w:tr2bl w:val="nil"/>
                  </w:tcBorders>
                  <w:noWrap w:val="0"/>
                  <w:vAlign w:val="center"/>
                </w:tcPr>
                <w:p w14:paraId="09C4A8CC">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2537" w:type="pct"/>
                  <w:tcBorders>
                    <w:tl2br w:val="nil"/>
                    <w:tr2bl w:val="nil"/>
                  </w:tcBorders>
                  <w:noWrap w:val="0"/>
                  <w:vAlign w:val="center"/>
                </w:tcPr>
                <w:p w14:paraId="60845CC9">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锅炉废气采用低氮燃烧，废气经</w:t>
                  </w:r>
                  <w:r>
                    <w:rPr>
                      <w:rFonts w:hint="eastAsia" w:cs="Times New Roman"/>
                      <w:color w:val="auto"/>
                      <w:kern w:val="0"/>
                      <w:sz w:val="21"/>
                      <w:szCs w:val="21"/>
                      <w:lang w:val="en-US" w:eastAsia="zh-CN"/>
                    </w:rPr>
                    <w:t>多管旋风+布袋除尘器</w:t>
                  </w:r>
                  <w:r>
                    <w:rPr>
                      <w:rFonts w:hint="eastAsia" w:ascii="Times New Roman" w:hAnsi="Times New Roman" w:cs="Times New Roman"/>
                      <w:color w:val="auto"/>
                      <w:kern w:val="0"/>
                      <w:sz w:val="21"/>
                      <w:szCs w:val="21"/>
                      <w:lang w:val="en-US" w:eastAsia="zh-CN"/>
                    </w:rPr>
                    <w:t>处理后</w:t>
                  </w:r>
                  <w:r>
                    <w:rPr>
                      <w:rFonts w:hint="default" w:ascii="Times New Roman" w:hAnsi="Times New Roman" w:eastAsia="宋体" w:cs="Times New Roman"/>
                      <w:color w:val="auto"/>
                      <w:sz w:val="21"/>
                      <w:szCs w:val="21"/>
                      <w:lang w:val="en-US" w:eastAsia="zh-CN"/>
                    </w:rPr>
                    <w:t>15m</w:t>
                  </w:r>
                  <w:r>
                    <w:rPr>
                      <w:rFonts w:hint="eastAsia" w:cs="Times New Roman"/>
                      <w:color w:val="auto"/>
                      <w:sz w:val="21"/>
                      <w:szCs w:val="21"/>
                      <w:lang w:val="en-US" w:eastAsia="zh-CN"/>
                    </w:rPr>
                    <w:t>高4#排气筒</w:t>
                  </w:r>
                  <w:r>
                    <w:rPr>
                      <w:rFonts w:hint="eastAsia" w:ascii="Times New Roman" w:hAnsi="Times New Roman" w:eastAsia="宋体" w:cs="Times New Roman"/>
                      <w:color w:val="auto"/>
                      <w:sz w:val="21"/>
                      <w:szCs w:val="21"/>
                      <w:lang w:val="en-US" w:eastAsia="zh-CN"/>
                    </w:rPr>
                    <w:t>排放。</w:t>
                  </w:r>
                </w:p>
              </w:tc>
              <w:tc>
                <w:tcPr>
                  <w:tcW w:w="614" w:type="pct"/>
                  <w:vMerge w:val="continue"/>
                  <w:tcBorders>
                    <w:tl2br w:val="nil"/>
                    <w:tr2bl w:val="nil"/>
                  </w:tcBorders>
                  <w:noWrap w:val="0"/>
                  <w:vAlign w:val="center"/>
                </w:tcPr>
                <w:p w14:paraId="2C909212">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tcBorders>
                    <w:tl2br w:val="nil"/>
                    <w:tr2bl w:val="nil"/>
                  </w:tcBorders>
                  <w:noWrap w:val="0"/>
                  <w:vAlign w:val="center"/>
                </w:tcPr>
                <w:p w14:paraId="5FE25D3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废水、固废、噪声</w:t>
                  </w:r>
                  <w:r>
                    <w:rPr>
                      <w:rFonts w:hint="eastAsia" w:cs="Times New Roman"/>
                      <w:color w:val="auto"/>
                      <w:sz w:val="21"/>
                      <w:szCs w:val="21"/>
                      <w:lang w:val="en-US" w:eastAsia="zh-CN"/>
                    </w:rPr>
                    <w:t xml:space="preserve">  </w:t>
                  </w:r>
                </w:p>
              </w:tc>
            </w:tr>
            <w:tr w14:paraId="2A28C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Merge w:val="continue"/>
                  <w:tcBorders>
                    <w:tl2br w:val="nil"/>
                    <w:tr2bl w:val="nil"/>
                  </w:tcBorders>
                  <w:noWrap w:val="0"/>
                  <w:vAlign w:val="center"/>
                </w:tcPr>
                <w:p w14:paraId="64DCF458">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p>
              </w:tc>
              <w:tc>
                <w:tcPr>
                  <w:tcW w:w="672" w:type="pct"/>
                  <w:tcBorders>
                    <w:tl2br w:val="nil"/>
                    <w:tr2bl w:val="nil"/>
                  </w:tcBorders>
                  <w:noWrap w:val="0"/>
                  <w:vAlign w:val="center"/>
                </w:tcPr>
                <w:p w14:paraId="02D7FED9">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 xml:space="preserve"> </w:t>
                  </w:r>
                  <w:r>
                    <w:rPr>
                      <w:rFonts w:hint="eastAsia" w:ascii="Times New Roman" w:hAnsi="Times New Roman" w:cs="Times New Roman"/>
                      <w:color w:val="auto"/>
                      <w:kern w:val="0"/>
                      <w:sz w:val="21"/>
                      <w:szCs w:val="21"/>
                    </w:rPr>
                    <w:t>噪声</w:t>
                  </w:r>
                </w:p>
              </w:tc>
              <w:tc>
                <w:tcPr>
                  <w:tcW w:w="2537" w:type="pct"/>
                  <w:tcBorders>
                    <w:tl2br w:val="nil"/>
                    <w:tr2bl w:val="nil"/>
                  </w:tcBorders>
                  <w:noWrap w:val="0"/>
                  <w:vAlign w:val="center"/>
                </w:tcPr>
                <w:p w14:paraId="2A16CD23">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sz w:val="21"/>
                      <w:szCs w:val="21"/>
                    </w:rPr>
                    <w:t>采取</w:t>
                  </w:r>
                  <w:r>
                    <w:rPr>
                      <w:rFonts w:hint="eastAsia" w:ascii="Times New Roman" w:hAnsi="Times New Roman" w:cs="Times New Roman"/>
                      <w:color w:val="auto"/>
                      <w:sz w:val="21"/>
                      <w:szCs w:val="21"/>
                      <w:lang w:val="en-US" w:eastAsia="zh-CN"/>
                    </w:rPr>
                    <w:t>合理平面布局，</w:t>
                  </w:r>
                  <w:r>
                    <w:rPr>
                      <w:rFonts w:hint="eastAsia" w:ascii="Times New Roman" w:hAnsi="Times New Roman" w:cs="Times New Roman"/>
                      <w:color w:val="auto"/>
                      <w:sz w:val="21"/>
                      <w:szCs w:val="21"/>
                    </w:rPr>
                    <w:t>设备减震、厂房隔音等降噪措施</w:t>
                  </w:r>
                </w:p>
              </w:tc>
              <w:tc>
                <w:tcPr>
                  <w:tcW w:w="614" w:type="pct"/>
                  <w:vMerge w:val="continue"/>
                  <w:tcBorders>
                    <w:tl2br w:val="nil"/>
                    <w:tr2bl w:val="nil"/>
                  </w:tcBorders>
                  <w:noWrap w:val="0"/>
                  <w:vAlign w:val="center"/>
                </w:tcPr>
                <w:p w14:paraId="06F19744">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tcBorders>
                    <w:tl2br w:val="nil"/>
                    <w:tr2bl w:val="nil"/>
                  </w:tcBorders>
                  <w:noWrap w:val="0"/>
                  <w:vAlign w:val="center"/>
                </w:tcPr>
                <w:p w14:paraId="0428F4C8">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w:t>
                  </w:r>
                </w:p>
              </w:tc>
            </w:tr>
            <w:tr w14:paraId="117BC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46" w:type="pct"/>
                  <w:vMerge w:val="continue"/>
                  <w:tcBorders>
                    <w:tl2br w:val="nil"/>
                    <w:tr2bl w:val="nil"/>
                  </w:tcBorders>
                  <w:noWrap w:val="0"/>
                  <w:vAlign w:val="center"/>
                </w:tcPr>
                <w:p w14:paraId="2E2805E0">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p>
              </w:tc>
              <w:tc>
                <w:tcPr>
                  <w:tcW w:w="672" w:type="pct"/>
                  <w:tcBorders>
                    <w:tl2br w:val="nil"/>
                    <w:tr2bl w:val="nil"/>
                  </w:tcBorders>
                  <w:noWrap w:val="0"/>
                  <w:vAlign w:val="center"/>
                </w:tcPr>
                <w:p w14:paraId="6931FAFA">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危险废物</w:t>
                  </w:r>
                </w:p>
              </w:tc>
              <w:tc>
                <w:tcPr>
                  <w:tcW w:w="2537" w:type="pct"/>
                  <w:tcBorders>
                    <w:tl2br w:val="nil"/>
                    <w:tr2bl w:val="nil"/>
                  </w:tcBorders>
                  <w:noWrap w:val="0"/>
                  <w:vAlign w:val="center"/>
                </w:tcPr>
                <w:p w14:paraId="2F7556DE">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拟在项目</w:t>
                  </w:r>
                  <w:r>
                    <w:rPr>
                      <w:rFonts w:hint="eastAsia" w:ascii="Times New Roman" w:hAnsi="Times New Roman" w:cs="Times New Roman"/>
                      <w:color w:val="auto"/>
                      <w:sz w:val="21"/>
                      <w:szCs w:val="21"/>
                      <w:lang w:val="en-US" w:eastAsia="zh-CN"/>
                    </w:rPr>
                    <w:t>西</w:t>
                  </w:r>
                  <w:r>
                    <w:rPr>
                      <w:rFonts w:hint="eastAsia" w:ascii="Times New Roman" w:hAnsi="Times New Roman" w:cs="Times New Roman"/>
                      <w:color w:val="auto"/>
                      <w:sz w:val="21"/>
                      <w:szCs w:val="21"/>
                    </w:rPr>
                    <w:t>北侧设置</w:t>
                  </w: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rPr>
                    <w:t>间危废暂存间，</w:t>
                  </w:r>
                  <w:r>
                    <w:rPr>
                      <w:rFonts w:hint="eastAsia" w:ascii="Times New Roman" w:hAnsi="Times New Roman" w:cs="Times New Roman"/>
                      <w:color w:val="auto"/>
                      <w:sz w:val="21"/>
                      <w:szCs w:val="21"/>
                      <w:lang w:val="en-US" w:eastAsia="zh-CN"/>
                    </w:rPr>
                    <w:t>面积8m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vertAlign w:val="baseline"/>
                      <w:lang w:val="en-US" w:eastAsia="zh-CN"/>
                    </w:rPr>
                    <w:t>，</w:t>
                  </w:r>
                  <w:r>
                    <w:rPr>
                      <w:rFonts w:hint="eastAsia" w:ascii="Times New Roman" w:hAnsi="Times New Roman" w:cs="Times New Roman"/>
                      <w:color w:val="auto"/>
                      <w:sz w:val="21"/>
                      <w:szCs w:val="21"/>
                    </w:rPr>
                    <w:t>危险废物暂存于危废间，</w:t>
                  </w:r>
                  <w:r>
                    <w:rPr>
                      <w:rFonts w:hint="eastAsia" w:ascii="Times New Roman" w:hAnsi="Times New Roman" w:cs="Times New Roman"/>
                      <w:color w:val="auto"/>
                      <w:sz w:val="21"/>
                      <w:szCs w:val="21"/>
                      <w:lang w:val="en-US" w:eastAsia="zh-CN"/>
                    </w:rPr>
                    <w:t>定期交由</w:t>
                  </w:r>
                  <w:r>
                    <w:rPr>
                      <w:rFonts w:hint="eastAsia" w:ascii="Times New Roman" w:hAnsi="Times New Roman" w:cs="Times New Roman"/>
                      <w:color w:val="auto"/>
                      <w:sz w:val="21"/>
                      <w:szCs w:val="21"/>
                    </w:rPr>
                    <w:t>有资质的单位处理</w:t>
                  </w:r>
                </w:p>
              </w:tc>
              <w:tc>
                <w:tcPr>
                  <w:tcW w:w="614" w:type="pct"/>
                  <w:vMerge w:val="continue"/>
                  <w:tcBorders>
                    <w:tl2br w:val="nil"/>
                    <w:tr2bl w:val="nil"/>
                  </w:tcBorders>
                  <w:noWrap w:val="0"/>
                  <w:vAlign w:val="center"/>
                </w:tcPr>
                <w:p w14:paraId="442AECCE">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tcBorders>
                    <w:tl2br w:val="nil"/>
                    <w:tr2bl w:val="nil"/>
                  </w:tcBorders>
                  <w:noWrap w:val="0"/>
                  <w:vAlign w:val="center"/>
                </w:tcPr>
                <w:p w14:paraId="14AC406E">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风险</w:t>
                  </w:r>
                </w:p>
              </w:tc>
            </w:tr>
            <w:tr w14:paraId="32918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3" w:hRule="atLeast"/>
                <w:jc w:val="center"/>
              </w:trPr>
              <w:tc>
                <w:tcPr>
                  <w:tcW w:w="446" w:type="pct"/>
                  <w:vMerge w:val="continue"/>
                  <w:tcBorders>
                    <w:tl2br w:val="nil"/>
                    <w:tr2bl w:val="nil"/>
                  </w:tcBorders>
                  <w:noWrap w:val="0"/>
                  <w:vAlign w:val="center"/>
                </w:tcPr>
                <w:p w14:paraId="3B40B512">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p>
              </w:tc>
              <w:tc>
                <w:tcPr>
                  <w:tcW w:w="672" w:type="pct"/>
                  <w:tcBorders>
                    <w:tl2br w:val="nil"/>
                    <w:tr2bl w:val="nil"/>
                  </w:tcBorders>
                  <w:noWrap w:val="0"/>
                  <w:vAlign w:val="center"/>
                </w:tcPr>
                <w:p w14:paraId="3A3D4CDA">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地下水防治</w:t>
                  </w:r>
                </w:p>
              </w:tc>
              <w:tc>
                <w:tcPr>
                  <w:tcW w:w="2537" w:type="pct"/>
                  <w:tcBorders>
                    <w:tl2br w:val="nil"/>
                    <w:tr2bl w:val="nil"/>
                  </w:tcBorders>
                  <w:noWrap w:val="0"/>
                  <w:vAlign w:val="center"/>
                </w:tcPr>
                <w:p w14:paraId="08D22E3C">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重点防渗区：危废暂存间、柏木油产品库、油水分离池、</w:t>
                  </w:r>
                  <w:r>
                    <w:rPr>
                      <w:rFonts w:hint="eastAsia" w:ascii="宋体" w:hAnsi="宋体" w:cs="宋体"/>
                      <w:color w:val="auto"/>
                      <w:kern w:val="0"/>
                      <w:sz w:val="21"/>
                      <w:szCs w:val="21"/>
                      <w:lang w:val="en-US" w:eastAsia="zh-CN" w:bidi="ar"/>
                    </w:rPr>
                    <w:t>厌氧池、</w:t>
                  </w:r>
                  <w:r>
                    <w:rPr>
                      <w:rFonts w:hint="eastAsia" w:ascii="宋体" w:hAnsi="宋体" w:eastAsia="宋体" w:cs="宋体"/>
                      <w:color w:val="auto"/>
                      <w:kern w:val="0"/>
                      <w:sz w:val="21"/>
                      <w:szCs w:val="21"/>
                      <w:lang w:val="en-US" w:eastAsia="zh-CN" w:bidi="ar"/>
                    </w:rPr>
                    <w:t>污水埋地管道。其中危废暂存间采用</w:t>
                  </w:r>
                  <w:r>
                    <w:rPr>
                      <w:rFonts w:hint="eastAsia" w:ascii="宋体" w:hAnsi="宋体" w:cs="宋体"/>
                      <w:color w:val="auto"/>
                      <w:kern w:val="0"/>
                      <w:sz w:val="21"/>
                      <w:szCs w:val="21"/>
                      <w:lang w:val="en-US" w:eastAsia="zh-CN" w:bidi="ar"/>
                    </w:rPr>
                    <w:t>黏土铺底+</w:t>
                  </w:r>
                  <w:r>
                    <w:rPr>
                      <w:rFonts w:hint="eastAsia" w:ascii="宋体" w:hAnsi="宋体" w:eastAsia="宋体" w:cs="宋体"/>
                      <w:color w:val="auto"/>
                      <w:kern w:val="0"/>
                      <w:sz w:val="21"/>
                      <w:szCs w:val="21"/>
                      <w:lang w:val="en-US" w:eastAsia="zh-CN" w:bidi="ar"/>
                    </w:rPr>
                    <w:t>防渗混凝土</w:t>
                  </w:r>
                  <w:r>
                    <w:rPr>
                      <w:rFonts w:hint="default" w:ascii="Times New Roman" w:hAnsi="Times New Roman" w:eastAsia="宋体" w:cs="Times New Roman"/>
                      <w:color w:val="auto"/>
                      <w:kern w:val="0"/>
                      <w:sz w:val="21"/>
                      <w:szCs w:val="21"/>
                      <w:lang w:val="en-US" w:eastAsia="zh-CN" w:bidi="ar"/>
                    </w:rPr>
                    <w:t>+2mm</w:t>
                  </w:r>
                  <w:r>
                    <w:rPr>
                      <w:rFonts w:hint="eastAsia" w:ascii="宋体" w:hAnsi="宋体" w:eastAsia="宋体" w:cs="宋体"/>
                      <w:color w:val="auto"/>
                      <w:kern w:val="0"/>
                      <w:sz w:val="21"/>
                      <w:szCs w:val="21"/>
                      <w:lang w:val="en-US" w:eastAsia="zh-CN" w:bidi="ar"/>
                    </w:rPr>
                    <w:t>厚</w:t>
                  </w:r>
                  <w:r>
                    <w:rPr>
                      <w:rFonts w:hint="default" w:ascii="Times New Roman" w:hAnsi="Times New Roman" w:eastAsia="宋体" w:cs="Times New Roman"/>
                      <w:color w:val="auto"/>
                      <w:kern w:val="0"/>
                      <w:sz w:val="21"/>
                      <w:szCs w:val="21"/>
                      <w:lang w:val="en-US" w:eastAsia="zh-CN" w:bidi="ar"/>
                    </w:rPr>
                    <w:t>HDPE</w:t>
                  </w:r>
                  <w:r>
                    <w:rPr>
                      <w:rFonts w:hint="eastAsia" w:ascii="宋体" w:hAnsi="宋体" w:eastAsia="宋体" w:cs="宋体"/>
                      <w:color w:val="auto"/>
                      <w:kern w:val="0"/>
                      <w:sz w:val="21"/>
                      <w:szCs w:val="21"/>
                      <w:lang w:val="en-US" w:eastAsia="zh-CN" w:bidi="ar"/>
                    </w:rPr>
                    <w:t>人工防渗涂层</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渗透系数</w:t>
                  </w:r>
                  <w:r>
                    <w:rPr>
                      <w:rFonts w:hint="default" w:ascii="Times New Roman" w:hAnsi="Times New Roman" w:eastAsia="宋体" w:cs="Times New Roman"/>
                      <w:color w:val="auto"/>
                      <w:kern w:val="0"/>
                      <w:sz w:val="21"/>
                      <w:szCs w:val="21"/>
                      <w:lang w:val="en-US" w:eastAsia="zh-CN" w:bidi="ar"/>
                    </w:rPr>
                    <w:t>K≤10</w:t>
                  </w:r>
                  <w:r>
                    <w:rPr>
                      <w:rFonts w:hint="eastAsia" w:ascii="Times New Roman" w:hAnsi="Times New Roman" w:eastAsia="宋体" w:cs="Times New Roman"/>
                      <w:color w:val="auto"/>
                      <w:kern w:val="0"/>
                      <w:sz w:val="21"/>
                      <w:szCs w:val="21"/>
                      <w:vertAlign w:val="superscript"/>
                      <w:lang w:val="en-US" w:eastAsia="zh-CN" w:bidi="ar"/>
                    </w:rPr>
                    <w:t>-10</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其余采取防渗混凝土+人工防渗涂层，</w:t>
                  </w:r>
                  <w:r>
                    <w:rPr>
                      <w:rFonts w:hint="eastAsia" w:ascii="宋体" w:hAnsi="宋体" w:eastAsia="宋体" w:cs="宋体"/>
                      <w:color w:val="auto"/>
                      <w:kern w:val="0"/>
                      <w:sz w:val="21"/>
                      <w:szCs w:val="21"/>
                      <w:lang w:val="en-US" w:eastAsia="zh-CN" w:bidi="ar"/>
                    </w:rPr>
                    <w:t>确保防渗层达到等效黏土防渗层</w:t>
                  </w:r>
                  <w:r>
                    <w:rPr>
                      <w:rFonts w:hint="default" w:ascii="Times New Roman" w:hAnsi="Times New Roman" w:eastAsia="宋体" w:cs="Times New Roman"/>
                      <w:color w:val="auto"/>
                      <w:kern w:val="0"/>
                      <w:sz w:val="21"/>
                      <w:szCs w:val="21"/>
                      <w:lang w:val="en-US" w:eastAsia="zh-CN" w:bidi="ar"/>
                    </w:rPr>
                    <w:t>Mb≥6.0m</w:t>
                  </w:r>
                  <w:r>
                    <w:rPr>
                      <w:rFonts w:hint="eastAsia" w:ascii="宋体" w:hAnsi="宋体" w:eastAsia="宋体" w:cs="宋体"/>
                      <w:color w:val="auto"/>
                      <w:kern w:val="0"/>
                      <w:sz w:val="21"/>
                      <w:szCs w:val="21"/>
                      <w:lang w:val="en-US" w:eastAsia="zh-CN" w:bidi="ar"/>
                    </w:rPr>
                    <w:t>、渗透系数</w:t>
                  </w:r>
                  <w:r>
                    <w:rPr>
                      <w:rFonts w:hint="default" w:ascii="Times New Roman" w:hAnsi="Times New Roman" w:eastAsia="宋体" w:cs="Times New Roman"/>
                      <w:color w:val="auto"/>
                      <w:kern w:val="0"/>
                      <w:sz w:val="21"/>
                      <w:szCs w:val="21"/>
                      <w:lang w:val="en-US" w:eastAsia="zh-CN" w:bidi="ar"/>
                    </w:rPr>
                    <w:t>K≤1.0×10</w:t>
                  </w:r>
                  <w:r>
                    <w:rPr>
                      <w:rFonts w:hint="eastAsia"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柏木油产品库</w:t>
                  </w:r>
                  <w:r>
                    <w:rPr>
                      <w:rFonts w:hint="eastAsia" w:ascii="宋体" w:hAnsi="宋体" w:eastAsia="宋体" w:cs="宋体"/>
                      <w:color w:val="auto"/>
                      <w:kern w:val="0"/>
                      <w:sz w:val="21"/>
                      <w:szCs w:val="21"/>
                      <w:lang w:val="en-US" w:eastAsia="zh-CN" w:bidi="ar"/>
                    </w:rPr>
                    <w:t>设置围堰。</w:t>
                  </w:r>
                </w:p>
                <w:p w14:paraId="437B218B">
                  <w:pPr>
                    <w:keepNext w:val="0"/>
                    <w:keepLines w:val="0"/>
                    <w:widowControl/>
                    <w:suppressLineNumbers w:val="0"/>
                    <w:spacing w:before="0" w:beforeAutospacing="0" w:after="0" w:afterAutospacing="0" w:line="240" w:lineRule="auto"/>
                    <w:ind w:left="0" w:right="0"/>
                    <w:jc w:val="left"/>
                    <w:rPr>
                      <w:rFonts w:hint="eastAsia" w:ascii="Times New Roman" w:hAnsi="Times New Roman" w:cs="Times New Roman"/>
                      <w:color w:val="auto"/>
                      <w:sz w:val="21"/>
                      <w:szCs w:val="21"/>
                    </w:rPr>
                  </w:pPr>
                  <w:r>
                    <w:rPr>
                      <w:rFonts w:hint="eastAsia" w:ascii="宋体" w:hAnsi="宋体" w:eastAsia="宋体" w:cs="宋体"/>
                      <w:color w:val="auto"/>
                      <w:kern w:val="0"/>
                      <w:sz w:val="21"/>
                      <w:szCs w:val="21"/>
                      <w:lang w:val="en-US" w:eastAsia="zh-CN" w:bidi="ar"/>
                    </w:rPr>
                    <w:t>一般防渗区：破碎间、锅炉房、生产车间。采用防渗混凝土进行地面硬化，确保防渗层达到等效黏土防渗层</w:t>
                  </w:r>
                  <w:r>
                    <w:rPr>
                      <w:rFonts w:hint="default" w:ascii="Times New Roman" w:hAnsi="Times New Roman" w:eastAsia="宋体" w:cs="Times New Roman"/>
                      <w:color w:val="auto"/>
                      <w:kern w:val="0"/>
                      <w:sz w:val="21"/>
                      <w:szCs w:val="21"/>
                      <w:lang w:val="en-US" w:eastAsia="zh-CN" w:bidi="ar"/>
                    </w:rPr>
                    <w:t>Mb≥</w:t>
                  </w:r>
                  <w:r>
                    <w:rPr>
                      <w:rFonts w:hint="eastAsia" w:ascii="Times New Roman" w:hAnsi="Times New Roman" w:eastAsia="宋体" w:cs="Times New Roman"/>
                      <w:color w:val="auto"/>
                      <w:kern w:val="0"/>
                      <w:sz w:val="21"/>
                      <w:szCs w:val="21"/>
                      <w:lang w:val="en-US" w:eastAsia="zh-CN" w:bidi="ar"/>
                    </w:rPr>
                    <w:t>1.5</w:t>
                  </w:r>
                  <w:r>
                    <w:rPr>
                      <w:rFonts w:hint="default" w:ascii="Times New Roman" w:hAnsi="Times New Roman" w:eastAsia="宋体" w:cs="Times New Roman"/>
                      <w:color w:val="auto"/>
                      <w:kern w:val="0"/>
                      <w:sz w:val="21"/>
                      <w:szCs w:val="21"/>
                      <w:lang w:val="en-US" w:eastAsia="zh-CN" w:bidi="ar"/>
                    </w:rPr>
                    <w:t>m</w:t>
                  </w:r>
                  <w:r>
                    <w:rPr>
                      <w:rFonts w:hint="eastAsia" w:ascii="宋体" w:hAnsi="宋体" w:eastAsia="宋体" w:cs="宋体"/>
                      <w:color w:val="auto"/>
                      <w:kern w:val="0"/>
                      <w:sz w:val="21"/>
                      <w:szCs w:val="21"/>
                      <w:lang w:val="en-US" w:eastAsia="zh-CN" w:bidi="ar"/>
                    </w:rPr>
                    <w:t>、渗透系数</w:t>
                  </w:r>
                  <w:r>
                    <w:rPr>
                      <w:rFonts w:hint="default" w:ascii="Times New Roman" w:hAnsi="Times New Roman" w:eastAsia="宋体" w:cs="Times New Roman"/>
                      <w:color w:val="auto"/>
                      <w:kern w:val="0"/>
                      <w:sz w:val="21"/>
                      <w:szCs w:val="21"/>
                      <w:lang w:val="en-US" w:eastAsia="zh-CN" w:bidi="ar"/>
                    </w:rPr>
                    <w:t>K≤1.0×10</w:t>
                  </w:r>
                  <w:r>
                    <w:rPr>
                      <w:rFonts w:hint="eastAsia"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w:t>
                  </w:r>
                </w:p>
              </w:tc>
              <w:tc>
                <w:tcPr>
                  <w:tcW w:w="614" w:type="pct"/>
                  <w:vMerge w:val="continue"/>
                  <w:tcBorders>
                    <w:tl2br w:val="nil"/>
                    <w:tr2bl w:val="nil"/>
                  </w:tcBorders>
                  <w:noWrap w:val="0"/>
                  <w:vAlign w:val="center"/>
                </w:tcPr>
                <w:p w14:paraId="220ACE93">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tcBorders>
                    <w:tl2br w:val="nil"/>
                    <w:tr2bl w:val="nil"/>
                  </w:tcBorders>
                  <w:noWrap w:val="0"/>
                  <w:vAlign w:val="center"/>
                </w:tcPr>
                <w:p w14:paraId="75E5EA32">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2B275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46" w:type="pct"/>
                  <w:vMerge w:val="continue"/>
                  <w:tcBorders>
                    <w:tl2br w:val="nil"/>
                    <w:tr2bl w:val="nil"/>
                  </w:tcBorders>
                  <w:noWrap w:val="0"/>
                  <w:vAlign w:val="center"/>
                </w:tcPr>
                <w:p w14:paraId="13F20FE2">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p>
              </w:tc>
              <w:tc>
                <w:tcPr>
                  <w:tcW w:w="672" w:type="pct"/>
                  <w:tcBorders>
                    <w:tl2br w:val="nil"/>
                    <w:tr2bl w:val="nil"/>
                  </w:tcBorders>
                  <w:noWrap w:val="0"/>
                  <w:vAlign w:val="center"/>
                </w:tcPr>
                <w:p w14:paraId="0DF421B6">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风险</w:t>
                  </w:r>
                </w:p>
              </w:tc>
              <w:tc>
                <w:tcPr>
                  <w:tcW w:w="2537" w:type="pct"/>
                  <w:tcBorders>
                    <w:tl2br w:val="nil"/>
                    <w:tr2bl w:val="nil"/>
                  </w:tcBorders>
                  <w:noWrap w:val="0"/>
                  <w:vAlign w:val="center"/>
                </w:tcPr>
                <w:p w14:paraId="68D65BEF">
                  <w:pPr>
                    <w:keepNext w:val="0"/>
                    <w:keepLines w:val="0"/>
                    <w:widowControl/>
                    <w:suppressLineNumbers w:val="0"/>
                    <w:spacing w:before="0" w:beforeAutospacing="0" w:after="0" w:afterAutospacing="0" w:line="240" w:lineRule="auto"/>
                    <w:ind w:left="0" w:right="0"/>
                    <w:jc w:val="left"/>
                    <w:rPr>
                      <w:rFonts w:hint="default"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加强管理，设置消防器材，采取</w:t>
                  </w:r>
                  <w:r>
                    <w:rPr>
                      <w:rFonts w:hint="default" w:ascii="宋体" w:hAnsi="宋体" w:eastAsia="宋体" w:cs="宋体"/>
                      <w:color w:val="auto"/>
                      <w:kern w:val="0"/>
                      <w:sz w:val="21"/>
                      <w:szCs w:val="21"/>
                      <w:lang w:val="en-US" w:eastAsia="zh-CN" w:bidi="ar"/>
                    </w:rPr>
                    <w:t>环境风险防范及应急措施</w:t>
                  </w:r>
                  <w:r>
                    <w:rPr>
                      <w:rFonts w:hint="eastAsia" w:ascii="宋体" w:hAnsi="宋体" w:cs="宋体"/>
                      <w:color w:val="auto"/>
                      <w:kern w:val="0"/>
                      <w:sz w:val="21"/>
                      <w:szCs w:val="21"/>
                      <w:lang w:val="en-US" w:eastAsia="zh-CN" w:bidi="ar"/>
                    </w:rPr>
                    <w:t>，包含设置产品区围堰及蒸馏区导流沟等</w:t>
                  </w:r>
                  <w:r>
                    <w:rPr>
                      <w:rFonts w:hint="default" w:ascii="宋体" w:hAnsi="宋体" w:eastAsia="宋体" w:cs="宋体"/>
                      <w:color w:val="auto"/>
                      <w:kern w:val="0"/>
                      <w:sz w:val="21"/>
                      <w:szCs w:val="21"/>
                      <w:lang w:val="en-US" w:eastAsia="zh-CN" w:bidi="ar"/>
                    </w:rPr>
                    <w:t>，制定风险应急预案</w:t>
                  </w:r>
                  <w:r>
                    <w:rPr>
                      <w:rFonts w:hint="eastAsia" w:ascii="宋体" w:hAnsi="宋体" w:cs="宋体"/>
                      <w:color w:val="auto"/>
                      <w:kern w:val="0"/>
                      <w:sz w:val="21"/>
                      <w:szCs w:val="21"/>
                      <w:lang w:val="en-US" w:eastAsia="zh-CN" w:bidi="ar"/>
                    </w:rPr>
                    <w:t>。</w:t>
                  </w:r>
                </w:p>
              </w:tc>
              <w:tc>
                <w:tcPr>
                  <w:tcW w:w="614" w:type="pct"/>
                  <w:vMerge w:val="continue"/>
                  <w:tcBorders>
                    <w:tl2br w:val="nil"/>
                    <w:tr2bl w:val="nil"/>
                  </w:tcBorders>
                  <w:noWrap w:val="0"/>
                  <w:vAlign w:val="center"/>
                </w:tcPr>
                <w:p w14:paraId="475E154C">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729" w:type="pct"/>
                  <w:tcBorders>
                    <w:tl2br w:val="nil"/>
                    <w:tr2bl w:val="nil"/>
                  </w:tcBorders>
                  <w:noWrap w:val="0"/>
                  <w:vAlign w:val="center"/>
                </w:tcPr>
                <w:p w14:paraId="73A83A3F">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w:t>
                  </w:r>
                </w:p>
              </w:tc>
            </w:tr>
          </w:tbl>
          <w:p w14:paraId="5B1F7D12">
            <w:pPr>
              <w:keepNext w:val="0"/>
              <w:keepLines w:val="0"/>
              <w:suppressLineNumbers w:val="0"/>
              <w:adjustRightInd w:val="0"/>
              <w:snapToGrid w:val="0"/>
              <w:spacing w:before="120" w:beforeLines="50" w:beforeAutospacing="0" w:after="0" w:afterAutospacing="0"/>
              <w:ind w:left="0" w:right="0" w:firstLine="480" w:firstLineChars="200"/>
              <w:rPr>
                <w:rFonts w:hint="default" w:ascii="Times New Roman" w:hAnsi="Times New Roman" w:cs="Times New Roman"/>
                <w:bCs/>
                <w:color w:val="auto"/>
              </w:rPr>
            </w:pPr>
            <w:r>
              <w:rPr>
                <w:rFonts w:hint="default" w:ascii="Times New Roman" w:hAnsi="Times New Roman" w:cs="Times New Roman"/>
                <w:bCs/>
                <w:color w:val="auto"/>
              </w:rPr>
              <w:t>根据现场踏勘，本项目依托</w:t>
            </w:r>
            <w:r>
              <w:rPr>
                <w:rFonts w:hint="eastAsia" w:ascii="Times New Roman" w:hAnsi="Times New Roman" w:cs="Times New Roman"/>
                <w:bCs/>
                <w:color w:val="auto"/>
              </w:rPr>
              <w:t>厂区</w:t>
            </w:r>
            <w:r>
              <w:rPr>
                <w:rFonts w:hint="default" w:ascii="Times New Roman" w:hAnsi="Times New Roman" w:cs="Times New Roman"/>
                <w:bCs/>
                <w:color w:val="auto"/>
              </w:rPr>
              <w:t>公辅设施情况及可行性分析见下表。</w:t>
            </w:r>
          </w:p>
          <w:p w14:paraId="1CA6499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18"/>
              </w:rPr>
            </w:pPr>
            <w:r>
              <w:rPr>
                <w:rFonts w:hint="default" w:ascii="Times New Roman" w:hAnsi="Times New Roman" w:cs="Times New Roman"/>
                <w:b/>
                <w:color w:val="auto"/>
                <w:sz w:val="21"/>
                <w:szCs w:val="18"/>
              </w:rPr>
              <w:t>表2-</w:t>
            </w:r>
            <w:r>
              <w:rPr>
                <w:rFonts w:hint="eastAsia" w:ascii="Times New Roman" w:hAnsi="Times New Roman" w:cs="Times New Roman"/>
                <w:b/>
                <w:color w:val="auto"/>
                <w:sz w:val="21"/>
                <w:szCs w:val="18"/>
                <w:lang w:val="en-US" w:eastAsia="zh-CN"/>
              </w:rPr>
              <w:t>4</w:t>
            </w:r>
            <w:r>
              <w:rPr>
                <w:rFonts w:hint="default" w:ascii="Times New Roman" w:hAnsi="Times New Roman" w:cs="Times New Roman"/>
                <w:b/>
                <w:color w:val="auto"/>
                <w:sz w:val="21"/>
                <w:szCs w:val="18"/>
              </w:rPr>
              <w:t xml:space="preserve">  项目公辅设施依托情况及可行性一览表</w:t>
            </w:r>
          </w:p>
          <w:tbl>
            <w:tblPr>
              <w:tblStyle w:val="28"/>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16"/>
              <w:gridCol w:w="2098"/>
              <w:gridCol w:w="3479"/>
              <w:gridCol w:w="925"/>
            </w:tblGrid>
            <w:tr w14:paraId="10318C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noWrap w:val="0"/>
                  <w:vAlign w:val="center"/>
                </w:tcPr>
                <w:p w14:paraId="6DF7A1A2">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序号</w:t>
                  </w:r>
                </w:p>
              </w:tc>
              <w:tc>
                <w:tcPr>
                  <w:tcW w:w="670" w:type="pct"/>
                  <w:noWrap w:val="0"/>
                  <w:vAlign w:val="center"/>
                </w:tcPr>
                <w:p w14:paraId="6B3CB6CF">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公辅设施</w:t>
                  </w:r>
                </w:p>
              </w:tc>
              <w:tc>
                <w:tcPr>
                  <w:tcW w:w="1260" w:type="pct"/>
                  <w:noWrap w:val="0"/>
                  <w:vAlign w:val="center"/>
                </w:tcPr>
                <w:p w14:paraId="4EC96E1A">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建设内容</w:t>
                  </w:r>
                </w:p>
              </w:tc>
              <w:tc>
                <w:tcPr>
                  <w:tcW w:w="2090" w:type="pct"/>
                  <w:noWrap w:val="0"/>
                  <w:vAlign w:val="center"/>
                </w:tcPr>
                <w:p w14:paraId="7B9C4912">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依托情况</w:t>
                  </w:r>
                </w:p>
              </w:tc>
              <w:tc>
                <w:tcPr>
                  <w:tcW w:w="555" w:type="pct"/>
                  <w:noWrap w:val="0"/>
                  <w:vAlign w:val="center"/>
                </w:tcPr>
                <w:p w14:paraId="49F67FC3">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可行性</w:t>
                  </w:r>
                </w:p>
              </w:tc>
            </w:tr>
            <w:tr w14:paraId="3CB1E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noWrap w:val="0"/>
                  <w:vAlign w:val="center"/>
                </w:tcPr>
                <w:p w14:paraId="682AD4BB">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1</w:t>
                  </w:r>
                </w:p>
              </w:tc>
              <w:tc>
                <w:tcPr>
                  <w:tcW w:w="670" w:type="pct"/>
                  <w:noWrap w:val="0"/>
                  <w:vAlign w:val="center"/>
                </w:tcPr>
                <w:p w14:paraId="7F6FDBAF">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办公楼</w:t>
                  </w:r>
                </w:p>
              </w:tc>
              <w:tc>
                <w:tcPr>
                  <w:tcW w:w="1260" w:type="pct"/>
                  <w:noWrap w:val="0"/>
                  <w:vAlign w:val="center"/>
                </w:tcPr>
                <w:p w14:paraId="13409D0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vertAlign w:val="superscript"/>
                      <w:lang w:val="en-US" w:eastAsia="zh-CN"/>
                    </w:rPr>
                  </w:pPr>
                  <w:r>
                    <w:rPr>
                      <w:rFonts w:hint="eastAsia" w:ascii="Times New Roman" w:hAnsi="Times New Roman" w:cs="Times New Roman"/>
                      <w:color w:val="auto"/>
                      <w:kern w:val="0"/>
                      <w:sz w:val="21"/>
                      <w:szCs w:val="21"/>
                      <w:lang w:val="en-US" w:eastAsia="zh-CN"/>
                    </w:rPr>
                    <w:t>厂区已建办公楼，2F，占地面积780m</w:t>
                  </w:r>
                  <w:r>
                    <w:rPr>
                      <w:rFonts w:hint="eastAsia" w:ascii="Times New Roman" w:hAnsi="Times New Roman" w:cs="Times New Roman"/>
                      <w:color w:val="auto"/>
                      <w:kern w:val="0"/>
                      <w:sz w:val="21"/>
                      <w:szCs w:val="21"/>
                      <w:vertAlign w:val="superscript"/>
                      <w:lang w:val="en-US" w:eastAsia="zh-CN"/>
                    </w:rPr>
                    <w:t>2</w:t>
                  </w:r>
                  <w:r>
                    <w:rPr>
                      <w:rFonts w:hint="eastAsia" w:ascii="Times New Roman" w:hAnsi="Times New Roman" w:cs="Times New Roman"/>
                      <w:color w:val="auto"/>
                      <w:kern w:val="0"/>
                      <w:sz w:val="21"/>
                      <w:szCs w:val="21"/>
                      <w:vertAlign w:val="baseline"/>
                      <w:lang w:val="en-US" w:eastAsia="zh-CN"/>
                    </w:rPr>
                    <w:t>，共有房间约20间</w:t>
                  </w:r>
                </w:p>
              </w:tc>
              <w:tc>
                <w:tcPr>
                  <w:tcW w:w="2090" w:type="pct"/>
                  <w:noWrap w:val="0"/>
                  <w:vAlign w:val="center"/>
                </w:tcPr>
                <w:p w14:paraId="6B265EB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中通建材公司</w:t>
                  </w:r>
                  <w:r>
                    <w:rPr>
                      <w:rFonts w:hint="eastAsia" w:ascii="Times New Roman" w:hAnsi="Times New Roman" w:cs="Times New Roman"/>
                      <w:color w:val="auto"/>
                      <w:kern w:val="0"/>
                      <w:sz w:val="21"/>
                      <w:szCs w:val="21"/>
                      <w:lang w:val="en-US" w:eastAsia="zh-CN"/>
                    </w:rPr>
                    <w:t>现有员工15人，</w:t>
                  </w:r>
                  <w:r>
                    <w:rPr>
                      <w:rFonts w:hint="eastAsia" w:cs="Times New Roman"/>
                      <w:color w:val="auto"/>
                      <w:kern w:val="0"/>
                      <w:sz w:val="21"/>
                      <w:szCs w:val="21"/>
                      <w:lang w:val="en-US" w:eastAsia="zh-CN"/>
                    </w:rPr>
                    <w:t>使用其西侧</w:t>
                  </w:r>
                  <w:r>
                    <w:rPr>
                      <w:rFonts w:hint="eastAsia" w:ascii="Times New Roman" w:hAnsi="Times New Roman" w:cs="Times New Roman"/>
                      <w:color w:val="auto"/>
                      <w:kern w:val="0"/>
                      <w:sz w:val="21"/>
                      <w:szCs w:val="21"/>
                      <w:lang w:val="en-US" w:eastAsia="zh-CN"/>
                    </w:rPr>
                    <w:t>办公楼中5间房间，本项目预计使用办公室5间，现有办公面积满足本项目使用要求</w:t>
                  </w:r>
                </w:p>
              </w:tc>
              <w:tc>
                <w:tcPr>
                  <w:tcW w:w="555" w:type="pct"/>
                  <w:noWrap w:val="0"/>
                  <w:vAlign w:val="center"/>
                </w:tcPr>
                <w:p w14:paraId="5EA10435">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可行</w:t>
                  </w:r>
                </w:p>
              </w:tc>
            </w:tr>
            <w:tr w14:paraId="35391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noWrap w:val="0"/>
                  <w:vAlign w:val="center"/>
                </w:tcPr>
                <w:p w14:paraId="31F7450B">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rPr>
                    <w:t>2</w:t>
                  </w:r>
                </w:p>
              </w:tc>
              <w:tc>
                <w:tcPr>
                  <w:tcW w:w="670" w:type="pct"/>
                  <w:noWrap w:val="0"/>
                  <w:vAlign w:val="center"/>
                </w:tcPr>
                <w:p w14:paraId="4545720B">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rPr>
                    <w:t>预处理池</w:t>
                  </w:r>
                </w:p>
              </w:tc>
              <w:tc>
                <w:tcPr>
                  <w:tcW w:w="1260" w:type="pct"/>
                  <w:noWrap w:val="0"/>
                  <w:vAlign w:val="center"/>
                </w:tcPr>
                <w:p w14:paraId="5AE0705D">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rPr>
                    <w:t>厂区已建1个20m</w:t>
                  </w:r>
                  <w:r>
                    <w:rPr>
                      <w:rFonts w:hint="eastAsia" w:ascii="Times New Roman" w:hAnsi="Times New Roman" w:cs="Times New Roman"/>
                      <w:color w:val="auto"/>
                      <w:kern w:val="0"/>
                      <w:sz w:val="21"/>
                      <w:szCs w:val="21"/>
                      <w:vertAlign w:val="superscript"/>
                    </w:rPr>
                    <w:t>3</w:t>
                  </w:r>
                  <w:r>
                    <w:rPr>
                      <w:rFonts w:hint="eastAsia" w:ascii="Times New Roman" w:hAnsi="Times New Roman" w:cs="Times New Roman"/>
                      <w:color w:val="auto"/>
                      <w:kern w:val="0"/>
                      <w:sz w:val="21"/>
                      <w:szCs w:val="21"/>
                    </w:rPr>
                    <w:t>预处理池，1个25m</w:t>
                  </w:r>
                  <w:r>
                    <w:rPr>
                      <w:rFonts w:hint="eastAsia" w:ascii="Times New Roman" w:hAnsi="Times New Roman" w:cs="Times New Roman"/>
                      <w:color w:val="auto"/>
                      <w:kern w:val="0"/>
                      <w:sz w:val="21"/>
                      <w:szCs w:val="21"/>
                      <w:vertAlign w:val="superscript"/>
                    </w:rPr>
                    <w:t>3</w:t>
                  </w:r>
                  <w:r>
                    <w:rPr>
                      <w:rFonts w:hint="eastAsia" w:ascii="Times New Roman" w:hAnsi="Times New Roman" w:cs="Times New Roman"/>
                      <w:color w:val="auto"/>
                      <w:kern w:val="0"/>
                      <w:sz w:val="21"/>
                      <w:szCs w:val="21"/>
                    </w:rPr>
                    <w:t>预处理池</w:t>
                  </w:r>
                </w:p>
              </w:tc>
              <w:tc>
                <w:tcPr>
                  <w:tcW w:w="2090" w:type="pct"/>
                  <w:noWrap w:val="0"/>
                  <w:vAlign w:val="center"/>
                </w:tcPr>
                <w:p w14:paraId="7F28C7C1">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本项目不提供员工住宿，</w:t>
                  </w:r>
                  <w:r>
                    <w:rPr>
                      <w:rFonts w:hint="eastAsia" w:cs="Times New Roman"/>
                      <w:color w:val="auto"/>
                      <w:kern w:val="0"/>
                      <w:sz w:val="21"/>
                      <w:szCs w:val="21"/>
                      <w:lang w:val="en-US" w:eastAsia="zh-CN"/>
                    </w:rPr>
                    <w:t>也不</w:t>
                  </w:r>
                  <w:r>
                    <w:rPr>
                      <w:rFonts w:hint="default" w:ascii="Times New Roman" w:hAnsi="Times New Roman" w:cs="Times New Roman"/>
                      <w:color w:val="auto"/>
                      <w:kern w:val="0"/>
                      <w:sz w:val="21"/>
                      <w:szCs w:val="21"/>
                    </w:rPr>
                    <w:t>设员工食堂</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员工人数</w:t>
                  </w:r>
                  <w:r>
                    <w:rPr>
                      <w:rFonts w:hint="eastAsia" w:ascii="Times New Roman" w:hAnsi="Times New Roman" w:cs="Times New Roman"/>
                      <w:color w:val="auto"/>
                      <w:kern w:val="0"/>
                      <w:sz w:val="21"/>
                      <w:szCs w:val="21"/>
                      <w:lang w:eastAsia="zh-CN"/>
                    </w:rPr>
                    <w:t>20人</w:t>
                  </w:r>
                  <w:r>
                    <w:rPr>
                      <w:rFonts w:hint="default" w:ascii="Times New Roman" w:hAnsi="Times New Roman" w:cs="Times New Roman"/>
                      <w:color w:val="auto"/>
                      <w:kern w:val="0"/>
                      <w:sz w:val="21"/>
                      <w:szCs w:val="21"/>
                    </w:rPr>
                    <w:t>，生活用水量为</w:t>
                  </w: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/d</w:t>
                  </w:r>
                  <w:r>
                    <w:rPr>
                      <w:rFonts w:hint="eastAsia" w:ascii="Times New Roman" w:hAnsi="Times New Roman" w:cs="Times New Roman"/>
                      <w:color w:val="auto"/>
                      <w:kern w:val="0"/>
                      <w:sz w:val="21"/>
                      <w:szCs w:val="21"/>
                    </w:rPr>
                    <w:t>，</w:t>
                  </w:r>
                  <w:r>
                    <w:rPr>
                      <w:rFonts w:hint="eastAsia" w:ascii="Times New Roman" w:hAnsi="Times New Roman" w:cs="Times New Roman"/>
                      <w:color w:val="auto"/>
                      <w:kern w:val="0"/>
                      <w:sz w:val="21"/>
                      <w:szCs w:val="21"/>
                      <w:lang w:val="en-US" w:eastAsia="zh-CN"/>
                    </w:rPr>
                    <w:t>废水产生量1.6</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/d</w:t>
                  </w:r>
                  <w:r>
                    <w:rPr>
                      <w:rFonts w:hint="eastAsia" w:ascii="Times New Roman" w:hAnsi="Times New Roman" w:cs="Times New Roman"/>
                      <w:color w:val="auto"/>
                      <w:kern w:val="0"/>
                      <w:sz w:val="21"/>
                      <w:szCs w:val="21"/>
                    </w:rPr>
                    <w:t>，</w:t>
                  </w:r>
                  <w:r>
                    <w:rPr>
                      <w:rFonts w:hint="eastAsia" w:cs="Times New Roman"/>
                      <w:color w:val="auto"/>
                      <w:kern w:val="0"/>
                      <w:sz w:val="21"/>
                      <w:szCs w:val="21"/>
                      <w:lang w:eastAsia="zh-CN"/>
                    </w:rPr>
                    <w:t>中通建材公司</w:t>
                  </w:r>
                  <w:r>
                    <w:rPr>
                      <w:rFonts w:hint="eastAsia" w:ascii="Times New Roman" w:hAnsi="Times New Roman" w:cs="Times New Roman"/>
                      <w:color w:val="auto"/>
                      <w:kern w:val="0"/>
                      <w:sz w:val="21"/>
                      <w:szCs w:val="21"/>
                      <w:lang w:val="en-US" w:eastAsia="zh-CN"/>
                    </w:rPr>
                    <w:t>现有</w:t>
                  </w:r>
                  <w:r>
                    <w:rPr>
                      <w:rFonts w:hint="eastAsia" w:cs="Times New Roman"/>
                      <w:color w:val="auto"/>
                      <w:kern w:val="0"/>
                      <w:sz w:val="21"/>
                      <w:szCs w:val="21"/>
                      <w:lang w:val="en-US" w:eastAsia="zh-CN"/>
                    </w:rPr>
                    <w:t>生活污水</w:t>
                  </w:r>
                  <w:r>
                    <w:rPr>
                      <w:rFonts w:hint="eastAsia" w:ascii="Times New Roman" w:hAnsi="Times New Roman" w:cs="Times New Roman"/>
                      <w:color w:val="auto"/>
                      <w:kern w:val="0"/>
                      <w:sz w:val="21"/>
                      <w:szCs w:val="21"/>
                      <w:lang w:val="en-US" w:eastAsia="zh-CN"/>
                    </w:rPr>
                    <w:t>产生量1.2</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/d</w:t>
                  </w:r>
                  <w:r>
                    <w:rPr>
                      <w:rFonts w:hint="eastAsia" w:ascii="Times New Roman" w:hAnsi="Times New Roman" w:cs="Times New Roman"/>
                      <w:color w:val="auto"/>
                      <w:kern w:val="0"/>
                      <w:sz w:val="21"/>
                      <w:szCs w:val="21"/>
                      <w:lang w:eastAsia="zh-CN"/>
                    </w:rPr>
                    <w:t>，</w:t>
                  </w:r>
                  <w:r>
                    <w:rPr>
                      <w:rFonts w:hint="eastAsia" w:cs="Times New Roman"/>
                      <w:color w:val="auto"/>
                      <w:kern w:val="0"/>
                      <w:sz w:val="21"/>
                      <w:szCs w:val="21"/>
                      <w:lang w:val="en-US" w:eastAsia="zh-CN"/>
                    </w:rPr>
                    <w:t>本项目利用其位于东面的办公楼处预处理池（容积</w:t>
                  </w:r>
                  <w:r>
                    <w:rPr>
                      <w:rFonts w:hint="eastAsia" w:ascii="Times New Roman" w:hAnsi="Times New Roman" w:cs="Times New Roman"/>
                      <w:color w:val="auto"/>
                      <w:kern w:val="0"/>
                      <w:sz w:val="21"/>
                      <w:szCs w:val="21"/>
                    </w:rPr>
                    <w:t>25m</w:t>
                  </w:r>
                  <w:r>
                    <w:rPr>
                      <w:rFonts w:hint="eastAsia" w:ascii="Times New Roman" w:hAnsi="Times New Roman" w:cs="Times New Roman"/>
                      <w:color w:val="auto"/>
                      <w:kern w:val="0"/>
                      <w:sz w:val="21"/>
                      <w:szCs w:val="21"/>
                      <w:vertAlign w:val="superscript"/>
                    </w:rPr>
                    <w:t>3</w:t>
                  </w:r>
                  <w:r>
                    <w:rPr>
                      <w:rFonts w:hint="eastAsia" w:cs="Times New Roman"/>
                      <w:color w:val="auto"/>
                      <w:kern w:val="0"/>
                      <w:sz w:val="21"/>
                      <w:szCs w:val="21"/>
                      <w:lang w:val="en-US" w:eastAsia="zh-CN"/>
                    </w:rPr>
                    <w:t>），</w:t>
                  </w:r>
                  <w:r>
                    <w:rPr>
                      <w:rFonts w:hint="eastAsia" w:ascii="Times New Roman" w:hAnsi="Times New Roman" w:cs="Times New Roman"/>
                      <w:color w:val="auto"/>
                      <w:kern w:val="0"/>
                      <w:sz w:val="21"/>
                      <w:szCs w:val="21"/>
                      <w:lang w:val="en-US" w:eastAsia="zh-CN"/>
                    </w:rPr>
                    <w:t>预处理池</w:t>
                  </w:r>
                  <w:r>
                    <w:rPr>
                      <w:rFonts w:hint="eastAsia" w:cs="Times New Roman"/>
                      <w:color w:val="auto"/>
                      <w:kern w:val="0"/>
                      <w:sz w:val="21"/>
                      <w:szCs w:val="21"/>
                      <w:lang w:val="en-US" w:eastAsia="zh-CN"/>
                    </w:rPr>
                    <w:t>容积</w:t>
                  </w:r>
                  <w:r>
                    <w:rPr>
                      <w:rFonts w:hint="eastAsia" w:ascii="Times New Roman" w:hAnsi="Times New Roman" w:cs="Times New Roman"/>
                      <w:color w:val="auto"/>
                      <w:kern w:val="0"/>
                      <w:sz w:val="21"/>
                      <w:szCs w:val="21"/>
                    </w:rPr>
                    <w:t>满足本项目使用。</w:t>
                  </w:r>
                </w:p>
              </w:tc>
              <w:tc>
                <w:tcPr>
                  <w:tcW w:w="555" w:type="pct"/>
                  <w:noWrap w:val="0"/>
                  <w:vAlign w:val="center"/>
                </w:tcPr>
                <w:p w14:paraId="530F3BAC">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rPr>
                    <w:t>可行</w:t>
                  </w:r>
                </w:p>
              </w:tc>
            </w:tr>
            <w:tr w14:paraId="14920B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noWrap w:val="0"/>
                  <w:vAlign w:val="center"/>
                </w:tcPr>
                <w:p w14:paraId="2CCF86D0">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rPr>
                    <w:t>3</w:t>
                  </w:r>
                </w:p>
              </w:tc>
              <w:tc>
                <w:tcPr>
                  <w:tcW w:w="670" w:type="pct"/>
                  <w:noWrap w:val="0"/>
                  <w:vAlign w:val="center"/>
                </w:tcPr>
                <w:p w14:paraId="4B3CB181">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供电系统</w:t>
                  </w:r>
                </w:p>
              </w:tc>
              <w:tc>
                <w:tcPr>
                  <w:tcW w:w="1260" w:type="pct"/>
                  <w:noWrap w:val="0"/>
                  <w:vAlign w:val="center"/>
                </w:tcPr>
                <w:p w14:paraId="07BF7267">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由市政电网供电</w:t>
                  </w:r>
                </w:p>
              </w:tc>
              <w:tc>
                <w:tcPr>
                  <w:tcW w:w="2090" w:type="pct"/>
                  <w:noWrap w:val="0"/>
                  <w:vAlign w:val="center"/>
                </w:tcPr>
                <w:p w14:paraId="40DBC381">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满足本项目使用</w:t>
                  </w:r>
                </w:p>
              </w:tc>
              <w:tc>
                <w:tcPr>
                  <w:tcW w:w="555" w:type="pct"/>
                  <w:noWrap w:val="0"/>
                  <w:vAlign w:val="center"/>
                </w:tcPr>
                <w:p w14:paraId="12785F9A">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可行</w:t>
                  </w:r>
                </w:p>
              </w:tc>
            </w:tr>
            <w:tr w14:paraId="53A7B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noWrap w:val="0"/>
                  <w:vAlign w:val="center"/>
                </w:tcPr>
                <w:p w14:paraId="5F91DBB8">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w:t>
                  </w:r>
                </w:p>
              </w:tc>
              <w:tc>
                <w:tcPr>
                  <w:tcW w:w="670" w:type="pct"/>
                  <w:noWrap w:val="0"/>
                  <w:vAlign w:val="center"/>
                </w:tcPr>
                <w:p w14:paraId="13E3611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供水系统</w:t>
                  </w:r>
                </w:p>
              </w:tc>
              <w:tc>
                <w:tcPr>
                  <w:tcW w:w="1260" w:type="pct"/>
                  <w:noWrap w:val="0"/>
                  <w:vAlign w:val="center"/>
                </w:tcPr>
                <w:p w14:paraId="3495AABB">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由市政管网供水</w:t>
                  </w:r>
                </w:p>
              </w:tc>
              <w:tc>
                <w:tcPr>
                  <w:tcW w:w="2090" w:type="pct"/>
                  <w:noWrap w:val="0"/>
                  <w:vAlign w:val="center"/>
                </w:tcPr>
                <w:p w14:paraId="409B8FE9">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满足本项目使用</w:t>
                  </w:r>
                </w:p>
              </w:tc>
              <w:tc>
                <w:tcPr>
                  <w:tcW w:w="555" w:type="pct"/>
                  <w:noWrap w:val="0"/>
                  <w:vAlign w:val="center"/>
                </w:tcPr>
                <w:p w14:paraId="6A2734C2">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可行</w:t>
                  </w:r>
                </w:p>
              </w:tc>
            </w:tr>
          </w:tbl>
          <w:p w14:paraId="4D2FD5EA">
            <w:pPr>
              <w:pStyle w:val="25"/>
              <w:keepNext w:val="0"/>
              <w:keepLines w:val="0"/>
              <w:suppressLineNumbers w:val="0"/>
              <w:overflowPunct w:val="0"/>
              <w:topLinePunct/>
              <w:adjustRightInd w:val="0"/>
              <w:snapToGrid w:val="0"/>
              <w:spacing w:before="0" w:beforeAutospacing="0" w:after="0" w:afterAutospacing="0"/>
              <w:ind w:left="0" w:right="0"/>
              <w:jc w:val="both"/>
              <w:rPr>
                <w:rFonts w:hint="eastAsia" w:ascii="Times New Roman" w:hAnsi="Times New Roman" w:cs="Times New Roman"/>
                <w:b/>
                <w:bCs/>
                <w:color w:val="auto"/>
                <w:kern w:val="2"/>
                <w:szCs w:val="24"/>
              </w:rPr>
            </w:pPr>
            <w:r>
              <w:rPr>
                <w:rFonts w:hint="eastAsia" w:ascii="Times New Roman" w:hAnsi="Times New Roman" w:cs="宋体"/>
                <w:b/>
                <w:bCs/>
                <w:color w:val="auto"/>
                <w:kern w:val="2"/>
                <w:szCs w:val="24"/>
                <w:lang w:bidi="ar"/>
              </w:rPr>
              <w:t>（四）主要原辅材料及能耗</w:t>
            </w:r>
          </w:p>
          <w:p w14:paraId="48B65ABE">
            <w:pPr>
              <w:pStyle w:val="25"/>
              <w:keepNext w:val="0"/>
              <w:keepLines w:val="0"/>
              <w:widowControl w:val="0"/>
              <w:suppressLineNumbers w:val="0"/>
              <w:overflowPunct w:val="0"/>
              <w:topLinePunct/>
              <w:adjustRightInd w:val="0"/>
              <w:snapToGrid w:val="0"/>
              <w:spacing w:before="0" w:beforeAutospacing="0" w:after="0" w:afterAutospacing="0"/>
              <w:ind w:left="0" w:right="0" w:firstLine="480" w:firstLineChars="200"/>
              <w:contextualSpacing/>
              <w:jc w:val="both"/>
              <w:rPr>
                <w:rFonts w:hint="eastAsia" w:ascii="Times New Roman" w:hAnsi="Times New Roman" w:cs="Times New Roman"/>
                <w:color w:val="auto"/>
                <w:kern w:val="2"/>
                <w:szCs w:val="24"/>
              </w:rPr>
            </w:pPr>
            <w:r>
              <w:rPr>
                <w:rFonts w:hint="eastAsia" w:ascii="Times New Roman" w:hAnsi="Times New Roman" w:cs="宋体"/>
                <w:color w:val="auto"/>
                <w:kern w:val="2"/>
                <w:szCs w:val="24"/>
                <w:lang w:bidi="ar"/>
              </w:rPr>
              <w:t>主要原辅材料消耗见表。</w:t>
            </w:r>
          </w:p>
          <w:p w14:paraId="1AFAC5B1">
            <w:pPr>
              <w:pStyle w:val="25"/>
              <w:keepNext w:val="0"/>
              <w:keepLines w:val="0"/>
              <w:suppressLineNumbers w:val="0"/>
              <w:adjustRightInd w:val="0"/>
              <w:snapToGrid w:val="0"/>
              <w:spacing w:before="0" w:beforeAutospacing="0" w:after="0" w:afterAutospacing="0" w:line="240" w:lineRule="auto"/>
              <w:ind w:left="0" w:right="0"/>
              <w:contextualSpacing/>
              <w:jc w:val="center"/>
              <w:rPr>
                <w:rFonts w:hint="eastAsia" w:ascii="Times New Roman" w:hAnsi="Times New Roman" w:cs="宋体"/>
                <w:b/>
                <w:bCs/>
                <w:color w:val="auto"/>
                <w:kern w:val="2"/>
                <w:sz w:val="21"/>
                <w:szCs w:val="21"/>
              </w:rPr>
            </w:pPr>
            <w:r>
              <w:rPr>
                <w:rFonts w:hint="eastAsia" w:ascii="Times New Roman" w:hAnsi="Times New Roman" w:cs="宋体"/>
                <w:b/>
                <w:bCs/>
                <w:color w:val="auto"/>
                <w:kern w:val="2"/>
                <w:sz w:val="21"/>
                <w:szCs w:val="21"/>
                <w:lang w:bidi="ar"/>
              </w:rPr>
              <w:t>表</w:t>
            </w:r>
            <w:r>
              <w:rPr>
                <w:rFonts w:hint="default" w:ascii="Times New Roman" w:hAnsi="Times New Roman" w:cs="Times New Roman"/>
                <w:b/>
                <w:bCs/>
                <w:color w:val="auto"/>
                <w:kern w:val="2"/>
                <w:sz w:val="21"/>
                <w:szCs w:val="21"/>
                <w:lang w:bidi="ar"/>
              </w:rPr>
              <w:t>2-</w:t>
            </w:r>
            <w:r>
              <w:rPr>
                <w:rFonts w:hint="eastAsia" w:ascii="Times New Roman" w:hAnsi="Times New Roman" w:cs="Times New Roman"/>
                <w:b/>
                <w:bCs/>
                <w:color w:val="auto"/>
                <w:kern w:val="2"/>
                <w:sz w:val="21"/>
                <w:szCs w:val="21"/>
                <w:lang w:val="en-US" w:eastAsia="zh-CN" w:bidi="ar"/>
              </w:rPr>
              <w:t>5</w:t>
            </w:r>
            <w:r>
              <w:rPr>
                <w:rFonts w:hint="default" w:ascii="Times New Roman" w:hAnsi="Times New Roman" w:cs="Times New Roman"/>
                <w:b/>
                <w:bCs/>
                <w:color w:val="auto"/>
                <w:kern w:val="2"/>
                <w:sz w:val="21"/>
                <w:szCs w:val="21"/>
                <w:lang w:bidi="ar"/>
              </w:rPr>
              <w:t xml:space="preserve">  </w:t>
            </w:r>
            <w:r>
              <w:rPr>
                <w:rFonts w:hint="eastAsia" w:ascii="Times New Roman" w:hAnsi="Times New Roman" w:cs="宋体"/>
                <w:b/>
                <w:bCs/>
                <w:color w:val="auto"/>
                <w:kern w:val="2"/>
                <w:sz w:val="21"/>
                <w:szCs w:val="21"/>
                <w:lang w:bidi="ar"/>
              </w:rPr>
              <w:t>原辅料消耗表</w:t>
            </w:r>
          </w:p>
          <w:tbl>
            <w:tblPr>
              <w:tblStyle w:val="28"/>
              <w:tblW w:w="836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922"/>
              <w:gridCol w:w="2240"/>
              <w:gridCol w:w="1881"/>
              <w:gridCol w:w="1425"/>
            </w:tblGrid>
            <w:tr w14:paraId="33D7B0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pct"/>
                  <w:noWrap w:val="0"/>
                  <w:vAlign w:val="center"/>
                </w:tcPr>
                <w:p w14:paraId="30889D1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rPr>
                    <w:t>类别</w:t>
                  </w:r>
                </w:p>
              </w:tc>
              <w:tc>
                <w:tcPr>
                  <w:tcW w:w="1148" w:type="pct"/>
                  <w:noWrap w:val="0"/>
                  <w:vAlign w:val="center"/>
                </w:tcPr>
                <w:p w14:paraId="1CB5E12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rPr>
                    <w:t>名称</w:t>
                  </w:r>
                </w:p>
              </w:tc>
              <w:tc>
                <w:tcPr>
                  <w:tcW w:w="1338" w:type="pct"/>
                  <w:noWrap w:val="0"/>
                  <w:vAlign w:val="center"/>
                </w:tcPr>
                <w:p w14:paraId="0BFE664F">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lang w:val="en-US" w:eastAsia="zh-CN"/>
                    </w:rPr>
                    <w:t>年</w:t>
                  </w:r>
                  <w:r>
                    <w:rPr>
                      <w:rFonts w:hint="eastAsia" w:ascii="Times New Roman" w:hAnsi="Times New Roman" w:cs="Times New Roman"/>
                      <w:b/>
                      <w:color w:val="auto"/>
                      <w:sz w:val="21"/>
                      <w:szCs w:val="21"/>
                    </w:rPr>
                    <w:t>耗量</w:t>
                  </w:r>
                </w:p>
              </w:tc>
              <w:tc>
                <w:tcPr>
                  <w:tcW w:w="1123" w:type="pct"/>
                  <w:noWrap w:val="0"/>
                  <w:vAlign w:val="center"/>
                </w:tcPr>
                <w:p w14:paraId="5739D78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rPr>
                    <w:t>来源</w:t>
                  </w:r>
                </w:p>
              </w:tc>
              <w:tc>
                <w:tcPr>
                  <w:tcW w:w="851" w:type="pct"/>
                  <w:noWrap w:val="0"/>
                  <w:vAlign w:val="center"/>
                </w:tcPr>
                <w:p w14:paraId="695FCDE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rPr>
                    <w:t>备注</w:t>
                  </w:r>
                </w:p>
              </w:tc>
            </w:tr>
            <w:tr w14:paraId="02C04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38" w:type="pct"/>
                  <w:vMerge w:val="restart"/>
                  <w:noWrap w:val="0"/>
                  <w:vAlign w:val="center"/>
                </w:tcPr>
                <w:p w14:paraId="7A5262E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原辅材料</w:t>
                  </w:r>
                </w:p>
              </w:tc>
              <w:tc>
                <w:tcPr>
                  <w:tcW w:w="1148" w:type="pct"/>
                  <w:noWrap w:val="0"/>
                  <w:vAlign w:val="center"/>
                </w:tcPr>
                <w:p w14:paraId="7C7ADA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枯柏树蔸（含水率13.36%）</w:t>
                  </w:r>
                </w:p>
              </w:tc>
              <w:tc>
                <w:tcPr>
                  <w:tcW w:w="1338" w:type="pct"/>
                  <w:noWrap w:val="0"/>
                  <w:vAlign w:val="center"/>
                </w:tcPr>
                <w:p w14:paraId="45DF1AB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4910</w:t>
                  </w:r>
                  <w:r>
                    <w:rPr>
                      <w:rFonts w:hint="eastAsia" w:ascii="Times New Roman" w:hAnsi="Times New Roman" w:cs="Times New Roman"/>
                      <w:color w:val="auto"/>
                      <w:sz w:val="21"/>
                      <w:szCs w:val="21"/>
                      <w:lang w:val="en-US" w:eastAsia="zh-CN"/>
                    </w:rPr>
                    <w:t>t</w:t>
                  </w:r>
                </w:p>
              </w:tc>
              <w:tc>
                <w:tcPr>
                  <w:tcW w:w="1123" w:type="pct"/>
                  <w:noWrap w:val="0"/>
                  <w:vAlign w:val="center"/>
                </w:tcPr>
                <w:p w14:paraId="59E788D8">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外购</w:t>
                  </w:r>
                </w:p>
              </w:tc>
              <w:tc>
                <w:tcPr>
                  <w:tcW w:w="851" w:type="pct"/>
                  <w:noWrap w:val="0"/>
                  <w:vAlign w:val="center"/>
                </w:tcPr>
                <w:p w14:paraId="4CB2845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3~4cm，原料</w:t>
                  </w:r>
                  <w:r>
                    <w:rPr>
                      <w:rFonts w:hint="eastAsia" w:ascii="Times New Roman" w:hAnsi="Times New Roman" w:cs="Times New Roman"/>
                      <w:color w:val="auto"/>
                      <w:sz w:val="21"/>
                      <w:szCs w:val="21"/>
                    </w:rPr>
                    <w:t>堆场</w:t>
                  </w:r>
                </w:p>
              </w:tc>
            </w:tr>
            <w:tr w14:paraId="4AB1C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538" w:type="pct"/>
                  <w:vMerge w:val="continue"/>
                  <w:noWrap w:val="0"/>
                  <w:vAlign w:val="center"/>
                </w:tcPr>
                <w:p w14:paraId="1C2D52FF">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p>
              </w:tc>
              <w:tc>
                <w:tcPr>
                  <w:tcW w:w="1148" w:type="pct"/>
                  <w:noWrap w:val="0"/>
                  <w:vAlign w:val="center"/>
                </w:tcPr>
                <w:p w14:paraId="6E435F3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机油</w:t>
                  </w:r>
                </w:p>
              </w:tc>
              <w:tc>
                <w:tcPr>
                  <w:tcW w:w="1338" w:type="pct"/>
                  <w:noWrap w:val="0"/>
                  <w:vAlign w:val="center"/>
                </w:tcPr>
                <w:p w14:paraId="5FD8D4E5">
                  <w:pPr>
                    <w:keepNext w:val="0"/>
                    <w:keepLines w:val="0"/>
                    <w:suppressLineNumbers w:val="0"/>
                    <w:spacing w:before="0" w:beforeAutospacing="0" w:after="0" w:afterAutospacing="0" w:line="240" w:lineRule="auto"/>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0.05t</w:t>
                  </w:r>
                </w:p>
              </w:tc>
              <w:tc>
                <w:tcPr>
                  <w:tcW w:w="1123" w:type="pct"/>
                  <w:noWrap w:val="0"/>
                  <w:vAlign w:val="center"/>
                </w:tcPr>
                <w:p w14:paraId="69C2AE9F">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外购</w:t>
                  </w:r>
                </w:p>
              </w:tc>
              <w:tc>
                <w:tcPr>
                  <w:tcW w:w="851" w:type="pct"/>
                  <w:noWrap w:val="0"/>
                  <w:vAlign w:val="center"/>
                </w:tcPr>
                <w:p w14:paraId="6B178701">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桶装</w:t>
                  </w:r>
                </w:p>
              </w:tc>
            </w:tr>
            <w:tr w14:paraId="7EC9C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pct"/>
                  <w:vMerge w:val="restart"/>
                  <w:noWrap w:val="0"/>
                  <w:vAlign w:val="center"/>
                </w:tcPr>
                <w:p w14:paraId="7E39216C">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能源</w:t>
                  </w:r>
                </w:p>
              </w:tc>
              <w:tc>
                <w:tcPr>
                  <w:tcW w:w="1148" w:type="pct"/>
                  <w:noWrap w:val="0"/>
                  <w:vAlign w:val="center"/>
                </w:tcPr>
                <w:p w14:paraId="04C3959D">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电</w:t>
                  </w:r>
                </w:p>
              </w:tc>
              <w:tc>
                <w:tcPr>
                  <w:tcW w:w="1338" w:type="pct"/>
                  <w:noWrap w:val="0"/>
                  <w:vAlign w:val="center"/>
                </w:tcPr>
                <w:p w14:paraId="491171A7">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2</w:t>
                  </w:r>
                  <w:r>
                    <w:rPr>
                      <w:rFonts w:hint="eastAsia" w:ascii="Times New Roman" w:hAnsi="Times New Roman" w:cs="Times New Roman"/>
                      <w:color w:val="auto"/>
                      <w:sz w:val="21"/>
                      <w:szCs w:val="21"/>
                      <w:lang w:val="en-US" w:eastAsia="zh-CN"/>
                    </w:rPr>
                    <w:t>0</w:t>
                  </w:r>
                  <w:r>
                    <w:rPr>
                      <w:rFonts w:hint="eastAsia" w:cs="Times New Roman"/>
                      <w:color w:val="auto"/>
                      <w:sz w:val="21"/>
                      <w:szCs w:val="21"/>
                      <w:lang w:val="en-US" w:eastAsia="zh-CN"/>
                    </w:rPr>
                    <w:t>万</w:t>
                  </w:r>
                  <w:r>
                    <w:rPr>
                      <w:rFonts w:hint="eastAsia" w:ascii="Times New Roman" w:hAnsi="Times New Roman" w:cs="Times New Roman"/>
                      <w:color w:val="auto"/>
                      <w:sz w:val="21"/>
                      <w:szCs w:val="21"/>
                      <w:lang w:val="en-US" w:eastAsia="zh-CN"/>
                    </w:rPr>
                    <w:t>kw·h</w:t>
                  </w:r>
                </w:p>
              </w:tc>
              <w:tc>
                <w:tcPr>
                  <w:tcW w:w="1123" w:type="pct"/>
                  <w:noWrap w:val="0"/>
                  <w:vAlign w:val="center"/>
                </w:tcPr>
                <w:p w14:paraId="4416D5CB">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rPr>
                    <w:t>供电</w:t>
                  </w:r>
                  <w:r>
                    <w:rPr>
                      <w:rFonts w:hint="eastAsia" w:ascii="Times New Roman" w:hAnsi="Times New Roman" w:cs="Times New Roman"/>
                      <w:color w:val="auto"/>
                      <w:sz w:val="21"/>
                      <w:szCs w:val="21"/>
                      <w:lang w:val="en-US" w:eastAsia="zh-CN"/>
                    </w:rPr>
                    <w:t>线路</w:t>
                  </w:r>
                </w:p>
              </w:tc>
              <w:tc>
                <w:tcPr>
                  <w:tcW w:w="851" w:type="pct"/>
                  <w:noWrap w:val="0"/>
                  <w:vAlign w:val="center"/>
                </w:tcPr>
                <w:p w14:paraId="5A60D8AD">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97D5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pct"/>
                  <w:vMerge w:val="continue"/>
                  <w:noWrap w:val="0"/>
                  <w:vAlign w:val="center"/>
                </w:tcPr>
                <w:p w14:paraId="5140BBDF">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p>
              </w:tc>
              <w:tc>
                <w:tcPr>
                  <w:tcW w:w="1148" w:type="pct"/>
                  <w:noWrap w:val="0"/>
                  <w:vAlign w:val="center"/>
                </w:tcPr>
                <w:p w14:paraId="2F9B9DA7">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rPr>
                    <w:t>水</w:t>
                  </w:r>
                </w:p>
              </w:tc>
              <w:tc>
                <w:tcPr>
                  <w:tcW w:w="1338" w:type="pct"/>
                  <w:noWrap w:val="0"/>
                  <w:vAlign w:val="center"/>
                </w:tcPr>
                <w:p w14:paraId="3E7A528B">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18</w:t>
                  </w:r>
                  <w:r>
                    <w:rPr>
                      <w:rFonts w:hint="eastAsia" w:cs="Times New Roman"/>
                      <w:color w:val="auto"/>
                      <w:sz w:val="21"/>
                      <w:szCs w:val="21"/>
                      <w:lang w:val="en-US" w:eastAsia="zh-CN"/>
                    </w:rPr>
                    <w:t>70</w:t>
                  </w:r>
                  <w:r>
                    <w:rPr>
                      <w:rFonts w:hint="eastAsia" w:ascii="Times New Roman" w:hAnsi="Times New Roman" w:cs="Times New Roman"/>
                      <w:color w:val="auto"/>
                      <w:sz w:val="21"/>
                      <w:szCs w:val="21"/>
                      <w:lang w:val="en-US" w:eastAsia="zh-CN"/>
                    </w:rPr>
                    <w:t>0t</w:t>
                  </w:r>
                </w:p>
              </w:tc>
              <w:tc>
                <w:tcPr>
                  <w:tcW w:w="1123" w:type="pct"/>
                  <w:noWrap w:val="0"/>
                  <w:vAlign w:val="center"/>
                </w:tcPr>
                <w:p w14:paraId="24ED00BE">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rPr>
                    <w:t>自来水管网</w:t>
                  </w:r>
                </w:p>
              </w:tc>
              <w:tc>
                <w:tcPr>
                  <w:tcW w:w="851" w:type="pct"/>
                  <w:noWrap w:val="0"/>
                  <w:vAlign w:val="center"/>
                </w:tcPr>
                <w:p w14:paraId="71407726">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r>
            <w:tr w14:paraId="47ECA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pct"/>
                  <w:vMerge w:val="continue"/>
                  <w:noWrap w:val="0"/>
                  <w:vAlign w:val="center"/>
                </w:tcPr>
                <w:p w14:paraId="18339C43">
                  <w:pPr>
                    <w:keepNext w:val="0"/>
                    <w:keepLines w:val="0"/>
                    <w:suppressLineNumbers w:val="0"/>
                    <w:spacing w:before="0" w:beforeAutospacing="0" w:after="0" w:afterAutospacing="0" w:line="240" w:lineRule="auto"/>
                    <w:ind w:left="0" w:right="0" w:firstLine="420"/>
                    <w:jc w:val="center"/>
                    <w:rPr>
                      <w:rFonts w:hint="default" w:ascii="Times New Roman" w:hAnsi="Times New Roman" w:cs="Times New Roman"/>
                      <w:color w:val="auto"/>
                      <w:sz w:val="21"/>
                      <w:szCs w:val="21"/>
                    </w:rPr>
                  </w:pPr>
                </w:p>
              </w:tc>
              <w:tc>
                <w:tcPr>
                  <w:tcW w:w="1148" w:type="pct"/>
                  <w:noWrap w:val="0"/>
                  <w:vAlign w:val="center"/>
                </w:tcPr>
                <w:p w14:paraId="31BB9C44">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生物质颗粒</w:t>
                  </w:r>
                </w:p>
              </w:tc>
              <w:tc>
                <w:tcPr>
                  <w:tcW w:w="1338" w:type="pct"/>
                  <w:noWrap w:val="0"/>
                  <w:vAlign w:val="center"/>
                </w:tcPr>
                <w:p w14:paraId="3A11A59B">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2040</w:t>
                  </w:r>
                  <w:r>
                    <w:rPr>
                      <w:rFonts w:hint="eastAsia" w:ascii="Times New Roman" w:hAnsi="Times New Roman" w:cs="Times New Roman"/>
                      <w:color w:val="auto"/>
                      <w:sz w:val="21"/>
                      <w:szCs w:val="21"/>
                      <w:lang w:val="en-US" w:eastAsia="zh-CN"/>
                    </w:rPr>
                    <w:t>t</w:t>
                  </w:r>
                </w:p>
              </w:tc>
              <w:tc>
                <w:tcPr>
                  <w:tcW w:w="1123" w:type="pct"/>
                  <w:noWrap w:val="0"/>
                  <w:vAlign w:val="center"/>
                </w:tcPr>
                <w:p w14:paraId="3F5DB68D">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副产物</w:t>
                  </w:r>
                </w:p>
              </w:tc>
              <w:tc>
                <w:tcPr>
                  <w:tcW w:w="851" w:type="pct"/>
                  <w:noWrap w:val="0"/>
                  <w:vAlign w:val="center"/>
                </w:tcPr>
                <w:p w14:paraId="6BE2448D">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bl>
          <w:p w14:paraId="3A79C934">
            <w:pPr>
              <w:keepNext w:val="0"/>
              <w:keepLines w:val="0"/>
              <w:widowControl/>
              <w:suppressLineNumbers w:val="0"/>
              <w:spacing w:before="0" w:beforeAutospacing="0" w:after="0" w:afterAutospacing="0"/>
              <w:ind w:left="0" w:right="0" w:firstLine="482" w:firstLineChars="200"/>
              <w:jc w:val="left"/>
              <w:rPr>
                <w:rFonts w:hint="eastAsia" w:ascii="Times New Roman" w:hAnsi="Times New Roman" w:eastAsia="宋体" w:cs="宋体"/>
                <w:color w:val="auto"/>
                <w:kern w:val="0"/>
                <w:lang w:val="en-US" w:eastAsia="zh-CN" w:bidi="ar"/>
              </w:rPr>
            </w:pPr>
            <w:r>
              <w:rPr>
                <w:rFonts w:hint="eastAsia" w:ascii="Times New Roman" w:hAnsi="Times New Roman" w:eastAsia="宋体" w:cs="宋体"/>
                <w:b/>
                <w:bCs/>
                <w:color w:val="auto"/>
                <w:kern w:val="0"/>
                <w:lang w:val="en-US" w:eastAsia="zh-CN" w:bidi="ar"/>
              </w:rPr>
              <w:t>枯柏树蔸：</w:t>
            </w:r>
            <w:r>
              <w:rPr>
                <w:rFonts w:hint="eastAsia" w:ascii="Times New Roman" w:hAnsi="Times New Roman" w:eastAsia="宋体" w:cs="宋体"/>
                <w:color w:val="auto"/>
                <w:kern w:val="0"/>
                <w:lang w:val="en-US" w:eastAsia="zh-CN" w:bidi="ar"/>
              </w:rPr>
              <w:t>柏树为柏科侧柏属的一种常绿乔木，在中国分布极广，北起内蒙古、吉林，南至广东及广西北部，人工栽培范围遍布全国，是优良的园林绿化树种。柏树</w:t>
            </w:r>
            <w:r>
              <w:rPr>
                <w:rFonts w:hint="eastAsia" w:cs="宋体"/>
                <w:color w:val="auto"/>
                <w:kern w:val="0"/>
                <w:lang w:val="en-US" w:eastAsia="zh-CN" w:bidi="ar"/>
              </w:rPr>
              <w:t>在蓬溪县各个区域均有大量分布</w:t>
            </w:r>
            <w:r>
              <w:rPr>
                <w:rFonts w:hint="eastAsia" w:ascii="Times New Roman" w:hAnsi="Times New Roman" w:eastAsia="宋体" w:cs="宋体"/>
                <w:color w:val="auto"/>
                <w:kern w:val="0"/>
                <w:lang w:val="en-US" w:eastAsia="zh-CN" w:bidi="ar"/>
              </w:rPr>
              <w:t>，本项目原材料有充足的来源，项目原材料枯柏</w:t>
            </w:r>
            <w:r>
              <w:rPr>
                <w:rFonts w:hint="eastAsia" w:ascii="Times New Roman" w:hAnsi="Times New Roman" w:eastAsia="宋体" w:cs="宋体"/>
                <w:color w:val="auto"/>
                <w:kern w:val="0"/>
                <w:highlight w:val="none"/>
                <w:lang w:val="en-US" w:eastAsia="zh-CN" w:bidi="ar"/>
              </w:rPr>
              <w:t>树蔸</w:t>
            </w:r>
            <w:r>
              <w:rPr>
                <w:rFonts w:hint="eastAsia" w:ascii="Times New Roman" w:hAnsi="Times New Roman" w:eastAsia="宋体" w:cs="宋体"/>
                <w:color w:val="auto"/>
                <w:kern w:val="0"/>
                <w:lang w:val="en-US" w:eastAsia="zh-CN" w:bidi="ar"/>
              </w:rPr>
              <w:t>来源于外购（主要购于周围居民砍伐的在户外自然</w:t>
            </w:r>
            <w:r>
              <w:rPr>
                <w:rFonts w:hint="eastAsia" w:cs="宋体"/>
                <w:color w:val="auto"/>
                <w:kern w:val="0"/>
                <w:lang w:val="en-US" w:eastAsia="zh-CN" w:bidi="ar"/>
              </w:rPr>
              <w:t>晾干</w:t>
            </w:r>
            <w:r>
              <w:rPr>
                <w:rFonts w:hint="eastAsia" w:ascii="Times New Roman" w:hAnsi="Times New Roman" w:eastAsia="宋体" w:cs="宋体"/>
                <w:color w:val="auto"/>
                <w:kern w:val="0"/>
                <w:lang w:val="en-US" w:eastAsia="zh-CN" w:bidi="ar"/>
              </w:rPr>
              <w:t>后的柏木树根）。本项目使用的原料主要为采购周围农民砍伐的自然晒干的</w:t>
            </w:r>
            <w:r>
              <w:rPr>
                <w:rFonts w:hint="eastAsia" w:ascii="Times New Roman" w:hAnsi="Times New Roman" w:eastAsia="宋体" w:cs="宋体"/>
                <w:color w:val="auto"/>
                <w:kern w:val="0"/>
                <w:highlight w:val="none"/>
                <w:lang w:val="en-US" w:eastAsia="zh-CN" w:bidi="ar"/>
              </w:rPr>
              <w:t>枯柏</w:t>
            </w:r>
            <w:r>
              <w:rPr>
                <w:rFonts w:hint="eastAsia" w:cs="宋体"/>
                <w:color w:val="auto"/>
                <w:kern w:val="0"/>
                <w:highlight w:val="none"/>
                <w:lang w:val="en-US" w:eastAsia="zh-CN" w:bidi="ar"/>
              </w:rPr>
              <w:t>树蔸</w:t>
            </w:r>
            <w:r>
              <w:rPr>
                <w:rFonts w:hint="eastAsia" w:ascii="Times New Roman" w:hAnsi="Times New Roman" w:eastAsia="宋体" w:cs="宋体"/>
                <w:color w:val="auto"/>
                <w:kern w:val="0"/>
                <w:lang w:val="en-US" w:eastAsia="zh-CN" w:bidi="ar"/>
              </w:rPr>
              <w:t>，枯柏树蔸为柏树根。一般新鲜柏树根含水率较高，可以达到</w:t>
            </w:r>
            <w:r>
              <w:rPr>
                <w:rFonts w:hint="default" w:ascii="Times New Roman" w:hAnsi="Times New Roman" w:eastAsia="宋体" w:cs="宋体"/>
                <w:color w:val="auto"/>
                <w:kern w:val="0"/>
                <w:lang w:val="en-US" w:eastAsia="zh-CN" w:bidi="ar"/>
              </w:rPr>
              <w:t>70%</w:t>
            </w:r>
            <w:r>
              <w:rPr>
                <w:rFonts w:hint="eastAsia" w:ascii="Times New Roman" w:hAnsi="Times New Roman" w:eastAsia="宋体" w:cs="宋体"/>
                <w:color w:val="auto"/>
                <w:kern w:val="0"/>
                <w:lang w:val="en-US" w:eastAsia="zh-CN" w:bidi="ar"/>
              </w:rPr>
              <w:t>左右，影响产品提取率和产品品质，因此本项目不使用含水率较高的新鲜的柏树根</w:t>
            </w:r>
            <w:r>
              <w:rPr>
                <w:rFonts w:hint="eastAsia" w:cs="宋体"/>
                <w:color w:val="auto"/>
                <w:kern w:val="0"/>
                <w:lang w:val="en-US" w:eastAsia="zh-CN" w:bidi="ar"/>
              </w:rPr>
              <w:t>，</w:t>
            </w:r>
            <w:r>
              <w:rPr>
                <w:rFonts w:hint="eastAsia" w:ascii="Times New Roman" w:hAnsi="Times New Roman" w:eastAsia="宋体" w:cs="宋体"/>
                <w:color w:val="auto"/>
                <w:kern w:val="0"/>
                <w:lang w:val="en-US" w:eastAsia="zh-CN" w:bidi="ar"/>
              </w:rPr>
              <w:t>外购</w:t>
            </w:r>
            <w:r>
              <w:rPr>
                <w:rFonts w:hint="eastAsia" w:ascii="Times New Roman" w:hAnsi="Times New Roman" w:eastAsia="宋体" w:cs="宋体"/>
                <w:b w:val="0"/>
                <w:bCs w:val="0"/>
                <w:color w:val="auto"/>
                <w:kern w:val="0"/>
                <w:lang w:val="en-US" w:eastAsia="zh-CN" w:bidi="ar"/>
              </w:rPr>
              <w:t>枯柏树蔸</w:t>
            </w:r>
            <w:r>
              <w:rPr>
                <w:rFonts w:hint="eastAsia" w:ascii="Times New Roman" w:hAnsi="Times New Roman" w:eastAsia="宋体" w:cs="宋体"/>
                <w:color w:val="auto"/>
                <w:kern w:val="0"/>
                <w:lang w:val="en-US" w:eastAsia="zh-CN" w:bidi="ar"/>
              </w:rPr>
              <w:t>。</w:t>
            </w:r>
          </w:p>
          <w:p w14:paraId="331B42C1">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cs="Times New Roman"/>
                <w:color w:val="auto"/>
                <w:lang w:val="en-US"/>
              </w:rPr>
            </w:pPr>
            <w:r>
              <w:rPr>
                <w:rFonts w:hint="eastAsia" w:ascii="Times New Roman" w:hAnsi="Times New Roman" w:eastAsia="宋体" w:cs="宋体"/>
                <w:color w:val="auto"/>
                <w:kern w:val="0"/>
                <w:lang w:val="en-US" w:eastAsia="zh-CN" w:bidi="ar"/>
              </w:rPr>
              <w:t>根据</w:t>
            </w:r>
            <w:r>
              <w:rPr>
                <w:rFonts w:hint="eastAsia" w:cs="宋体"/>
                <w:color w:val="auto"/>
                <w:kern w:val="0"/>
                <w:lang w:val="en-US" w:eastAsia="zh-CN" w:bidi="ar"/>
              </w:rPr>
              <w:t>同类企业（</w:t>
            </w:r>
            <w:r>
              <w:rPr>
                <w:rFonts w:hint="eastAsia" w:ascii="Times New Roman" w:hAnsi="Times New Roman" w:eastAsia="宋体" w:cs="宋体"/>
                <w:color w:val="auto"/>
                <w:kern w:val="0"/>
                <w:lang w:val="en-US" w:eastAsia="zh-CN" w:bidi="ar"/>
              </w:rPr>
              <w:t>四川子童香料有限公司</w:t>
            </w:r>
            <w:r>
              <w:rPr>
                <w:rFonts w:hint="eastAsia" w:cs="宋体"/>
                <w:color w:val="auto"/>
                <w:kern w:val="0"/>
                <w:lang w:val="en-US" w:eastAsia="zh-CN" w:bidi="ar"/>
              </w:rPr>
              <w:t>，采用水蒸气蒸馏法，与本项目生产工艺一致，年产柏木油100t）</w:t>
            </w:r>
            <w:r>
              <w:rPr>
                <w:rFonts w:hint="eastAsia" w:ascii="Times New Roman" w:hAnsi="Times New Roman" w:eastAsia="宋体" w:cs="宋体"/>
                <w:color w:val="auto"/>
                <w:kern w:val="0"/>
                <w:lang w:val="en-US" w:eastAsia="zh-CN" w:bidi="ar"/>
              </w:rPr>
              <w:t>分别对原料、</w:t>
            </w:r>
            <w:r>
              <w:rPr>
                <w:rFonts w:hint="eastAsia" w:ascii="宋体" w:hAnsi="宋体" w:eastAsia="宋体" w:cs="宋体"/>
                <w:color w:val="auto"/>
                <w:kern w:val="0"/>
                <w:sz w:val="24"/>
                <w:szCs w:val="24"/>
                <w:lang w:val="en-US" w:eastAsia="zh-CN" w:bidi="ar"/>
              </w:rPr>
              <w:t>自然晾干后的柏树木渣进行了含水率检测，检测结果如下：</w:t>
            </w:r>
          </w:p>
          <w:p w14:paraId="2871D402">
            <w:pPr>
              <w:keepNext w:val="0"/>
              <w:keepLines w:val="0"/>
              <w:widowControl/>
              <w:suppressLineNumbers w:val="0"/>
              <w:spacing w:before="0" w:beforeAutospacing="0" w:after="0" w:afterAutospacing="0"/>
              <w:ind w:left="0" w:right="0"/>
              <w:jc w:val="center"/>
              <w:rPr>
                <w:rFonts w:hint="eastAsia" w:ascii="Times New Roman" w:hAnsi="Times New Roman" w:eastAsia="宋体" w:cs="宋体"/>
                <w:b/>
                <w:bCs/>
                <w:color w:val="auto"/>
                <w:kern w:val="0"/>
                <w:sz w:val="21"/>
                <w:szCs w:val="21"/>
                <w:lang w:val="en-US" w:eastAsia="zh-CN" w:bidi="ar"/>
              </w:rPr>
            </w:pPr>
            <w:r>
              <w:rPr>
                <w:rFonts w:hint="eastAsia" w:ascii="Times New Roman" w:hAnsi="Times New Roman" w:eastAsia="宋体" w:cs="宋体"/>
                <w:b/>
                <w:bCs/>
                <w:color w:val="auto"/>
                <w:kern w:val="0"/>
                <w:sz w:val="21"/>
                <w:szCs w:val="21"/>
                <w:lang w:val="en-US" w:eastAsia="zh-CN" w:bidi="ar"/>
              </w:rPr>
              <w:t>表2-6</w:t>
            </w:r>
            <w:r>
              <w:rPr>
                <w:rFonts w:hint="default" w:ascii="Times New Roman" w:hAnsi="Times New Roman" w:eastAsia="宋体" w:cs="宋体"/>
                <w:b/>
                <w:bCs/>
                <w:color w:val="auto"/>
                <w:kern w:val="0"/>
                <w:sz w:val="21"/>
                <w:szCs w:val="21"/>
                <w:lang w:val="en-US" w:eastAsia="zh-CN" w:bidi="ar"/>
              </w:rPr>
              <w:t xml:space="preserve"> </w:t>
            </w:r>
            <w:r>
              <w:rPr>
                <w:rFonts w:hint="eastAsia" w:ascii="Times New Roman" w:hAnsi="Times New Roman" w:eastAsia="宋体" w:cs="宋体"/>
                <w:b/>
                <w:bCs/>
                <w:color w:val="auto"/>
                <w:kern w:val="0"/>
                <w:sz w:val="21"/>
                <w:szCs w:val="21"/>
                <w:lang w:val="en-US" w:eastAsia="zh-CN" w:bidi="ar"/>
              </w:rPr>
              <w:t>含水率检测情况一览表</w:t>
            </w:r>
          </w:p>
          <w:tbl>
            <w:tblPr>
              <w:tblStyle w:val="29"/>
              <w:tblW w:w="8353"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55"/>
              <w:gridCol w:w="1005"/>
              <w:gridCol w:w="3045"/>
              <w:gridCol w:w="2700"/>
              <w:gridCol w:w="848"/>
            </w:tblGrid>
            <w:tr w14:paraId="31182D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55" w:type="dxa"/>
                  <w:tcBorders>
                    <w:tl2br w:val="nil"/>
                    <w:tr2bl w:val="nil"/>
                  </w:tcBorders>
                  <w:noWrap w:val="0"/>
                  <w:vAlign w:val="center"/>
                </w:tcPr>
                <w:p w14:paraId="5ECAC6F1">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编号</w:t>
                  </w:r>
                </w:p>
              </w:tc>
              <w:tc>
                <w:tcPr>
                  <w:tcW w:w="1005" w:type="dxa"/>
                  <w:tcBorders>
                    <w:tl2br w:val="nil"/>
                    <w:tr2bl w:val="nil"/>
                  </w:tcBorders>
                  <w:noWrap w:val="0"/>
                  <w:vAlign w:val="center"/>
                </w:tcPr>
                <w:p w14:paraId="433192C2">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名称</w:t>
                  </w:r>
                </w:p>
              </w:tc>
              <w:tc>
                <w:tcPr>
                  <w:tcW w:w="3045" w:type="dxa"/>
                  <w:tcBorders>
                    <w:tl2br w:val="nil"/>
                    <w:tr2bl w:val="nil"/>
                  </w:tcBorders>
                  <w:noWrap w:val="0"/>
                  <w:vAlign w:val="center"/>
                </w:tcPr>
                <w:p w14:paraId="33D4685C">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检验物料照片</w:t>
                  </w:r>
                </w:p>
              </w:tc>
              <w:tc>
                <w:tcPr>
                  <w:tcW w:w="2700" w:type="dxa"/>
                  <w:tcBorders>
                    <w:tl2br w:val="nil"/>
                    <w:tr2bl w:val="nil"/>
                  </w:tcBorders>
                  <w:noWrap w:val="0"/>
                  <w:vAlign w:val="center"/>
                </w:tcPr>
                <w:p w14:paraId="7EF987A6">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检验结果</w:t>
                  </w:r>
                </w:p>
              </w:tc>
              <w:tc>
                <w:tcPr>
                  <w:tcW w:w="848" w:type="dxa"/>
                  <w:tcBorders>
                    <w:tl2br w:val="nil"/>
                    <w:tr2bl w:val="nil"/>
                  </w:tcBorders>
                  <w:noWrap w:val="0"/>
                  <w:vAlign w:val="center"/>
                </w:tcPr>
                <w:p w14:paraId="39684F57">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含水率</w:t>
                  </w:r>
                </w:p>
              </w:tc>
            </w:tr>
            <w:tr w14:paraId="3B7FF2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55" w:type="dxa"/>
                  <w:tcBorders>
                    <w:tl2br w:val="nil"/>
                    <w:tr2bl w:val="nil"/>
                  </w:tcBorders>
                  <w:noWrap w:val="0"/>
                  <w:vAlign w:val="center"/>
                </w:tcPr>
                <w:p w14:paraId="467B7DBA">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005" w:type="dxa"/>
                  <w:tcBorders>
                    <w:tl2br w:val="nil"/>
                    <w:tr2bl w:val="nil"/>
                  </w:tcBorders>
                  <w:noWrap w:val="0"/>
                  <w:vAlign w:val="center"/>
                </w:tcPr>
                <w:p w14:paraId="4689A31C">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枯柏树蔸</w:t>
                  </w:r>
                </w:p>
              </w:tc>
              <w:tc>
                <w:tcPr>
                  <w:tcW w:w="3045" w:type="dxa"/>
                  <w:tcBorders>
                    <w:tl2br w:val="nil"/>
                    <w:tr2bl w:val="nil"/>
                  </w:tcBorders>
                  <w:noWrap w:val="0"/>
                  <w:vAlign w:val="center"/>
                </w:tcPr>
                <w:p w14:paraId="06CAE1A0">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default"/>
                      <w:color w:val="auto"/>
                    </w:rPr>
                    <w:drawing>
                      <wp:inline distT="0" distB="0" distL="114300" distR="114300">
                        <wp:extent cx="1764030" cy="1669415"/>
                        <wp:effectExtent l="0" t="0" r="7620" b="698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3"/>
                                <a:stretch>
                                  <a:fillRect/>
                                </a:stretch>
                              </pic:blipFill>
                              <pic:spPr>
                                <a:xfrm>
                                  <a:off x="0" y="0"/>
                                  <a:ext cx="1764030" cy="1669415"/>
                                </a:xfrm>
                                <a:prstGeom prst="rect">
                                  <a:avLst/>
                                </a:prstGeom>
                                <a:noFill/>
                                <a:ln>
                                  <a:noFill/>
                                </a:ln>
                              </pic:spPr>
                            </pic:pic>
                          </a:graphicData>
                        </a:graphic>
                      </wp:inline>
                    </w:drawing>
                  </w:r>
                </w:p>
              </w:tc>
              <w:tc>
                <w:tcPr>
                  <w:tcW w:w="2700" w:type="dxa"/>
                  <w:tcBorders>
                    <w:tl2br w:val="nil"/>
                    <w:tr2bl w:val="nil"/>
                  </w:tcBorders>
                  <w:noWrap w:val="0"/>
                  <w:vAlign w:val="center"/>
                </w:tcPr>
                <w:p w14:paraId="2BF464AA">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rPr>
                    <w:drawing>
                      <wp:inline distT="0" distB="0" distL="114300" distR="114300">
                        <wp:extent cx="1597025" cy="906145"/>
                        <wp:effectExtent l="0" t="0" r="3175" b="8255"/>
                        <wp:docPr id="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4"/>
                                <pic:cNvPicPr>
                                  <a:picLocks noChangeAspect="1"/>
                                </pic:cNvPicPr>
                              </pic:nvPicPr>
                              <pic:blipFill>
                                <a:blip r:embed="rId14"/>
                                <a:stretch>
                                  <a:fillRect/>
                                </a:stretch>
                              </pic:blipFill>
                              <pic:spPr>
                                <a:xfrm>
                                  <a:off x="0" y="0"/>
                                  <a:ext cx="1597025" cy="906145"/>
                                </a:xfrm>
                                <a:prstGeom prst="rect">
                                  <a:avLst/>
                                </a:prstGeom>
                                <a:noFill/>
                                <a:ln>
                                  <a:noFill/>
                                </a:ln>
                              </pic:spPr>
                            </pic:pic>
                          </a:graphicData>
                        </a:graphic>
                      </wp:inline>
                    </w:drawing>
                  </w:r>
                </w:p>
              </w:tc>
              <w:tc>
                <w:tcPr>
                  <w:tcW w:w="848" w:type="dxa"/>
                  <w:tcBorders>
                    <w:tl2br w:val="nil"/>
                    <w:tr2bl w:val="nil"/>
                  </w:tcBorders>
                  <w:noWrap w:val="0"/>
                  <w:vAlign w:val="center"/>
                </w:tcPr>
                <w:p w14:paraId="3CECFAC1">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13.36%</w:t>
                  </w:r>
                </w:p>
              </w:tc>
            </w:tr>
            <w:tr w14:paraId="17C306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55" w:type="dxa"/>
                  <w:tcBorders>
                    <w:tl2br w:val="nil"/>
                    <w:tr2bl w:val="nil"/>
                  </w:tcBorders>
                  <w:noWrap w:val="0"/>
                  <w:vAlign w:val="center"/>
                </w:tcPr>
                <w:p w14:paraId="4285B15C">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005" w:type="dxa"/>
                  <w:tcBorders>
                    <w:tl2br w:val="nil"/>
                    <w:tr2bl w:val="nil"/>
                  </w:tcBorders>
                  <w:noWrap w:val="0"/>
                  <w:vAlign w:val="center"/>
                </w:tcPr>
                <w:p w14:paraId="2CEBBECA">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自然晾干后的柏树木渣</w:t>
                  </w:r>
                </w:p>
              </w:tc>
              <w:tc>
                <w:tcPr>
                  <w:tcW w:w="3045" w:type="dxa"/>
                  <w:tcBorders>
                    <w:tl2br w:val="nil"/>
                    <w:tr2bl w:val="nil"/>
                  </w:tcBorders>
                  <w:noWrap w:val="0"/>
                  <w:vAlign w:val="center"/>
                </w:tcPr>
                <w:p w14:paraId="49A70E9A">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rPr>
                    <w:drawing>
                      <wp:inline distT="0" distB="0" distL="114300" distR="114300">
                        <wp:extent cx="1724660" cy="1953260"/>
                        <wp:effectExtent l="0" t="0" r="8890" b="8890"/>
                        <wp:docPr id="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3"/>
                                <pic:cNvPicPr>
                                  <a:picLocks noChangeAspect="1"/>
                                </pic:cNvPicPr>
                              </pic:nvPicPr>
                              <pic:blipFill>
                                <a:blip r:embed="rId15"/>
                                <a:stretch>
                                  <a:fillRect/>
                                </a:stretch>
                              </pic:blipFill>
                              <pic:spPr>
                                <a:xfrm>
                                  <a:off x="0" y="0"/>
                                  <a:ext cx="1724660" cy="1953260"/>
                                </a:xfrm>
                                <a:prstGeom prst="rect">
                                  <a:avLst/>
                                </a:prstGeom>
                                <a:noFill/>
                                <a:ln>
                                  <a:noFill/>
                                </a:ln>
                              </pic:spPr>
                            </pic:pic>
                          </a:graphicData>
                        </a:graphic>
                      </wp:inline>
                    </w:drawing>
                  </w:r>
                </w:p>
              </w:tc>
              <w:tc>
                <w:tcPr>
                  <w:tcW w:w="2700" w:type="dxa"/>
                  <w:tcBorders>
                    <w:tl2br w:val="nil"/>
                    <w:tr2bl w:val="nil"/>
                  </w:tcBorders>
                  <w:noWrap w:val="0"/>
                  <w:vAlign w:val="center"/>
                </w:tcPr>
                <w:p w14:paraId="0FEBC29F">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rPr>
                    <w:drawing>
                      <wp:inline distT="0" distB="0" distL="114300" distR="114300">
                        <wp:extent cx="1637665" cy="1731010"/>
                        <wp:effectExtent l="0" t="0" r="635" b="2540"/>
                        <wp:docPr id="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4"/>
                                <pic:cNvPicPr>
                                  <a:picLocks noChangeAspect="1"/>
                                </pic:cNvPicPr>
                              </pic:nvPicPr>
                              <pic:blipFill>
                                <a:blip r:embed="rId16"/>
                                <a:stretch>
                                  <a:fillRect/>
                                </a:stretch>
                              </pic:blipFill>
                              <pic:spPr>
                                <a:xfrm>
                                  <a:off x="0" y="0"/>
                                  <a:ext cx="1637665" cy="1731010"/>
                                </a:xfrm>
                                <a:prstGeom prst="rect">
                                  <a:avLst/>
                                </a:prstGeom>
                                <a:noFill/>
                                <a:ln>
                                  <a:noFill/>
                                </a:ln>
                              </pic:spPr>
                            </pic:pic>
                          </a:graphicData>
                        </a:graphic>
                      </wp:inline>
                    </w:drawing>
                  </w:r>
                </w:p>
              </w:tc>
              <w:tc>
                <w:tcPr>
                  <w:tcW w:w="848" w:type="dxa"/>
                  <w:tcBorders>
                    <w:tl2br w:val="nil"/>
                    <w:tr2bl w:val="nil"/>
                  </w:tcBorders>
                  <w:noWrap w:val="0"/>
                  <w:vAlign w:val="center"/>
                </w:tcPr>
                <w:p w14:paraId="5CA4038E">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9.08%</w:t>
                  </w:r>
                </w:p>
              </w:tc>
            </w:tr>
          </w:tbl>
          <w:p w14:paraId="658D2285">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eastAsia="宋体" w:cs="宋体"/>
                <w:color w:val="auto"/>
                <w:kern w:val="0"/>
                <w:lang w:val="en-US" w:eastAsia="zh-CN" w:bidi="ar"/>
              </w:rPr>
            </w:pPr>
            <w:r>
              <w:rPr>
                <w:rFonts w:hint="eastAsia" w:ascii="Times New Roman" w:hAnsi="Times New Roman" w:eastAsia="宋体" w:cs="宋体"/>
                <w:color w:val="auto"/>
                <w:kern w:val="0"/>
                <w:lang w:val="en-US" w:eastAsia="zh-CN" w:bidi="ar"/>
              </w:rPr>
              <w:t>根据上表可知，刚刚经过蒸馏出来尚未自然晾干的柏树木渣由于含有高温蒸汽，高温水蒸气自然晾干后挥发，挥发后的含水率降为</w:t>
            </w:r>
            <w:r>
              <w:rPr>
                <w:rFonts w:hint="default" w:ascii="Times New Roman" w:hAnsi="Times New Roman" w:eastAsia="宋体" w:cs="宋体"/>
                <w:color w:val="auto"/>
                <w:kern w:val="0"/>
                <w:lang w:val="en-US" w:eastAsia="zh-CN" w:bidi="ar"/>
              </w:rPr>
              <w:t>9.08%</w:t>
            </w:r>
            <w:r>
              <w:rPr>
                <w:rFonts w:hint="eastAsia" w:ascii="Times New Roman" w:hAnsi="Times New Roman" w:eastAsia="宋体" w:cs="宋体"/>
                <w:color w:val="auto"/>
                <w:kern w:val="0"/>
                <w:lang w:val="en-US" w:eastAsia="zh-CN" w:bidi="ar"/>
              </w:rPr>
              <w:t>。</w:t>
            </w:r>
          </w:p>
          <w:p w14:paraId="43BA74F7">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五、项目主要生产设备</w:t>
            </w:r>
          </w:p>
          <w:p w14:paraId="2DE241C0">
            <w:pPr>
              <w:keepNext w:val="0"/>
              <w:keepLines w:val="0"/>
              <w:suppressLineNumbers w:val="0"/>
              <w:adjustRightInd w:val="0"/>
              <w:snapToGrid w:val="0"/>
              <w:spacing w:before="0" w:beforeAutospacing="0" w:after="0" w:afterAutospacing="0"/>
              <w:ind w:left="0" w:right="0" w:firstLine="482" w:firstLineChars="200"/>
              <w:rPr>
                <w:rFonts w:hint="default" w:ascii="Times New Roman" w:hAnsi="Times New Roman" w:cs="Times New Roman"/>
                <w:b/>
                <w:color w:val="auto"/>
              </w:rPr>
            </w:pPr>
            <w:r>
              <w:rPr>
                <w:rFonts w:hint="eastAsia" w:ascii="Times New Roman" w:hAnsi="Times New Roman" w:cs="Times New Roman"/>
                <w:b/>
                <w:color w:val="auto"/>
              </w:rPr>
              <w:t>1、</w:t>
            </w:r>
            <w:r>
              <w:rPr>
                <w:rFonts w:hint="default" w:ascii="Times New Roman" w:hAnsi="Times New Roman" w:cs="Times New Roman"/>
                <w:b/>
                <w:color w:val="auto"/>
              </w:rPr>
              <w:t>本项目主要生产设备见下表：</w:t>
            </w:r>
          </w:p>
          <w:p w14:paraId="494FF79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2-7</w:t>
            </w:r>
            <w:r>
              <w:rPr>
                <w:rFonts w:hint="default" w:ascii="Times New Roman" w:hAnsi="Times New Roman" w:cs="Times New Roman"/>
                <w:b/>
                <w:bCs/>
                <w:color w:val="auto"/>
                <w:sz w:val="21"/>
                <w:szCs w:val="21"/>
              </w:rPr>
              <w:t xml:space="preserve">   本项目主要生产设备</w:t>
            </w:r>
          </w:p>
          <w:tbl>
            <w:tblPr>
              <w:tblStyle w:val="28"/>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31"/>
              <w:gridCol w:w="1721"/>
              <w:gridCol w:w="2744"/>
              <w:gridCol w:w="731"/>
              <w:gridCol w:w="731"/>
              <w:gridCol w:w="1671"/>
            </w:tblGrid>
            <w:tr w14:paraId="257243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438" w:type="pct"/>
                  <w:tcBorders>
                    <w:tl2br w:val="nil"/>
                    <w:tr2bl w:val="nil"/>
                  </w:tcBorders>
                  <w:noWrap w:val="0"/>
                  <w:vAlign w:val="center"/>
                </w:tcPr>
                <w:p w14:paraId="7C687AF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1033" w:type="pct"/>
                  <w:tcBorders>
                    <w:tl2br w:val="nil"/>
                    <w:tr2bl w:val="nil"/>
                  </w:tcBorders>
                  <w:noWrap w:val="0"/>
                  <w:vAlign w:val="center"/>
                </w:tcPr>
                <w:p w14:paraId="595F08B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设备名称</w:t>
                  </w:r>
                </w:p>
              </w:tc>
              <w:tc>
                <w:tcPr>
                  <w:tcW w:w="1647" w:type="pct"/>
                  <w:tcBorders>
                    <w:tl2br w:val="nil"/>
                    <w:tr2bl w:val="nil"/>
                  </w:tcBorders>
                  <w:noWrap w:val="0"/>
                  <w:vAlign w:val="center"/>
                </w:tcPr>
                <w:p w14:paraId="19879BF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规格型号</w:t>
                  </w:r>
                </w:p>
              </w:tc>
              <w:tc>
                <w:tcPr>
                  <w:tcW w:w="438" w:type="pct"/>
                  <w:tcBorders>
                    <w:tl2br w:val="nil"/>
                    <w:tr2bl w:val="nil"/>
                  </w:tcBorders>
                  <w:noWrap w:val="0"/>
                  <w:vAlign w:val="center"/>
                </w:tcPr>
                <w:p w14:paraId="1F53515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数量</w:t>
                  </w:r>
                </w:p>
              </w:tc>
              <w:tc>
                <w:tcPr>
                  <w:tcW w:w="438" w:type="pct"/>
                  <w:tcBorders>
                    <w:tl2br w:val="nil"/>
                    <w:tr2bl w:val="nil"/>
                  </w:tcBorders>
                  <w:noWrap w:val="0"/>
                  <w:vAlign w:val="center"/>
                </w:tcPr>
                <w:p w14:paraId="2BD29CA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w:t>
                  </w:r>
                </w:p>
              </w:tc>
              <w:tc>
                <w:tcPr>
                  <w:tcW w:w="1003" w:type="pct"/>
                  <w:tcBorders>
                    <w:tl2br w:val="nil"/>
                    <w:tr2bl w:val="nil"/>
                  </w:tcBorders>
                  <w:noWrap w:val="0"/>
                  <w:vAlign w:val="center"/>
                </w:tcPr>
                <w:p w14:paraId="7E6A27C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备注</w:t>
                  </w:r>
                </w:p>
              </w:tc>
            </w:tr>
            <w:tr w14:paraId="365737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36" w:hRule="atLeast"/>
                <w:jc w:val="center"/>
              </w:trPr>
              <w:tc>
                <w:tcPr>
                  <w:tcW w:w="438" w:type="pct"/>
                  <w:tcBorders>
                    <w:tl2br w:val="nil"/>
                    <w:tr2bl w:val="nil"/>
                  </w:tcBorders>
                  <w:noWrap w:val="0"/>
                  <w:vAlign w:val="center"/>
                </w:tcPr>
                <w:p w14:paraId="2B912D2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33" w:type="pct"/>
                  <w:tcBorders>
                    <w:tl2br w:val="nil"/>
                    <w:tr2bl w:val="nil"/>
                  </w:tcBorders>
                  <w:noWrap w:val="0"/>
                  <w:vAlign w:val="center"/>
                </w:tcPr>
                <w:p w14:paraId="6483A3E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蒸馏釜</w:t>
                  </w:r>
                </w:p>
              </w:tc>
              <w:tc>
                <w:tcPr>
                  <w:tcW w:w="1647" w:type="pct"/>
                  <w:tcBorders>
                    <w:tl2br w:val="nil"/>
                    <w:tr2bl w:val="nil"/>
                  </w:tcBorders>
                  <w:noWrap w:val="0"/>
                  <w:vAlign w:val="center"/>
                </w:tcPr>
                <w:p w14:paraId="511E38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2024R1500*2600</w:t>
                  </w:r>
                  <w:r>
                    <w:rPr>
                      <w:rFonts w:hint="default" w:ascii="Times New Roman" w:hAnsi="Times New Roman" w:eastAsia="宋体" w:cs="Times New Roman"/>
                      <w:i w:val="0"/>
                      <w:iCs w:val="0"/>
                      <w:color w:val="auto"/>
                      <w:kern w:val="0"/>
                      <w:sz w:val="21"/>
                      <w:szCs w:val="21"/>
                      <w:u w:val="none"/>
                      <w:lang w:val="en-US" w:eastAsia="zh-CN" w:bidi="ar"/>
                    </w:rPr>
                    <w:t>（外径尺寸：Φ</w:t>
                  </w:r>
                  <w:r>
                    <w:rPr>
                      <w:rFonts w:hint="eastAsia" w:ascii="Times New Roman" w:hAnsi="Times New Roman" w:eastAsia="宋体" w:cs="Times New Roman"/>
                      <w:i w:val="0"/>
                      <w:iCs w:val="0"/>
                      <w:color w:val="auto"/>
                      <w:kern w:val="0"/>
                      <w:sz w:val="21"/>
                      <w:szCs w:val="21"/>
                      <w:u w:val="none"/>
                      <w:lang w:val="en-US" w:eastAsia="zh-CN" w:bidi="ar"/>
                    </w:rPr>
                    <w:t>1.6</w:t>
                  </w:r>
                  <w:r>
                    <w:rPr>
                      <w:rFonts w:hint="default"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lang w:val="en-US" w:eastAsia="zh-CN" w:bidi="ar"/>
                    </w:rPr>
                    <w:t>4.0</w:t>
                  </w:r>
                  <w:r>
                    <w:rPr>
                      <w:rFonts w:hint="default" w:ascii="Times New Roman" w:hAnsi="Times New Roman" w:eastAsia="宋体" w:cs="Times New Roman"/>
                      <w:i w:val="0"/>
                      <w:iCs w:val="0"/>
                      <w:color w:val="auto"/>
                      <w:kern w:val="0"/>
                      <w:sz w:val="21"/>
                      <w:szCs w:val="21"/>
                      <w:u w:val="none"/>
                      <w:lang w:val="en-US" w:eastAsia="zh-CN" w:bidi="ar"/>
                    </w:rPr>
                    <w:t>m；内径Φ</w:t>
                  </w:r>
                  <w:r>
                    <w:rPr>
                      <w:rFonts w:hint="eastAsia" w:ascii="Times New Roman" w:hAnsi="Times New Roman" w:eastAsia="宋体" w:cs="Times New Roman"/>
                      <w:i w:val="0"/>
                      <w:iCs w:val="0"/>
                      <w:color w:val="auto"/>
                      <w:kern w:val="0"/>
                      <w:sz w:val="21"/>
                      <w:szCs w:val="21"/>
                      <w:u w:val="none"/>
                      <w:lang w:val="en-US" w:eastAsia="zh-CN" w:bidi="ar"/>
                    </w:rPr>
                    <w:t>1.5</w:t>
                  </w:r>
                  <w:r>
                    <w:rPr>
                      <w:rFonts w:hint="default"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lang w:val="en-US" w:eastAsia="zh-CN" w:bidi="ar"/>
                    </w:rPr>
                    <w:t>2.6</w:t>
                  </w:r>
                  <w:r>
                    <w:rPr>
                      <w:rFonts w:hint="default" w:ascii="Times New Roman" w:hAnsi="Times New Roman" w:eastAsia="宋体" w:cs="Times New Roman"/>
                      <w:i w:val="0"/>
                      <w:iCs w:val="0"/>
                      <w:color w:val="auto"/>
                      <w:kern w:val="0"/>
                      <w:sz w:val="21"/>
                      <w:szCs w:val="21"/>
                      <w:u w:val="none"/>
                      <w:lang w:val="en-US" w:eastAsia="zh-CN" w:bidi="ar"/>
                    </w:rPr>
                    <w:t>m，容积：</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eastAsia" w:ascii="Times New Roman" w:hAnsi="Times New Roman" w:eastAsia="宋体" w:cs="Times New Roman"/>
                      <w:i w:val="0"/>
                      <w:iCs w:val="0"/>
                      <w:color w:val="auto"/>
                      <w:kern w:val="0"/>
                      <w:sz w:val="21"/>
                      <w:szCs w:val="21"/>
                      <w:u w:val="none"/>
                      <w:lang w:val="en-US" w:eastAsia="zh-CN" w:bidi="ar"/>
                    </w:rPr>
                    <w:t>4.595</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438" w:type="pct"/>
                  <w:tcBorders>
                    <w:tl2br w:val="nil"/>
                    <w:tr2bl w:val="nil"/>
                  </w:tcBorders>
                  <w:noWrap w:val="0"/>
                  <w:vAlign w:val="center"/>
                </w:tcPr>
                <w:p w14:paraId="26988A2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3</w:t>
                  </w:r>
                  <w:r>
                    <w:rPr>
                      <w:rFonts w:hint="eastAsia" w:cs="Times New Roman"/>
                      <w:i w:val="0"/>
                      <w:iCs w:val="0"/>
                      <w:color w:val="auto"/>
                      <w:kern w:val="0"/>
                      <w:sz w:val="21"/>
                      <w:szCs w:val="21"/>
                      <w:u w:val="none"/>
                      <w:lang w:val="en-US" w:eastAsia="zh-CN" w:bidi="ar"/>
                    </w:rPr>
                    <w:t>2</w:t>
                  </w:r>
                </w:p>
              </w:tc>
              <w:tc>
                <w:tcPr>
                  <w:tcW w:w="438" w:type="pct"/>
                  <w:tcBorders>
                    <w:tl2br w:val="nil"/>
                    <w:tr2bl w:val="nil"/>
                  </w:tcBorders>
                  <w:noWrap w:val="0"/>
                  <w:vAlign w:val="center"/>
                </w:tcPr>
                <w:p w14:paraId="1C1CFD4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个</w:t>
                  </w:r>
                </w:p>
              </w:tc>
              <w:tc>
                <w:tcPr>
                  <w:tcW w:w="1003" w:type="pct"/>
                  <w:tcBorders>
                    <w:tl2br w:val="nil"/>
                    <w:tr2bl w:val="nil"/>
                  </w:tcBorders>
                  <w:noWrap w:val="0"/>
                  <w:vAlign w:val="center"/>
                </w:tcPr>
                <w:p w14:paraId="4E2759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每个</w:t>
                  </w:r>
                  <w:r>
                    <w:rPr>
                      <w:rFonts w:hint="default" w:ascii="Times New Roman" w:hAnsi="Times New Roman" w:eastAsia="宋体" w:cs="Times New Roman"/>
                      <w:i w:val="0"/>
                      <w:iCs w:val="0"/>
                      <w:color w:val="auto"/>
                      <w:kern w:val="0"/>
                      <w:sz w:val="21"/>
                      <w:szCs w:val="21"/>
                      <w:u w:val="none"/>
                      <w:lang w:val="en-US" w:eastAsia="zh-CN" w:bidi="ar"/>
                    </w:rPr>
                    <w:t>可以</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装粉碎后的</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木料约1.</w:t>
                  </w:r>
                  <w:r>
                    <w:rPr>
                      <w:rFonts w:hint="eastAsia"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t</w:t>
                  </w:r>
                </w:p>
              </w:tc>
            </w:tr>
            <w:tr w14:paraId="42CC9C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52" w:hRule="atLeast"/>
                <w:jc w:val="center"/>
              </w:trPr>
              <w:tc>
                <w:tcPr>
                  <w:tcW w:w="438" w:type="pct"/>
                  <w:tcBorders>
                    <w:tl2br w:val="nil"/>
                    <w:tr2bl w:val="nil"/>
                  </w:tcBorders>
                  <w:noWrap w:val="0"/>
                  <w:vAlign w:val="center"/>
                </w:tcPr>
                <w:p w14:paraId="7493CB7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033" w:type="pct"/>
                  <w:tcBorders>
                    <w:tl2br w:val="nil"/>
                    <w:tr2bl w:val="nil"/>
                  </w:tcBorders>
                  <w:noWrap w:val="0"/>
                  <w:vAlign w:val="center"/>
                </w:tcPr>
                <w:p w14:paraId="0BB11F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冷凝器</w:t>
                  </w:r>
                </w:p>
              </w:tc>
              <w:tc>
                <w:tcPr>
                  <w:tcW w:w="1647" w:type="pct"/>
                  <w:tcBorders>
                    <w:tl2br w:val="nil"/>
                    <w:tr2bl w:val="nil"/>
                  </w:tcBorders>
                  <w:noWrap w:val="0"/>
                  <w:vAlign w:val="center"/>
                </w:tcPr>
                <w:p w14:paraId="64736D8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160㎡螺旋板式</w:t>
                  </w:r>
                </w:p>
              </w:tc>
              <w:tc>
                <w:tcPr>
                  <w:tcW w:w="438" w:type="pct"/>
                  <w:tcBorders>
                    <w:tl2br w:val="nil"/>
                    <w:tr2bl w:val="nil"/>
                  </w:tcBorders>
                  <w:noWrap w:val="0"/>
                  <w:vAlign w:val="center"/>
                </w:tcPr>
                <w:p w14:paraId="484E297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1</w:t>
                  </w:r>
                </w:p>
              </w:tc>
              <w:tc>
                <w:tcPr>
                  <w:tcW w:w="438" w:type="pct"/>
                  <w:tcBorders>
                    <w:tl2br w:val="nil"/>
                    <w:tr2bl w:val="nil"/>
                  </w:tcBorders>
                  <w:noWrap w:val="0"/>
                  <w:vAlign w:val="center"/>
                </w:tcPr>
                <w:p w14:paraId="4CE880B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个</w:t>
                  </w:r>
                </w:p>
              </w:tc>
              <w:tc>
                <w:tcPr>
                  <w:tcW w:w="1003" w:type="pct"/>
                  <w:tcBorders>
                    <w:tl2br w:val="nil"/>
                    <w:tr2bl w:val="nil"/>
                  </w:tcBorders>
                  <w:noWrap w:val="0"/>
                  <w:vAlign w:val="center"/>
                </w:tcPr>
                <w:p w14:paraId="6F3E4C3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个</w:t>
                  </w:r>
                  <w:r>
                    <w:rPr>
                      <w:rFonts w:hint="eastAsia" w:cs="Times New Roman"/>
                      <w:i w:val="0"/>
                      <w:iCs w:val="0"/>
                      <w:color w:val="auto"/>
                      <w:kern w:val="0"/>
                      <w:sz w:val="21"/>
                      <w:szCs w:val="21"/>
                      <w:u w:val="none"/>
                      <w:lang w:val="en-US" w:eastAsia="zh-CN" w:bidi="ar"/>
                    </w:rPr>
                    <w:t>蒸馏釜</w:t>
                  </w:r>
                  <w:r>
                    <w:rPr>
                      <w:rFonts w:hint="default" w:ascii="Times New Roman" w:hAnsi="Times New Roman" w:eastAsia="宋体" w:cs="Times New Roman"/>
                      <w:i w:val="0"/>
                      <w:iCs w:val="0"/>
                      <w:color w:val="auto"/>
                      <w:kern w:val="0"/>
                      <w:sz w:val="21"/>
                      <w:szCs w:val="21"/>
                      <w:u w:val="none"/>
                      <w:lang w:val="en-US" w:eastAsia="zh-CN" w:bidi="ar"/>
                    </w:rPr>
                    <w:t>共</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用1个冷凝</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器</w:t>
                  </w:r>
                  <w:r>
                    <w:rPr>
                      <w:rFonts w:hint="eastAsia" w:ascii="Times New Roman" w:hAnsi="Times New Roman" w:eastAsia="宋体" w:cs="Times New Roman"/>
                      <w:i w:val="0"/>
                      <w:iCs w:val="0"/>
                      <w:color w:val="auto"/>
                      <w:kern w:val="0"/>
                      <w:sz w:val="21"/>
                      <w:szCs w:val="21"/>
                      <w:u w:val="none"/>
                      <w:lang w:val="en-US" w:eastAsia="zh-CN" w:bidi="ar"/>
                    </w:rPr>
                    <w:t>（每1</w:t>
                  </w:r>
                  <w:r>
                    <w:rPr>
                      <w:rFonts w:hint="eastAsia" w:cs="Times New Roman"/>
                      <w:i w:val="0"/>
                      <w:iCs w:val="0"/>
                      <w:color w:val="auto"/>
                      <w:kern w:val="0"/>
                      <w:sz w:val="21"/>
                      <w:szCs w:val="21"/>
                      <w:u w:val="none"/>
                      <w:lang w:val="en-US" w:eastAsia="zh-CN" w:bidi="ar"/>
                    </w:rPr>
                    <w:t>6</w:t>
                  </w:r>
                  <w:r>
                    <w:rPr>
                      <w:rFonts w:hint="eastAsia" w:ascii="Times New Roman" w:hAnsi="Times New Roman" w:eastAsia="宋体" w:cs="Times New Roman"/>
                      <w:i w:val="0"/>
                      <w:iCs w:val="0"/>
                      <w:color w:val="auto"/>
                      <w:kern w:val="0"/>
                      <w:sz w:val="21"/>
                      <w:szCs w:val="21"/>
                      <w:u w:val="none"/>
                      <w:lang w:val="en-US" w:eastAsia="zh-CN" w:bidi="ar"/>
                    </w:rPr>
                    <w:t>个釜一轮）</w:t>
                  </w:r>
                </w:p>
              </w:tc>
            </w:tr>
            <w:tr w14:paraId="46F0B2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438" w:type="pct"/>
                  <w:tcBorders>
                    <w:tl2br w:val="nil"/>
                    <w:tr2bl w:val="nil"/>
                  </w:tcBorders>
                  <w:noWrap w:val="0"/>
                  <w:vAlign w:val="center"/>
                </w:tcPr>
                <w:p w14:paraId="0D32B1D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033" w:type="pct"/>
                  <w:tcBorders>
                    <w:tl2br w:val="nil"/>
                    <w:tr2bl w:val="nil"/>
                  </w:tcBorders>
                  <w:noWrap w:val="0"/>
                  <w:vAlign w:val="center"/>
                </w:tcPr>
                <w:p w14:paraId="43234EC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油水分离</w:t>
                  </w:r>
                  <w:r>
                    <w:rPr>
                      <w:rFonts w:hint="eastAsia" w:ascii="Times New Roman" w:hAnsi="Times New Roman" w:eastAsia="宋体" w:cs="Times New Roman"/>
                      <w:i w:val="0"/>
                      <w:iCs w:val="0"/>
                      <w:color w:val="auto"/>
                      <w:kern w:val="0"/>
                      <w:sz w:val="21"/>
                      <w:szCs w:val="21"/>
                      <w:u w:val="none"/>
                      <w:lang w:val="en-US" w:eastAsia="zh-CN" w:bidi="ar"/>
                    </w:rPr>
                    <w:t>池</w:t>
                  </w:r>
                </w:p>
              </w:tc>
              <w:tc>
                <w:tcPr>
                  <w:tcW w:w="1647" w:type="pct"/>
                  <w:tcBorders>
                    <w:tl2br w:val="nil"/>
                    <w:tr2bl w:val="nil"/>
                  </w:tcBorders>
                  <w:noWrap w:val="0"/>
                  <w:vAlign w:val="center"/>
                </w:tcPr>
                <w:p w14:paraId="3BB659A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1.26*1.26*3</w:t>
                  </w:r>
                  <w:r>
                    <w:rPr>
                      <w:rFonts w:hint="default" w:ascii="Times New Roman" w:hAnsi="Times New Roman" w:eastAsia="宋体" w:cs="Times New Roman"/>
                      <w:i w:val="0"/>
                      <w:iCs w:val="0"/>
                      <w:color w:val="auto"/>
                      <w:kern w:val="0"/>
                      <w:sz w:val="21"/>
                      <w:szCs w:val="21"/>
                      <w:u w:val="none"/>
                      <w:lang w:val="en-US" w:eastAsia="zh-CN" w:bidi="ar"/>
                    </w:rPr>
                    <w:t>m</w:t>
                  </w:r>
                </w:p>
              </w:tc>
              <w:tc>
                <w:tcPr>
                  <w:tcW w:w="438" w:type="pct"/>
                  <w:tcBorders>
                    <w:tl2br w:val="nil"/>
                    <w:tr2bl w:val="nil"/>
                  </w:tcBorders>
                  <w:noWrap w:val="0"/>
                  <w:vAlign w:val="center"/>
                </w:tcPr>
                <w:p w14:paraId="535F0C5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w:t>
                  </w:r>
                </w:p>
              </w:tc>
              <w:tc>
                <w:tcPr>
                  <w:tcW w:w="438" w:type="pct"/>
                  <w:tcBorders>
                    <w:tl2br w:val="nil"/>
                    <w:tr2bl w:val="nil"/>
                  </w:tcBorders>
                  <w:noWrap w:val="0"/>
                  <w:vAlign w:val="center"/>
                </w:tcPr>
                <w:p w14:paraId="04FAF09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个</w:t>
                  </w:r>
                </w:p>
              </w:tc>
              <w:tc>
                <w:tcPr>
                  <w:tcW w:w="1003" w:type="pct"/>
                  <w:tcBorders>
                    <w:tl2br w:val="nil"/>
                    <w:tr2bl w:val="nil"/>
                  </w:tcBorders>
                  <w:noWrap w:val="0"/>
                  <w:vAlign w:val="center"/>
                </w:tcPr>
                <w:p w14:paraId="79EA592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p>
              </w:tc>
            </w:tr>
            <w:tr w14:paraId="319924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438" w:type="pct"/>
                  <w:tcBorders>
                    <w:tl2br w:val="nil"/>
                    <w:tr2bl w:val="nil"/>
                  </w:tcBorders>
                  <w:shd w:val="clear" w:color="auto" w:fill="auto"/>
                  <w:noWrap w:val="0"/>
                  <w:vAlign w:val="center"/>
                </w:tcPr>
                <w:p w14:paraId="1A2B066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c>
                <w:tcPr>
                  <w:tcW w:w="1033" w:type="pct"/>
                  <w:tcBorders>
                    <w:tl2br w:val="nil"/>
                    <w:tr2bl w:val="nil"/>
                  </w:tcBorders>
                  <w:noWrap w:val="0"/>
                  <w:vAlign w:val="center"/>
                </w:tcPr>
                <w:p w14:paraId="71E492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破碎机</w:t>
                  </w:r>
                </w:p>
              </w:tc>
              <w:tc>
                <w:tcPr>
                  <w:tcW w:w="1647" w:type="pct"/>
                  <w:tcBorders>
                    <w:tl2br w:val="nil"/>
                    <w:tr2bl w:val="nil"/>
                  </w:tcBorders>
                  <w:noWrap w:val="0"/>
                  <w:vAlign w:val="center"/>
                </w:tcPr>
                <w:p w14:paraId="35AE4E4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HY1500-1600</w:t>
                  </w:r>
                </w:p>
              </w:tc>
              <w:tc>
                <w:tcPr>
                  <w:tcW w:w="438" w:type="pct"/>
                  <w:tcBorders>
                    <w:tl2br w:val="nil"/>
                    <w:tr2bl w:val="nil"/>
                  </w:tcBorders>
                  <w:noWrap w:val="0"/>
                  <w:vAlign w:val="center"/>
                </w:tcPr>
                <w:p w14:paraId="38FBE3A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438" w:type="pct"/>
                  <w:tcBorders>
                    <w:tl2br w:val="nil"/>
                    <w:tr2bl w:val="nil"/>
                  </w:tcBorders>
                  <w:noWrap w:val="0"/>
                  <w:vAlign w:val="center"/>
                </w:tcPr>
                <w:p w14:paraId="06FBAB6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1003" w:type="pct"/>
                  <w:tcBorders>
                    <w:tl2br w:val="nil"/>
                    <w:tr2bl w:val="nil"/>
                  </w:tcBorders>
                  <w:noWrap w:val="0"/>
                  <w:vAlign w:val="center"/>
                </w:tcPr>
                <w:p w14:paraId="299A5C1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p>
              </w:tc>
            </w:tr>
            <w:tr w14:paraId="1F5C43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438" w:type="pct"/>
                  <w:tcBorders>
                    <w:tl2br w:val="nil"/>
                    <w:tr2bl w:val="nil"/>
                  </w:tcBorders>
                  <w:shd w:val="clear" w:color="auto" w:fill="auto"/>
                  <w:noWrap w:val="0"/>
                  <w:vAlign w:val="center"/>
                </w:tcPr>
                <w:p w14:paraId="55A9431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1033" w:type="pct"/>
                  <w:tcBorders>
                    <w:tl2br w:val="nil"/>
                    <w:tr2bl w:val="nil"/>
                  </w:tcBorders>
                  <w:noWrap w:val="0"/>
                  <w:vAlign w:val="center"/>
                </w:tcPr>
                <w:p w14:paraId="4E90DB9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粉碎机</w:t>
                  </w:r>
                </w:p>
              </w:tc>
              <w:tc>
                <w:tcPr>
                  <w:tcW w:w="1647" w:type="pct"/>
                  <w:tcBorders>
                    <w:tl2br w:val="nil"/>
                    <w:tr2bl w:val="nil"/>
                  </w:tcBorders>
                  <w:noWrap w:val="0"/>
                  <w:vAlign w:val="center"/>
                </w:tcPr>
                <w:p w14:paraId="354924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2000</w:t>
                  </w:r>
                  <w:r>
                    <w:rPr>
                      <w:rFonts w:hint="default" w:ascii="Times New Roman" w:hAnsi="Times New Roman" w:eastAsia="宋体" w:cs="Times New Roman"/>
                      <w:i w:val="0"/>
                      <w:iCs w:val="0"/>
                      <w:color w:val="auto"/>
                      <w:kern w:val="0"/>
                      <w:sz w:val="21"/>
                      <w:szCs w:val="21"/>
                      <w:u w:val="none"/>
                      <w:lang w:val="en-US" w:eastAsia="zh-CN" w:bidi="ar"/>
                    </w:rPr>
                    <w:t>型</w:t>
                  </w:r>
                </w:p>
              </w:tc>
              <w:tc>
                <w:tcPr>
                  <w:tcW w:w="438" w:type="pct"/>
                  <w:tcBorders>
                    <w:tl2br w:val="nil"/>
                    <w:tr2bl w:val="nil"/>
                  </w:tcBorders>
                  <w:noWrap w:val="0"/>
                  <w:vAlign w:val="center"/>
                </w:tcPr>
                <w:p w14:paraId="12E5C31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38" w:type="pct"/>
                  <w:tcBorders>
                    <w:tl2br w:val="nil"/>
                    <w:tr2bl w:val="nil"/>
                  </w:tcBorders>
                  <w:noWrap w:val="0"/>
                  <w:vAlign w:val="center"/>
                </w:tcPr>
                <w:p w14:paraId="1474AFB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003" w:type="pct"/>
                  <w:tcBorders>
                    <w:tl2br w:val="nil"/>
                    <w:tr2bl w:val="nil"/>
                  </w:tcBorders>
                  <w:noWrap w:val="0"/>
                  <w:vAlign w:val="center"/>
                </w:tcPr>
                <w:p w14:paraId="1C62CD1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p>
              </w:tc>
            </w:tr>
            <w:tr w14:paraId="35623F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438" w:type="pct"/>
                  <w:tcBorders>
                    <w:tl2br w:val="nil"/>
                    <w:tr2bl w:val="nil"/>
                  </w:tcBorders>
                  <w:shd w:val="clear" w:color="auto" w:fill="auto"/>
                  <w:noWrap w:val="0"/>
                  <w:vAlign w:val="center"/>
                </w:tcPr>
                <w:p w14:paraId="77F3D2C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w:t>
                  </w:r>
                </w:p>
              </w:tc>
              <w:tc>
                <w:tcPr>
                  <w:tcW w:w="1033" w:type="pct"/>
                  <w:tcBorders>
                    <w:tl2br w:val="nil"/>
                    <w:tr2bl w:val="nil"/>
                  </w:tcBorders>
                  <w:noWrap w:val="0"/>
                  <w:vAlign w:val="center"/>
                </w:tcPr>
                <w:p w14:paraId="4516F6F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进</w:t>
                  </w:r>
                  <w:r>
                    <w:rPr>
                      <w:rFonts w:hint="default" w:ascii="Times New Roman" w:hAnsi="Times New Roman" w:eastAsia="宋体" w:cs="Times New Roman"/>
                      <w:i w:val="0"/>
                      <w:iCs w:val="0"/>
                      <w:color w:val="auto"/>
                      <w:kern w:val="0"/>
                      <w:sz w:val="21"/>
                      <w:szCs w:val="21"/>
                      <w:u w:val="none"/>
                      <w:lang w:val="en-US" w:eastAsia="zh-CN" w:bidi="ar"/>
                    </w:rPr>
                    <w:t>料仓</w:t>
                  </w:r>
                </w:p>
              </w:tc>
              <w:tc>
                <w:tcPr>
                  <w:tcW w:w="1647" w:type="pct"/>
                  <w:tcBorders>
                    <w:tl2br w:val="nil"/>
                    <w:tr2bl w:val="nil"/>
                  </w:tcBorders>
                  <w:noWrap w:val="0"/>
                  <w:vAlign w:val="center"/>
                </w:tcPr>
                <w:p w14:paraId="6EF20A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3*4*3m</w:t>
                  </w:r>
                </w:p>
              </w:tc>
              <w:tc>
                <w:tcPr>
                  <w:tcW w:w="438" w:type="pct"/>
                  <w:tcBorders>
                    <w:tl2br w:val="nil"/>
                    <w:tr2bl w:val="nil"/>
                  </w:tcBorders>
                  <w:noWrap w:val="0"/>
                  <w:vAlign w:val="center"/>
                </w:tcPr>
                <w:p w14:paraId="303F72E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38" w:type="pct"/>
                  <w:tcBorders>
                    <w:tl2br w:val="nil"/>
                    <w:tr2bl w:val="nil"/>
                  </w:tcBorders>
                  <w:noWrap w:val="0"/>
                  <w:vAlign w:val="center"/>
                </w:tcPr>
                <w:p w14:paraId="561A913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003" w:type="pct"/>
                  <w:tcBorders>
                    <w:tl2br w:val="nil"/>
                    <w:tr2bl w:val="nil"/>
                  </w:tcBorders>
                  <w:noWrap w:val="0"/>
                  <w:vAlign w:val="center"/>
                </w:tcPr>
                <w:p w14:paraId="1F1804E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r>
            <w:tr w14:paraId="7573BD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438" w:type="pct"/>
                  <w:tcBorders>
                    <w:tl2br w:val="nil"/>
                    <w:tr2bl w:val="nil"/>
                  </w:tcBorders>
                  <w:shd w:val="clear" w:color="auto" w:fill="auto"/>
                  <w:noWrap w:val="0"/>
                  <w:vAlign w:val="center"/>
                </w:tcPr>
                <w:p w14:paraId="6A68BD3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w:t>
                  </w:r>
                </w:p>
              </w:tc>
              <w:tc>
                <w:tcPr>
                  <w:tcW w:w="1033" w:type="pct"/>
                  <w:tcBorders>
                    <w:tl2br w:val="nil"/>
                    <w:tr2bl w:val="nil"/>
                  </w:tcBorders>
                  <w:noWrap w:val="0"/>
                  <w:vAlign w:val="center"/>
                </w:tcPr>
                <w:p w14:paraId="23B2C89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锅炉</w:t>
                  </w:r>
                </w:p>
              </w:tc>
              <w:tc>
                <w:tcPr>
                  <w:tcW w:w="1647" w:type="pct"/>
                  <w:tcBorders>
                    <w:tl2br w:val="nil"/>
                    <w:tr2bl w:val="nil"/>
                  </w:tcBorders>
                  <w:noWrap w:val="0"/>
                  <w:vAlign w:val="center"/>
                </w:tcPr>
                <w:p w14:paraId="3913C33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DZL</w:t>
                  </w:r>
                  <w:r>
                    <w:rPr>
                      <w:rFonts w:hint="default" w:ascii="Times New Roman" w:hAnsi="Times New Roman" w:eastAsia="宋体" w:cs="Times New Roman"/>
                      <w:i w:val="0"/>
                      <w:iCs w:val="0"/>
                      <w:color w:val="auto"/>
                      <w:kern w:val="0"/>
                      <w:sz w:val="21"/>
                      <w:szCs w:val="21"/>
                      <w:u w:val="none"/>
                      <w:lang w:val="en-US" w:eastAsia="zh-CN" w:bidi="ar"/>
                    </w:rPr>
                    <w:t>4-</w:t>
                  </w:r>
                  <w:r>
                    <w:rPr>
                      <w:rFonts w:hint="eastAsia" w:cs="Times New Roman"/>
                      <w:i w:val="0"/>
                      <w:iCs w:val="0"/>
                      <w:color w:val="auto"/>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8t</w:t>
                  </w:r>
                  <w:r>
                    <w:rPr>
                      <w:rFonts w:hint="default" w:ascii="Times New Roman" w:hAnsi="Times New Roman" w:eastAsia="宋体" w:cs="Times New Roman"/>
                      <w:i w:val="0"/>
                      <w:iCs w:val="0"/>
                      <w:color w:val="auto"/>
                      <w:kern w:val="0"/>
                      <w:sz w:val="21"/>
                      <w:szCs w:val="21"/>
                      <w:u w:val="none"/>
                      <w:lang w:val="en-US" w:eastAsia="zh-CN" w:bidi="ar"/>
                    </w:rPr>
                    <w:t>/h</w:t>
                  </w:r>
                </w:p>
              </w:tc>
              <w:tc>
                <w:tcPr>
                  <w:tcW w:w="438" w:type="pct"/>
                  <w:tcBorders>
                    <w:tl2br w:val="nil"/>
                    <w:tr2bl w:val="nil"/>
                  </w:tcBorders>
                  <w:noWrap w:val="0"/>
                  <w:vAlign w:val="center"/>
                </w:tcPr>
                <w:p w14:paraId="55C3765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38" w:type="pct"/>
                  <w:tcBorders>
                    <w:tl2br w:val="nil"/>
                    <w:tr2bl w:val="nil"/>
                  </w:tcBorders>
                  <w:noWrap w:val="0"/>
                  <w:vAlign w:val="center"/>
                </w:tcPr>
                <w:p w14:paraId="4CCA8F4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003" w:type="pct"/>
                  <w:tcBorders>
                    <w:tl2br w:val="nil"/>
                    <w:tr2bl w:val="nil"/>
                  </w:tcBorders>
                  <w:noWrap w:val="0"/>
                  <w:vAlign w:val="center"/>
                </w:tcPr>
                <w:p w14:paraId="750253D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14:paraId="45E69D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438" w:type="pct"/>
                  <w:tcBorders>
                    <w:tl2br w:val="nil"/>
                    <w:tr2bl w:val="nil"/>
                  </w:tcBorders>
                  <w:shd w:val="clear" w:color="auto" w:fill="auto"/>
                  <w:noWrap w:val="0"/>
                  <w:vAlign w:val="center"/>
                </w:tcPr>
                <w:p w14:paraId="0E14922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w:t>
                  </w:r>
                </w:p>
              </w:tc>
              <w:tc>
                <w:tcPr>
                  <w:tcW w:w="1033" w:type="pct"/>
                  <w:tcBorders>
                    <w:tl2br w:val="nil"/>
                    <w:tr2bl w:val="nil"/>
                  </w:tcBorders>
                  <w:noWrap w:val="0"/>
                  <w:vAlign w:val="center"/>
                </w:tcPr>
                <w:p w14:paraId="3444C73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生物质制粒机</w:t>
                  </w:r>
                </w:p>
              </w:tc>
              <w:tc>
                <w:tcPr>
                  <w:tcW w:w="1647" w:type="pct"/>
                  <w:tcBorders>
                    <w:tl2br w:val="nil"/>
                    <w:tr2bl w:val="nil"/>
                  </w:tcBorders>
                  <w:noWrap w:val="0"/>
                  <w:vAlign w:val="center"/>
                </w:tcPr>
                <w:p w14:paraId="6CB1C56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560型</w:t>
                  </w:r>
                </w:p>
              </w:tc>
              <w:tc>
                <w:tcPr>
                  <w:tcW w:w="438" w:type="pct"/>
                  <w:tcBorders>
                    <w:tl2br w:val="nil"/>
                    <w:tr2bl w:val="nil"/>
                  </w:tcBorders>
                  <w:noWrap w:val="0"/>
                  <w:vAlign w:val="center"/>
                </w:tcPr>
                <w:p w14:paraId="58C5417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2</w:t>
                  </w:r>
                </w:p>
              </w:tc>
              <w:tc>
                <w:tcPr>
                  <w:tcW w:w="438" w:type="pct"/>
                  <w:tcBorders>
                    <w:tl2br w:val="nil"/>
                    <w:tr2bl w:val="nil"/>
                  </w:tcBorders>
                  <w:noWrap w:val="0"/>
                  <w:vAlign w:val="center"/>
                </w:tcPr>
                <w:p w14:paraId="4D4D231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003" w:type="pct"/>
                  <w:tcBorders>
                    <w:tl2br w:val="nil"/>
                    <w:tr2bl w:val="nil"/>
                  </w:tcBorders>
                  <w:noWrap w:val="0"/>
                  <w:vAlign w:val="center"/>
                </w:tcPr>
                <w:p w14:paraId="6F9AF94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p>
              </w:tc>
            </w:tr>
            <w:tr w14:paraId="7F17B8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438" w:type="pct"/>
                  <w:tcBorders>
                    <w:tl2br w:val="nil"/>
                    <w:tr2bl w:val="nil"/>
                  </w:tcBorders>
                  <w:shd w:val="clear" w:color="auto" w:fill="auto"/>
                  <w:noWrap w:val="0"/>
                  <w:vAlign w:val="center"/>
                </w:tcPr>
                <w:p w14:paraId="3ECA8D6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w:t>
                  </w:r>
                </w:p>
              </w:tc>
              <w:tc>
                <w:tcPr>
                  <w:tcW w:w="1033" w:type="pct"/>
                  <w:tcBorders>
                    <w:tl2br w:val="nil"/>
                    <w:tr2bl w:val="nil"/>
                  </w:tcBorders>
                  <w:noWrap w:val="0"/>
                  <w:vAlign w:val="center"/>
                </w:tcPr>
                <w:p w14:paraId="7057C35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输送机</w:t>
                  </w:r>
                </w:p>
              </w:tc>
              <w:tc>
                <w:tcPr>
                  <w:tcW w:w="1647" w:type="pct"/>
                  <w:tcBorders>
                    <w:tl2br w:val="nil"/>
                    <w:tr2bl w:val="nil"/>
                  </w:tcBorders>
                  <w:noWrap w:val="0"/>
                  <w:vAlign w:val="center"/>
                </w:tcPr>
                <w:p w14:paraId="6FCF0C5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1200*10m</w:t>
                  </w:r>
                </w:p>
              </w:tc>
              <w:tc>
                <w:tcPr>
                  <w:tcW w:w="438" w:type="pct"/>
                  <w:tcBorders>
                    <w:tl2br w:val="nil"/>
                    <w:tr2bl w:val="nil"/>
                  </w:tcBorders>
                  <w:noWrap w:val="0"/>
                  <w:vAlign w:val="center"/>
                </w:tcPr>
                <w:p w14:paraId="1D6224E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38" w:type="pct"/>
                  <w:tcBorders>
                    <w:tl2br w:val="nil"/>
                    <w:tr2bl w:val="nil"/>
                  </w:tcBorders>
                  <w:noWrap w:val="0"/>
                  <w:vAlign w:val="center"/>
                </w:tcPr>
                <w:p w14:paraId="7C826E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003" w:type="pct"/>
                  <w:tcBorders>
                    <w:tl2br w:val="nil"/>
                    <w:tr2bl w:val="nil"/>
                  </w:tcBorders>
                  <w:noWrap w:val="0"/>
                  <w:vAlign w:val="center"/>
                </w:tcPr>
                <w:p w14:paraId="331D04B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14:paraId="2DE667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438" w:type="pct"/>
                  <w:vMerge w:val="restart"/>
                  <w:tcBorders>
                    <w:tl2br w:val="nil"/>
                    <w:tr2bl w:val="nil"/>
                  </w:tcBorders>
                  <w:noWrap w:val="0"/>
                  <w:vAlign w:val="center"/>
                </w:tcPr>
                <w:p w14:paraId="7768F91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033" w:type="pct"/>
                  <w:vMerge w:val="restart"/>
                  <w:tcBorders>
                    <w:tl2br w:val="nil"/>
                    <w:tr2bl w:val="nil"/>
                  </w:tcBorders>
                  <w:noWrap w:val="0"/>
                  <w:vAlign w:val="center"/>
                </w:tcPr>
                <w:p w14:paraId="07F25DE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出料输送机</w:t>
                  </w:r>
                </w:p>
              </w:tc>
              <w:tc>
                <w:tcPr>
                  <w:tcW w:w="1647" w:type="pct"/>
                  <w:tcBorders>
                    <w:tl2br w:val="nil"/>
                    <w:tr2bl w:val="nil"/>
                  </w:tcBorders>
                  <w:noWrap w:val="0"/>
                  <w:vAlign w:val="center"/>
                </w:tcPr>
                <w:p w14:paraId="5FFCA70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600*10m</w:t>
                  </w:r>
                </w:p>
              </w:tc>
              <w:tc>
                <w:tcPr>
                  <w:tcW w:w="438" w:type="pct"/>
                  <w:tcBorders>
                    <w:tl2br w:val="nil"/>
                    <w:tr2bl w:val="nil"/>
                  </w:tcBorders>
                  <w:noWrap w:val="0"/>
                  <w:vAlign w:val="center"/>
                </w:tcPr>
                <w:p w14:paraId="446FB2A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38" w:type="pct"/>
                  <w:tcBorders>
                    <w:tl2br w:val="nil"/>
                    <w:tr2bl w:val="nil"/>
                  </w:tcBorders>
                  <w:noWrap w:val="0"/>
                  <w:vAlign w:val="center"/>
                </w:tcPr>
                <w:p w14:paraId="782330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003" w:type="pct"/>
                  <w:tcBorders>
                    <w:tl2br w:val="nil"/>
                    <w:tr2bl w:val="nil"/>
                  </w:tcBorders>
                  <w:noWrap w:val="0"/>
                  <w:vAlign w:val="center"/>
                </w:tcPr>
                <w:p w14:paraId="06E210E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14:paraId="4002B4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438" w:type="pct"/>
                  <w:vMerge w:val="continue"/>
                  <w:tcBorders>
                    <w:tl2br w:val="nil"/>
                    <w:tr2bl w:val="nil"/>
                  </w:tcBorders>
                  <w:shd w:val="clear" w:color="auto" w:fill="auto"/>
                  <w:noWrap w:val="0"/>
                  <w:vAlign w:val="center"/>
                </w:tcPr>
                <w:p w14:paraId="1E40F51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33" w:type="pct"/>
                  <w:vMerge w:val="continue"/>
                  <w:tcBorders>
                    <w:tl2br w:val="nil"/>
                    <w:tr2bl w:val="nil"/>
                  </w:tcBorders>
                  <w:noWrap w:val="0"/>
                  <w:vAlign w:val="center"/>
                </w:tcPr>
                <w:p w14:paraId="113BFF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647" w:type="pct"/>
                  <w:tcBorders>
                    <w:tl2br w:val="nil"/>
                    <w:tr2bl w:val="nil"/>
                  </w:tcBorders>
                  <w:noWrap w:val="0"/>
                  <w:vAlign w:val="center"/>
                </w:tcPr>
                <w:p w14:paraId="7503AE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800*10m</w:t>
                  </w:r>
                </w:p>
              </w:tc>
              <w:tc>
                <w:tcPr>
                  <w:tcW w:w="438" w:type="pct"/>
                  <w:tcBorders>
                    <w:tl2br w:val="nil"/>
                    <w:tr2bl w:val="nil"/>
                  </w:tcBorders>
                  <w:noWrap w:val="0"/>
                  <w:vAlign w:val="center"/>
                </w:tcPr>
                <w:p w14:paraId="7F42B94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38" w:type="pct"/>
                  <w:tcBorders>
                    <w:tl2br w:val="nil"/>
                    <w:tr2bl w:val="nil"/>
                  </w:tcBorders>
                  <w:noWrap w:val="0"/>
                  <w:vAlign w:val="center"/>
                </w:tcPr>
                <w:p w14:paraId="0C450B4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003" w:type="pct"/>
                  <w:tcBorders>
                    <w:tl2br w:val="nil"/>
                    <w:tr2bl w:val="nil"/>
                  </w:tcBorders>
                  <w:noWrap w:val="0"/>
                  <w:vAlign w:val="center"/>
                </w:tcPr>
                <w:p w14:paraId="768566E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14:paraId="11ECD5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438" w:type="pct"/>
                  <w:tcBorders>
                    <w:tl2br w:val="nil"/>
                    <w:tr2bl w:val="nil"/>
                  </w:tcBorders>
                  <w:shd w:val="clear" w:color="auto" w:fill="auto"/>
                  <w:noWrap w:val="0"/>
                  <w:vAlign w:val="center"/>
                </w:tcPr>
                <w:p w14:paraId="62AA134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033" w:type="pct"/>
                  <w:tcBorders>
                    <w:tl2br w:val="nil"/>
                    <w:tr2bl w:val="nil"/>
                  </w:tcBorders>
                  <w:noWrap w:val="0"/>
                  <w:vAlign w:val="center"/>
                </w:tcPr>
                <w:p w14:paraId="1B505FA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绞龙输送机</w:t>
                  </w:r>
                </w:p>
              </w:tc>
              <w:tc>
                <w:tcPr>
                  <w:tcW w:w="1647" w:type="pct"/>
                  <w:tcBorders>
                    <w:tl2br w:val="nil"/>
                    <w:tr2bl w:val="nil"/>
                  </w:tcBorders>
                  <w:noWrap w:val="0"/>
                  <w:vAlign w:val="center"/>
                </w:tcPr>
                <w:p w14:paraId="1841DB5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LS-315型</w:t>
                  </w:r>
                </w:p>
              </w:tc>
              <w:tc>
                <w:tcPr>
                  <w:tcW w:w="438" w:type="pct"/>
                  <w:tcBorders>
                    <w:tl2br w:val="nil"/>
                    <w:tr2bl w:val="nil"/>
                  </w:tcBorders>
                  <w:noWrap w:val="0"/>
                  <w:vAlign w:val="center"/>
                </w:tcPr>
                <w:p w14:paraId="504591E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438" w:type="pct"/>
                  <w:tcBorders>
                    <w:tl2br w:val="nil"/>
                    <w:tr2bl w:val="nil"/>
                  </w:tcBorders>
                  <w:noWrap w:val="0"/>
                  <w:vAlign w:val="center"/>
                </w:tcPr>
                <w:p w14:paraId="0076E55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003" w:type="pct"/>
                  <w:tcBorders>
                    <w:tl2br w:val="nil"/>
                    <w:tr2bl w:val="nil"/>
                  </w:tcBorders>
                  <w:noWrap w:val="0"/>
                  <w:vAlign w:val="center"/>
                </w:tcPr>
                <w:p w14:paraId="4E6E194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14:paraId="48D79A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438" w:type="pct"/>
                  <w:tcBorders>
                    <w:tl2br w:val="nil"/>
                    <w:tr2bl w:val="nil"/>
                  </w:tcBorders>
                  <w:shd w:val="clear" w:color="auto" w:fill="auto"/>
                  <w:noWrap w:val="0"/>
                  <w:vAlign w:val="center"/>
                </w:tcPr>
                <w:p w14:paraId="1656837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033" w:type="pct"/>
                  <w:tcBorders>
                    <w:tl2br w:val="nil"/>
                    <w:tr2bl w:val="nil"/>
                  </w:tcBorders>
                  <w:shd w:val="clear" w:color="auto" w:fill="auto"/>
                  <w:noWrap w:val="0"/>
                  <w:vAlign w:val="center"/>
                </w:tcPr>
                <w:p w14:paraId="6EC5488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出料机</w:t>
                  </w:r>
                </w:p>
              </w:tc>
              <w:tc>
                <w:tcPr>
                  <w:tcW w:w="1647" w:type="pct"/>
                  <w:tcBorders>
                    <w:tl2br w:val="nil"/>
                    <w:tr2bl w:val="nil"/>
                  </w:tcBorders>
                  <w:shd w:val="clear" w:color="auto" w:fill="auto"/>
                  <w:noWrap w:val="0"/>
                  <w:vAlign w:val="center"/>
                </w:tcPr>
                <w:p w14:paraId="68BA531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600*6m</w:t>
                  </w:r>
                </w:p>
              </w:tc>
              <w:tc>
                <w:tcPr>
                  <w:tcW w:w="438" w:type="pct"/>
                  <w:tcBorders>
                    <w:tl2br w:val="nil"/>
                    <w:tr2bl w:val="nil"/>
                  </w:tcBorders>
                  <w:shd w:val="clear" w:color="auto" w:fill="auto"/>
                  <w:noWrap w:val="0"/>
                  <w:vAlign w:val="center"/>
                </w:tcPr>
                <w:p w14:paraId="0226C93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438" w:type="pct"/>
                  <w:tcBorders>
                    <w:tl2br w:val="nil"/>
                    <w:tr2bl w:val="nil"/>
                  </w:tcBorders>
                  <w:shd w:val="clear" w:color="auto" w:fill="auto"/>
                  <w:noWrap w:val="0"/>
                  <w:vAlign w:val="center"/>
                </w:tcPr>
                <w:p w14:paraId="636F091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003" w:type="pct"/>
                  <w:tcBorders>
                    <w:tl2br w:val="nil"/>
                    <w:tr2bl w:val="nil"/>
                  </w:tcBorders>
                  <w:shd w:val="clear" w:color="auto" w:fill="auto"/>
                  <w:noWrap w:val="0"/>
                  <w:vAlign w:val="center"/>
                </w:tcPr>
                <w:p w14:paraId="430B994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r>
            <w:tr w14:paraId="73A3A4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438" w:type="pct"/>
                  <w:tcBorders>
                    <w:tl2br w:val="nil"/>
                    <w:tr2bl w:val="nil"/>
                  </w:tcBorders>
                  <w:shd w:val="clear" w:color="auto" w:fill="auto"/>
                  <w:noWrap w:val="0"/>
                  <w:vAlign w:val="center"/>
                </w:tcPr>
                <w:p w14:paraId="218E4A1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033" w:type="pct"/>
                  <w:tcBorders>
                    <w:tl2br w:val="nil"/>
                    <w:tr2bl w:val="nil"/>
                  </w:tcBorders>
                  <w:shd w:val="clear" w:color="auto" w:fill="auto"/>
                  <w:noWrap w:val="0"/>
                  <w:vAlign w:val="center"/>
                </w:tcPr>
                <w:p w14:paraId="5E0D6D3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闭式冷却塔</w:t>
                  </w:r>
                </w:p>
              </w:tc>
              <w:tc>
                <w:tcPr>
                  <w:tcW w:w="1647" w:type="pct"/>
                  <w:tcBorders>
                    <w:tl2br w:val="nil"/>
                    <w:tr2bl w:val="nil"/>
                  </w:tcBorders>
                  <w:shd w:val="clear" w:color="auto" w:fill="auto"/>
                  <w:noWrap w:val="0"/>
                  <w:vAlign w:val="center"/>
                </w:tcPr>
                <w:p w14:paraId="26045B6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400</w:t>
                  </w:r>
                  <w:r>
                    <w:rPr>
                      <w:rFonts w:hint="default" w:ascii="Times New Roman" w:hAnsi="Times New Roman" w:eastAsia="宋体" w:cs="Times New Roman"/>
                      <w:i w:val="0"/>
                      <w:iCs w:val="0"/>
                      <w:color w:val="auto"/>
                      <w:kern w:val="0"/>
                      <w:sz w:val="21"/>
                      <w:szCs w:val="21"/>
                      <w:u w:val="none"/>
                      <w:lang w:val="en-US" w:eastAsia="zh-CN" w:bidi="ar"/>
                    </w:rPr>
                    <w:t>T</w:t>
                  </w:r>
                </w:p>
              </w:tc>
              <w:tc>
                <w:tcPr>
                  <w:tcW w:w="438" w:type="pct"/>
                  <w:tcBorders>
                    <w:tl2br w:val="nil"/>
                    <w:tr2bl w:val="nil"/>
                  </w:tcBorders>
                  <w:shd w:val="clear" w:color="auto" w:fill="auto"/>
                  <w:noWrap w:val="0"/>
                  <w:vAlign w:val="center"/>
                </w:tcPr>
                <w:p w14:paraId="04040D3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438" w:type="pct"/>
                  <w:tcBorders>
                    <w:tl2br w:val="nil"/>
                    <w:tr2bl w:val="nil"/>
                  </w:tcBorders>
                  <w:shd w:val="clear" w:color="auto" w:fill="auto"/>
                  <w:noWrap w:val="0"/>
                  <w:vAlign w:val="center"/>
                </w:tcPr>
                <w:p w14:paraId="06244AA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座</w:t>
                  </w:r>
                </w:p>
              </w:tc>
              <w:tc>
                <w:tcPr>
                  <w:tcW w:w="1003" w:type="pct"/>
                  <w:tcBorders>
                    <w:tl2br w:val="nil"/>
                    <w:tr2bl w:val="nil"/>
                  </w:tcBorders>
                  <w:shd w:val="clear" w:color="auto" w:fill="auto"/>
                  <w:noWrap w:val="0"/>
                  <w:vAlign w:val="center"/>
                </w:tcPr>
                <w:p w14:paraId="05DE789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61EA8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8" w:type="pct"/>
                  <w:tcBorders>
                    <w:tl2br w:val="nil"/>
                    <w:tr2bl w:val="nil"/>
                  </w:tcBorders>
                  <w:noWrap w:val="0"/>
                  <w:vAlign w:val="center"/>
                </w:tcPr>
                <w:p w14:paraId="17AF9F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14</w:t>
                  </w:r>
                </w:p>
              </w:tc>
              <w:tc>
                <w:tcPr>
                  <w:tcW w:w="1033" w:type="pct"/>
                  <w:tcBorders>
                    <w:tl2br w:val="nil"/>
                    <w:tr2bl w:val="nil"/>
                  </w:tcBorders>
                  <w:shd w:val="clear" w:color="auto" w:fill="auto"/>
                  <w:noWrap w:val="0"/>
                  <w:vAlign w:val="center"/>
                </w:tcPr>
                <w:p w14:paraId="039DFB1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布袋除尘器</w:t>
                  </w:r>
                </w:p>
              </w:tc>
              <w:tc>
                <w:tcPr>
                  <w:tcW w:w="1647" w:type="pct"/>
                  <w:tcBorders>
                    <w:tl2br w:val="nil"/>
                    <w:tr2bl w:val="nil"/>
                  </w:tcBorders>
                  <w:shd w:val="clear" w:color="auto" w:fill="auto"/>
                  <w:noWrap w:val="0"/>
                  <w:vAlign w:val="center"/>
                </w:tcPr>
                <w:p w14:paraId="77A721F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438" w:type="pct"/>
                  <w:tcBorders>
                    <w:tl2br w:val="nil"/>
                    <w:tr2bl w:val="nil"/>
                  </w:tcBorders>
                  <w:shd w:val="clear" w:color="auto" w:fill="auto"/>
                  <w:noWrap w:val="0"/>
                  <w:vAlign w:val="center"/>
                </w:tcPr>
                <w:p w14:paraId="7F10568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w:t>
                  </w:r>
                </w:p>
              </w:tc>
              <w:tc>
                <w:tcPr>
                  <w:tcW w:w="438" w:type="pct"/>
                  <w:tcBorders>
                    <w:tl2br w:val="nil"/>
                    <w:tr2bl w:val="nil"/>
                  </w:tcBorders>
                  <w:shd w:val="clear" w:color="auto" w:fill="auto"/>
                  <w:noWrap w:val="0"/>
                  <w:vAlign w:val="center"/>
                </w:tcPr>
                <w:p w14:paraId="4B9744C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1003" w:type="pct"/>
                  <w:tcBorders>
                    <w:tl2br w:val="nil"/>
                    <w:tr2bl w:val="nil"/>
                  </w:tcBorders>
                  <w:shd w:val="clear" w:color="auto" w:fill="auto"/>
                  <w:noWrap w:val="0"/>
                  <w:vAlign w:val="center"/>
                </w:tcPr>
                <w:p w14:paraId="6708358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0BC17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438" w:type="pct"/>
                  <w:tcBorders>
                    <w:tl2br w:val="nil"/>
                    <w:tr2bl w:val="nil"/>
                  </w:tcBorders>
                  <w:noWrap w:val="0"/>
                  <w:vAlign w:val="center"/>
                </w:tcPr>
                <w:p w14:paraId="6E9D9131">
                  <w:pPr>
                    <w:keepNext w:val="0"/>
                    <w:keepLines w:val="0"/>
                    <w:widowControl/>
                    <w:suppressLineNumbers w:val="0"/>
                    <w:spacing w:before="0" w:beforeAutospacing="0" w:after="0" w:afterAutospacing="0" w:line="240" w:lineRule="auto"/>
                    <w:ind w:left="0" w:right="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15</w:t>
                  </w:r>
                </w:p>
              </w:tc>
              <w:tc>
                <w:tcPr>
                  <w:tcW w:w="1033" w:type="pct"/>
                  <w:tcBorders>
                    <w:tl2br w:val="nil"/>
                    <w:tr2bl w:val="nil"/>
                  </w:tcBorders>
                  <w:shd w:val="clear" w:color="auto" w:fill="auto"/>
                  <w:noWrap w:val="0"/>
                  <w:vAlign w:val="center"/>
                </w:tcPr>
                <w:p w14:paraId="3F90804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多管旋风除尘器</w:t>
                  </w:r>
                </w:p>
              </w:tc>
              <w:tc>
                <w:tcPr>
                  <w:tcW w:w="1647" w:type="pct"/>
                  <w:tcBorders>
                    <w:tl2br w:val="nil"/>
                    <w:tr2bl w:val="nil"/>
                  </w:tcBorders>
                  <w:shd w:val="clear" w:color="auto" w:fill="auto"/>
                  <w:noWrap w:val="0"/>
                  <w:vAlign w:val="center"/>
                </w:tcPr>
                <w:p w14:paraId="0F6F77A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438" w:type="pct"/>
                  <w:tcBorders>
                    <w:tl2br w:val="nil"/>
                    <w:tr2bl w:val="nil"/>
                  </w:tcBorders>
                  <w:shd w:val="clear" w:color="auto" w:fill="auto"/>
                  <w:noWrap w:val="0"/>
                  <w:vAlign w:val="center"/>
                </w:tcPr>
                <w:p w14:paraId="304052A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438" w:type="pct"/>
                  <w:tcBorders>
                    <w:tl2br w:val="nil"/>
                    <w:tr2bl w:val="nil"/>
                  </w:tcBorders>
                  <w:shd w:val="clear" w:color="auto" w:fill="auto"/>
                  <w:noWrap w:val="0"/>
                  <w:vAlign w:val="center"/>
                </w:tcPr>
                <w:p w14:paraId="0C2CC15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1003" w:type="pct"/>
                  <w:tcBorders>
                    <w:tl2br w:val="nil"/>
                    <w:tr2bl w:val="nil"/>
                  </w:tcBorders>
                  <w:shd w:val="clear" w:color="auto" w:fill="auto"/>
                  <w:noWrap w:val="0"/>
                  <w:vAlign w:val="center"/>
                </w:tcPr>
                <w:p w14:paraId="2BB54DF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8F9CC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438" w:type="pct"/>
                  <w:tcBorders>
                    <w:tl2br w:val="nil"/>
                    <w:tr2bl w:val="nil"/>
                  </w:tcBorders>
                  <w:noWrap w:val="0"/>
                  <w:vAlign w:val="center"/>
                </w:tcPr>
                <w:p w14:paraId="032D0341">
                  <w:pPr>
                    <w:keepNext w:val="0"/>
                    <w:keepLines w:val="0"/>
                    <w:widowControl/>
                    <w:suppressLineNumbers w:val="0"/>
                    <w:spacing w:before="0" w:beforeAutospacing="0" w:after="0" w:afterAutospacing="0" w:line="240" w:lineRule="auto"/>
                    <w:ind w:left="0" w:right="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16</w:t>
                  </w:r>
                </w:p>
              </w:tc>
              <w:tc>
                <w:tcPr>
                  <w:tcW w:w="1033" w:type="pct"/>
                  <w:tcBorders>
                    <w:tl2br w:val="nil"/>
                    <w:tr2bl w:val="nil"/>
                  </w:tcBorders>
                  <w:shd w:val="clear" w:color="auto" w:fill="auto"/>
                  <w:noWrap w:val="0"/>
                  <w:vAlign w:val="center"/>
                </w:tcPr>
                <w:p w14:paraId="71A7F02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两级活性炭吸附装置</w:t>
                  </w:r>
                </w:p>
              </w:tc>
              <w:tc>
                <w:tcPr>
                  <w:tcW w:w="1647" w:type="pct"/>
                  <w:tcBorders>
                    <w:tl2br w:val="nil"/>
                    <w:tr2bl w:val="nil"/>
                  </w:tcBorders>
                  <w:shd w:val="clear" w:color="auto" w:fill="auto"/>
                  <w:noWrap w:val="0"/>
                  <w:vAlign w:val="center"/>
                </w:tcPr>
                <w:p w14:paraId="33574BA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438" w:type="pct"/>
                  <w:tcBorders>
                    <w:tl2br w:val="nil"/>
                    <w:tr2bl w:val="nil"/>
                  </w:tcBorders>
                  <w:shd w:val="clear" w:color="auto" w:fill="auto"/>
                  <w:noWrap w:val="0"/>
                  <w:vAlign w:val="center"/>
                </w:tcPr>
                <w:p w14:paraId="0319F81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438" w:type="pct"/>
                  <w:tcBorders>
                    <w:tl2br w:val="nil"/>
                    <w:tr2bl w:val="nil"/>
                  </w:tcBorders>
                  <w:shd w:val="clear" w:color="auto" w:fill="auto"/>
                  <w:noWrap w:val="0"/>
                  <w:vAlign w:val="center"/>
                </w:tcPr>
                <w:p w14:paraId="281D6006">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1003" w:type="pct"/>
                  <w:tcBorders>
                    <w:tl2br w:val="nil"/>
                    <w:tr2bl w:val="nil"/>
                  </w:tcBorders>
                  <w:shd w:val="clear" w:color="auto" w:fill="auto"/>
                  <w:noWrap w:val="0"/>
                  <w:vAlign w:val="center"/>
                </w:tcPr>
                <w:p w14:paraId="29FF1CF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14:paraId="055926F0">
            <w:pPr>
              <w:keepNext w:val="0"/>
              <w:keepLines w:val="0"/>
              <w:suppressLineNumbers w:val="0"/>
              <w:spacing w:before="120" w:beforeLines="50" w:beforeAutospacing="0" w:after="0" w:afterAutospacing="0"/>
              <w:ind w:left="0" w:right="0" w:firstLine="420" w:firstLineChars="200"/>
              <w:rPr>
                <w:rFonts w:hint="eastAsia" w:ascii="Times New Roman" w:hAnsi="Times New Roman" w:cs="宋体"/>
                <w:color w:val="auto"/>
                <w:sz w:val="21"/>
                <w:szCs w:val="21"/>
                <w:lang w:bidi="ar"/>
              </w:rPr>
            </w:pPr>
            <w:r>
              <w:rPr>
                <w:rFonts w:hint="eastAsia" w:ascii="Times New Roman" w:hAnsi="Times New Roman" w:cs="宋体"/>
                <w:color w:val="auto"/>
                <w:sz w:val="21"/>
                <w:szCs w:val="21"/>
                <w:lang w:bidi="ar"/>
              </w:rPr>
              <w:t>备注：禁止使用《产业结构调整指导目录</w:t>
            </w:r>
            <w:r>
              <w:rPr>
                <w:rFonts w:hint="eastAsia" w:ascii="Times New Roman" w:hAnsi="Times New Roman" w:cs="宋体"/>
                <w:color w:val="auto"/>
                <w:sz w:val="21"/>
                <w:szCs w:val="21"/>
                <w:lang w:eastAsia="zh-CN" w:bidi="ar"/>
              </w:rPr>
              <w:t>（2024年）</w:t>
            </w:r>
            <w:r>
              <w:rPr>
                <w:rFonts w:hint="eastAsia" w:ascii="Times New Roman" w:hAnsi="Times New Roman" w:cs="宋体"/>
                <w:color w:val="auto"/>
                <w:sz w:val="21"/>
                <w:szCs w:val="21"/>
                <w:lang w:bidi="ar"/>
              </w:rPr>
              <w:t>》中规定的以及《部分工业行业淘汰落后生产工艺装备和产品指导目录</w:t>
            </w:r>
            <w:r>
              <w:rPr>
                <w:rFonts w:hint="eastAsia" w:ascii="Times New Roman" w:hAnsi="Times New Roman" w:cs="宋体"/>
                <w:color w:val="auto"/>
                <w:sz w:val="21"/>
                <w:szCs w:val="21"/>
                <w:lang w:eastAsia="zh-CN" w:bidi="ar"/>
              </w:rPr>
              <w:t>（</w:t>
            </w:r>
            <w:r>
              <w:rPr>
                <w:rFonts w:hint="eastAsia" w:ascii="Times New Roman" w:hAnsi="Times New Roman" w:cs="宋体"/>
                <w:color w:val="auto"/>
                <w:sz w:val="21"/>
                <w:szCs w:val="21"/>
                <w:lang w:bidi="ar"/>
              </w:rPr>
              <w:t>2010年本</w:t>
            </w:r>
            <w:r>
              <w:rPr>
                <w:rFonts w:hint="eastAsia" w:ascii="Times New Roman" w:hAnsi="Times New Roman" w:cs="宋体"/>
                <w:color w:val="auto"/>
                <w:sz w:val="21"/>
                <w:szCs w:val="21"/>
                <w:lang w:eastAsia="zh-CN" w:bidi="ar"/>
              </w:rPr>
              <w:t>）</w:t>
            </w:r>
            <w:r>
              <w:rPr>
                <w:rFonts w:hint="eastAsia" w:ascii="Times New Roman" w:hAnsi="Times New Roman" w:cs="宋体"/>
                <w:color w:val="auto"/>
                <w:sz w:val="21"/>
                <w:szCs w:val="21"/>
                <w:lang w:bidi="ar"/>
              </w:rPr>
              <w:t>》中规定的淘汰、限制类设备。</w:t>
            </w:r>
          </w:p>
          <w:p w14:paraId="149D764F">
            <w:pPr>
              <w:pStyle w:val="25"/>
              <w:keepNext w:val="0"/>
              <w:keepLines w:val="0"/>
              <w:suppressLineNumbers w:val="0"/>
              <w:overflowPunct w:val="0"/>
              <w:topLinePunct/>
              <w:adjustRightInd w:val="0"/>
              <w:snapToGrid w:val="0"/>
              <w:spacing w:before="0" w:beforeAutospacing="0" w:after="0" w:afterAutospacing="0"/>
              <w:ind w:left="0" w:right="0"/>
              <w:jc w:val="both"/>
              <w:rPr>
                <w:rFonts w:hint="eastAsia" w:ascii="Times New Roman" w:hAnsi="Times New Roman" w:cs="宋体"/>
                <w:b/>
                <w:bCs/>
                <w:color w:val="auto"/>
                <w:kern w:val="2"/>
                <w:szCs w:val="24"/>
                <w:lang w:bidi="ar"/>
              </w:rPr>
            </w:pPr>
            <w:r>
              <w:rPr>
                <w:rFonts w:hint="eastAsia" w:ascii="Times New Roman" w:hAnsi="Times New Roman" w:cs="宋体"/>
                <w:b/>
                <w:bCs/>
                <w:color w:val="auto"/>
                <w:kern w:val="2"/>
                <w:szCs w:val="24"/>
                <w:lang w:bidi="ar"/>
              </w:rPr>
              <w:t>六、公用工程</w:t>
            </w:r>
          </w:p>
          <w:p w14:paraId="203BAADC">
            <w:pPr>
              <w:keepNext w:val="0"/>
              <w:keepLines w:val="0"/>
              <w:suppressLineNumbers w:val="0"/>
              <w:spacing w:before="0" w:beforeAutospacing="0" w:after="0" w:afterAutospacing="0"/>
              <w:ind w:left="0" w:right="0" w:firstLine="482" w:firstLineChars="200"/>
              <w:rPr>
                <w:rFonts w:hint="eastAsia" w:ascii="Times New Roman" w:hAnsi="Times New Roman" w:cs="Times New Roman"/>
                <w:b/>
                <w:bCs/>
                <w:color w:val="auto"/>
                <w:szCs w:val="21"/>
              </w:rPr>
            </w:pPr>
            <w:r>
              <w:rPr>
                <w:rFonts w:hint="eastAsia" w:ascii="Times New Roman" w:hAnsi="Times New Roman" w:cs="Times New Roman"/>
                <w:b/>
                <w:bCs/>
                <w:color w:val="auto"/>
                <w:szCs w:val="21"/>
              </w:rPr>
              <w:t>1、供电</w:t>
            </w:r>
          </w:p>
          <w:p w14:paraId="66B65060">
            <w:pPr>
              <w:keepNext w:val="0"/>
              <w:keepLines w:val="0"/>
              <w:suppressLineNumbers w:val="0"/>
              <w:spacing w:before="0" w:beforeAutospacing="0" w:after="0" w:afterAutospacing="0"/>
              <w:ind w:left="0" w:right="0" w:firstLine="480" w:firstLineChars="200"/>
              <w:rPr>
                <w:rFonts w:hint="eastAsia" w:ascii="Times New Roman" w:hAnsi="Times New Roman" w:cs="Times New Roman"/>
                <w:color w:val="auto"/>
                <w:szCs w:val="21"/>
                <w:lang w:val="en-GB"/>
              </w:rPr>
            </w:pPr>
            <w:r>
              <w:rPr>
                <w:rFonts w:hint="eastAsia" w:ascii="Times New Roman" w:hAnsi="Times New Roman" w:cs="Times New Roman"/>
                <w:color w:val="auto"/>
                <w:szCs w:val="21"/>
                <w:lang w:val="en-GB"/>
              </w:rPr>
              <w:t>项目用电由</w:t>
            </w:r>
            <w:r>
              <w:rPr>
                <w:rFonts w:hint="eastAsia" w:ascii="Times New Roman" w:hAnsi="Times New Roman" w:cs="Times New Roman"/>
                <w:color w:val="auto"/>
                <w:szCs w:val="21"/>
                <w:lang w:val="en-US" w:eastAsia="zh-CN"/>
              </w:rPr>
              <w:t>园区电网</w:t>
            </w:r>
            <w:r>
              <w:rPr>
                <w:rFonts w:hint="eastAsia" w:ascii="Times New Roman" w:hAnsi="Times New Roman" w:cs="Times New Roman"/>
                <w:color w:val="auto"/>
                <w:szCs w:val="21"/>
                <w:lang w:val="en-GB"/>
              </w:rPr>
              <w:t>供电，能够满足用电需求。</w:t>
            </w:r>
          </w:p>
          <w:p w14:paraId="3EF17020">
            <w:pPr>
              <w:keepNext w:val="0"/>
              <w:keepLines w:val="0"/>
              <w:suppressLineNumbers w:val="0"/>
              <w:spacing w:before="0" w:beforeAutospacing="0" w:after="0" w:afterAutospacing="0"/>
              <w:ind w:left="0" w:right="0" w:firstLine="482" w:firstLineChars="200"/>
              <w:rPr>
                <w:rFonts w:hint="eastAsia" w:ascii="Times New Roman" w:hAnsi="Times New Roman" w:cs="Times New Roman"/>
                <w:b/>
                <w:bCs/>
                <w:color w:val="auto"/>
                <w:szCs w:val="21"/>
              </w:rPr>
            </w:pPr>
            <w:r>
              <w:rPr>
                <w:rFonts w:hint="eastAsia" w:ascii="Times New Roman" w:hAnsi="Times New Roman" w:cs="Times New Roman"/>
                <w:b/>
                <w:bCs/>
                <w:color w:val="auto"/>
                <w:szCs w:val="21"/>
              </w:rPr>
              <w:t>2、给水</w:t>
            </w:r>
          </w:p>
          <w:p w14:paraId="5385C211">
            <w:pPr>
              <w:keepNext w:val="0"/>
              <w:keepLines w:val="0"/>
              <w:suppressLineNumbers w:val="0"/>
              <w:spacing w:before="0" w:beforeAutospacing="0" w:after="0" w:afterAutospacing="0"/>
              <w:ind w:left="0" w:right="0" w:firstLine="480"/>
              <w:rPr>
                <w:rFonts w:hint="eastAsia" w:ascii="Times New Roman" w:hAnsi="Times New Roman" w:cs="Times New Roman"/>
                <w:color w:val="auto"/>
              </w:rPr>
            </w:pPr>
            <w:r>
              <w:rPr>
                <w:rFonts w:hint="eastAsia" w:ascii="Times New Roman" w:hAnsi="Times New Roman" w:cs="Times New Roman"/>
                <w:color w:val="auto"/>
              </w:rPr>
              <w:t>①生活用水</w:t>
            </w:r>
          </w:p>
          <w:p w14:paraId="48449DDE">
            <w:pPr>
              <w:keepNext w:val="0"/>
              <w:keepLines w:val="0"/>
              <w:suppressLineNumbers w:val="0"/>
              <w:spacing w:before="0" w:beforeAutospacing="0" w:after="0" w:afterAutospacing="0"/>
              <w:ind w:left="0" w:right="0" w:firstLine="480"/>
              <w:rPr>
                <w:rFonts w:hint="eastAsia" w:ascii="Times New Roman" w:hAnsi="Times New Roman" w:cs="Times New Roman"/>
                <w:color w:val="auto"/>
              </w:rPr>
            </w:pPr>
            <w:r>
              <w:rPr>
                <w:rFonts w:hint="eastAsia" w:ascii="Times New Roman" w:hAnsi="Times New Roman" w:cs="Times New Roman"/>
                <w:color w:val="auto"/>
              </w:rPr>
              <w:t>本项目不提供员工住宿，</w:t>
            </w:r>
            <w:r>
              <w:rPr>
                <w:rFonts w:hint="eastAsia" w:cs="Times New Roman"/>
                <w:color w:val="auto"/>
                <w:lang w:val="en-US" w:eastAsia="zh-CN"/>
              </w:rPr>
              <w:t>也</w:t>
            </w:r>
            <w:r>
              <w:rPr>
                <w:rFonts w:hint="eastAsia" w:ascii="Times New Roman" w:hAnsi="Times New Roman" w:cs="Times New Roman"/>
                <w:color w:val="auto"/>
              </w:rPr>
              <w:t>不设员工食堂，员工人数</w:t>
            </w:r>
            <w:r>
              <w:rPr>
                <w:rFonts w:hint="eastAsia" w:ascii="Times New Roman" w:hAnsi="Times New Roman" w:cs="Times New Roman"/>
                <w:color w:val="auto"/>
                <w:lang w:eastAsia="zh-CN"/>
              </w:rPr>
              <w:t>20人</w:t>
            </w:r>
            <w:r>
              <w:rPr>
                <w:rFonts w:hint="default" w:ascii="Times New Roman" w:hAnsi="Times New Roman" w:cs="Times New Roman"/>
                <w:color w:val="auto"/>
              </w:rPr>
              <w:t>，</w:t>
            </w:r>
            <w:r>
              <w:rPr>
                <w:rFonts w:hint="default" w:ascii="Times New Roman" w:hAnsi="Times New Roman" w:cs="Times New Roman"/>
                <w:bCs/>
                <w:color w:val="auto"/>
              </w:rPr>
              <w:t>根据</w:t>
            </w:r>
            <w:r>
              <w:rPr>
                <w:rFonts w:hint="default" w:ascii="Times New Roman" w:hAnsi="Times New Roman" w:cs="Times New Roman"/>
                <w:color w:val="auto"/>
                <w:szCs w:val="32"/>
              </w:rPr>
              <w:t>《四川省用水定额》（川府函</w:t>
            </w:r>
            <w:r>
              <w:rPr>
                <w:rFonts w:hint="eastAsia" w:cs="Times New Roman"/>
                <w:color w:val="auto"/>
                <w:szCs w:val="32"/>
                <w:lang w:eastAsia="zh-CN"/>
              </w:rPr>
              <w:t>〔2021〕8号</w:t>
            </w:r>
            <w:r>
              <w:rPr>
                <w:rFonts w:hint="default" w:ascii="Times New Roman" w:hAnsi="Times New Roman" w:cs="Times New Roman"/>
                <w:color w:val="auto"/>
                <w:szCs w:val="32"/>
              </w:rPr>
              <w:t>）</w:t>
            </w:r>
            <w:r>
              <w:rPr>
                <w:rFonts w:hint="default" w:ascii="Times New Roman" w:hAnsi="Times New Roman" w:cs="Times New Roman"/>
                <w:color w:val="auto"/>
              </w:rPr>
              <w:t>，本项目位于蓬溪县，为小城市，员工生活用水量按</w:t>
            </w:r>
            <w:r>
              <w:rPr>
                <w:rFonts w:hint="eastAsia" w:ascii="Times New Roman" w:hAnsi="Times New Roman" w:cs="Times New Roman"/>
                <w:color w:val="auto"/>
              </w:rPr>
              <w:t>100</w:t>
            </w:r>
            <w:r>
              <w:rPr>
                <w:rFonts w:hint="default" w:ascii="Times New Roman" w:hAnsi="Times New Roman" w:cs="Times New Roman"/>
                <w:color w:val="auto"/>
              </w:rPr>
              <w:t>L/（人·d）</w:t>
            </w:r>
            <w:r>
              <w:rPr>
                <w:rFonts w:hint="eastAsia" w:ascii="Times New Roman" w:hAnsi="Times New Roman" w:cs="Times New Roman"/>
                <w:color w:val="auto"/>
              </w:rPr>
              <w:t>，</w:t>
            </w:r>
            <w:r>
              <w:rPr>
                <w:rFonts w:hint="default" w:ascii="Times New Roman" w:hAnsi="Times New Roman" w:cs="Times New Roman"/>
                <w:color w:val="auto"/>
              </w:rPr>
              <w:t>则本项目员工生活用水量为</w:t>
            </w:r>
            <w:r>
              <w:rPr>
                <w:rFonts w:hint="eastAsia" w:ascii="Times New Roman" w:hAnsi="Times New Roman" w:cs="Times New Roman"/>
                <w:color w:val="auto"/>
                <w:lang w:val="en-US" w:eastAsia="zh-CN"/>
              </w:rPr>
              <w:t>2</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lang w:val="en-US" w:eastAsia="zh-CN"/>
              </w:rPr>
              <w:t>600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p w14:paraId="6B1E7889">
            <w:pPr>
              <w:keepNext w:val="0"/>
              <w:keepLines w:val="0"/>
              <w:suppressLineNumbers w:val="0"/>
              <w:spacing w:before="0" w:beforeAutospacing="0" w:after="0" w:afterAutospacing="0"/>
              <w:ind w:left="0" w:right="0" w:firstLine="480"/>
              <w:rPr>
                <w:rFonts w:hint="eastAsia" w:ascii="Times New Roman" w:hAnsi="Times New Roman" w:cs="Times New Roman"/>
                <w:color w:val="auto"/>
              </w:rPr>
            </w:pPr>
            <w:r>
              <w:rPr>
                <w:rFonts w:hint="eastAsia" w:ascii="Times New Roman" w:hAnsi="Times New Roman" w:cs="Times New Roman"/>
                <w:color w:val="auto"/>
              </w:rPr>
              <w:t>②</w:t>
            </w:r>
            <w:r>
              <w:rPr>
                <w:rFonts w:hint="eastAsia" w:ascii="Times New Roman" w:hAnsi="Times New Roman" w:cs="Times New Roman"/>
                <w:color w:val="auto"/>
                <w:lang w:val="en-US" w:eastAsia="zh-CN"/>
              </w:rPr>
              <w:t>锅炉</w:t>
            </w:r>
            <w:r>
              <w:rPr>
                <w:rFonts w:hint="eastAsia" w:ascii="Times New Roman" w:hAnsi="Times New Roman" w:cs="Times New Roman"/>
                <w:color w:val="auto"/>
              </w:rPr>
              <w:t>用水</w:t>
            </w:r>
          </w:p>
          <w:p w14:paraId="52BB7EB6">
            <w:pPr>
              <w:keepNext w:val="0"/>
              <w:keepLines w:val="0"/>
              <w:suppressLineNumbers w:val="0"/>
              <w:spacing w:before="0" w:beforeAutospacing="0" w:after="0" w:afterAutospacing="0"/>
              <w:ind w:left="0" w:right="0" w:firstLine="480"/>
              <w:rPr>
                <w:rFonts w:hint="eastAsia" w:ascii="Times New Roman" w:hAnsi="Times New Roman" w:cs="Times New Roman"/>
                <w:color w:val="auto"/>
                <w:kern w:val="0"/>
              </w:rPr>
            </w:pPr>
            <w:r>
              <w:rPr>
                <w:rFonts w:hint="eastAsia" w:ascii="Times New Roman" w:hAnsi="Times New Roman" w:cs="Times New Roman"/>
                <w:color w:val="auto"/>
                <w:kern w:val="0"/>
                <w:lang w:val="en-US" w:eastAsia="zh-CN"/>
              </w:rPr>
              <w:t>项目生物质锅炉主要用于为</w:t>
            </w:r>
            <w:r>
              <w:rPr>
                <w:rFonts w:hint="eastAsia" w:cs="Times New Roman"/>
                <w:color w:val="auto"/>
                <w:kern w:val="0"/>
                <w:lang w:val="en-US" w:eastAsia="zh-CN"/>
              </w:rPr>
              <w:t>蒸馏釜</w:t>
            </w:r>
            <w:r>
              <w:rPr>
                <w:rFonts w:hint="eastAsia" w:ascii="Times New Roman" w:hAnsi="Times New Roman" w:cs="Times New Roman"/>
                <w:color w:val="auto"/>
                <w:kern w:val="0"/>
                <w:lang w:val="en-US" w:eastAsia="zh-CN"/>
              </w:rPr>
              <w:t>提供蒸汽，</w:t>
            </w:r>
            <w:r>
              <w:rPr>
                <w:rFonts w:hint="eastAsia" w:cs="Times New Roman"/>
                <w:color w:val="auto"/>
                <w:kern w:val="0"/>
                <w:lang w:val="en-US" w:eastAsia="zh-CN"/>
              </w:rPr>
              <w:t>为预留后期扩大产能空间，</w:t>
            </w:r>
            <w:r>
              <w:rPr>
                <w:rFonts w:hint="eastAsia" w:ascii="Times New Roman" w:hAnsi="Times New Roman" w:cs="Times New Roman"/>
                <w:color w:val="auto"/>
                <w:kern w:val="0"/>
                <w:lang w:val="en-US" w:eastAsia="zh-CN"/>
              </w:rPr>
              <w:t>本项目</w:t>
            </w:r>
            <w:r>
              <w:rPr>
                <w:rFonts w:hint="eastAsia" w:cs="Times New Roman"/>
                <w:color w:val="auto"/>
                <w:kern w:val="0"/>
                <w:lang w:val="en-US" w:eastAsia="zh-CN"/>
              </w:rPr>
              <w:t>设置</w:t>
            </w:r>
            <w:r>
              <w:rPr>
                <w:rFonts w:hint="eastAsia" w:ascii="Times New Roman" w:hAnsi="Times New Roman" w:cs="Times New Roman"/>
                <w:color w:val="auto"/>
                <w:kern w:val="0"/>
                <w:lang w:val="en-US" w:eastAsia="zh-CN"/>
              </w:rPr>
              <w:t>锅炉为8t/h，根据目前生产能力，锅炉实际使用能力为5t/h，则锅炉补水量为40m</w:t>
            </w:r>
            <w:r>
              <w:rPr>
                <w:rFonts w:hint="eastAsia" w:ascii="Times New Roman" w:hAnsi="Times New Roman" w:cs="Times New Roman"/>
                <w:color w:val="auto"/>
                <w:kern w:val="0"/>
                <w:vertAlign w:val="superscript"/>
                <w:lang w:val="en-US" w:eastAsia="zh-CN"/>
              </w:rPr>
              <w:t>3</w:t>
            </w:r>
            <w:r>
              <w:rPr>
                <w:rFonts w:hint="eastAsia" w:ascii="Times New Roman" w:hAnsi="Times New Roman" w:cs="Times New Roman"/>
                <w:color w:val="auto"/>
                <w:kern w:val="0"/>
                <w:lang w:val="en-US" w:eastAsia="zh-CN"/>
              </w:rPr>
              <w:t>/d，12000m</w:t>
            </w:r>
            <w:r>
              <w:rPr>
                <w:rFonts w:hint="eastAsia" w:ascii="Times New Roman" w:hAnsi="Times New Roman" w:cs="Times New Roman"/>
                <w:color w:val="auto"/>
                <w:kern w:val="0"/>
                <w:vertAlign w:val="superscript"/>
                <w:lang w:val="en-US" w:eastAsia="zh-CN"/>
              </w:rPr>
              <w:t>3</w:t>
            </w:r>
            <w:r>
              <w:rPr>
                <w:rFonts w:hint="eastAsia" w:ascii="Times New Roman" w:hAnsi="Times New Roman" w:cs="Times New Roman"/>
                <w:color w:val="auto"/>
                <w:kern w:val="0"/>
                <w:lang w:val="en-US" w:eastAsia="zh-CN"/>
              </w:rPr>
              <w:t>/a</w:t>
            </w:r>
            <w:r>
              <w:rPr>
                <w:rFonts w:hint="eastAsia" w:ascii="Times New Roman" w:hAnsi="Times New Roman" w:cs="Times New Roman"/>
                <w:color w:val="auto"/>
                <w:kern w:val="0"/>
              </w:rPr>
              <w:t>。</w:t>
            </w:r>
          </w:p>
          <w:p w14:paraId="49E96FC5">
            <w:pPr>
              <w:pStyle w:val="72"/>
              <w:keepNext w:val="0"/>
              <w:keepLines w:val="0"/>
              <w:widowControl/>
              <w:suppressLineNumbers w:val="0"/>
              <w:spacing w:before="0" w:beforeAutospacing="0" w:after="0" w:afterAutospacing="0"/>
              <w:ind w:left="0" w:right="0" w:firstLine="480"/>
              <w:rPr>
                <w:rFonts w:hint="default" w:ascii="宋体" w:hAnsi="宋体" w:eastAsia="宋体" w:cs="宋体"/>
                <w:color w:val="auto"/>
                <w:kern w:val="0"/>
                <w:lang w:val="en-US" w:eastAsia="zh-CN"/>
              </w:rPr>
            </w:pPr>
            <w:r>
              <w:rPr>
                <w:rFonts w:hint="eastAsia" w:ascii="宋体" w:hAnsi="宋体" w:eastAsia="宋体" w:cs="宋体"/>
                <w:color w:val="auto"/>
                <w:kern w:val="0"/>
                <w:lang w:val="en-US" w:eastAsia="zh-CN"/>
              </w:rPr>
              <w:t>③反冲洗水</w:t>
            </w:r>
          </w:p>
          <w:p w14:paraId="0E39C1B7">
            <w:pPr>
              <w:pStyle w:val="72"/>
              <w:keepNext w:val="0"/>
              <w:keepLines w:val="0"/>
              <w:widowControl/>
              <w:suppressLineNumbers w:val="0"/>
              <w:spacing w:before="0" w:beforeAutospacing="0" w:after="0" w:afterAutospacing="0"/>
              <w:ind w:left="0" w:right="0" w:firstLine="480"/>
              <w:rPr>
                <w:rFonts w:hint="eastAsia" w:ascii="Times New Roman" w:hAnsi="Times New Roman" w:cs="Times New Roman"/>
                <w:color w:val="auto"/>
                <w:kern w:val="0"/>
              </w:rPr>
            </w:pPr>
            <w:r>
              <w:rPr>
                <w:rFonts w:hint="eastAsia" w:ascii="Times New Roman" w:hAnsi="Times New Roman" w:cs="Times New Roman"/>
                <w:color w:val="auto"/>
                <w:kern w:val="0"/>
                <w:lang w:val="en-US" w:eastAsia="zh-CN"/>
              </w:rPr>
              <w:t>本项目软化水制备采用全自动软化水设备，为利用离子交换树脂对自来水进行处理，树脂每3天进行一次反冲洗，反冲洗水用量为1m</w:t>
            </w:r>
            <w:r>
              <w:rPr>
                <w:rFonts w:hint="eastAsia" w:ascii="Times New Roman" w:hAnsi="Times New Roman" w:cs="Times New Roman"/>
                <w:color w:val="auto"/>
                <w:kern w:val="0"/>
                <w:vertAlign w:val="superscript"/>
                <w:lang w:val="en-US" w:eastAsia="zh-CN"/>
              </w:rPr>
              <w:t>3</w:t>
            </w:r>
            <w:r>
              <w:rPr>
                <w:rFonts w:hint="eastAsia" w:ascii="Times New Roman" w:hAnsi="Times New Roman" w:cs="Times New Roman"/>
                <w:color w:val="auto"/>
                <w:kern w:val="0"/>
                <w:vertAlign w:val="baseline"/>
                <w:lang w:val="en-US" w:eastAsia="zh-CN"/>
              </w:rPr>
              <w:t>/次，</w:t>
            </w:r>
            <w:r>
              <w:rPr>
                <w:rFonts w:hint="eastAsia" w:ascii="Times New Roman" w:hAnsi="Times New Roman" w:cs="Times New Roman"/>
                <w:color w:val="auto"/>
                <w:kern w:val="0"/>
                <w:lang w:val="en-US" w:eastAsia="zh-CN"/>
              </w:rPr>
              <w:t>100m</w:t>
            </w:r>
            <w:r>
              <w:rPr>
                <w:rFonts w:hint="eastAsia" w:ascii="Times New Roman" w:hAnsi="Times New Roman" w:cs="Times New Roman"/>
                <w:color w:val="auto"/>
                <w:kern w:val="0"/>
                <w:vertAlign w:val="superscript"/>
                <w:lang w:val="en-US" w:eastAsia="zh-CN"/>
              </w:rPr>
              <w:t>3</w:t>
            </w:r>
            <w:r>
              <w:rPr>
                <w:rFonts w:hint="eastAsia" w:ascii="Times New Roman" w:hAnsi="Times New Roman" w:cs="Times New Roman"/>
                <w:color w:val="auto"/>
                <w:kern w:val="0"/>
                <w:lang w:val="en-US" w:eastAsia="zh-CN"/>
              </w:rPr>
              <w:t>/a</w:t>
            </w:r>
            <w:r>
              <w:rPr>
                <w:rFonts w:hint="eastAsia" w:ascii="Times New Roman" w:hAnsi="Times New Roman" w:cs="Times New Roman"/>
                <w:color w:val="auto"/>
                <w:kern w:val="0"/>
              </w:rPr>
              <w:t>。</w:t>
            </w:r>
          </w:p>
          <w:p w14:paraId="02C3004A">
            <w:pPr>
              <w:pStyle w:val="72"/>
              <w:keepNext w:val="0"/>
              <w:keepLines w:val="0"/>
              <w:widowControl/>
              <w:suppressLineNumbers w:val="0"/>
              <w:spacing w:before="0" w:beforeAutospacing="0" w:after="0" w:afterAutospacing="0"/>
              <w:ind w:left="0" w:right="0" w:firstLine="480"/>
              <w:rPr>
                <w:rFonts w:hint="eastAsia" w:ascii="宋体" w:hAnsi="宋体" w:cs="宋体"/>
                <w:color w:val="auto"/>
                <w:kern w:val="0"/>
                <w:lang w:val="en-US" w:eastAsia="zh-CN"/>
              </w:rPr>
            </w:pPr>
            <w:r>
              <w:rPr>
                <w:rFonts w:hint="eastAsia" w:ascii="宋体" w:hAnsi="宋体" w:eastAsia="宋体" w:cs="宋体"/>
                <w:color w:val="auto"/>
                <w:kern w:val="0"/>
                <w:lang w:val="en-US" w:eastAsia="zh-CN"/>
              </w:rPr>
              <w:t>④</w:t>
            </w:r>
            <w:r>
              <w:rPr>
                <w:rFonts w:hint="eastAsia" w:ascii="宋体" w:hAnsi="宋体" w:cs="宋体"/>
                <w:color w:val="auto"/>
                <w:kern w:val="0"/>
                <w:lang w:val="en-US" w:eastAsia="zh-CN"/>
              </w:rPr>
              <w:t>循环冷却水</w:t>
            </w:r>
          </w:p>
          <w:p w14:paraId="5B23F4E2">
            <w:pPr>
              <w:pStyle w:val="72"/>
              <w:keepNext w:val="0"/>
              <w:keepLines w:val="0"/>
              <w:widowControl/>
              <w:suppressLineNumbers w:val="0"/>
              <w:spacing w:before="0" w:beforeAutospacing="0" w:after="0" w:afterAutospacing="0"/>
              <w:ind w:left="0" w:right="0" w:firstLine="480"/>
              <w:rPr>
                <w:rFonts w:hint="default" w:ascii="Times New Roman" w:hAnsi="Times New Roman" w:eastAsia="宋体" w:cs="Times New Roman"/>
                <w:color w:val="auto"/>
                <w:kern w:val="0"/>
                <w:vertAlign w:val="baseline"/>
                <w:lang w:val="en-US" w:eastAsia="zh-CN"/>
              </w:rPr>
            </w:pPr>
            <w:r>
              <w:rPr>
                <w:rFonts w:hint="default" w:ascii="Times New Roman" w:hAnsi="Times New Roman" w:cs="Times New Roman"/>
                <w:color w:val="auto"/>
                <w:kern w:val="0"/>
                <w:lang w:val="en-US" w:eastAsia="zh-CN"/>
              </w:rPr>
              <w:t>项目冷凝器采用循环冷却水</w:t>
            </w:r>
            <w:r>
              <w:rPr>
                <w:rFonts w:hint="eastAsia" w:ascii="Times New Roman" w:hAnsi="Times New Roman" w:cs="Times New Roman"/>
                <w:color w:val="auto"/>
                <w:kern w:val="0"/>
                <w:lang w:val="en-US" w:eastAsia="zh-CN"/>
              </w:rPr>
              <w:t>，采用软化水</w:t>
            </w:r>
            <w:r>
              <w:rPr>
                <w:rFonts w:hint="default" w:ascii="Times New Roman" w:hAnsi="Times New Roman" w:cs="Times New Roman"/>
                <w:color w:val="auto"/>
                <w:kern w:val="0"/>
                <w:lang w:val="en-US" w:eastAsia="zh-CN"/>
              </w:rPr>
              <w:t>，冷却水用量为200m</w:t>
            </w:r>
            <w:r>
              <w:rPr>
                <w:rFonts w:hint="default" w:ascii="Times New Roman" w:hAnsi="Times New Roman" w:cs="Times New Roman"/>
                <w:color w:val="auto"/>
                <w:kern w:val="0"/>
                <w:vertAlign w:val="superscript"/>
                <w:lang w:val="en-US" w:eastAsia="zh-CN"/>
              </w:rPr>
              <w:t>3</w:t>
            </w:r>
            <w:r>
              <w:rPr>
                <w:rFonts w:hint="default" w:ascii="Times New Roman" w:hAnsi="Times New Roman" w:cs="Times New Roman"/>
                <w:color w:val="auto"/>
                <w:kern w:val="0"/>
                <w:vertAlign w:val="baseline"/>
                <w:lang w:val="en-US" w:eastAsia="zh-CN"/>
              </w:rPr>
              <w:t>/h，</w:t>
            </w:r>
            <w:r>
              <w:rPr>
                <w:rFonts w:hint="eastAsia" w:ascii="Times New Roman" w:hAnsi="Times New Roman" w:cs="Times New Roman"/>
                <w:color w:val="auto"/>
                <w:lang w:val="en-US" w:eastAsia="zh-CN"/>
              </w:rPr>
              <w:t>损耗量为10%，则每日新增水量为20</w:t>
            </w:r>
            <w:r>
              <w:rPr>
                <w:rFonts w:hint="default" w:ascii="Times New Roman" w:hAnsi="Times New Roman" w:cs="Times New Roman"/>
                <w:color w:val="auto"/>
                <w:kern w:val="0"/>
                <w:lang w:val="en-US" w:eastAsia="zh-CN"/>
              </w:rPr>
              <w:t>m</w:t>
            </w:r>
            <w:r>
              <w:rPr>
                <w:rFonts w:hint="default" w:ascii="Times New Roman" w:hAnsi="Times New Roman" w:cs="Times New Roman"/>
                <w:color w:val="auto"/>
                <w:kern w:val="0"/>
                <w:vertAlign w:val="superscript"/>
                <w:lang w:val="en-US" w:eastAsia="zh-CN"/>
              </w:rPr>
              <w:t>3</w:t>
            </w:r>
            <w:r>
              <w:rPr>
                <w:rFonts w:hint="default" w:ascii="Times New Roman" w:hAnsi="Times New Roman" w:cs="Times New Roman"/>
                <w:color w:val="auto"/>
                <w:kern w:val="0"/>
                <w:vertAlign w:val="baseline"/>
                <w:lang w:val="en-US" w:eastAsia="zh-CN"/>
              </w:rPr>
              <w:t>/</w:t>
            </w:r>
            <w:r>
              <w:rPr>
                <w:rFonts w:hint="eastAsia" w:ascii="Times New Roman" w:hAnsi="Times New Roman" w:cs="Times New Roman"/>
                <w:color w:val="auto"/>
                <w:kern w:val="0"/>
                <w:vertAlign w:val="baseline"/>
                <w:lang w:val="en-US" w:eastAsia="zh-CN"/>
              </w:rPr>
              <w:t>d，冷却水循环使用不外排。</w:t>
            </w:r>
          </w:p>
          <w:p w14:paraId="649DD03E">
            <w:pPr>
              <w:keepNext w:val="0"/>
              <w:keepLines w:val="0"/>
              <w:suppressLineNumbers w:val="0"/>
              <w:spacing w:before="0" w:beforeAutospacing="0" w:after="0" w:afterAutospacing="0"/>
              <w:ind w:left="0" w:right="0"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3</w:t>
            </w:r>
            <w:r>
              <w:rPr>
                <w:rFonts w:hint="eastAsia" w:ascii="Times New Roman" w:hAnsi="Times New Roman" w:cs="Times New Roman"/>
                <w:b/>
                <w:bCs/>
                <w:color w:val="auto"/>
              </w:rPr>
              <w:t>、排水</w:t>
            </w:r>
          </w:p>
          <w:p w14:paraId="0F348A07">
            <w:pPr>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GB"/>
              </w:rPr>
              <w:t>项目排水实行雨污分流。</w:t>
            </w:r>
            <w:r>
              <w:rPr>
                <w:rFonts w:hint="eastAsia" w:ascii="Times New Roman" w:hAnsi="Times New Roman" w:cs="Times New Roman"/>
                <w:color w:val="auto"/>
              </w:rPr>
              <w:t>雨水</w:t>
            </w:r>
            <w:r>
              <w:rPr>
                <w:rFonts w:hint="eastAsia" w:ascii="Times New Roman" w:hAnsi="Times New Roman" w:cs="Times New Roman"/>
                <w:color w:val="auto"/>
                <w:lang w:val="en-US" w:eastAsia="zh-CN"/>
              </w:rPr>
              <w:t>经</w:t>
            </w:r>
            <w:r>
              <w:rPr>
                <w:rFonts w:hint="eastAsia" w:cs="Times New Roman"/>
                <w:color w:val="auto"/>
                <w:kern w:val="0"/>
                <w:lang w:val="en-US" w:eastAsia="zh-CN"/>
              </w:rPr>
              <w:t>中通建材公司</w:t>
            </w:r>
            <w:r>
              <w:rPr>
                <w:rFonts w:hint="eastAsia" w:ascii="Times New Roman" w:hAnsi="Times New Roman" w:cs="Times New Roman"/>
                <w:color w:val="auto"/>
              </w:rPr>
              <w:t>厂区</w:t>
            </w:r>
            <w:r>
              <w:rPr>
                <w:rFonts w:hint="eastAsia" w:ascii="Times New Roman" w:hAnsi="Times New Roman" w:cs="Times New Roman"/>
                <w:color w:val="auto"/>
                <w:lang w:val="en-US" w:eastAsia="zh-CN"/>
              </w:rPr>
              <w:t>已建雨水管网进入</w:t>
            </w:r>
            <w:r>
              <w:rPr>
                <w:rFonts w:hint="eastAsia" w:ascii="Times New Roman" w:hAnsi="Times New Roman" w:cs="Times New Roman"/>
                <w:color w:val="auto"/>
              </w:rPr>
              <w:t>园区雨水管网</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生活污水经</w:t>
            </w:r>
            <w:r>
              <w:rPr>
                <w:rFonts w:hint="eastAsia" w:cs="Times New Roman"/>
                <w:color w:val="auto"/>
                <w:kern w:val="0"/>
                <w:lang w:val="en-US" w:eastAsia="zh-CN"/>
              </w:rPr>
              <w:t>中通建材公司</w:t>
            </w:r>
            <w:r>
              <w:rPr>
                <w:rFonts w:hint="eastAsia" w:ascii="Times New Roman" w:hAnsi="Times New Roman" w:cs="Times New Roman"/>
                <w:color w:val="auto"/>
              </w:rPr>
              <w:t>厂区</w:t>
            </w:r>
            <w:r>
              <w:rPr>
                <w:rFonts w:hint="eastAsia" w:ascii="Times New Roman" w:hAnsi="Times New Roman" w:cs="Times New Roman"/>
                <w:color w:val="auto"/>
                <w:lang w:val="en-US" w:eastAsia="zh-CN"/>
              </w:rPr>
              <w:t>已建预处理池处理后排入园区污水管网，</w:t>
            </w:r>
            <w:r>
              <w:rPr>
                <w:rFonts w:hint="eastAsia" w:cs="Times New Roman"/>
                <w:color w:val="auto"/>
                <w:lang w:val="en-US" w:eastAsia="zh-CN"/>
              </w:rPr>
              <w:t>生产废水经油水分离池、厌氧池处理后</w:t>
            </w:r>
            <w:r>
              <w:rPr>
                <w:rFonts w:hint="eastAsia" w:ascii="Times New Roman" w:hAnsi="Times New Roman" w:cs="Times New Roman"/>
                <w:color w:val="auto"/>
                <w:lang w:val="en-US" w:eastAsia="zh-CN"/>
              </w:rPr>
              <w:t>排入园区污水管网，送至污水处理厂处理达标后外排。项目冷却水循环使用不外排。</w:t>
            </w:r>
          </w:p>
          <w:p w14:paraId="5DA4DAB5">
            <w:pPr>
              <w:keepNext w:val="0"/>
              <w:keepLines/>
              <w:suppressLineNumbers w:val="0"/>
              <w:autoSpaceDE w:val="0"/>
              <w:autoSpaceDN w:val="0"/>
              <w:adjustRightInd w:val="0"/>
              <w:snapToGrid w:val="0"/>
              <w:spacing w:before="0" w:beforeAutospacing="0" w:after="0" w:afterAutospacing="0"/>
              <w:ind w:left="0" w:right="0" w:firstLine="480"/>
              <w:rPr>
                <w:rFonts w:hint="default" w:ascii="Times New Roman" w:hAnsi="Times New Roman" w:cs="Times New Roman"/>
                <w:color w:val="auto"/>
              </w:rPr>
            </w:pPr>
            <w:r>
              <w:rPr>
                <w:rFonts w:hint="eastAsia" w:ascii="Times New Roman" w:hAnsi="Times New Roman" w:cs="Times New Roman"/>
                <w:color w:val="auto"/>
              </w:rPr>
              <w:t>①</w:t>
            </w:r>
            <w:r>
              <w:rPr>
                <w:rFonts w:hint="eastAsia" w:cs="Times New Roman"/>
                <w:color w:val="auto"/>
                <w:lang w:eastAsia="zh-CN"/>
              </w:rPr>
              <w:t>生活污水</w:t>
            </w:r>
            <w:r>
              <w:rPr>
                <w:rFonts w:hint="eastAsia" w:ascii="Times New Roman" w:hAnsi="Times New Roman" w:cs="Times New Roman"/>
                <w:color w:val="auto"/>
              </w:rPr>
              <w:t>：生活</w:t>
            </w:r>
            <w:r>
              <w:rPr>
                <w:rFonts w:hint="eastAsia" w:ascii="Times New Roman" w:hAnsi="Times New Roman" w:cs="Times New Roman"/>
                <w:color w:val="auto"/>
                <w:lang w:val="en-US" w:eastAsia="zh-CN"/>
              </w:rPr>
              <w:t>污水</w:t>
            </w:r>
            <w:r>
              <w:rPr>
                <w:rFonts w:hint="eastAsia" w:ascii="Times New Roman" w:hAnsi="Times New Roman" w:cs="Times New Roman"/>
                <w:color w:val="auto"/>
              </w:rPr>
              <w:t>按排污系数按用水量的</w:t>
            </w:r>
            <w:r>
              <w:rPr>
                <w:rFonts w:hint="default" w:ascii="Times New Roman" w:hAnsi="Times New Roman" w:cs="Times New Roman"/>
                <w:color w:val="auto"/>
              </w:rPr>
              <w:t>80%</w:t>
            </w:r>
            <w:r>
              <w:rPr>
                <w:rFonts w:hint="eastAsia" w:ascii="Times New Roman" w:hAnsi="Times New Roman" w:cs="Times New Roman"/>
                <w:color w:val="auto"/>
              </w:rPr>
              <w:t>计算，</w:t>
            </w:r>
            <w:r>
              <w:rPr>
                <w:rFonts w:hint="eastAsia" w:cs="Times New Roman"/>
                <w:color w:val="auto"/>
                <w:lang w:eastAsia="zh-CN"/>
              </w:rPr>
              <w:t>生活污水</w:t>
            </w:r>
            <w:r>
              <w:rPr>
                <w:rFonts w:hint="eastAsia" w:ascii="Times New Roman" w:hAnsi="Times New Roman" w:cs="Times New Roman"/>
                <w:color w:val="auto"/>
              </w:rPr>
              <w:t>产生量为1.</w:t>
            </w:r>
            <w:r>
              <w:rPr>
                <w:rFonts w:hint="eastAsia" w:ascii="Times New Roman" w:hAnsi="Times New Roman" w:cs="Times New Roman"/>
                <w:color w:val="auto"/>
                <w:lang w:val="en-US" w:eastAsia="zh-CN"/>
              </w:rPr>
              <w:t>6</w:t>
            </w:r>
            <w:r>
              <w:rPr>
                <w:rFonts w:hint="default" w:ascii="Times New Roman" w:hAnsi="Times New Roman" w:cs="Times New Roman"/>
                <w:color w:val="auto"/>
              </w:rPr>
              <w:t>m³/d</w:t>
            </w:r>
            <w:r>
              <w:rPr>
                <w:rFonts w:hint="eastAsia" w:ascii="Times New Roman" w:hAnsi="Times New Roman" w:cs="Times New Roman"/>
                <w:color w:val="auto"/>
              </w:rPr>
              <w:t>，</w:t>
            </w:r>
            <w:r>
              <w:rPr>
                <w:rFonts w:hint="eastAsia" w:ascii="Times New Roman" w:hAnsi="Times New Roman" w:cs="Times New Roman"/>
                <w:color w:val="auto"/>
                <w:lang w:val="en-US" w:eastAsia="zh-CN"/>
              </w:rPr>
              <w:t>480</w:t>
            </w:r>
            <w:r>
              <w:rPr>
                <w:rFonts w:hint="default" w:ascii="Times New Roman" w:hAnsi="Times New Roman" w:cs="Times New Roman"/>
                <w:color w:val="auto"/>
              </w:rPr>
              <w:t>m³/a</w:t>
            </w:r>
            <w:r>
              <w:rPr>
                <w:rFonts w:hint="eastAsia" w:ascii="Times New Roman" w:hAnsi="Times New Roman" w:cs="Times New Roman"/>
                <w:color w:val="auto"/>
              </w:rPr>
              <w:t>，</w:t>
            </w:r>
            <w:r>
              <w:rPr>
                <w:rFonts w:hint="default" w:ascii="Times New Roman" w:hAnsi="Times New Roman" w:cs="Times New Roman"/>
                <w:color w:val="auto"/>
              </w:rPr>
              <w:t>项目生活污水</w:t>
            </w:r>
            <w:r>
              <w:rPr>
                <w:rFonts w:hint="eastAsia" w:ascii="Times New Roman" w:hAnsi="Times New Roman" w:cs="Times New Roman"/>
                <w:color w:val="auto"/>
              </w:rPr>
              <w:t>经厂区预处理池处理</w:t>
            </w:r>
            <w:r>
              <w:rPr>
                <w:rFonts w:hint="default" w:ascii="Times New Roman" w:hAnsi="Times New Roman" w:cs="Times New Roman"/>
                <w:color w:val="auto"/>
              </w:rPr>
              <w:t>，达到《污水综合排放标准》（GB8978-1996）中三级标准后，外排园区污水管网，</w:t>
            </w:r>
            <w:r>
              <w:rPr>
                <w:rFonts w:hint="eastAsia" w:ascii="Times New Roman" w:hAnsi="Times New Roman" w:cs="Times New Roman"/>
                <w:color w:val="auto"/>
                <w:lang w:val="en-US" w:eastAsia="zh-CN"/>
              </w:rPr>
              <w:t>送至</w:t>
            </w:r>
            <w:r>
              <w:rPr>
                <w:rFonts w:hint="eastAsia" w:ascii="Times New Roman" w:hAnsi="Times New Roman" w:cs="Times New Roman"/>
                <w:color w:val="auto"/>
              </w:rPr>
              <w:t>蓬溪经开区废水</w:t>
            </w:r>
            <w:r>
              <w:rPr>
                <w:rFonts w:hint="default" w:ascii="Times New Roman" w:hAnsi="Times New Roman" w:cs="Times New Roman"/>
                <w:color w:val="auto"/>
              </w:rPr>
              <w:t>处理厂处理</w:t>
            </w:r>
            <w:r>
              <w:rPr>
                <w:rFonts w:hint="default" w:ascii="Times New Roman" w:hAnsi="Times New Roman" w:cs="Times New Roman"/>
                <w:color w:val="auto"/>
                <w:kern w:val="0"/>
                <w:lang w:bidi="ar"/>
              </w:rPr>
              <w:t>。</w:t>
            </w:r>
          </w:p>
          <w:p w14:paraId="559D6FA9">
            <w:pPr>
              <w:keepNext w:val="0"/>
              <w:keepLines w:val="0"/>
              <w:suppressLineNumbers w:val="0"/>
              <w:spacing w:before="0" w:beforeAutospacing="0" w:after="0" w:afterAutospacing="0"/>
              <w:ind w:left="0" w:right="0" w:firstLine="480"/>
              <w:rPr>
                <w:rFonts w:hint="eastAsia" w:ascii="Times New Roman" w:hAnsi="Times New Roman" w:cs="Times New Roman"/>
                <w:color w:val="auto"/>
                <w:lang w:val="en-US" w:eastAsia="zh-CN"/>
              </w:rPr>
            </w:pPr>
            <w:r>
              <w:rPr>
                <w:rFonts w:hint="eastAsia" w:ascii="Times New Roman" w:hAnsi="Times New Roman" w:cs="Times New Roman"/>
                <w:color w:val="auto"/>
              </w:rPr>
              <w:t>②</w:t>
            </w:r>
            <w:r>
              <w:rPr>
                <w:rFonts w:hint="eastAsia" w:ascii="Times New Roman" w:hAnsi="Times New Roman" w:cs="Times New Roman"/>
                <w:color w:val="auto"/>
                <w:lang w:val="en-US" w:eastAsia="zh-CN"/>
              </w:rPr>
              <w:t>生产废水：项目锅炉蒸汽进入</w:t>
            </w:r>
            <w:r>
              <w:rPr>
                <w:rFonts w:hint="eastAsia" w:cs="Times New Roman"/>
                <w:color w:val="auto"/>
                <w:lang w:val="en-US" w:eastAsia="zh-CN"/>
              </w:rPr>
              <w:t>蒸馏釜</w:t>
            </w:r>
            <w:r>
              <w:rPr>
                <w:rFonts w:hint="eastAsia" w:ascii="Times New Roman" w:hAnsi="Times New Roman" w:cs="Times New Roman"/>
                <w:color w:val="auto"/>
                <w:lang w:val="en-US" w:eastAsia="zh-CN"/>
              </w:rPr>
              <w:t>，产生生产废水经油水分离</w:t>
            </w:r>
            <w:r>
              <w:rPr>
                <w:rFonts w:hint="eastAsia" w:cs="Times New Roman"/>
                <w:color w:val="auto"/>
                <w:lang w:val="en-US" w:eastAsia="zh-CN"/>
              </w:rPr>
              <w:t>、厌氧</w:t>
            </w:r>
            <w:r>
              <w:rPr>
                <w:rFonts w:hint="eastAsia" w:ascii="Times New Roman" w:hAnsi="Times New Roman" w:cs="Times New Roman"/>
                <w:color w:val="auto"/>
                <w:lang w:val="en-US" w:eastAsia="zh-CN"/>
              </w:rPr>
              <w:t>处理后进入园区污水管网，根据物料平衡核算，产生生产废水量为</w:t>
            </w:r>
            <w:r>
              <w:rPr>
                <w:rFonts w:hint="eastAsia" w:cs="Times New Roman"/>
                <w:color w:val="auto"/>
                <w:lang w:val="en-US" w:eastAsia="zh-CN"/>
              </w:rPr>
              <w:t>30.98</w:t>
            </w:r>
            <w:r>
              <w:rPr>
                <w:rFonts w:hint="eastAsia" w:ascii="Times New Roman" w:hAnsi="Times New Roman" w:cs="Times New Roman"/>
                <w:color w:val="auto"/>
                <w:kern w:val="0"/>
                <w:lang w:val="en-US" w:eastAsia="zh-CN"/>
              </w:rPr>
              <w:t>m</w:t>
            </w:r>
            <w:r>
              <w:rPr>
                <w:rFonts w:hint="eastAsia" w:ascii="Times New Roman" w:hAnsi="Times New Roman" w:cs="Times New Roman"/>
                <w:color w:val="auto"/>
                <w:kern w:val="0"/>
                <w:vertAlign w:val="superscript"/>
                <w:lang w:val="en-US" w:eastAsia="zh-CN"/>
              </w:rPr>
              <w:t>3</w:t>
            </w:r>
            <w:r>
              <w:rPr>
                <w:rFonts w:hint="eastAsia" w:ascii="Times New Roman" w:hAnsi="Times New Roman" w:cs="Times New Roman"/>
                <w:color w:val="auto"/>
                <w:kern w:val="0"/>
                <w:lang w:val="en-US" w:eastAsia="zh-CN"/>
              </w:rPr>
              <w:t>/d，</w:t>
            </w:r>
            <w:r>
              <w:rPr>
                <w:rFonts w:hint="eastAsia" w:cs="Times New Roman"/>
                <w:color w:val="auto"/>
                <w:kern w:val="0"/>
                <w:lang w:val="en-US" w:eastAsia="zh-CN"/>
              </w:rPr>
              <w:t xml:space="preserve">9295.376 </w:t>
            </w:r>
            <w:r>
              <w:rPr>
                <w:rFonts w:hint="eastAsia" w:ascii="Times New Roman" w:hAnsi="Times New Roman" w:cs="Times New Roman"/>
                <w:color w:val="auto"/>
                <w:kern w:val="0"/>
                <w:lang w:val="en-US" w:eastAsia="zh-CN"/>
              </w:rPr>
              <w:t>m</w:t>
            </w:r>
            <w:r>
              <w:rPr>
                <w:rFonts w:hint="eastAsia" w:ascii="Times New Roman" w:hAnsi="Times New Roman" w:cs="Times New Roman"/>
                <w:color w:val="auto"/>
                <w:kern w:val="0"/>
                <w:vertAlign w:val="superscript"/>
                <w:lang w:val="en-US" w:eastAsia="zh-CN"/>
              </w:rPr>
              <w:t>3</w:t>
            </w:r>
            <w:r>
              <w:rPr>
                <w:rFonts w:hint="eastAsia" w:ascii="Times New Roman" w:hAnsi="Times New Roman" w:cs="Times New Roman"/>
                <w:color w:val="auto"/>
                <w:kern w:val="0"/>
                <w:lang w:val="en-US" w:eastAsia="zh-CN"/>
              </w:rPr>
              <w:t>/a</w:t>
            </w:r>
            <w:r>
              <w:rPr>
                <w:rFonts w:hint="eastAsia" w:ascii="Times New Roman" w:hAnsi="Times New Roman" w:cs="Times New Roman"/>
                <w:color w:val="auto"/>
              </w:rPr>
              <w:t>。</w:t>
            </w:r>
          </w:p>
          <w:p w14:paraId="3E8CB473">
            <w:pPr>
              <w:pStyle w:val="72"/>
              <w:keepNext w:val="0"/>
              <w:keepLines w:val="0"/>
              <w:widowControl/>
              <w:suppressLineNumbers w:val="0"/>
              <w:spacing w:before="0" w:beforeAutospacing="0" w:after="0" w:afterAutospacing="0"/>
              <w:ind w:left="0" w:right="0" w:firstLine="480"/>
              <w:rPr>
                <w:rFonts w:hint="default" w:ascii="宋体" w:hAnsi="宋体" w:eastAsia="宋体" w:cs="宋体"/>
                <w:color w:val="auto"/>
                <w:kern w:val="0"/>
                <w:lang w:val="en-US" w:eastAsia="zh-CN"/>
              </w:rPr>
            </w:pPr>
            <w:r>
              <w:rPr>
                <w:rFonts w:hint="eastAsia" w:ascii="宋体" w:hAnsi="宋体" w:eastAsia="宋体" w:cs="宋体"/>
                <w:color w:val="auto"/>
                <w:kern w:val="0"/>
                <w:lang w:val="en-US" w:eastAsia="zh-CN"/>
              </w:rPr>
              <w:t>③反冲洗废水</w:t>
            </w:r>
          </w:p>
          <w:p w14:paraId="573EBCD8">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Times New Roman" w:hAnsi="Times New Roman" w:eastAsia="宋体" w:cs="Times New Roman"/>
                <w:color w:val="auto"/>
                <w:kern w:val="0"/>
              </w:rPr>
            </w:pPr>
            <w:r>
              <w:rPr>
                <w:rFonts w:hint="eastAsia" w:ascii="Times New Roman" w:hAnsi="Times New Roman" w:eastAsia="宋体" w:cs="Times New Roman"/>
                <w:color w:val="auto"/>
                <w:kern w:val="0"/>
                <w:lang w:val="en-US" w:eastAsia="zh-CN"/>
              </w:rPr>
              <w:t>本项目反冲洗水用量为1m</w:t>
            </w:r>
            <w:r>
              <w:rPr>
                <w:rFonts w:hint="eastAsia" w:ascii="Times New Roman" w:hAnsi="Times New Roman" w:eastAsia="宋体" w:cs="Times New Roman"/>
                <w:color w:val="auto"/>
                <w:kern w:val="0"/>
                <w:vertAlign w:val="superscript"/>
                <w:lang w:val="en-US" w:eastAsia="zh-CN"/>
              </w:rPr>
              <w:t>3</w:t>
            </w:r>
            <w:r>
              <w:rPr>
                <w:rFonts w:hint="eastAsia" w:ascii="Times New Roman" w:hAnsi="Times New Roman" w:eastAsia="宋体" w:cs="Times New Roman"/>
                <w:color w:val="auto"/>
                <w:kern w:val="0"/>
                <w:vertAlign w:val="baseline"/>
                <w:lang w:val="en-US" w:eastAsia="zh-CN"/>
              </w:rPr>
              <w:t>/次，</w:t>
            </w:r>
            <w:r>
              <w:rPr>
                <w:rFonts w:hint="eastAsia" w:ascii="Times New Roman" w:hAnsi="Times New Roman" w:eastAsia="宋体" w:cs="Times New Roman"/>
                <w:color w:val="auto"/>
                <w:kern w:val="0"/>
                <w:lang w:val="en-US" w:eastAsia="zh-CN"/>
              </w:rPr>
              <w:t>则项目反冲洗废水产生量为</w:t>
            </w:r>
            <w:r>
              <w:rPr>
                <w:rFonts w:hint="eastAsia" w:ascii="Times New Roman" w:hAnsi="Times New Roman" w:cs="Times New Roman"/>
                <w:color w:val="auto"/>
                <w:kern w:val="0"/>
                <w:lang w:val="en-US" w:eastAsia="zh-CN"/>
              </w:rPr>
              <w:t>1</w:t>
            </w:r>
            <w:r>
              <w:rPr>
                <w:rFonts w:hint="eastAsia" w:ascii="Times New Roman" w:hAnsi="Times New Roman" w:eastAsia="宋体" w:cs="Times New Roman"/>
                <w:color w:val="auto"/>
                <w:kern w:val="0"/>
                <w:lang w:val="en-US" w:eastAsia="zh-CN"/>
              </w:rPr>
              <w:t>m</w:t>
            </w:r>
            <w:r>
              <w:rPr>
                <w:rFonts w:hint="eastAsia" w:ascii="Times New Roman" w:hAnsi="Times New Roman" w:eastAsia="宋体" w:cs="Times New Roman"/>
                <w:color w:val="auto"/>
                <w:kern w:val="0"/>
                <w:vertAlign w:val="superscript"/>
                <w:lang w:val="en-US" w:eastAsia="zh-CN"/>
              </w:rPr>
              <w:t>3</w:t>
            </w:r>
            <w:r>
              <w:rPr>
                <w:rFonts w:hint="eastAsia" w:ascii="Times New Roman" w:hAnsi="Times New Roman" w:eastAsia="宋体" w:cs="Times New Roman"/>
                <w:color w:val="auto"/>
                <w:kern w:val="0"/>
                <w:lang w:val="en-US" w:eastAsia="zh-CN"/>
              </w:rPr>
              <w:t>/d，</w:t>
            </w:r>
            <w:r>
              <w:rPr>
                <w:rFonts w:hint="eastAsia" w:ascii="Times New Roman" w:hAnsi="Times New Roman" w:cs="Times New Roman"/>
                <w:color w:val="auto"/>
                <w:kern w:val="0"/>
                <w:lang w:val="en-US" w:eastAsia="zh-CN"/>
              </w:rPr>
              <w:t>100</w:t>
            </w:r>
            <w:r>
              <w:rPr>
                <w:rFonts w:hint="eastAsia" w:ascii="Times New Roman" w:hAnsi="Times New Roman" w:eastAsia="宋体" w:cs="Times New Roman"/>
                <w:color w:val="auto"/>
                <w:kern w:val="0"/>
                <w:lang w:val="en-US" w:eastAsia="zh-CN"/>
              </w:rPr>
              <w:t>m</w:t>
            </w:r>
            <w:r>
              <w:rPr>
                <w:rFonts w:hint="eastAsia" w:ascii="Times New Roman" w:hAnsi="Times New Roman" w:eastAsia="宋体" w:cs="Times New Roman"/>
                <w:color w:val="auto"/>
                <w:kern w:val="0"/>
                <w:vertAlign w:val="superscript"/>
                <w:lang w:val="en-US" w:eastAsia="zh-CN"/>
              </w:rPr>
              <w:t>3</w:t>
            </w:r>
            <w:r>
              <w:rPr>
                <w:rFonts w:hint="eastAsia" w:ascii="Times New Roman" w:hAnsi="Times New Roman" w:eastAsia="宋体" w:cs="Times New Roman"/>
                <w:color w:val="auto"/>
                <w:kern w:val="0"/>
                <w:lang w:val="en-US" w:eastAsia="zh-CN"/>
              </w:rPr>
              <w:t>/a</w:t>
            </w:r>
            <w:r>
              <w:rPr>
                <w:rFonts w:hint="eastAsia" w:ascii="Times New Roman" w:hAnsi="Times New Roman" w:eastAsia="宋体" w:cs="Times New Roman"/>
                <w:color w:val="auto"/>
                <w:kern w:val="0"/>
              </w:rPr>
              <w:t>。</w:t>
            </w:r>
          </w:p>
          <w:p w14:paraId="65CF75DA">
            <w:pPr>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本项目给排水情况见下表。</w:t>
            </w:r>
          </w:p>
          <w:p w14:paraId="69C59EF3">
            <w:pPr>
              <w:keepNext w:val="0"/>
              <w:keepLines w:val="0"/>
              <w:suppressLineNumbers w:val="0"/>
              <w:spacing w:before="0" w:beforeAutospacing="0" w:after="0" w:afterAutospacing="0"/>
              <w:ind w:left="0" w:right="0" w:firstLine="480"/>
              <w:rPr>
                <w:rFonts w:hint="default" w:ascii="Times New Roman" w:hAnsi="Times New Roman" w:cs="Times New Roman"/>
                <w:color w:val="auto"/>
                <w:sz w:val="18"/>
                <w:szCs w:val="18"/>
              </w:rPr>
            </w:pPr>
          </w:p>
          <w:p w14:paraId="65529AC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表2-</w:t>
            </w:r>
            <w:r>
              <w:rPr>
                <w:rFonts w:hint="eastAsia" w:ascii="Times New Roman" w:hAnsi="Times New Roman" w:cs="Times New Roman"/>
                <w:b/>
                <w:bCs/>
                <w:color w:val="auto"/>
                <w:sz w:val="21"/>
                <w:szCs w:val="21"/>
                <w:lang w:val="en-US" w:eastAsia="zh-CN"/>
              </w:rPr>
              <w:t>8</w:t>
            </w:r>
            <w:r>
              <w:rPr>
                <w:rFonts w:hint="default" w:ascii="Times New Roman" w:hAnsi="Times New Roman" w:cs="Times New Roman"/>
                <w:b/>
                <w:bCs/>
                <w:color w:val="auto"/>
                <w:sz w:val="21"/>
                <w:szCs w:val="21"/>
              </w:rPr>
              <w:t xml:space="preserve">  项目给排水情况一览表</w:t>
            </w:r>
          </w:p>
          <w:tbl>
            <w:tblPr>
              <w:tblStyle w:val="28"/>
              <w:tblW w:w="830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1156"/>
              <w:gridCol w:w="975"/>
              <w:gridCol w:w="1380"/>
              <w:gridCol w:w="1305"/>
              <w:gridCol w:w="2371"/>
            </w:tblGrid>
            <w:tr w14:paraId="7FC304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pct"/>
                  <w:noWrap w:val="0"/>
                  <w:vAlign w:val="center"/>
                </w:tcPr>
                <w:p w14:paraId="43D9D3A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用水对象</w:t>
                  </w:r>
                </w:p>
              </w:tc>
              <w:tc>
                <w:tcPr>
                  <w:tcW w:w="695" w:type="pct"/>
                  <w:noWrap w:val="0"/>
                  <w:vAlign w:val="center"/>
                </w:tcPr>
                <w:p w14:paraId="219B1A7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用水量（m</w:t>
                  </w:r>
                  <w:r>
                    <w:rPr>
                      <w:rFonts w:hint="default" w:ascii="Times New Roman" w:hAnsi="Times New Roman" w:cs="Times New Roman"/>
                      <w:b/>
                      <w:color w:val="auto"/>
                      <w:sz w:val="21"/>
                      <w:szCs w:val="21"/>
                      <w:vertAlign w:val="superscript"/>
                    </w:rPr>
                    <w:t>3</w:t>
                  </w:r>
                  <w:r>
                    <w:rPr>
                      <w:rFonts w:hint="eastAsia" w:ascii="Times New Roman" w:hAnsi="Times New Roman" w:cs="Times New Roman"/>
                      <w:b/>
                      <w:color w:val="auto"/>
                      <w:sz w:val="21"/>
                      <w:szCs w:val="21"/>
                    </w:rPr>
                    <w:t>/d</w:t>
                  </w:r>
                  <w:r>
                    <w:rPr>
                      <w:rFonts w:hint="default" w:ascii="Times New Roman" w:hAnsi="Times New Roman" w:cs="Times New Roman"/>
                      <w:b/>
                      <w:color w:val="auto"/>
                      <w:sz w:val="21"/>
                      <w:szCs w:val="21"/>
                    </w:rPr>
                    <w:t>）</w:t>
                  </w:r>
                </w:p>
              </w:tc>
              <w:tc>
                <w:tcPr>
                  <w:tcW w:w="586" w:type="pct"/>
                  <w:noWrap w:val="0"/>
                  <w:vAlign w:val="center"/>
                </w:tcPr>
                <w:p w14:paraId="3220CFBA">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color w:val="auto"/>
                      <w:sz w:val="21"/>
                      <w:szCs w:val="21"/>
                    </w:rPr>
                  </w:pPr>
                  <w:r>
                    <w:rPr>
                      <w:rFonts w:hint="default" w:ascii="Times New Roman" w:hAnsi="Times New Roman" w:cs="Times New Roman"/>
                      <w:b/>
                      <w:color w:val="auto"/>
                      <w:sz w:val="21"/>
                      <w:szCs w:val="21"/>
                    </w:rPr>
                    <w:t>用水量（m</w:t>
                  </w:r>
                  <w:r>
                    <w:rPr>
                      <w:rFonts w:hint="default" w:ascii="Times New Roman" w:hAnsi="Times New Roman" w:cs="Times New Roman"/>
                      <w:b/>
                      <w:color w:val="auto"/>
                      <w:sz w:val="21"/>
                      <w:szCs w:val="21"/>
                      <w:vertAlign w:val="superscript"/>
                    </w:rPr>
                    <w:t>3</w:t>
                  </w:r>
                  <w:r>
                    <w:rPr>
                      <w:rFonts w:hint="eastAsia" w:ascii="Times New Roman" w:hAnsi="Times New Roman" w:cs="Times New Roman"/>
                      <w:b/>
                      <w:color w:val="auto"/>
                      <w:sz w:val="21"/>
                      <w:szCs w:val="21"/>
                    </w:rPr>
                    <w:t>/a</w:t>
                  </w:r>
                  <w:r>
                    <w:rPr>
                      <w:rFonts w:hint="default" w:ascii="Times New Roman" w:hAnsi="Times New Roman" w:cs="Times New Roman"/>
                      <w:b/>
                      <w:color w:val="auto"/>
                      <w:sz w:val="21"/>
                      <w:szCs w:val="21"/>
                    </w:rPr>
                    <w:t>）</w:t>
                  </w:r>
                </w:p>
              </w:tc>
              <w:tc>
                <w:tcPr>
                  <w:tcW w:w="830" w:type="pct"/>
                  <w:noWrap w:val="0"/>
                  <w:vAlign w:val="center"/>
                </w:tcPr>
                <w:p w14:paraId="6D2FE13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lang w:val="en-US" w:eastAsia="zh-CN"/>
                    </w:rPr>
                    <w:t>最大</w:t>
                  </w:r>
                  <w:r>
                    <w:rPr>
                      <w:rFonts w:hint="eastAsia" w:ascii="Times New Roman" w:hAnsi="Times New Roman" w:cs="Times New Roman"/>
                      <w:b/>
                      <w:color w:val="auto"/>
                      <w:sz w:val="21"/>
                      <w:szCs w:val="21"/>
                    </w:rPr>
                    <w:t>废水产生量</w:t>
                  </w:r>
                  <w:r>
                    <w:rPr>
                      <w:rFonts w:hint="default" w:ascii="Times New Roman" w:hAnsi="Times New Roman" w:cs="Times New Roman"/>
                      <w:b/>
                      <w:color w:val="auto"/>
                      <w:sz w:val="21"/>
                      <w:szCs w:val="21"/>
                    </w:rPr>
                    <w:t>（m</w:t>
                  </w:r>
                  <w:r>
                    <w:rPr>
                      <w:rFonts w:hint="default" w:ascii="Times New Roman" w:hAnsi="Times New Roman" w:cs="Times New Roman"/>
                      <w:b/>
                      <w:color w:val="auto"/>
                      <w:sz w:val="21"/>
                      <w:szCs w:val="21"/>
                      <w:vertAlign w:val="superscript"/>
                    </w:rPr>
                    <w:t>3</w:t>
                  </w:r>
                  <w:r>
                    <w:rPr>
                      <w:rFonts w:hint="eastAsia" w:ascii="Times New Roman" w:hAnsi="Times New Roman" w:cs="Times New Roman"/>
                      <w:b/>
                      <w:color w:val="auto"/>
                      <w:sz w:val="21"/>
                      <w:szCs w:val="21"/>
                    </w:rPr>
                    <w:t>/d</w:t>
                  </w:r>
                  <w:r>
                    <w:rPr>
                      <w:rFonts w:hint="default" w:ascii="Times New Roman" w:hAnsi="Times New Roman" w:cs="Times New Roman"/>
                      <w:b/>
                      <w:color w:val="auto"/>
                      <w:sz w:val="21"/>
                      <w:szCs w:val="21"/>
                    </w:rPr>
                    <w:t>）</w:t>
                  </w:r>
                </w:p>
              </w:tc>
              <w:tc>
                <w:tcPr>
                  <w:tcW w:w="785" w:type="pct"/>
                  <w:noWrap w:val="0"/>
                  <w:vAlign w:val="center"/>
                </w:tcPr>
                <w:p w14:paraId="0053661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rPr>
                    <w:t>废水产生量</w:t>
                  </w:r>
                  <w:r>
                    <w:rPr>
                      <w:rFonts w:hint="default" w:ascii="Times New Roman" w:hAnsi="Times New Roman" w:cs="Times New Roman"/>
                      <w:b/>
                      <w:color w:val="auto"/>
                      <w:sz w:val="21"/>
                      <w:szCs w:val="21"/>
                    </w:rPr>
                    <w:t>（m</w:t>
                  </w:r>
                  <w:r>
                    <w:rPr>
                      <w:rFonts w:hint="default" w:ascii="Times New Roman" w:hAnsi="Times New Roman" w:cs="Times New Roman"/>
                      <w:b/>
                      <w:color w:val="auto"/>
                      <w:sz w:val="21"/>
                      <w:szCs w:val="21"/>
                      <w:vertAlign w:val="superscript"/>
                    </w:rPr>
                    <w:t>3</w:t>
                  </w:r>
                  <w:r>
                    <w:rPr>
                      <w:rFonts w:hint="eastAsia" w:ascii="Times New Roman" w:hAnsi="Times New Roman" w:cs="Times New Roman"/>
                      <w:b/>
                      <w:color w:val="auto"/>
                      <w:sz w:val="21"/>
                      <w:szCs w:val="21"/>
                    </w:rPr>
                    <w:t>/</w:t>
                  </w:r>
                  <w:r>
                    <w:rPr>
                      <w:rFonts w:hint="eastAsia" w:ascii="Times New Roman" w:hAnsi="Times New Roman" w:cs="Times New Roman"/>
                      <w:b/>
                      <w:color w:val="auto"/>
                      <w:sz w:val="21"/>
                      <w:szCs w:val="21"/>
                      <w:lang w:val="en-US" w:eastAsia="zh-CN"/>
                    </w:rPr>
                    <w:t>a</w:t>
                  </w:r>
                  <w:r>
                    <w:rPr>
                      <w:rFonts w:hint="default" w:ascii="Times New Roman" w:hAnsi="Times New Roman" w:cs="Times New Roman"/>
                      <w:b/>
                      <w:color w:val="auto"/>
                      <w:sz w:val="21"/>
                      <w:szCs w:val="21"/>
                    </w:rPr>
                    <w:t>）</w:t>
                  </w:r>
                </w:p>
              </w:tc>
              <w:tc>
                <w:tcPr>
                  <w:tcW w:w="1426" w:type="pct"/>
                  <w:noWrap w:val="0"/>
                  <w:vAlign w:val="center"/>
                </w:tcPr>
                <w:p w14:paraId="1AB47E1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处置方式及去向</w:t>
                  </w:r>
                </w:p>
              </w:tc>
            </w:tr>
            <w:tr w14:paraId="7A2C9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pct"/>
                  <w:noWrap w:val="0"/>
                  <w:vAlign w:val="center"/>
                </w:tcPr>
                <w:p w14:paraId="3914D91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生活用水</w:t>
                  </w:r>
                </w:p>
              </w:tc>
              <w:tc>
                <w:tcPr>
                  <w:tcW w:w="695" w:type="pct"/>
                  <w:noWrap w:val="0"/>
                  <w:vAlign w:val="center"/>
                </w:tcPr>
                <w:p w14:paraId="769030F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586" w:type="pct"/>
                  <w:noWrap w:val="0"/>
                  <w:vAlign w:val="center"/>
                </w:tcPr>
                <w:p w14:paraId="335AD73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600</w:t>
                  </w:r>
                </w:p>
              </w:tc>
              <w:tc>
                <w:tcPr>
                  <w:tcW w:w="830" w:type="pct"/>
                  <w:noWrap w:val="0"/>
                  <w:vAlign w:val="center"/>
                </w:tcPr>
                <w:p w14:paraId="7F3650F6">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6</w:t>
                  </w:r>
                </w:p>
              </w:tc>
              <w:tc>
                <w:tcPr>
                  <w:tcW w:w="785" w:type="pct"/>
                  <w:noWrap w:val="0"/>
                  <w:vAlign w:val="center"/>
                </w:tcPr>
                <w:p w14:paraId="043A20E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18"/>
                      <w:lang w:val="en-US" w:eastAsia="zh-CN"/>
                    </w:rPr>
                  </w:pPr>
                  <w:r>
                    <w:rPr>
                      <w:rFonts w:hint="eastAsia" w:ascii="Times New Roman" w:hAnsi="Times New Roman" w:cs="Times New Roman"/>
                      <w:color w:val="auto"/>
                      <w:sz w:val="21"/>
                      <w:szCs w:val="18"/>
                      <w:lang w:val="en-US" w:eastAsia="zh-CN"/>
                    </w:rPr>
                    <w:t>480</w:t>
                  </w:r>
                </w:p>
              </w:tc>
              <w:tc>
                <w:tcPr>
                  <w:tcW w:w="1426" w:type="pct"/>
                  <w:noWrap w:val="0"/>
                  <w:vAlign w:val="center"/>
                </w:tcPr>
                <w:p w14:paraId="0509E0A1">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default" w:ascii="Times New Roman" w:hAnsi="Times New Roman" w:cs="Times New Roman"/>
                      <w:color w:val="auto"/>
                      <w:sz w:val="21"/>
                      <w:szCs w:val="18"/>
                    </w:rPr>
                    <w:t>预处理池→</w:t>
                  </w:r>
                  <w:r>
                    <w:rPr>
                      <w:rFonts w:hint="eastAsia" w:ascii="Times New Roman" w:hAnsi="Times New Roman" w:cs="Times New Roman"/>
                      <w:color w:val="auto"/>
                      <w:sz w:val="21"/>
                      <w:szCs w:val="21"/>
                      <w:lang w:val="en-US" w:eastAsia="zh-CN"/>
                    </w:rPr>
                    <w:t>污水管网</w:t>
                  </w:r>
                </w:p>
              </w:tc>
            </w:tr>
            <w:tr w14:paraId="4FCEE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pct"/>
                  <w:noWrap w:val="0"/>
                  <w:vAlign w:val="center"/>
                </w:tcPr>
                <w:p w14:paraId="131D575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锅炉</w:t>
                  </w:r>
                  <w:r>
                    <w:rPr>
                      <w:rFonts w:hint="eastAsia" w:ascii="Times New Roman" w:hAnsi="Times New Roman" w:cs="Times New Roman"/>
                      <w:color w:val="auto"/>
                      <w:sz w:val="21"/>
                      <w:szCs w:val="21"/>
                    </w:rPr>
                    <w:t>用水</w:t>
                  </w:r>
                </w:p>
              </w:tc>
              <w:tc>
                <w:tcPr>
                  <w:tcW w:w="695" w:type="pct"/>
                  <w:noWrap w:val="0"/>
                  <w:vAlign w:val="center"/>
                </w:tcPr>
                <w:p w14:paraId="5D3F8A5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586" w:type="pct"/>
                  <w:noWrap w:val="0"/>
                  <w:vAlign w:val="center"/>
                </w:tcPr>
                <w:p w14:paraId="77C8CA4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12000</w:t>
                  </w:r>
                </w:p>
              </w:tc>
              <w:tc>
                <w:tcPr>
                  <w:tcW w:w="830" w:type="pct"/>
                  <w:noWrap w:val="0"/>
                  <w:vAlign w:val="center"/>
                </w:tcPr>
                <w:p w14:paraId="04AE1CD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30.98</w:t>
                  </w:r>
                </w:p>
              </w:tc>
              <w:tc>
                <w:tcPr>
                  <w:tcW w:w="785" w:type="pct"/>
                  <w:noWrap w:val="0"/>
                  <w:vAlign w:val="center"/>
                </w:tcPr>
                <w:p w14:paraId="7ACF44F2">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9295.38</w:t>
                  </w:r>
                </w:p>
              </w:tc>
              <w:tc>
                <w:tcPr>
                  <w:tcW w:w="1426" w:type="pct"/>
                  <w:noWrap w:val="0"/>
                  <w:vAlign w:val="center"/>
                </w:tcPr>
                <w:p w14:paraId="073F03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蒸汽</w:t>
                  </w:r>
                  <w:r>
                    <w:rPr>
                      <w:rFonts w:hint="eastAsia" w:ascii="Times New Roman" w:hAnsi="Times New Roman" w:cs="Times New Roman"/>
                      <w:color w:val="auto"/>
                      <w:sz w:val="21"/>
                      <w:szCs w:val="21"/>
                    </w:rPr>
                    <w:t>进入</w:t>
                  </w:r>
                  <w:r>
                    <w:rPr>
                      <w:rFonts w:hint="eastAsia" w:ascii="Times New Roman" w:hAnsi="Times New Roman" w:cs="Times New Roman"/>
                      <w:color w:val="auto"/>
                      <w:sz w:val="21"/>
                      <w:szCs w:val="21"/>
                      <w:lang w:val="en-US" w:eastAsia="zh-CN"/>
                    </w:rPr>
                    <w:t>物料，油水分离</w:t>
                  </w:r>
                  <w:r>
                    <w:rPr>
                      <w:rFonts w:hint="eastAsia" w:cs="Times New Roman"/>
                      <w:color w:val="auto"/>
                      <w:sz w:val="21"/>
                      <w:szCs w:val="21"/>
                      <w:lang w:val="en-US" w:eastAsia="zh-CN"/>
                    </w:rPr>
                    <w:t>、厌氧处理</w:t>
                  </w:r>
                  <w:r>
                    <w:rPr>
                      <w:rFonts w:hint="eastAsia" w:ascii="Times New Roman" w:hAnsi="Times New Roman" w:cs="Times New Roman"/>
                      <w:color w:val="auto"/>
                      <w:sz w:val="21"/>
                      <w:szCs w:val="21"/>
                      <w:lang w:val="en-US" w:eastAsia="zh-CN"/>
                    </w:rPr>
                    <w:t>后进入废水</w:t>
                  </w:r>
                  <w:r>
                    <w:rPr>
                      <w:rFonts w:hint="default" w:ascii="Times New Roman" w:hAnsi="Times New Roman" w:cs="Times New Roman"/>
                      <w:color w:val="auto"/>
                      <w:sz w:val="21"/>
                      <w:szCs w:val="18"/>
                    </w:rPr>
                    <w:t>→</w:t>
                  </w:r>
                  <w:r>
                    <w:rPr>
                      <w:rFonts w:hint="eastAsia" w:ascii="Times New Roman" w:hAnsi="Times New Roman" w:cs="Times New Roman"/>
                      <w:color w:val="auto"/>
                      <w:sz w:val="21"/>
                      <w:szCs w:val="21"/>
                      <w:lang w:val="en-US" w:eastAsia="zh-CN"/>
                    </w:rPr>
                    <w:t>污水管网</w:t>
                  </w:r>
                </w:p>
              </w:tc>
            </w:tr>
            <w:tr w14:paraId="23D58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pct"/>
                  <w:noWrap w:val="0"/>
                  <w:vAlign w:val="center"/>
                </w:tcPr>
                <w:p w14:paraId="215D2FF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反冲洗水</w:t>
                  </w:r>
                </w:p>
              </w:tc>
              <w:tc>
                <w:tcPr>
                  <w:tcW w:w="695" w:type="pct"/>
                  <w:noWrap w:val="0"/>
                  <w:vAlign w:val="center"/>
                </w:tcPr>
                <w:p w14:paraId="614C5D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586" w:type="pct"/>
                  <w:noWrap w:val="0"/>
                  <w:vAlign w:val="center"/>
                </w:tcPr>
                <w:p w14:paraId="245A753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830" w:type="pct"/>
                  <w:noWrap w:val="0"/>
                  <w:vAlign w:val="center"/>
                </w:tcPr>
                <w:p w14:paraId="25174EB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785" w:type="pct"/>
                  <w:noWrap w:val="0"/>
                  <w:vAlign w:val="center"/>
                </w:tcPr>
                <w:p w14:paraId="2E817AE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100</w:t>
                  </w:r>
                </w:p>
              </w:tc>
              <w:tc>
                <w:tcPr>
                  <w:tcW w:w="1426" w:type="pct"/>
                  <w:noWrap w:val="0"/>
                  <w:vAlign w:val="center"/>
                </w:tcPr>
                <w:p w14:paraId="23E167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污水管网</w:t>
                  </w:r>
                </w:p>
              </w:tc>
            </w:tr>
            <w:tr w14:paraId="5B328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pct"/>
                  <w:noWrap w:val="0"/>
                  <w:vAlign w:val="center"/>
                </w:tcPr>
                <w:p w14:paraId="628EE2B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循环冷却水</w:t>
                  </w:r>
                </w:p>
              </w:tc>
              <w:tc>
                <w:tcPr>
                  <w:tcW w:w="695" w:type="pct"/>
                  <w:noWrap w:val="0"/>
                  <w:vAlign w:val="center"/>
                </w:tcPr>
                <w:p w14:paraId="485D5A3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586" w:type="pct"/>
                  <w:noWrap w:val="0"/>
                  <w:vAlign w:val="center"/>
                </w:tcPr>
                <w:p w14:paraId="3815584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60</w:t>
                  </w:r>
                  <w:r>
                    <w:rPr>
                      <w:rFonts w:hint="eastAsia" w:ascii="Times New Roman" w:hAnsi="Times New Roman" w:cs="Times New Roman"/>
                      <w:color w:val="auto"/>
                      <w:sz w:val="21"/>
                      <w:szCs w:val="21"/>
                    </w:rPr>
                    <w:t>00</w:t>
                  </w:r>
                </w:p>
              </w:tc>
              <w:tc>
                <w:tcPr>
                  <w:tcW w:w="830" w:type="pct"/>
                  <w:noWrap w:val="0"/>
                  <w:vAlign w:val="center"/>
                </w:tcPr>
                <w:p w14:paraId="440B3882">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785" w:type="pct"/>
                  <w:noWrap w:val="0"/>
                  <w:vAlign w:val="center"/>
                </w:tcPr>
                <w:p w14:paraId="44DE8BF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426" w:type="pct"/>
                  <w:noWrap w:val="0"/>
                  <w:vAlign w:val="center"/>
                </w:tcPr>
                <w:p w14:paraId="4095DCB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冷却塔</w:t>
                  </w:r>
                  <w:r>
                    <w:rPr>
                      <w:rFonts w:hint="default" w:ascii="Times New Roman" w:hAnsi="Times New Roman" w:cs="Times New Roman"/>
                      <w:color w:val="auto"/>
                      <w:sz w:val="21"/>
                      <w:szCs w:val="21"/>
                    </w:rPr>
                    <w:t>→循环使用，不外排</w:t>
                  </w:r>
                </w:p>
              </w:tc>
            </w:tr>
            <w:tr w14:paraId="7D3A9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pct"/>
                  <w:noWrap w:val="0"/>
                  <w:vAlign w:val="center"/>
                </w:tcPr>
                <w:p w14:paraId="5508E0A0">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合计</w:t>
                  </w:r>
                </w:p>
              </w:tc>
              <w:tc>
                <w:tcPr>
                  <w:tcW w:w="695" w:type="pct"/>
                  <w:noWrap w:val="0"/>
                  <w:vAlign w:val="center"/>
                </w:tcPr>
                <w:p w14:paraId="780E729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w:t>
                  </w:r>
                </w:p>
              </w:tc>
              <w:tc>
                <w:tcPr>
                  <w:tcW w:w="586" w:type="pct"/>
                  <w:noWrap w:val="0"/>
                  <w:vAlign w:val="center"/>
                </w:tcPr>
                <w:p w14:paraId="5AD5F1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r>
                    <w:rPr>
                      <w:rFonts w:hint="eastAsia" w:cs="Times New Roman"/>
                      <w:color w:val="auto"/>
                      <w:sz w:val="21"/>
                      <w:szCs w:val="21"/>
                      <w:lang w:val="en-US" w:eastAsia="zh-CN"/>
                    </w:rPr>
                    <w:t>700</w:t>
                  </w:r>
                </w:p>
              </w:tc>
              <w:tc>
                <w:tcPr>
                  <w:tcW w:w="830" w:type="pct"/>
                  <w:noWrap w:val="0"/>
                  <w:vAlign w:val="center"/>
                </w:tcPr>
                <w:p w14:paraId="0112C1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33.58</w:t>
                  </w:r>
                </w:p>
              </w:tc>
              <w:tc>
                <w:tcPr>
                  <w:tcW w:w="785" w:type="pct"/>
                  <w:noWrap w:val="0"/>
                  <w:vAlign w:val="center"/>
                </w:tcPr>
                <w:p w14:paraId="0833BBE2">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9875.38</w:t>
                  </w:r>
                </w:p>
              </w:tc>
              <w:tc>
                <w:tcPr>
                  <w:tcW w:w="1426" w:type="pct"/>
                  <w:noWrap w:val="0"/>
                  <w:vAlign w:val="center"/>
                </w:tcPr>
                <w:p w14:paraId="09EB49DD">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w:t>
                  </w:r>
                </w:p>
              </w:tc>
            </w:tr>
          </w:tbl>
          <w:p w14:paraId="505613B4">
            <w:pPr>
              <w:pStyle w:val="13"/>
              <w:keepNext w:val="0"/>
              <w:keepLines w:val="0"/>
              <w:suppressLineNumbers w:val="0"/>
              <w:spacing w:before="0" w:beforeAutospacing="0" w:after="0" w:afterAutospacing="0" w:line="360" w:lineRule="auto"/>
              <w:ind w:left="0" w:firstLine="0"/>
              <w:jc w:val="center"/>
              <w:rPr>
                <w:rFonts w:hint="eastAsia" w:ascii="Times New Roman" w:hAnsi="Times New Roman" w:cs="Times New Roman"/>
                <w:color w:val="auto"/>
              </w:rPr>
            </w:pPr>
            <w:r>
              <w:rPr>
                <w:rFonts w:hint="default" w:ascii="Times New Roman" w:hAnsi="Times New Roman" w:cs="Times New Roman"/>
                <w:color w:val="auto"/>
              </w:rPr>
              <w:object>
                <v:shape id="_x0000_i1025" o:spt="75" type="#_x0000_t75" style="height:303.5pt;width:422.8pt;" o:ole="t" filled="f" o:preferrelative="t" stroked="f" coordsize="21600,21600">
                  <v:path/>
                  <v:fill on="f" focussize="0,0"/>
                  <v:stroke on="f"/>
                  <v:imagedata r:id="rId18" cropleft="2388f" croptop="43f" cropright="954f" cropbottom="-296f" o:title=""/>
                  <o:lock v:ext="edit" aspectratio="f"/>
                  <w10:wrap type="none"/>
                  <w10:anchorlock/>
                </v:shape>
                <o:OLEObject Type="Embed" ProgID="Visio.Drawing.15" ShapeID="_x0000_i1025" DrawAspect="Content" ObjectID="_1468075725" r:id="rId17">
                  <o:LockedField>false</o:LockedField>
                </o:OLEObject>
              </w:object>
            </w:r>
            <w:r>
              <w:rPr>
                <w:rFonts w:hint="default" w:ascii="Times New Roman" w:hAnsi="Times New Roman" w:eastAsia="宋体" w:cs="Times New Roman"/>
                <w:b/>
                <w:bCs/>
                <w:color w:val="auto"/>
                <w:kern w:val="2"/>
                <w:sz w:val="21"/>
                <w:szCs w:val="21"/>
                <w:lang w:val="en-US" w:eastAsia="zh-CN" w:bidi="ar-SA"/>
              </w:rPr>
              <w:t>图2-</w:t>
            </w:r>
            <w:r>
              <w:rPr>
                <w:rFonts w:hint="eastAsia" w:ascii="Times New Roman" w:hAnsi="Times New Roman" w:eastAsia="宋体" w:cs="Times New Roman"/>
                <w:b/>
                <w:bCs/>
                <w:color w:val="auto"/>
                <w:kern w:val="2"/>
                <w:sz w:val="21"/>
                <w:szCs w:val="21"/>
                <w:lang w:val="en-US" w:eastAsia="zh-CN" w:bidi="ar-SA"/>
              </w:rPr>
              <w:t>1</w:t>
            </w:r>
            <w:r>
              <w:rPr>
                <w:rFonts w:hint="default" w:ascii="Times New Roman" w:hAnsi="Times New Roman" w:eastAsia="宋体" w:cs="Times New Roman"/>
                <w:b/>
                <w:bCs/>
                <w:color w:val="auto"/>
                <w:kern w:val="2"/>
                <w:sz w:val="21"/>
                <w:szCs w:val="21"/>
                <w:lang w:val="en-US" w:eastAsia="zh-CN" w:bidi="ar-SA"/>
              </w:rPr>
              <w:t xml:space="preserve">  项目水平衡图（单位：</w:t>
            </w:r>
            <w:r>
              <w:rPr>
                <w:rFonts w:hint="eastAsia" w:ascii="Times New Roman" w:hAnsi="Times New Roman" w:eastAsia="宋体" w:cs="Times New Roman"/>
                <w:b/>
                <w:bCs/>
                <w:color w:val="auto"/>
                <w:kern w:val="2"/>
                <w:sz w:val="21"/>
                <w:szCs w:val="21"/>
                <w:lang w:val="en-US" w:eastAsia="zh-CN" w:bidi="ar-SA"/>
              </w:rPr>
              <w:t>m</w:t>
            </w:r>
            <w:r>
              <w:rPr>
                <w:rFonts w:hint="eastAsia" w:ascii="Times New Roman" w:hAnsi="Times New Roman" w:eastAsia="宋体" w:cs="Times New Roman"/>
                <w:b/>
                <w:bCs/>
                <w:color w:val="auto"/>
                <w:kern w:val="2"/>
                <w:sz w:val="21"/>
                <w:szCs w:val="21"/>
                <w:vertAlign w:val="superscript"/>
                <w:lang w:val="en-US" w:eastAsia="zh-CN" w:bidi="ar-SA"/>
              </w:rPr>
              <w:t>3</w:t>
            </w:r>
            <w:r>
              <w:rPr>
                <w:rFonts w:hint="default" w:ascii="Times New Roman" w:hAnsi="Times New Roman" w:eastAsia="宋体" w:cs="Times New Roman"/>
                <w:b/>
                <w:bCs/>
                <w:color w:val="auto"/>
                <w:kern w:val="2"/>
                <w:sz w:val="21"/>
                <w:szCs w:val="21"/>
                <w:lang w:val="en-US" w:eastAsia="zh-CN" w:bidi="ar-SA"/>
              </w:rPr>
              <w:t>/</w:t>
            </w:r>
            <w:r>
              <w:rPr>
                <w:rFonts w:hint="eastAsia" w:ascii="Times New Roman" w:hAnsi="Times New Roman" w:eastAsia="宋体" w:cs="Times New Roman"/>
                <w:b/>
                <w:bCs/>
                <w:color w:val="auto"/>
                <w:kern w:val="2"/>
                <w:sz w:val="21"/>
                <w:szCs w:val="21"/>
                <w:lang w:val="en-US" w:eastAsia="zh-CN" w:bidi="ar-SA"/>
              </w:rPr>
              <w:t>d</w:t>
            </w:r>
            <w:r>
              <w:rPr>
                <w:rFonts w:hint="default" w:ascii="Times New Roman" w:hAnsi="Times New Roman" w:eastAsia="宋体" w:cs="Times New Roman"/>
                <w:b/>
                <w:bCs/>
                <w:color w:val="auto"/>
                <w:kern w:val="2"/>
                <w:sz w:val="21"/>
                <w:szCs w:val="21"/>
                <w:lang w:val="en-US" w:eastAsia="zh-CN" w:bidi="ar-SA"/>
              </w:rPr>
              <w:t>）</w:t>
            </w:r>
          </w:p>
          <w:p w14:paraId="436FC855">
            <w:pPr>
              <w:keepNext w:val="0"/>
              <w:keepLines w:val="0"/>
              <w:suppressLineNumbers w:val="0"/>
              <w:adjustRightInd w:val="0"/>
              <w:snapToGrid w:val="0"/>
              <w:spacing w:before="120" w:beforeLines="50" w:beforeAutospacing="0" w:after="0" w:afterAutospacing="0"/>
              <w:ind w:left="0" w:right="0"/>
              <w:rPr>
                <w:rFonts w:hint="default" w:ascii="Times New Roman" w:hAnsi="Times New Roman" w:cs="Times New Roman"/>
                <w:b/>
                <w:color w:val="auto"/>
              </w:rPr>
            </w:pPr>
            <w:r>
              <w:rPr>
                <w:rFonts w:hint="eastAsia" w:ascii="Times New Roman" w:hAnsi="Times New Roman" w:cs="Times New Roman"/>
                <w:b/>
                <w:color w:val="auto"/>
              </w:rPr>
              <w:t>七、</w:t>
            </w:r>
            <w:r>
              <w:rPr>
                <w:rFonts w:hint="default" w:ascii="Times New Roman" w:hAnsi="Times New Roman" w:cs="Times New Roman"/>
                <w:b/>
                <w:color w:val="auto"/>
              </w:rPr>
              <w:t>项目厂区平面布置</w:t>
            </w:r>
          </w:p>
          <w:p w14:paraId="18C48E40">
            <w:pPr>
              <w:keepNext w:val="0"/>
              <w:keepLines w:val="0"/>
              <w:suppressLineNumbers w:val="0"/>
              <w:spacing w:before="0" w:beforeAutospacing="0" w:after="0" w:afterAutospacing="0"/>
              <w:ind w:left="0" w:right="0" w:firstLine="482" w:firstLineChars="200"/>
              <w:rPr>
                <w:rFonts w:hint="default" w:ascii="Times New Roman" w:hAnsi="Times New Roman" w:cs="Times New Roman"/>
                <w:bCs/>
                <w:color w:val="auto"/>
                <w:szCs w:val="32"/>
              </w:rPr>
            </w:pPr>
            <w:r>
              <w:rPr>
                <w:rFonts w:hint="eastAsia" w:ascii="Times New Roman" w:hAnsi="Times New Roman" w:cs="Times New Roman"/>
                <w:b/>
                <w:color w:val="auto"/>
                <w:szCs w:val="32"/>
              </w:rPr>
              <w:t>1、</w:t>
            </w:r>
            <w:r>
              <w:rPr>
                <w:rFonts w:hint="default" w:ascii="Times New Roman" w:hAnsi="Times New Roman" w:cs="Times New Roman"/>
                <w:b/>
                <w:color w:val="auto"/>
                <w:szCs w:val="32"/>
              </w:rPr>
              <w:t>本项目厂区功能分区</w:t>
            </w:r>
          </w:p>
          <w:p w14:paraId="42A5535F">
            <w:pPr>
              <w:pStyle w:val="61"/>
              <w:keepNext w:val="0"/>
              <w:keepLines w:val="0"/>
              <w:suppressLineNumbers w:val="0"/>
              <w:spacing w:before="0" w:beforeAutospacing="0" w:after="0" w:afterAutospacing="0" w:line="360" w:lineRule="auto"/>
              <w:ind w:left="0" w:right="0" w:firstLine="480"/>
              <w:rPr>
                <w:rFonts w:hint="default" w:ascii="Times New Roman" w:hAnsi="Times New Roman" w:cs="Times New Roman"/>
                <w:bCs/>
                <w:color w:val="auto"/>
                <w:szCs w:val="24"/>
              </w:rPr>
            </w:pPr>
            <w:r>
              <w:rPr>
                <w:rFonts w:hint="eastAsia"/>
                <w:color w:val="auto"/>
                <w:szCs w:val="32"/>
                <w:lang w:val="en-US" w:eastAsia="zh-CN" w:bidi="ar"/>
              </w:rPr>
              <w:t>中通建材公司</w:t>
            </w:r>
            <w:r>
              <w:rPr>
                <w:rFonts w:hint="eastAsia"/>
                <w:color w:val="auto"/>
              </w:rPr>
              <w:t>厂区</w:t>
            </w:r>
            <w:r>
              <w:rPr>
                <w:rFonts w:hint="default" w:ascii="Times New Roman" w:hAnsi="Times New Roman" w:cs="Times New Roman"/>
                <w:color w:val="auto"/>
                <w:szCs w:val="24"/>
              </w:rPr>
              <w:t>整个厂区外形</w:t>
            </w:r>
            <w:r>
              <w:rPr>
                <w:rFonts w:ascii="Times New Roman" w:hAnsi="Times New Roman" w:cs="Times New Roman"/>
                <w:color w:val="auto"/>
                <w:szCs w:val="24"/>
              </w:rPr>
              <w:t>呈不规则</w:t>
            </w:r>
            <w:r>
              <w:rPr>
                <w:rFonts w:hint="eastAsia" w:ascii="Times New Roman" w:hAnsi="Times New Roman" w:cs="Times New Roman"/>
                <w:color w:val="auto"/>
                <w:szCs w:val="24"/>
                <w:lang w:val="en-US" w:eastAsia="zh-CN"/>
              </w:rPr>
              <w:t>形状</w:t>
            </w:r>
            <w:r>
              <w:rPr>
                <w:rFonts w:hint="default" w:ascii="Times New Roman" w:hAnsi="Times New Roman" w:cs="Times New Roman"/>
                <w:color w:val="auto"/>
                <w:szCs w:val="24"/>
              </w:rPr>
              <w:t>，占地面积为</w:t>
            </w:r>
            <w:r>
              <w:rPr>
                <w:rFonts w:ascii="Times New Roman" w:hAnsi="Times New Roman" w:cs="Times New Roman"/>
                <w:color w:val="auto"/>
                <w:szCs w:val="24"/>
              </w:rPr>
              <w:t>14330</w:t>
            </w:r>
            <w:r>
              <w:rPr>
                <w:rFonts w:hint="default" w:ascii="Times New Roman" w:hAnsi="Times New Roman" w:cs="Times New Roman"/>
                <w:color w:val="auto"/>
                <w:szCs w:val="24"/>
              </w:rPr>
              <w:t>平方米</w:t>
            </w:r>
            <w:r>
              <w:rPr>
                <w:rFonts w:ascii="Times New Roman" w:hAnsi="Times New Roman" w:cs="Times New Roman"/>
                <w:color w:val="auto"/>
                <w:szCs w:val="24"/>
              </w:rPr>
              <w:t>，</w:t>
            </w:r>
            <w:r>
              <w:rPr>
                <w:rFonts w:hint="default" w:ascii="Times New Roman" w:hAnsi="Times New Roman" w:cs="Times New Roman"/>
                <w:bCs/>
                <w:color w:val="auto"/>
                <w:szCs w:val="24"/>
              </w:rPr>
              <w:t>本项目</w:t>
            </w:r>
            <w:r>
              <w:rPr>
                <w:rFonts w:hint="eastAsia" w:ascii="Times New Roman" w:hAnsi="Times New Roman" w:cs="Times New Roman"/>
                <w:bCs/>
                <w:color w:val="auto"/>
                <w:szCs w:val="24"/>
                <w:lang w:val="en-US" w:eastAsia="zh-CN"/>
              </w:rPr>
              <w:t>租赁其东面生产车间设置生产线，生产车间</w:t>
            </w:r>
            <w:r>
              <w:rPr>
                <w:rFonts w:ascii="Times New Roman" w:hAnsi="Times New Roman" w:cs="Times New Roman"/>
                <w:bCs/>
                <w:color w:val="auto"/>
                <w:szCs w:val="24"/>
              </w:rPr>
              <w:t>建筑面积约</w:t>
            </w:r>
            <w:r>
              <w:rPr>
                <w:rFonts w:hint="default" w:ascii="Times New Roman" w:hAnsi="Times New Roman" w:cs="Times New Roman"/>
                <w:bCs/>
                <w:color w:val="auto"/>
                <w:szCs w:val="24"/>
              </w:rPr>
              <w:t>为</w:t>
            </w:r>
            <w:r>
              <w:rPr>
                <w:rFonts w:hint="eastAsia" w:ascii="Times New Roman" w:hAnsi="Times New Roman" w:cs="Times New Roman"/>
                <w:bCs/>
                <w:color w:val="auto"/>
                <w:szCs w:val="24"/>
                <w:lang w:val="en-US" w:eastAsia="zh-CN"/>
              </w:rPr>
              <w:t>2</w:t>
            </w:r>
            <w:r>
              <w:rPr>
                <w:rFonts w:ascii="Times New Roman" w:hAnsi="Times New Roman" w:cs="Times New Roman"/>
                <w:bCs/>
                <w:color w:val="auto"/>
                <w:szCs w:val="24"/>
              </w:rPr>
              <w:t>000</w:t>
            </w:r>
            <w:r>
              <w:rPr>
                <w:rFonts w:hint="default" w:ascii="Times New Roman" w:hAnsi="Times New Roman" w:cs="Times New Roman"/>
                <w:bCs/>
                <w:color w:val="auto"/>
                <w:szCs w:val="24"/>
              </w:rPr>
              <w:t>平方米</w:t>
            </w:r>
            <w:r>
              <w:rPr>
                <w:rFonts w:hint="eastAsia" w:ascii="Times New Roman" w:hAnsi="Times New Roman" w:cs="Times New Roman"/>
                <w:bCs/>
                <w:color w:val="auto"/>
                <w:szCs w:val="24"/>
                <w:lang w:eastAsia="zh-CN"/>
              </w:rPr>
              <w:t>，</w:t>
            </w:r>
            <w:r>
              <w:rPr>
                <w:rFonts w:hint="eastAsia" w:ascii="Times New Roman" w:hAnsi="Times New Roman" w:cs="Times New Roman"/>
                <w:bCs/>
                <w:color w:val="auto"/>
                <w:szCs w:val="24"/>
                <w:lang w:val="en-US" w:eastAsia="zh-CN"/>
              </w:rPr>
              <w:t>并租用原料堆场区域设置单独的锅炉房、破碎间，占地面积1000平方米</w:t>
            </w:r>
            <w:r>
              <w:rPr>
                <w:rFonts w:hint="default" w:ascii="Times New Roman" w:hAnsi="Times New Roman" w:cs="Times New Roman"/>
                <w:bCs/>
                <w:color w:val="auto"/>
                <w:szCs w:val="24"/>
              </w:rPr>
              <w:t>。</w:t>
            </w:r>
            <w:r>
              <w:rPr>
                <w:rFonts w:hint="default" w:ascii="Times New Roman" w:hAnsi="Times New Roman" w:cs="Times New Roman"/>
                <w:color w:val="auto"/>
                <w:szCs w:val="24"/>
              </w:rPr>
              <w:t>从项目总图布置上可以看出，</w:t>
            </w:r>
            <w:r>
              <w:rPr>
                <w:rFonts w:hint="eastAsia" w:ascii="Times New Roman" w:hAnsi="Times New Roman" w:cs="Times New Roman"/>
                <w:color w:val="auto"/>
                <w:szCs w:val="24"/>
                <w:lang w:val="en-US" w:eastAsia="zh-CN"/>
              </w:rPr>
              <w:t>项目从</w:t>
            </w:r>
            <w:r>
              <w:rPr>
                <w:rFonts w:ascii="Times New Roman" w:hAnsi="Times New Roman" w:cs="Times New Roman"/>
                <w:color w:val="auto"/>
                <w:szCs w:val="24"/>
              </w:rPr>
              <w:t>厂区</w:t>
            </w:r>
            <w:r>
              <w:rPr>
                <w:rFonts w:hint="eastAsia" w:ascii="Times New Roman" w:hAnsi="Times New Roman" w:cs="Times New Roman"/>
                <w:color w:val="auto"/>
                <w:szCs w:val="24"/>
                <w:lang w:val="en-US" w:eastAsia="zh-CN"/>
              </w:rPr>
              <w:t>东</w:t>
            </w:r>
            <w:r>
              <w:rPr>
                <w:rFonts w:ascii="Times New Roman" w:hAnsi="Times New Roman" w:cs="Times New Roman"/>
                <w:color w:val="auto"/>
                <w:szCs w:val="24"/>
              </w:rPr>
              <w:t>侧</w:t>
            </w:r>
            <w:r>
              <w:rPr>
                <w:rFonts w:hint="eastAsia" w:ascii="Times New Roman" w:hAnsi="Times New Roman" w:cs="Times New Roman"/>
                <w:color w:val="auto"/>
                <w:szCs w:val="24"/>
                <w:lang w:val="en-US" w:eastAsia="zh-CN"/>
              </w:rPr>
              <w:t>大门进料，先在破碎间进行初步破碎，后转移至生产车间进行进一步加工，生产车间内按生产工序在西侧设置柏木油生产线，东南侧设置生物质颗粒生产线，原料堆场及成品堆场</w:t>
            </w:r>
            <w:r>
              <w:rPr>
                <w:rFonts w:hint="default" w:ascii="Times New Roman" w:hAnsi="Times New Roman" w:cs="Times New Roman"/>
                <w:bCs/>
                <w:color w:val="auto"/>
                <w:szCs w:val="24"/>
              </w:rPr>
              <w:t>临近生产区，便于</w:t>
            </w:r>
            <w:r>
              <w:rPr>
                <w:rFonts w:hint="eastAsia" w:ascii="Times New Roman" w:hAnsi="Times New Roman" w:cs="Times New Roman"/>
                <w:bCs/>
                <w:color w:val="auto"/>
                <w:szCs w:val="24"/>
                <w:lang w:val="en-US" w:eastAsia="zh-CN"/>
              </w:rPr>
              <w:t>产品运输</w:t>
            </w:r>
            <w:r>
              <w:rPr>
                <w:rFonts w:hint="default" w:ascii="Times New Roman" w:hAnsi="Times New Roman" w:cs="Times New Roman"/>
                <w:bCs/>
                <w:color w:val="auto"/>
                <w:szCs w:val="24"/>
              </w:rPr>
              <w:t>，节省劳动力</w:t>
            </w:r>
            <w:r>
              <w:rPr>
                <w:rFonts w:hint="eastAsia" w:ascii="Times New Roman" w:hAnsi="Times New Roman" w:cs="Times New Roman"/>
                <w:bCs/>
                <w:color w:val="auto"/>
                <w:szCs w:val="24"/>
                <w:lang w:val="en-US" w:eastAsia="zh-CN"/>
              </w:rPr>
              <w:t>及物流在场内的周转距离</w:t>
            </w:r>
            <w:r>
              <w:rPr>
                <w:rFonts w:ascii="Times New Roman" w:hAnsi="Times New Roman" w:cs="Times New Roman"/>
                <w:color w:val="auto"/>
                <w:szCs w:val="24"/>
              </w:rPr>
              <w:t>，</w:t>
            </w:r>
            <w:r>
              <w:rPr>
                <w:rFonts w:hint="default" w:ascii="Times New Roman" w:hAnsi="Times New Roman" w:cs="Times New Roman"/>
                <w:bCs/>
                <w:color w:val="auto"/>
                <w:szCs w:val="24"/>
              </w:rPr>
              <w:t>厂房</w:t>
            </w:r>
            <w:r>
              <w:rPr>
                <w:rFonts w:ascii="Times New Roman" w:hAnsi="Times New Roman" w:cs="Times New Roman"/>
                <w:bCs/>
                <w:color w:val="auto"/>
                <w:szCs w:val="24"/>
              </w:rPr>
              <w:t>西南</w:t>
            </w:r>
            <w:r>
              <w:rPr>
                <w:rFonts w:hint="default" w:ascii="Times New Roman" w:hAnsi="Times New Roman" w:cs="Times New Roman"/>
                <w:bCs/>
                <w:color w:val="auto"/>
                <w:szCs w:val="24"/>
              </w:rPr>
              <w:t>侧</w:t>
            </w:r>
            <w:r>
              <w:rPr>
                <w:rFonts w:hint="eastAsia" w:ascii="Times New Roman" w:hAnsi="Times New Roman" w:cs="Times New Roman"/>
                <w:bCs/>
                <w:color w:val="auto"/>
                <w:szCs w:val="24"/>
                <w:lang w:val="en-US" w:eastAsia="zh-CN"/>
              </w:rPr>
              <w:t>设置油水分离</w:t>
            </w:r>
            <w:r>
              <w:rPr>
                <w:rFonts w:ascii="Times New Roman" w:hAnsi="Times New Roman" w:cs="Times New Roman"/>
                <w:bCs/>
                <w:color w:val="auto"/>
                <w:szCs w:val="24"/>
              </w:rPr>
              <w:t>池，</w:t>
            </w:r>
            <w:r>
              <w:rPr>
                <w:rFonts w:hint="eastAsia" w:ascii="Times New Roman" w:hAnsi="Times New Roman" w:cs="Times New Roman"/>
                <w:bCs/>
                <w:color w:val="auto"/>
                <w:szCs w:val="24"/>
                <w:lang w:val="en-US" w:eastAsia="zh-CN"/>
              </w:rPr>
              <w:t>冷凝器等，在车间外东侧设置冷却循环水装置，为冷凝器提供冷却水，锅炉房单独设置于东侧建筑内，</w:t>
            </w:r>
            <w:r>
              <w:rPr>
                <w:rFonts w:hint="eastAsia"/>
                <w:color w:val="auto"/>
                <w:lang w:val="en-US" w:eastAsia="zh-CN"/>
              </w:rPr>
              <w:t>锅炉</w:t>
            </w:r>
            <w:r>
              <w:rPr>
                <w:color w:val="auto"/>
              </w:rPr>
              <w:t>紧邻主要生产单元</w:t>
            </w:r>
            <w:r>
              <w:rPr>
                <w:rFonts w:hint="eastAsia"/>
                <w:color w:val="auto"/>
                <w:lang w:eastAsia="zh-CN"/>
              </w:rPr>
              <w:t>的</w:t>
            </w:r>
            <w:r>
              <w:rPr>
                <w:rFonts w:hint="eastAsia"/>
                <w:color w:val="auto"/>
                <w:lang w:val="en-US" w:eastAsia="zh-CN"/>
              </w:rPr>
              <w:t>用蒸汽设备</w:t>
            </w:r>
            <w:r>
              <w:rPr>
                <w:color w:val="auto"/>
              </w:rPr>
              <w:t>，以便于</w:t>
            </w:r>
            <w:r>
              <w:rPr>
                <w:rFonts w:hint="eastAsia"/>
                <w:color w:val="auto"/>
                <w:lang w:val="en-US" w:eastAsia="zh-CN"/>
              </w:rPr>
              <w:t>蒸汽输送</w:t>
            </w:r>
            <w:r>
              <w:rPr>
                <w:color w:val="auto"/>
              </w:rPr>
              <w:t>，减少能耗，降低生产成本。</w:t>
            </w:r>
          </w:p>
          <w:p w14:paraId="08764BC0">
            <w:pPr>
              <w:pStyle w:val="61"/>
              <w:keepNext w:val="0"/>
              <w:keepLines w:val="0"/>
              <w:suppressLineNumbers w:val="0"/>
              <w:tabs>
                <w:tab w:val="right" w:pos="7465"/>
              </w:tabs>
              <w:spacing w:before="0" w:beforeAutospacing="0" w:after="0" w:afterAutospacing="0" w:line="360" w:lineRule="auto"/>
              <w:ind w:left="0" w:right="0" w:firstLine="482"/>
              <w:rPr>
                <w:rFonts w:hint="default" w:ascii="Times New Roman" w:hAnsi="Times New Roman" w:cs="Times New Roman"/>
                <w:bCs/>
                <w:color w:val="auto"/>
                <w:szCs w:val="24"/>
              </w:rPr>
            </w:pPr>
            <w:r>
              <w:rPr>
                <w:rFonts w:ascii="Times New Roman" w:hAnsi="Times New Roman" w:cs="Times New Roman"/>
                <w:b/>
                <w:color w:val="auto"/>
                <w:szCs w:val="24"/>
              </w:rPr>
              <w:t>2、</w:t>
            </w:r>
            <w:r>
              <w:rPr>
                <w:rFonts w:hint="default" w:ascii="Times New Roman" w:hAnsi="Times New Roman" w:cs="Times New Roman"/>
                <w:b/>
                <w:color w:val="auto"/>
                <w:szCs w:val="24"/>
              </w:rPr>
              <w:t>本项目平面布置合理性分析</w:t>
            </w:r>
          </w:p>
          <w:p w14:paraId="5D25E9B0">
            <w:pPr>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lang w:val="en-US" w:eastAsia="zh-CN"/>
              </w:rPr>
            </w:pPr>
            <w:r>
              <w:rPr>
                <w:rFonts w:hint="eastAsia" w:cs="Times New Roman"/>
                <w:color w:val="auto"/>
                <w:szCs w:val="32"/>
                <w:lang w:val="en-US" w:eastAsia="zh-CN" w:bidi="ar"/>
              </w:rPr>
              <w:t>中通建材公司</w:t>
            </w:r>
            <w:r>
              <w:rPr>
                <w:rFonts w:hint="eastAsia" w:ascii="Times New Roman" w:hAnsi="Times New Roman" w:cs="Times New Roman"/>
                <w:color w:val="auto"/>
              </w:rPr>
              <w:t>厂区内设置三处大门，分别设置在西北侧、东北侧</w:t>
            </w:r>
            <w:r>
              <w:rPr>
                <w:rFonts w:hint="eastAsia" w:ascii="Times New Roman" w:hAnsi="Times New Roman" w:cs="Times New Roman"/>
                <w:color w:val="auto"/>
                <w:lang w:eastAsia="zh-CN"/>
              </w:rPr>
              <w:t>及</w:t>
            </w:r>
            <w:r>
              <w:rPr>
                <w:rFonts w:hint="eastAsia" w:ascii="Times New Roman" w:hAnsi="Times New Roman" w:cs="Times New Roman"/>
                <w:color w:val="auto"/>
              </w:rPr>
              <w:t>东南侧，</w:t>
            </w:r>
            <w:r>
              <w:rPr>
                <w:rFonts w:hint="default" w:ascii="Times New Roman" w:hAnsi="Times New Roman" w:cs="Times New Roman"/>
                <w:color w:val="auto"/>
              </w:rPr>
              <w:t>靠近干道，主要用于人流及物流进出厂区。</w:t>
            </w:r>
            <w:r>
              <w:rPr>
                <w:rFonts w:hint="eastAsia" w:ascii="Times New Roman" w:hAnsi="Times New Roman" w:cs="Times New Roman"/>
                <w:color w:val="auto"/>
                <w:lang w:val="en-US" w:eastAsia="zh-CN"/>
              </w:rPr>
              <w:t>本项目主要使用其东侧厂区大门一</w:t>
            </w:r>
            <w:r>
              <w:rPr>
                <w:rFonts w:hint="eastAsia" w:cs="Times New Roman"/>
                <w:color w:val="auto"/>
                <w:lang w:val="en-US" w:eastAsia="zh-CN"/>
              </w:rPr>
              <w:t>以</w:t>
            </w:r>
            <w:r>
              <w:rPr>
                <w:rFonts w:hint="eastAsia" w:ascii="Times New Roman" w:hAnsi="Times New Roman" w:cs="Times New Roman"/>
                <w:color w:val="auto"/>
                <w:lang w:val="en-US" w:eastAsia="zh-CN"/>
              </w:rPr>
              <w:t>及厂区大门三，便于项目交通组织。</w:t>
            </w:r>
          </w:p>
          <w:p w14:paraId="7B140314">
            <w:pPr>
              <w:keepNext w:val="0"/>
              <w:keepLines w:val="0"/>
              <w:suppressLineNumbers w:val="0"/>
              <w:adjustRightInd w:val="0"/>
              <w:snapToGrid w:val="0"/>
              <w:spacing w:before="0" w:beforeAutospacing="0" w:after="0" w:afterAutospacing="0"/>
              <w:ind w:left="0" w:right="0" w:firstLine="480" w:firstLineChars="200"/>
              <w:jc w:val="left"/>
              <w:rPr>
                <w:rFonts w:hint="eastAsia" w:ascii="Times New Roman" w:hAnsi="Times New Roman" w:cs="Times New Roman"/>
                <w:color w:val="auto"/>
                <w:szCs w:val="32"/>
                <w:lang w:bidi="ar"/>
              </w:rPr>
            </w:pPr>
            <w:r>
              <w:rPr>
                <w:rFonts w:hint="eastAsia" w:ascii="Times New Roman" w:hAnsi="Times New Roman" w:cs="Times New Roman"/>
                <w:color w:val="auto"/>
                <w:lang w:val="en-US" w:eastAsia="zh-CN"/>
              </w:rPr>
              <w:t>生产</w:t>
            </w:r>
            <w:r>
              <w:rPr>
                <w:rFonts w:hint="default" w:ascii="Times New Roman" w:hAnsi="Times New Roman" w:cs="Times New Roman"/>
                <w:color w:val="auto"/>
              </w:rPr>
              <w:t>厂房内布局按工艺流程的顺序排列，各生产环节之间紧密衔接，合理地组织物流，同时还有效地减少物流交叉对生产组织的影响；项目各功能分区明确、间距合理、工艺流程顺畅、管线短捷，布局满足工艺流程，也满足功能分区要求及运输作业要求</w:t>
            </w:r>
            <w:r>
              <w:rPr>
                <w:rFonts w:hint="eastAsia" w:ascii="Times New Roman" w:hAnsi="Times New Roman" w:cs="Times New Roman"/>
                <w:color w:val="auto"/>
              </w:rPr>
              <w:t>。</w:t>
            </w:r>
          </w:p>
          <w:p w14:paraId="16E5A57E">
            <w:pPr>
              <w:keepNext w:val="0"/>
              <w:keepLines w:val="0"/>
              <w:suppressLineNumbers w:val="0"/>
              <w:adjustRightInd w:val="0"/>
              <w:snapToGrid w:val="0"/>
              <w:spacing w:before="0" w:beforeAutospacing="0" w:after="0" w:afterAutospacing="0"/>
              <w:ind w:left="0" w:right="0" w:firstLine="480" w:firstLineChars="200"/>
              <w:jc w:val="left"/>
              <w:rPr>
                <w:rFonts w:hint="default" w:ascii="Times New Roman" w:hAnsi="Times New Roman" w:cs="Times New Roman"/>
                <w:color w:val="auto"/>
              </w:rPr>
            </w:pPr>
            <w:r>
              <w:rPr>
                <w:rFonts w:hint="eastAsia" w:ascii="Times New Roman" w:hAnsi="Times New Roman" w:cs="Times New Roman"/>
                <w:color w:val="auto"/>
                <w:szCs w:val="32"/>
                <w:lang w:bidi="ar"/>
              </w:rPr>
              <w:t>项目位于蓬溪上游工业园区内，</w:t>
            </w:r>
            <w:r>
              <w:rPr>
                <w:rFonts w:hint="default" w:ascii="Times New Roman" w:hAnsi="Times New Roman" w:cs="Times New Roman"/>
                <w:color w:val="auto"/>
                <w:szCs w:val="32"/>
                <w:lang w:bidi="ar"/>
              </w:rPr>
              <w:t>根据本项目厂界外500m范围内外环境关系分布图（附图</w:t>
            </w:r>
            <w:r>
              <w:rPr>
                <w:rFonts w:hint="eastAsia" w:ascii="Times New Roman" w:hAnsi="Times New Roman" w:cs="Times New Roman"/>
                <w:color w:val="auto"/>
                <w:szCs w:val="32"/>
                <w:lang w:bidi="ar"/>
              </w:rPr>
              <w:t>3</w:t>
            </w:r>
            <w:r>
              <w:rPr>
                <w:rFonts w:hint="default" w:ascii="Times New Roman" w:hAnsi="Times New Roman" w:cs="Times New Roman"/>
                <w:color w:val="auto"/>
                <w:szCs w:val="32"/>
                <w:lang w:bidi="ar"/>
              </w:rPr>
              <w:t>）可知，本项目周边</w:t>
            </w:r>
            <w:r>
              <w:rPr>
                <w:rFonts w:hint="eastAsia" w:ascii="Times New Roman" w:hAnsi="Times New Roman" w:cs="Times New Roman"/>
                <w:color w:val="auto"/>
                <w:szCs w:val="32"/>
                <w:lang w:bidi="ar"/>
              </w:rPr>
              <w:t>多数为生产性企业，</w:t>
            </w:r>
            <w:r>
              <w:rPr>
                <w:rFonts w:hint="default" w:ascii="Times New Roman" w:hAnsi="Times New Roman" w:cs="Times New Roman"/>
                <w:color w:val="auto"/>
                <w:szCs w:val="32"/>
                <w:lang w:bidi="ar"/>
              </w:rPr>
              <w:t>敏感保护目标主要</w:t>
            </w:r>
            <w:r>
              <w:rPr>
                <w:rFonts w:hint="eastAsia" w:ascii="Times New Roman" w:hAnsi="Times New Roman" w:cs="Times New Roman"/>
                <w:color w:val="auto"/>
                <w:szCs w:val="32"/>
                <w:lang w:bidi="ar"/>
              </w:rPr>
              <w:t>为</w:t>
            </w:r>
            <w:r>
              <w:rPr>
                <w:rFonts w:hint="default" w:ascii="Times New Roman" w:hAnsi="Times New Roman" w:cs="Times New Roman"/>
                <w:color w:val="auto"/>
                <w:szCs w:val="32"/>
                <w:lang w:bidi="ar"/>
              </w:rPr>
              <w:t>在厂区</w:t>
            </w:r>
            <w:r>
              <w:rPr>
                <w:rFonts w:hint="eastAsia" w:ascii="Times New Roman" w:hAnsi="Times New Roman" w:cs="Times New Roman"/>
                <w:color w:val="auto"/>
                <w:szCs w:val="32"/>
                <w:lang w:bidi="ar"/>
              </w:rPr>
              <w:t>东北方向的梨园社区居民，位于本项目的上风向，项目周边有食品企业，分别位于项目上风向及下风向，上风向500m内的食品企业已停产，下风向的食品企业与本项目之间与山相隔，</w:t>
            </w:r>
            <w:r>
              <w:rPr>
                <w:rFonts w:hint="eastAsia" w:cs="Times New Roman"/>
                <w:color w:val="auto"/>
                <w:szCs w:val="32"/>
                <w:lang w:val="en-US" w:eastAsia="zh-CN" w:bidi="ar"/>
              </w:rPr>
              <w:t>中通建材公司</w:t>
            </w:r>
            <w:r>
              <w:rPr>
                <w:rFonts w:hint="eastAsia" w:ascii="Times New Roman" w:hAnsi="Times New Roman" w:cs="Times New Roman"/>
                <w:color w:val="auto"/>
                <w:szCs w:val="32"/>
                <w:lang w:val="en-US" w:eastAsia="zh-CN" w:bidi="ar"/>
              </w:rPr>
              <w:t>厂界内</w:t>
            </w:r>
            <w:r>
              <w:rPr>
                <w:rFonts w:hint="eastAsia" w:ascii="Times New Roman" w:hAnsi="Times New Roman" w:cs="Times New Roman"/>
                <w:color w:val="auto"/>
                <w:szCs w:val="32"/>
                <w:lang w:bidi="ar"/>
              </w:rPr>
              <w:t>设置</w:t>
            </w:r>
            <w:r>
              <w:rPr>
                <w:rFonts w:hint="eastAsia" w:ascii="Times New Roman" w:hAnsi="Times New Roman" w:cs="Times New Roman"/>
                <w:color w:val="auto"/>
                <w:szCs w:val="32"/>
                <w:lang w:val="en-US" w:eastAsia="zh-CN" w:bidi="ar"/>
              </w:rPr>
              <w:t>有</w:t>
            </w:r>
            <w:r>
              <w:rPr>
                <w:rFonts w:hint="eastAsia" w:ascii="Times New Roman" w:hAnsi="Times New Roman" w:cs="Times New Roman"/>
                <w:color w:val="auto"/>
                <w:szCs w:val="32"/>
                <w:lang w:bidi="ar"/>
              </w:rPr>
              <w:t>绿化带，项目生产全部位于密闭厂房内，高噪声设备位于生产车间中部，</w:t>
            </w:r>
            <w:r>
              <w:rPr>
                <w:rFonts w:hint="default" w:ascii="Times New Roman" w:hAnsi="Times New Roman" w:cs="Times New Roman"/>
                <w:color w:val="auto"/>
                <w:szCs w:val="32"/>
                <w:lang w:bidi="ar"/>
              </w:rPr>
              <w:t>采取厂房隔声、距离衰减后，本项目厂界噪声可实现达标排放，对周边敏感点的噪声影响可降低至可接受范围内。</w:t>
            </w:r>
          </w:p>
          <w:p w14:paraId="25F2C9BD">
            <w:pPr>
              <w:pStyle w:val="61"/>
              <w:keepNext w:val="0"/>
              <w:keepLines w:val="0"/>
              <w:suppressLineNumbers w:val="0"/>
              <w:spacing w:before="0" w:beforeAutospacing="0" w:after="0" w:afterAutospacing="0" w:line="360" w:lineRule="auto"/>
              <w:ind w:left="0" w:right="0" w:firstLine="480"/>
              <w:rPr>
                <w:rFonts w:ascii="Times New Roman" w:hAnsi="Times New Roman" w:cs="Times New Roman"/>
                <w:color w:val="auto"/>
                <w:szCs w:val="24"/>
              </w:rPr>
            </w:pPr>
            <w:r>
              <w:rPr>
                <w:rFonts w:hint="default" w:ascii="Times New Roman" w:hAnsi="Times New Roman" w:cs="Times New Roman"/>
                <w:color w:val="auto"/>
                <w:kern w:val="0"/>
                <w:szCs w:val="24"/>
                <w:lang w:val="en-GB"/>
              </w:rPr>
              <w:t>综上，厂区总平面布置做到了功能分区清晰，工艺流程顺畅，物流</w:t>
            </w:r>
            <w:r>
              <w:rPr>
                <w:rFonts w:hint="eastAsia" w:ascii="Times New Roman" w:hAnsi="Times New Roman" w:cs="Times New Roman"/>
                <w:color w:val="auto"/>
                <w:kern w:val="0"/>
                <w:szCs w:val="24"/>
                <w:lang w:val="en-US" w:eastAsia="zh-CN"/>
              </w:rPr>
              <w:t>便捷</w:t>
            </w:r>
            <w:r>
              <w:rPr>
                <w:rFonts w:hint="default" w:ascii="Times New Roman" w:hAnsi="Times New Roman" w:cs="Times New Roman"/>
                <w:color w:val="auto"/>
                <w:kern w:val="0"/>
                <w:szCs w:val="24"/>
                <w:lang w:val="en-GB"/>
              </w:rPr>
              <w:t>，人流、物流基本互不交叉干扰，</w:t>
            </w:r>
            <w:r>
              <w:rPr>
                <w:rFonts w:hint="default" w:ascii="Times New Roman" w:hAnsi="Times New Roman" w:cs="Times New Roman"/>
                <w:color w:val="auto"/>
                <w:szCs w:val="24"/>
              </w:rPr>
              <w:t>整体布局较合理</w:t>
            </w:r>
            <w:r>
              <w:rPr>
                <w:rFonts w:ascii="Times New Roman" w:hAnsi="Times New Roman" w:cs="Times New Roman"/>
                <w:color w:val="auto"/>
                <w:szCs w:val="24"/>
              </w:rPr>
              <w:t>。</w:t>
            </w:r>
          </w:p>
          <w:p w14:paraId="664B06DA">
            <w:pPr>
              <w:pStyle w:val="61"/>
              <w:keepNext w:val="0"/>
              <w:keepLines w:val="0"/>
              <w:suppressLineNumbers w:val="0"/>
              <w:spacing w:before="0" w:beforeAutospacing="0" w:after="0" w:afterAutospacing="0" w:line="360" w:lineRule="auto"/>
              <w:ind w:left="0" w:right="0" w:firstLine="482"/>
              <w:rPr>
                <w:rFonts w:ascii="Times New Roman" w:hAnsi="Times New Roman" w:cs="Times New Roman"/>
                <w:b/>
                <w:color w:val="auto"/>
                <w:szCs w:val="24"/>
              </w:rPr>
            </w:pPr>
            <w:r>
              <w:rPr>
                <w:rFonts w:hint="default" w:ascii="Times New Roman" w:hAnsi="Times New Roman" w:cs="Times New Roman"/>
                <w:b/>
                <w:bCs/>
                <w:color w:val="auto"/>
                <w:kern w:val="0"/>
                <w:szCs w:val="24"/>
                <w:lang w:val="en-GB"/>
              </w:rPr>
              <w:t>评价认为，本项目平面布置较为合理。</w:t>
            </w:r>
          </w:p>
        </w:tc>
      </w:tr>
      <w:tr w14:paraId="743C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 w:type="pct"/>
            <w:noWrap w:val="0"/>
            <w:vAlign w:val="center"/>
          </w:tcPr>
          <w:p w14:paraId="245CFC62">
            <w:pPr>
              <w:pStyle w:val="2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Cs w:val="24"/>
              </w:rPr>
              <w:t>工艺流程和产排污环节</w:t>
            </w:r>
          </w:p>
        </w:tc>
        <w:tc>
          <w:tcPr>
            <w:tcW w:w="4624" w:type="pct"/>
            <w:noWrap w:val="0"/>
            <w:vAlign w:val="top"/>
          </w:tcPr>
          <w:p w14:paraId="30C87407">
            <w:pPr>
              <w:keepNext w:val="0"/>
              <w:keepLines w:val="0"/>
              <w:suppressLineNumbers w:val="0"/>
              <w:adjustRightInd w:val="0"/>
              <w:snapToGrid w:val="0"/>
              <w:spacing w:before="0" w:beforeAutospacing="0" w:after="0" w:afterAutospacing="0"/>
              <w:ind w:left="0" w:right="0" w:firstLine="482" w:firstLineChars="200"/>
              <w:rPr>
                <w:rFonts w:hint="default" w:ascii="Times New Roman" w:hAnsi="Times New Roman" w:cs="Times New Roman"/>
                <w:b/>
                <w:color w:val="auto"/>
              </w:rPr>
            </w:pPr>
            <w:r>
              <w:rPr>
                <w:rFonts w:hint="default" w:ascii="Times New Roman" w:hAnsi="Times New Roman" w:cs="Times New Roman"/>
                <w:b/>
                <w:color w:val="auto"/>
              </w:rPr>
              <w:t>一、施工工艺流程及产排污环节简述</w:t>
            </w:r>
          </w:p>
          <w:p w14:paraId="423F0C99">
            <w:pPr>
              <w:keepNext w:val="0"/>
              <w:keepLines w:val="0"/>
              <w:suppressLineNumbers w:val="0"/>
              <w:spacing w:before="0" w:beforeAutospacing="0" w:after="0" w:afterAutospacing="0"/>
              <w:ind w:left="0" w:right="0" w:firstLine="480"/>
              <w:jc w:val="left"/>
              <w:rPr>
                <w:rFonts w:hint="eastAsia" w:ascii="Times New Roman" w:hAnsi="Times New Roman" w:cs="Times New Roman"/>
                <w:color w:val="auto"/>
              </w:rPr>
            </w:pPr>
            <w:r>
              <w:rPr>
                <w:rFonts w:hint="eastAsia" w:ascii="Times New Roman" w:hAnsi="Times New Roman" w:cs="Times New Roman"/>
                <w:color w:val="auto"/>
              </w:rPr>
              <w:t>本项目系利用蓬溪县赤城镇上游工业园区遂宁市中通实业集团节能建材有限公司现有</w:t>
            </w:r>
            <w:r>
              <w:rPr>
                <w:rFonts w:hint="eastAsia" w:ascii="Times New Roman" w:hAnsi="Times New Roman" w:cs="Times New Roman"/>
                <w:color w:val="auto"/>
                <w:lang w:val="en-US" w:eastAsia="zh-CN"/>
              </w:rPr>
              <w:t>生产厂房</w:t>
            </w:r>
            <w:r>
              <w:rPr>
                <w:rFonts w:hint="eastAsia" w:cs="Times New Roman"/>
                <w:color w:val="auto"/>
                <w:lang w:val="en-US" w:eastAsia="zh-CN"/>
              </w:rPr>
              <w:t>、</w:t>
            </w:r>
            <w:r>
              <w:rPr>
                <w:rFonts w:hint="eastAsia" w:ascii="Times New Roman" w:hAnsi="Times New Roman" w:cs="Times New Roman"/>
                <w:color w:val="auto"/>
                <w:lang w:val="en-US" w:eastAsia="zh-CN"/>
              </w:rPr>
              <w:t>堆料场</w:t>
            </w:r>
            <w:r>
              <w:rPr>
                <w:rFonts w:hint="eastAsia" w:cs="Times New Roman"/>
                <w:color w:val="auto"/>
                <w:lang w:val="en-US" w:eastAsia="zh-CN"/>
              </w:rPr>
              <w:t>及空地</w:t>
            </w:r>
            <w:r>
              <w:rPr>
                <w:rFonts w:hint="eastAsia" w:ascii="Times New Roman" w:hAnsi="Times New Roman" w:cs="Times New Roman"/>
                <w:color w:val="auto"/>
              </w:rPr>
              <w:t>，不涉及建筑拆除，</w:t>
            </w:r>
            <w:r>
              <w:rPr>
                <w:rFonts w:hint="eastAsia" w:ascii="Times New Roman" w:hAnsi="Times New Roman" w:cs="Times New Roman"/>
                <w:color w:val="auto"/>
                <w:lang w:val="en-US" w:eastAsia="zh-CN"/>
              </w:rPr>
              <w:t>主要为</w:t>
            </w:r>
            <w:r>
              <w:rPr>
                <w:rFonts w:hint="eastAsia" w:cs="Times New Roman"/>
                <w:color w:val="auto"/>
                <w:lang w:val="en-US" w:eastAsia="zh-CN"/>
              </w:rPr>
              <w:t>破碎间建设以及</w:t>
            </w:r>
            <w:r>
              <w:rPr>
                <w:rFonts w:hint="eastAsia" w:ascii="Times New Roman" w:hAnsi="Times New Roman" w:cs="Times New Roman"/>
                <w:color w:val="auto"/>
                <w:lang w:val="en-US" w:eastAsia="zh-CN"/>
              </w:rPr>
              <w:t>对堆料场进行封闭后设置锅炉房、车间室内装修及设备安装，工程验收后投入生产</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施工期污染物经治理后</w:t>
            </w:r>
            <w:r>
              <w:rPr>
                <w:rFonts w:hint="eastAsia" w:ascii="Times New Roman" w:hAnsi="Times New Roman" w:cs="Times New Roman"/>
                <w:color w:val="auto"/>
              </w:rPr>
              <w:t>对环境影响</w:t>
            </w:r>
            <w:r>
              <w:rPr>
                <w:rFonts w:hint="eastAsia" w:ascii="Times New Roman" w:hAnsi="Times New Roman" w:cs="Times New Roman"/>
                <w:color w:val="auto"/>
                <w:lang w:val="en-US" w:eastAsia="zh-CN"/>
              </w:rPr>
              <w:t>较小</w:t>
            </w:r>
            <w:r>
              <w:rPr>
                <w:rFonts w:hint="eastAsia" w:ascii="Times New Roman" w:hAnsi="Times New Roman" w:cs="Times New Roman"/>
                <w:color w:val="auto"/>
              </w:rPr>
              <w:t>。施工期工程分析工艺流程及产污见下图。</w:t>
            </w:r>
          </w:p>
          <w:p w14:paraId="62A8B10B">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0"/>
                <w:szCs w:val="16"/>
              </w:rPr>
            </w:pPr>
            <w:r>
              <w:rPr>
                <w:rFonts w:hint="default" w:ascii="T" w:hAnsi="T" w:cs="Times New Roman"/>
                <w:color w:val="auto"/>
                <w:sz w:val="21"/>
                <w:szCs w:val="20"/>
              </w:rPr>
              <w:object>
                <v:shape id="_x0000_i1026" o:spt="75" type="#_x0000_t75" style="height:156.65pt;width:413.35pt;" o:ole="t" filled="f" o:preferrelative="t" stroked="f" coordsize="21600,21600">
                  <v:path/>
                  <v:fill on="f" focussize="0,0"/>
                  <v:stroke on="f"/>
                  <v:imagedata r:id="rId20" cropleft="1138f" cropright="1558f" cropbottom="3864f" o:title=""/>
                  <o:lock v:ext="edit" aspectratio="t"/>
                  <w10:wrap type="none"/>
                  <w10:anchorlock/>
                </v:shape>
                <o:OLEObject Type="Embed" ProgID="Visio.Drawing.11" ShapeID="_x0000_i1026" DrawAspect="Content" ObjectID="_1468075726" r:id="rId19">
                  <o:LockedField>false</o:LockedField>
                </o:OLEObject>
              </w:object>
            </w:r>
            <w:r>
              <w:rPr>
                <w:rFonts w:hint="eastAsia" w:ascii="Times New Roman" w:hAnsi="Times New Roman" w:eastAsia="宋体" w:cs="Times New Roman"/>
                <w:b/>
                <w:bCs/>
                <w:color w:val="auto"/>
                <w:sz w:val="21"/>
                <w:szCs w:val="21"/>
              </w:rPr>
              <w:t>图2-2  施工期工艺流程图及产污环节</w:t>
            </w:r>
          </w:p>
          <w:p w14:paraId="408999CC">
            <w:pPr>
              <w:keepNext w:val="0"/>
              <w:keepLines w:val="0"/>
              <w:numPr>
                <w:ilvl w:val="0"/>
                <w:numId w:val="4"/>
              </w:numPr>
              <w:suppressLineNumbers w:val="0"/>
              <w:spacing w:before="0" w:beforeAutospacing="0" w:after="0" w:afterAutospacing="0"/>
              <w:ind w:left="0" w:right="0" w:firstLine="482" w:firstLineChars="200"/>
              <w:rPr>
                <w:rFonts w:hint="default" w:ascii="Times New Roman" w:hAnsi="Times New Roman" w:cs="Times New Roman"/>
                <w:b/>
                <w:bCs/>
                <w:color w:val="auto"/>
                <w:kern w:val="0"/>
              </w:rPr>
            </w:pPr>
            <w:r>
              <w:rPr>
                <w:rFonts w:hint="default" w:ascii="Times New Roman" w:hAnsi="Times New Roman" w:cs="Times New Roman"/>
                <w:b/>
                <w:bCs/>
                <w:color w:val="auto"/>
                <w:kern w:val="0"/>
              </w:rPr>
              <w:t>施工期主要污染工序</w:t>
            </w:r>
          </w:p>
          <w:p w14:paraId="478DCFC6">
            <w:pPr>
              <w:keepNext w:val="0"/>
              <w:keepLines w:val="0"/>
              <w:suppressLineNumbers w:val="0"/>
              <w:spacing w:before="0" w:beforeAutospacing="0" w:after="0" w:afterAutospacing="0"/>
              <w:ind w:left="0" w:right="0" w:firstLine="480" w:firstLineChars="200"/>
              <w:rPr>
                <w:rFonts w:hint="default"/>
                <w:color w:val="auto"/>
              </w:rPr>
            </w:pPr>
            <w:r>
              <w:rPr>
                <w:rFonts w:hint="default"/>
                <w:color w:val="auto"/>
              </w:rPr>
              <w:t>项目施工期污染主要来自项目的主体工程、设备安装、装饰工程等建设过程产</w:t>
            </w:r>
            <w:r>
              <w:rPr>
                <w:rFonts w:hint="eastAsia"/>
                <w:color w:val="auto"/>
                <w:lang w:eastAsia="zh-CN"/>
              </w:rPr>
              <w:t>生的</w:t>
            </w:r>
            <w:r>
              <w:rPr>
                <w:rFonts w:hint="default"/>
                <w:color w:val="auto"/>
              </w:rPr>
              <w:t>噪声、扬尘、固体废弃物、施工废水和废气等污染物，其排放量随施工期的内容不同而有所变化。</w:t>
            </w:r>
          </w:p>
          <w:p w14:paraId="03364175">
            <w:pPr>
              <w:keepNext w:val="0"/>
              <w:keepLines w:val="0"/>
              <w:suppressLineNumbers w:val="0"/>
              <w:spacing w:before="0" w:beforeAutospacing="0" w:after="0" w:afterAutospacing="0"/>
              <w:ind w:left="0" w:right="0" w:firstLine="480" w:firstLineChars="200"/>
              <w:rPr>
                <w:rFonts w:hint="default"/>
                <w:bCs/>
                <w:color w:val="auto"/>
              </w:rPr>
            </w:pPr>
            <w:r>
              <w:rPr>
                <w:rFonts w:hint="default"/>
                <w:bCs/>
                <w:color w:val="auto"/>
              </w:rPr>
              <w:t>（1）</w:t>
            </w:r>
            <w:r>
              <w:rPr>
                <w:rFonts w:hint="eastAsia"/>
                <w:bCs/>
                <w:color w:val="auto"/>
              </w:rPr>
              <w:t>厂房修建及</w:t>
            </w:r>
            <w:r>
              <w:rPr>
                <w:rFonts w:hint="default"/>
                <w:bCs/>
                <w:color w:val="auto"/>
              </w:rPr>
              <w:t>场地清理</w:t>
            </w:r>
          </w:p>
          <w:p w14:paraId="255C1133">
            <w:pPr>
              <w:keepNext w:val="0"/>
              <w:keepLines w:val="0"/>
              <w:widowControl/>
              <w:suppressLineNumbers w:val="0"/>
              <w:overflowPunct w:val="0"/>
              <w:autoSpaceDE w:val="0"/>
              <w:autoSpaceDN w:val="0"/>
              <w:spacing w:before="0" w:beforeAutospacing="0" w:after="0" w:afterAutospacing="0"/>
              <w:ind w:left="0" w:right="0" w:firstLine="480" w:firstLineChars="200"/>
              <w:rPr>
                <w:rFonts w:hint="default"/>
                <w:color w:val="auto"/>
              </w:rPr>
            </w:pPr>
            <w:r>
              <w:rPr>
                <w:rFonts w:hint="eastAsia"/>
                <w:color w:val="auto"/>
              </w:rPr>
              <w:t>项目厂房修建，新建</w:t>
            </w:r>
            <w:r>
              <w:rPr>
                <w:rFonts w:hint="default"/>
                <w:color w:val="auto"/>
              </w:rPr>
              <w:t>过程中将产生扬尘、</w:t>
            </w:r>
            <w:r>
              <w:rPr>
                <w:rFonts w:hint="eastAsia"/>
                <w:color w:val="auto"/>
              </w:rPr>
              <w:t>修建</w:t>
            </w:r>
            <w:r>
              <w:rPr>
                <w:rFonts w:hint="default"/>
                <w:color w:val="auto"/>
              </w:rPr>
              <w:t>噪声、建筑废渣等。对</w:t>
            </w:r>
            <w:r>
              <w:rPr>
                <w:rFonts w:hint="eastAsia"/>
                <w:color w:val="auto"/>
              </w:rPr>
              <w:t>新建后的厂房</w:t>
            </w:r>
            <w:r>
              <w:rPr>
                <w:rFonts w:hint="default"/>
                <w:color w:val="auto"/>
              </w:rPr>
              <w:t>产生的建筑废渣进行清运及运输过程中会产生扬尘、噪声。</w:t>
            </w:r>
          </w:p>
          <w:p w14:paraId="5423A714">
            <w:pPr>
              <w:keepNext w:val="0"/>
              <w:keepLines w:val="0"/>
              <w:suppressLineNumbers w:val="0"/>
              <w:spacing w:before="0" w:beforeAutospacing="0" w:after="0" w:afterAutospacing="0"/>
              <w:ind w:left="0" w:right="0" w:firstLine="480" w:firstLineChars="200"/>
              <w:rPr>
                <w:rFonts w:hint="default"/>
                <w:bCs/>
                <w:color w:val="auto"/>
              </w:rPr>
            </w:pPr>
            <w:r>
              <w:rPr>
                <w:rFonts w:hint="default"/>
                <w:bCs/>
                <w:color w:val="auto"/>
              </w:rPr>
              <w:t>（2）主体工程施工及设备安装</w:t>
            </w:r>
          </w:p>
          <w:p w14:paraId="66DFD429">
            <w:pPr>
              <w:keepNext w:val="0"/>
              <w:keepLines w:val="0"/>
              <w:suppressLineNumbers w:val="0"/>
              <w:spacing w:before="0" w:beforeAutospacing="0" w:after="0" w:afterAutospacing="0"/>
              <w:ind w:left="0" w:right="0" w:firstLine="480" w:firstLineChars="200"/>
              <w:rPr>
                <w:rFonts w:hint="default"/>
                <w:bCs/>
                <w:color w:val="auto"/>
              </w:rPr>
            </w:pPr>
            <w:r>
              <w:rPr>
                <w:rFonts w:hint="default"/>
                <w:bCs/>
                <w:color w:val="auto"/>
              </w:rPr>
              <w:t>装载汽车等运行时以及设备安装会产生噪声，同时产生施工扬尘。此外，还有一些原材料废弃料以及生产和施工人员的生活污水产生。</w:t>
            </w:r>
          </w:p>
          <w:p w14:paraId="26C91B8D">
            <w:pPr>
              <w:keepNext w:val="0"/>
              <w:keepLines w:val="0"/>
              <w:suppressLineNumbers w:val="0"/>
              <w:spacing w:before="0" w:beforeAutospacing="0" w:after="0" w:afterAutospacing="0"/>
              <w:ind w:left="0" w:right="0" w:firstLine="480" w:firstLineChars="200"/>
              <w:rPr>
                <w:rFonts w:hint="default"/>
                <w:bCs/>
                <w:color w:val="auto"/>
              </w:rPr>
            </w:pPr>
            <w:r>
              <w:rPr>
                <w:rFonts w:hint="default"/>
                <w:bCs/>
                <w:color w:val="auto"/>
              </w:rPr>
              <w:t>（3）装饰工程施工</w:t>
            </w:r>
          </w:p>
          <w:p w14:paraId="395DCE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s="Times New Roman"/>
                <w:b/>
                <w:color w:val="auto"/>
              </w:rPr>
            </w:pPr>
            <w:r>
              <w:rPr>
                <w:rFonts w:hint="default"/>
                <w:color w:val="auto"/>
              </w:rPr>
              <w:t>在对构筑物的室内外进行装修时（如表面粉刷、喷涂、裱糊、镶贴装饰等），钻机、电锤等产生噪声，喷涂产生废气、废弃物料及污水。项目在施工期产</w:t>
            </w:r>
            <w:r>
              <w:rPr>
                <w:rFonts w:hint="eastAsia"/>
                <w:color w:val="auto"/>
                <w:lang w:eastAsia="zh-CN"/>
              </w:rPr>
              <w:t>生的</w:t>
            </w:r>
            <w:r>
              <w:rPr>
                <w:rFonts w:hint="default"/>
                <w:color w:val="auto"/>
              </w:rPr>
              <w:t>主要影响为施工噪声、施工扬尘、废弃物料（建筑弃渣</w:t>
            </w:r>
            <w:r>
              <w:rPr>
                <w:rFonts w:hint="eastAsia"/>
                <w:color w:val="auto"/>
                <w:lang w:eastAsia="zh-CN"/>
              </w:rPr>
              <w:t>及其他</w:t>
            </w:r>
            <w:r>
              <w:rPr>
                <w:rFonts w:hint="default"/>
                <w:color w:val="auto"/>
              </w:rPr>
              <w:t>废料）和废水等。</w:t>
            </w:r>
          </w:p>
          <w:p w14:paraId="68CA9B82">
            <w:pPr>
              <w:keepNext w:val="0"/>
              <w:keepLines w:val="0"/>
              <w:suppressLineNumbers w:val="0"/>
              <w:adjustRightInd w:val="0"/>
              <w:snapToGrid w:val="0"/>
              <w:spacing w:before="0" w:beforeAutospacing="0" w:after="0" w:afterAutospacing="0"/>
              <w:ind w:left="0" w:right="0" w:firstLine="482" w:firstLineChars="200"/>
              <w:rPr>
                <w:rFonts w:hint="default" w:ascii="Times New Roman" w:hAnsi="Times New Roman" w:cs="Times New Roman"/>
                <w:b/>
                <w:color w:val="auto"/>
              </w:rPr>
            </w:pPr>
            <w:r>
              <w:rPr>
                <w:rFonts w:hint="default" w:ascii="Times New Roman" w:hAnsi="Times New Roman" w:cs="Times New Roman"/>
                <w:b/>
                <w:color w:val="auto"/>
              </w:rPr>
              <w:t>二、营运期工艺流程及主要产污环节</w:t>
            </w:r>
          </w:p>
          <w:p w14:paraId="13735EBB">
            <w:pPr>
              <w:keepNext w:val="0"/>
              <w:keepLines w:val="0"/>
              <w:suppressLineNumbers w:val="0"/>
              <w:autoSpaceDE w:val="0"/>
              <w:autoSpaceDN w:val="0"/>
              <w:adjustRightInd w:val="0"/>
              <w:spacing w:before="0" w:beforeAutospacing="0" w:after="0" w:afterAutospacing="0"/>
              <w:ind w:left="0" w:right="0" w:firstLine="480"/>
              <w:jc w:val="left"/>
              <w:rPr>
                <w:rFonts w:hint="eastAsia" w:ascii="Times New Roman" w:hAnsi="Times New Roman" w:cs="Times New Roman"/>
                <w:color w:val="auto"/>
                <w:kern w:val="0"/>
              </w:rPr>
            </w:pPr>
            <w:r>
              <w:rPr>
                <w:rFonts w:hint="eastAsia" w:ascii="Times New Roman" w:hAnsi="Times New Roman" w:cs="Times New Roman"/>
                <w:color w:val="auto"/>
                <w:kern w:val="0"/>
              </w:rPr>
              <w:t>本项目生产的产品主要是</w:t>
            </w:r>
            <w:r>
              <w:rPr>
                <w:rFonts w:hint="eastAsia" w:ascii="Times New Roman" w:hAnsi="Times New Roman" w:cs="Times New Roman"/>
                <w:color w:val="auto"/>
                <w:kern w:val="0"/>
                <w:lang w:eastAsia="zh-CN"/>
              </w:rPr>
              <w:t>柏木油</w:t>
            </w:r>
            <w:r>
              <w:rPr>
                <w:rFonts w:hint="eastAsia" w:ascii="Times New Roman" w:hAnsi="Times New Roman" w:cs="Times New Roman"/>
                <w:color w:val="auto"/>
                <w:kern w:val="0"/>
              </w:rPr>
              <w:t>，生物质颗粒为生产</w:t>
            </w:r>
            <w:r>
              <w:rPr>
                <w:rFonts w:hint="eastAsia" w:ascii="Times New Roman" w:hAnsi="Times New Roman" w:cs="Times New Roman"/>
                <w:color w:val="auto"/>
                <w:kern w:val="0"/>
                <w:lang w:eastAsia="zh-CN"/>
              </w:rPr>
              <w:t>柏木油</w:t>
            </w:r>
            <w:r>
              <w:rPr>
                <w:rFonts w:hint="eastAsia" w:ascii="Times New Roman" w:hAnsi="Times New Roman" w:cs="Times New Roman"/>
                <w:color w:val="auto"/>
                <w:kern w:val="0"/>
              </w:rPr>
              <w:t>的枯柏树</w:t>
            </w:r>
            <w:r>
              <w:rPr>
                <w:rFonts w:hint="eastAsia" w:cs="Times New Roman"/>
                <w:color w:val="auto"/>
                <w:kern w:val="0"/>
                <w:lang w:val="en-US" w:eastAsia="zh-CN"/>
              </w:rPr>
              <w:t>蔸</w:t>
            </w:r>
            <w:r>
              <w:rPr>
                <w:rFonts w:hint="eastAsia" w:ascii="Times New Roman" w:hAnsi="Times New Roman" w:cs="Times New Roman"/>
                <w:color w:val="auto"/>
                <w:kern w:val="0"/>
              </w:rPr>
              <w:t>经蒸馏后的木渣水份自然蒸发后用</w:t>
            </w:r>
            <w:r>
              <w:rPr>
                <w:rFonts w:hint="eastAsia" w:cs="Times New Roman"/>
                <w:color w:val="auto"/>
                <w:kern w:val="0"/>
                <w:lang w:eastAsia="zh-CN"/>
              </w:rPr>
              <w:t>生物质制粒机</w:t>
            </w:r>
            <w:r>
              <w:rPr>
                <w:rFonts w:hint="eastAsia" w:ascii="Times New Roman" w:hAnsi="Times New Roman" w:cs="Times New Roman"/>
                <w:color w:val="auto"/>
                <w:kern w:val="0"/>
              </w:rPr>
              <w:t>制成的副产品。</w:t>
            </w:r>
          </w:p>
          <w:p w14:paraId="05BDC9A6">
            <w:pPr>
              <w:keepNext w:val="0"/>
              <w:keepLines w:val="0"/>
              <w:suppressLineNumbers w:val="0"/>
              <w:autoSpaceDE w:val="0"/>
              <w:autoSpaceDN w:val="0"/>
              <w:adjustRightInd w:val="0"/>
              <w:spacing w:before="0" w:beforeAutospacing="0" w:after="0" w:afterAutospacing="0"/>
              <w:ind w:left="0" w:right="0" w:firstLine="480"/>
              <w:jc w:val="left"/>
              <w:rPr>
                <w:rFonts w:hint="eastAsia" w:ascii="Times New Roman" w:hAnsi="Times New Roman" w:cs="Times New Roman"/>
                <w:color w:val="auto"/>
                <w:kern w:val="0"/>
              </w:rPr>
            </w:pPr>
            <w:r>
              <w:rPr>
                <w:rFonts w:hint="eastAsia" w:ascii="Times New Roman" w:hAnsi="Times New Roman" w:cs="Times New Roman"/>
                <w:color w:val="auto"/>
                <w:kern w:val="0"/>
              </w:rPr>
              <w:t>工艺流程简述：外购自然</w:t>
            </w:r>
            <w:r>
              <w:rPr>
                <w:rFonts w:hint="eastAsia" w:cs="Times New Roman"/>
                <w:color w:val="auto"/>
                <w:kern w:val="0"/>
                <w:lang w:eastAsia="zh-CN"/>
              </w:rPr>
              <w:t>晾干</w:t>
            </w:r>
            <w:r>
              <w:rPr>
                <w:rFonts w:hint="eastAsia" w:ascii="Times New Roman" w:hAnsi="Times New Roman" w:cs="Times New Roman"/>
                <w:color w:val="auto"/>
                <w:kern w:val="0"/>
              </w:rPr>
              <w:t>的枯柏树蔸，经</w:t>
            </w:r>
            <w:r>
              <w:rPr>
                <w:rFonts w:hint="eastAsia" w:cs="Times New Roman"/>
                <w:color w:val="auto"/>
                <w:kern w:val="0"/>
                <w:lang w:val="en-US" w:eastAsia="zh-CN"/>
              </w:rPr>
              <w:t>破碎、</w:t>
            </w:r>
            <w:r>
              <w:rPr>
                <w:rFonts w:hint="eastAsia" w:ascii="Times New Roman" w:hAnsi="Times New Roman" w:cs="Times New Roman"/>
                <w:color w:val="auto"/>
                <w:kern w:val="0"/>
              </w:rPr>
              <w:t>粉碎后再送入</w:t>
            </w:r>
            <w:r>
              <w:rPr>
                <w:rFonts w:hint="eastAsia" w:cs="Times New Roman"/>
                <w:color w:val="auto"/>
                <w:kern w:val="0"/>
                <w:lang w:eastAsia="zh-CN"/>
              </w:rPr>
              <w:t>蒸馏釜</w:t>
            </w:r>
            <w:r>
              <w:rPr>
                <w:rFonts w:hint="eastAsia" w:ascii="Times New Roman" w:hAnsi="Times New Roman" w:cs="Times New Roman"/>
                <w:color w:val="auto"/>
                <w:kern w:val="0"/>
              </w:rPr>
              <w:t>内，利用水蒸气高温进行蒸馏、冷凝后进行油水分离即得成品</w:t>
            </w:r>
            <w:r>
              <w:rPr>
                <w:rFonts w:hint="eastAsia" w:ascii="Times New Roman" w:hAnsi="Times New Roman" w:cs="Times New Roman"/>
                <w:color w:val="auto"/>
                <w:kern w:val="0"/>
                <w:lang w:eastAsia="zh-CN"/>
              </w:rPr>
              <w:t>柏木油</w:t>
            </w:r>
            <w:r>
              <w:rPr>
                <w:rFonts w:hint="eastAsia" w:ascii="Times New Roman" w:hAnsi="Times New Roman" w:cs="Times New Roman"/>
                <w:color w:val="auto"/>
                <w:kern w:val="0"/>
              </w:rPr>
              <w:t>。枯柏树</w:t>
            </w:r>
            <w:r>
              <w:rPr>
                <w:rFonts w:hint="eastAsia" w:ascii="Times New Roman" w:hAnsi="Times New Roman" w:cs="Times New Roman"/>
                <w:color w:val="auto"/>
                <w:kern w:val="0"/>
                <w:lang w:val="en-US" w:eastAsia="zh-CN"/>
              </w:rPr>
              <w:t>木屑</w:t>
            </w:r>
            <w:r>
              <w:rPr>
                <w:rFonts w:hint="eastAsia" w:ascii="Times New Roman" w:hAnsi="Times New Roman" w:cs="Times New Roman"/>
                <w:color w:val="auto"/>
                <w:kern w:val="0"/>
              </w:rPr>
              <w:t>出料木渣经</w:t>
            </w:r>
            <w:r>
              <w:rPr>
                <w:rFonts w:hint="eastAsia" w:cs="Times New Roman"/>
                <w:color w:val="auto"/>
                <w:kern w:val="0"/>
                <w:lang w:eastAsia="zh-CN"/>
              </w:rPr>
              <w:t>生物质制粒机</w:t>
            </w:r>
            <w:r>
              <w:rPr>
                <w:rFonts w:hint="eastAsia" w:ascii="Times New Roman" w:hAnsi="Times New Roman" w:cs="Times New Roman"/>
                <w:color w:val="auto"/>
                <w:kern w:val="0"/>
              </w:rPr>
              <w:t>碾压成型后作为生物质燃料外售。</w:t>
            </w:r>
          </w:p>
          <w:p w14:paraId="7040513D">
            <w:pPr>
              <w:keepNext w:val="0"/>
              <w:keepLines w:val="0"/>
              <w:suppressLineNumbers w:val="0"/>
              <w:autoSpaceDE w:val="0"/>
              <w:autoSpaceDN w:val="0"/>
              <w:adjustRightInd w:val="0"/>
              <w:spacing w:before="0" w:beforeAutospacing="0" w:after="0" w:afterAutospacing="0"/>
              <w:ind w:left="0" w:right="0" w:firstLine="480"/>
              <w:jc w:val="left"/>
              <w:rPr>
                <w:rFonts w:hint="eastAsia" w:ascii="Times New Roman" w:hAnsi="Times New Roman" w:cs="Times New Roman"/>
                <w:color w:val="auto"/>
                <w:kern w:val="0"/>
              </w:rPr>
            </w:pPr>
            <w:r>
              <w:rPr>
                <w:rFonts w:hint="eastAsia" w:ascii="Times New Roman" w:hAnsi="Times New Roman" w:cs="Times New Roman"/>
                <w:color w:val="auto"/>
                <w:kern w:val="0"/>
              </w:rPr>
              <w:t>本项目运营期生产工艺流程及产污位置见下图。</w:t>
            </w:r>
          </w:p>
          <w:p w14:paraId="0033C0CD">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object>
                <v:shape id="_x0000_i1027" o:spt="75" type="#_x0000_t75" style="height:499.5pt;width:414.65pt;" o:ole="t" filled="f" o:preferrelative="t" stroked="f" coordsize="21600,21600">
                  <v:path/>
                  <v:fill on="f" focussize="0,0"/>
                  <v:stroke on="f"/>
                  <v:imagedata r:id="rId22" o:title=""/>
                  <o:lock v:ext="edit" aspectratio="f"/>
                  <w10:wrap type="none"/>
                  <w10:anchorlock/>
                </v:shape>
                <o:OLEObject Type="Embed" ProgID="Visio.Drawing.15" ShapeID="_x0000_i1027" DrawAspect="Content" ObjectID="_1468075727" r:id="rId21">
                  <o:LockedField>false</o:LockedField>
                </o:OLEObject>
              </w:object>
            </w:r>
          </w:p>
          <w:p w14:paraId="61CFD06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rPr>
              <w:t>图2</w:t>
            </w:r>
            <w:r>
              <w:rPr>
                <w:rFonts w:hint="default" w:ascii="Times New Roman" w:hAnsi="Times New Roman" w:cs="Times New Roman"/>
                <w:b/>
                <w:bCs/>
                <w:color w:val="auto"/>
                <w:sz w:val="21"/>
                <w:szCs w:val="21"/>
              </w:rPr>
              <w:t>-</w:t>
            </w:r>
            <w:r>
              <w:rPr>
                <w:rFonts w:hint="eastAsia" w:ascii="Times New Roman" w:hAnsi="Times New Roman" w:cs="Times New Roman"/>
                <w:b/>
                <w:bCs/>
                <w:color w:val="auto"/>
                <w:sz w:val="21"/>
                <w:szCs w:val="21"/>
              </w:rPr>
              <w:t>3</w:t>
            </w:r>
            <w:r>
              <w:rPr>
                <w:rFonts w:hint="default"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rPr>
              <w:t>项目营运期工艺流程及产污位置图</w:t>
            </w:r>
          </w:p>
          <w:p w14:paraId="65D3BDB7">
            <w:pPr>
              <w:keepNext w:val="0"/>
              <w:keepLines w:val="0"/>
              <w:suppressLineNumbers w:val="0"/>
              <w:adjustRightInd w:val="0"/>
              <w:snapToGrid w:val="0"/>
              <w:spacing w:before="120" w:beforeLines="50" w:beforeAutospacing="0" w:after="0" w:afterAutospacing="0"/>
              <w:ind w:left="0" w:right="0" w:firstLine="482" w:firstLineChars="200"/>
              <w:rPr>
                <w:rFonts w:hint="default" w:ascii="Times New Roman" w:hAnsi="Times New Roman" w:cs="Times New Roman"/>
                <w:b/>
                <w:color w:val="auto"/>
              </w:rPr>
            </w:pPr>
            <w:r>
              <w:rPr>
                <w:rFonts w:hint="eastAsia" w:ascii="Times New Roman" w:hAnsi="Times New Roman" w:cs="Times New Roman"/>
                <w:b/>
                <w:color w:val="auto"/>
              </w:rPr>
              <w:t>工艺流程说明：</w:t>
            </w:r>
          </w:p>
          <w:p w14:paraId="4ECDBA6D">
            <w:pPr>
              <w:keepNext w:val="0"/>
              <w:keepLines w:val="0"/>
              <w:numPr>
                <w:ilvl w:val="0"/>
                <w:numId w:val="5"/>
              </w:numPr>
              <w:suppressLineNumbers w:val="0"/>
              <w:overflowPunct w:val="0"/>
              <w:autoSpaceDE w:val="0"/>
              <w:autoSpaceDN w:val="0"/>
              <w:adjustRightInd w:val="0"/>
              <w:snapToGrid w:val="0"/>
              <w:spacing w:before="0" w:beforeAutospacing="0" w:after="0" w:afterAutospacing="0"/>
              <w:ind w:left="0" w:right="72" w:rightChars="30" w:firstLine="420"/>
              <w:rPr>
                <w:rFonts w:hint="default" w:ascii="Times New Roman" w:hAnsi="Times New Roman" w:cs="Times New Roman"/>
                <w:b/>
                <w:color w:val="auto"/>
                <w:kern w:val="0"/>
                <w:szCs w:val="21"/>
              </w:rPr>
            </w:pPr>
            <w:r>
              <w:rPr>
                <w:rFonts w:hint="eastAsia" w:cs="Times New Roman"/>
                <w:b/>
                <w:color w:val="auto"/>
                <w:kern w:val="0"/>
                <w:szCs w:val="21"/>
                <w:lang w:val="en-US" w:eastAsia="zh-CN"/>
              </w:rPr>
              <w:t>破碎、</w:t>
            </w:r>
            <w:r>
              <w:rPr>
                <w:rFonts w:hint="eastAsia" w:ascii="Times New Roman" w:hAnsi="Times New Roman" w:cs="Times New Roman"/>
                <w:b/>
                <w:color w:val="auto"/>
                <w:kern w:val="0"/>
                <w:szCs w:val="21"/>
                <w:lang w:val="en-US" w:eastAsia="zh-CN"/>
              </w:rPr>
              <w:t>粉碎</w:t>
            </w:r>
          </w:p>
          <w:p w14:paraId="2C06FC8B">
            <w:pPr>
              <w:keepNext w:val="0"/>
              <w:keepLines w:val="0"/>
              <w:suppressLineNumbers w:val="0"/>
              <w:overflowPunct w:val="0"/>
              <w:autoSpaceDE w:val="0"/>
              <w:autoSpaceDN w:val="0"/>
              <w:adjustRightInd w:val="0"/>
              <w:snapToGrid w:val="0"/>
              <w:spacing w:before="0" w:beforeAutospacing="0" w:after="0" w:afterAutospacing="0"/>
              <w:ind w:left="0" w:right="72" w:rightChars="30" w:firstLine="480" w:firstLineChars="200"/>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本项目原料为外购农民自然晒干后的枯柏树蔸，含水率为1</w:t>
            </w:r>
            <w:r>
              <w:rPr>
                <w:rFonts w:hint="eastAsia" w:cs="Times New Roman"/>
                <w:color w:val="auto"/>
                <w:kern w:val="0"/>
                <w:szCs w:val="21"/>
                <w:lang w:val="en-US" w:eastAsia="zh-CN"/>
              </w:rPr>
              <w:t>3.36</w:t>
            </w:r>
            <w:r>
              <w:rPr>
                <w:rFonts w:hint="eastAsia" w:ascii="Times New Roman" w:hAnsi="Times New Roman" w:eastAsia="宋体" w:cs="Times New Roman"/>
                <w:color w:val="auto"/>
                <w:kern w:val="0"/>
                <w:szCs w:val="21"/>
                <w:lang w:val="en-US" w:eastAsia="zh-CN"/>
              </w:rPr>
              <w:t>%，枯柏树蔸尺寸不等，一般长0.3～0.6m。经人工手动搬运放置装载机上，然后通过输送机履带输送进入破碎机</w:t>
            </w:r>
            <w:r>
              <w:rPr>
                <w:rFonts w:hint="eastAsia" w:cs="Times New Roman"/>
                <w:color w:val="auto"/>
                <w:kern w:val="0"/>
                <w:szCs w:val="21"/>
                <w:lang w:val="en-US" w:eastAsia="zh-CN"/>
              </w:rPr>
              <w:t>进行破碎，</w:t>
            </w:r>
            <w:r>
              <w:rPr>
                <w:rFonts w:hint="eastAsia" w:ascii="宋体" w:hAnsi="宋体" w:eastAsia="宋体" w:cs="宋体"/>
                <w:color w:val="auto"/>
                <w:kern w:val="0"/>
                <w:sz w:val="24"/>
                <w:szCs w:val="24"/>
                <w:lang w:val="en-US" w:eastAsia="zh-CN" w:bidi="ar"/>
              </w:rPr>
              <w:t>此工序会产生一定量的粉尘。</w:t>
            </w:r>
            <w:r>
              <w:rPr>
                <w:rFonts w:hint="eastAsia" w:ascii="Times New Roman" w:hAnsi="Times New Roman" w:eastAsia="宋体" w:cs="Times New Roman"/>
                <w:color w:val="auto"/>
                <w:kern w:val="0"/>
                <w:szCs w:val="21"/>
                <w:lang w:val="en-US" w:eastAsia="zh-CN"/>
              </w:rPr>
              <w:t>原料尺寸较大，因此输送带未设置密闭罩</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破碎机筛网尺寸为40mm×40mm，因此破碎后的</w:t>
            </w:r>
            <w:r>
              <w:rPr>
                <w:rFonts w:hint="eastAsia" w:cs="Times New Roman"/>
                <w:color w:val="auto"/>
                <w:kern w:val="0"/>
                <w:szCs w:val="21"/>
                <w:lang w:val="en-US" w:eastAsia="zh-CN"/>
              </w:rPr>
              <w:t>木片</w:t>
            </w:r>
            <w:r>
              <w:rPr>
                <w:rFonts w:hint="eastAsia" w:ascii="Times New Roman" w:hAnsi="Times New Roman" w:eastAsia="宋体" w:cs="Times New Roman"/>
                <w:color w:val="auto"/>
                <w:kern w:val="0"/>
                <w:szCs w:val="21"/>
                <w:lang w:val="en-US" w:eastAsia="zh-CN"/>
              </w:rPr>
              <w:t>尺寸规格为40mm×40mm</w:t>
            </w:r>
            <w:r>
              <w:rPr>
                <w:rFonts w:hint="eastAsia" w:cs="Times New Roman"/>
                <w:color w:val="auto"/>
                <w:kern w:val="0"/>
                <w:szCs w:val="21"/>
                <w:lang w:val="en-US" w:eastAsia="zh-CN"/>
              </w:rPr>
              <w:t>。</w:t>
            </w:r>
          </w:p>
          <w:p w14:paraId="2B3A20D1">
            <w:pPr>
              <w:keepNext w:val="0"/>
              <w:keepLines w:val="0"/>
              <w:suppressLineNumbers w:val="0"/>
              <w:overflowPunct w:val="0"/>
              <w:autoSpaceDE w:val="0"/>
              <w:autoSpaceDN w:val="0"/>
              <w:adjustRightInd w:val="0"/>
              <w:snapToGrid w:val="0"/>
              <w:spacing w:before="0" w:beforeAutospacing="0" w:after="0" w:afterAutospacing="0"/>
              <w:ind w:left="0" w:right="72" w:rightChars="30" w:firstLine="480" w:firstLineChars="200"/>
              <w:rPr>
                <w:rFonts w:hint="eastAsia" w:ascii="Times New Roman" w:hAnsi="Times New Roman" w:cs="Times New Roman"/>
                <w:color w:val="auto"/>
                <w:kern w:val="0"/>
                <w:szCs w:val="21"/>
              </w:rPr>
            </w:pPr>
            <w:r>
              <w:rPr>
                <w:rFonts w:hint="eastAsia" w:cs="Times New Roman"/>
                <w:color w:val="auto"/>
                <w:kern w:val="0"/>
                <w:szCs w:val="21"/>
                <w:lang w:val="en-US" w:eastAsia="zh-CN"/>
              </w:rPr>
              <w:t>破碎后木片</w:t>
            </w:r>
            <w:r>
              <w:rPr>
                <w:rFonts w:hint="eastAsia" w:ascii="Times New Roman" w:hAnsi="Times New Roman" w:eastAsia="宋体" w:cs="Times New Roman"/>
                <w:color w:val="auto"/>
                <w:kern w:val="0"/>
                <w:szCs w:val="21"/>
                <w:lang w:val="en-US" w:eastAsia="zh-CN"/>
              </w:rPr>
              <w:t>通过密闭</w:t>
            </w:r>
            <w:r>
              <w:rPr>
                <w:rFonts w:hint="eastAsia" w:cs="Times New Roman"/>
                <w:color w:val="auto"/>
                <w:kern w:val="0"/>
                <w:szCs w:val="21"/>
                <w:lang w:val="en-US" w:eastAsia="zh-CN"/>
              </w:rPr>
              <w:t>转运箱转运至生产车间，木片由中转料仓</w:t>
            </w:r>
            <w:r>
              <w:rPr>
                <w:rFonts w:hint="eastAsia" w:ascii="Times New Roman" w:hAnsi="Times New Roman" w:eastAsia="宋体" w:cs="Times New Roman"/>
                <w:color w:val="auto"/>
                <w:kern w:val="0"/>
                <w:szCs w:val="21"/>
                <w:lang w:val="en-US" w:eastAsia="zh-CN"/>
              </w:rPr>
              <w:t>输送进入粉碎机进行</w:t>
            </w:r>
            <w:r>
              <w:rPr>
                <w:rFonts w:hint="eastAsia" w:ascii="宋体" w:hAnsi="宋体" w:eastAsia="宋体" w:cs="宋体"/>
                <w:color w:val="auto"/>
                <w:kern w:val="0"/>
                <w:sz w:val="24"/>
                <w:szCs w:val="24"/>
                <w:lang w:val="en-US" w:eastAsia="zh-CN" w:bidi="ar"/>
              </w:rPr>
              <w:t>粉碎，粉碎机设备密闭，粉碎机的筛网尺寸规格为</w:t>
            </w:r>
            <w:r>
              <w:rPr>
                <w:rFonts w:hint="default" w:ascii="Times New Roman" w:hAnsi="Times New Roman" w:eastAsia="宋体" w:cs="Times New Roman"/>
                <w:color w:val="auto"/>
                <w:kern w:val="0"/>
                <w:sz w:val="24"/>
                <w:szCs w:val="24"/>
                <w:lang w:val="en-US" w:eastAsia="zh-CN" w:bidi="ar"/>
              </w:rPr>
              <w:t>10mm×10mm</w:t>
            </w:r>
            <w:r>
              <w:rPr>
                <w:rFonts w:hint="eastAsia" w:ascii="宋体" w:hAnsi="宋体" w:eastAsia="宋体" w:cs="宋体"/>
                <w:color w:val="auto"/>
                <w:kern w:val="0"/>
                <w:sz w:val="24"/>
                <w:szCs w:val="24"/>
                <w:lang w:val="en-US" w:eastAsia="zh-CN" w:bidi="ar"/>
              </w:rPr>
              <w:t>，因此粉碎后木屑规格为</w:t>
            </w:r>
            <w:r>
              <w:rPr>
                <w:rFonts w:hint="default" w:ascii="Times New Roman" w:hAnsi="Times New Roman" w:eastAsia="宋体" w:cs="Times New Roman"/>
                <w:color w:val="auto"/>
                <w:kern w:val="0"/>
                <w:sz w:val="24"/>
                <w:szCs w:val="24"/>
                <w:lang w:val="en-US" w:eastAsia="zh-CN" w:bidi="ar"/>
              </w:rPr>
              <w:t>10mm×10mm</w:t>
            </w:r>
            <w:r>
              <w:rPr>
                <w:rFonts w:hint="eastAsia" w:ascii="宋体" w:hAnsi="宋体" w:eastAsia="宋体" w:cs="宋体"/>
                <w:color w:val="auto"/>
                <w:kern w:val="0"/>
                <w:sz w:val="24"/>
                <w:szCs w:val="24"/>
                <w:lang w:val="en-US" w:eastAsia="zh-CN" w:bidi="ar"/>
              </w:rPr>
              <w:t>，此工序会产生一定量的粉尘。双转子粉碎机可粉碎各种颗粒状、片状的木粉，转子采用大直径、高线速及同向旋转的双转子，成倍提高了粉碎速度，在粉碎细料时无堵塞现象。比单转子粉碎机同功率产品产量提高</w:t>
            </w:r>
            <w:r>
              <w:rPr>
                <w:rFonts w:hint="default" w:ascii="Times New Roman" w:hAnsi="Times New Roman" w:eastAsia="宋体" w:cs="Times New Roman"/>
                <w:color w:val="auto"/>
                <w:kern w:val="0"/>
                <w:sz w:val="24"/>
                <w:szCs w:val="24"/>
                <w:lang w:val="en-US" w:eastAsia="zh-CN" w:bidi="ar"/>
              </w:rPr>
              <w:t>30%</w:t>
            </w:r>
            <w:r>
              <w:rPr>
                <w:rFonts w:hint="eastAsia" w:ascii="宋体" w:hAnsi="宋体" w:eastAsia="宋体" w:cs="宋体"/>
                <w:color w:val="auto"/>
                <w:kern w:val="0"/>
                <w:sz w:val="24"/>
                <w:szCs w:val="24"/>
                <w:lang w:val="en-US" w:eastAsia="zh-CN" w:bidi="ar"/>
              </w:rPr>
              <w:t>以上。粉碎机</w:t>
            </w:r>
            <w:r>
              <w:rPr>
                <w:rFonts w:hint="eastAsia" w:ascii="宋体" w:hAnsi="宋体" w:cs="宋体"/>
                <w:color w:val="auto"/>
                <w:kern w:val="0"/>
                <w:sz w:val="24"/>
                <w:szCs w:val="24"/>
                <w:lang w:val="en-US" w:eastAsia="zh-CN" w:bidi="ar"/>
              </w:rPr>
              <w:t>粉尘经集气罩收集</w:t>
            </w:r>
            <w:r>
              <w:rPr>
                <w:rFonts w:hint="eastAsia" w:ascii="宋体" w:hAnsi="宋体" w:eastAsia="宋体" w:cs="宋体"/>
                <w:color w:val="auto"/>
                <w:kern w:val="0"/>
                <w:sz w:val="24"/>
                <w:szCs w:val="24"/>
                <w:lang w:val="en-US" w:eastAsia="zh-CN" w:bidi="ar"/>
              </w:rPr>
              <w:t>后进入布袋除尘器进行处理。</w:t>
            </w:r>
          </w:p>
          <w:p w14:paraId="7D40D8E3">
            <w:pPr>
              <w:keepNext w:val="0"/>
              <w:keepLines w:val="0"/>
              <w:numPr>
                <w:ilvl w:val="0"/>
                <w:numId w:val="5"/>
              </w:numPr>
              <w:suppressLineNumbers w:val="0"/>
              <w:overflowPunct w:val="0"/>
              <w:autoSpaceDE w:val="0"/>
              <w:autoSpaceDN w:val="0"/>
              <w:adjustRightInd w:val="0"/>
              <w:snapToGrid w:val="0"/>
              <w:spacing w:before="0" w:beforeAutospacing="0" w:after="0" w:afterAutospacing="0"/>
              <w:ind w:left="0" w:right="72" w:rightChars="30" w:firstLine="420"/>
              <w:rPr>
                <w:rFonts w:hint="eastAsia"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蒸馏</w:t>
            </w:r>
          </w:p>
          <w:p w14:paraId="72F452C1">
            <w:pPr>
              <w:keepNext w:val="0"/>
              <w:keepLines w:val="0"/>
              <w:suppressLineNumbers w:val="0"/>
              <w:autoSpaceDE w:val="0"/>
              <w:autoSpaceDN w:val="0"/>
              <w:adjustRightInd w:val="0"/>
              <w:snapToGrid w:val="0"/>
              <w:spacing w:before="0" w:beforeAutospacing="0" w:after="0" w:afterAutospacing="0"/>
              <w:ind w:left="0" w:right="0" w:firstLine="420"/>
              <w:rPr>
                <w:rFonts w:hint="eastAsia" w:ascii="Times New Roman" w:hAnsi="Times New Roman" w:eastAsia="宋体" w:cs="Times New Roman"/>
                <w:color w:val="auto"/>
                <w:lang w:val="en-US" w:eastAsia="zh-CN"/>
              </w:rPr>
            </w:pPr>
            <w:r>
              <w:rPr>
                <w:rFonts w:hint="eastAsia" w:cs="Times New Roman"/>
                <w:color w:val="auto"/>
                <w:lang w:val="en-US" w:eastAsia="zh-CN"/>
              </w:rPr>
              <w:t>本项目采用水蒸气蒸馏法。</w:t>
            </w:r>
            <w:r>
              <w:rPr>
                <w:rFonts w:hint="eastAsia" w:ascii="Times New Roman" w:hAnsi="Times New Roman" w:eastAsia="宋体" w:cs="Times New Roman"/>
                <w:color w:val="auto"/>
                <w:lang w:val="en-US" w:eastAsia="zh-CN"/>
              </w:rPr>
              <w:t>粉碎后的枯柏树蔸经传送带送至</w:t>
            </w:r>
            <w:r>
              <w:rPr>
                <w:rFonts w:hint="eastAsia" w:cs="Times New Roman"/>
                <w:color w:val="auto"/>
                <w:lang w:val="en-US" w:eastAsia="zh-CN"/>
              </w:rPr>
              <w:t>蒸馏釜</w:t>
            </w:r>
            <w:r>
              <w:rPr>
                <w:rFonts w:hint="eastAsia" w:ascii="Times New Roman" w:hAnsi="Times New Roman" w:eastAsia="宋体" w:cs="Times New Roman"/>
                <w:color w:val="auto"/>
                <w:lang w:val="en-US" w:eastAsia="zh-CN"/>
              </w:rPr>
              <w:t>内后关闭罐顶，通入蒸汽进行蒸馏。</w:t>
            </w:r>
            <w:r>
              <w:rPr>
                <w:rFonts w:hint="eastAsia" w:cs="Times New Roman"/>
                <w:color w:val="auto"/>
                <w:lang w:val="en-US" w:eastAsia="zh-CN"/>
              </w:rPr>
              <w:t>蒸馏釜</w:t>
            </w:r>
            <w:r>
              <w:rPr>
                <w:rFonts w:hint="eastAsia" w:ascii="Times New Roman" w:hAnsi="Times New Roman" w:eastAsia="宋体" w:cs="Times New Roman"/>
                <w:color w:val="auto"/>
                <w:lang w:val="en-US" w:eastAsia="zh-CN"/>
              </w:rPr>
              <w:t>为立式圆柱形储罐，容积4.595</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个罐子可以装粉碎后的木料约</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t</w:t>
            </w:r>
            <w:r>
              <w:rPr>
                <w:rFonts w:hint="eastAsia" w:ascii="Times New Roman" w:hAnsi="Times New Roman" w:eastAsia="宋体" w:cs="Times New Roman"/>
                <w:color w:val="auto"/>
                <w:lang w:val="en-US" w:eastAsia="zh-CN"/>
              </w:rPr>
              <w:t>，项目共计3</w:t>
            </w:r>
            <w:r>
              <w:rPr>
                <w:rFonts w:hint="eastAsia" w:cs="Times New Roman"/>
                <w:color w:val="auto"/>
                <w:lang w:val="en-US" w:eastAsia="zh-CN"/>
              </w:rPr>
              <w:t>2</w:t>
            </w:r>
            <w:r>
              <w:rPr>
                <w:rFonts w:hint="eastAsia" w:ascii="Times New Roman" w:hAnsi="Times New Roman" w:eastAsia="宋体" w:cs="Times New Roman"/>
                <w:color w:val="auto"/>
                <w:lang w:val="en-US" w:eastAsia="zh-CN"/>
              </w:rPr>
              <w:t>个</w:t>
            </w:r>
            <w:r>
              <w:rPr>
                <w:rFonts w:hint="eastAsia" w:cs="Times New Roman"/>
                <w:color w:val="auto"/>
                <w:lang w:val="en-US" w:eastAsia="zh-CN"/>
              </w:rPr>
              <w:t>蒸馏釜</w:t>
            </w:r>
            <w:r>
              <w:rPr>
                <w:rFonts w:hint="eastAsia" w:ascii="Times New Roman" w:hAnsi="Times New Roman" w:eastAsia="宋体" w:cs="Times New Roman"/>
                <w:color w:val="auto"/>
                <w:lang w:val="en-US" w:eastAsia="zh-CN"/>
              </w:rPr>
              <w:t>，1</w:t>
            </w:r>
            <w:r>
              <w:rPr>
                <w:rFonts w:hint="eastAsia" w:cs="Times New Roman"/>
                <w:color w:val="auto"/>
                <w:lang w:val="en-US" w:eastAsia="zh-CN"/>
              </w:rPr>
              <w:t>6</w:t>
            </w:r>
            <w:r>
              <w:rPr>
                <w:rFonts w:hint="eastAsia" w:ascii="Times New Roman" w:hAnsi="Times New Roman" w:eastAsia="宋体" w:cs="Times New Roman"/>
                <w:color w:val="auto"/>
                <w:lang w:val="en-US" w:eastAsia="zh-CN"/>
              </w:rPr>
              <w:t>个为一组，每次仅使用一组，</w:t>
            </w:r>
            <w:r>
              <w:rPr>
                <w:rFonts w:hint="eastAsia" w:cs="Times New Roman"/>
                <w:color w:val="auto"/>
                <w:lang w:val="en-US" w:eastAsia="zh-CN"/>
              </w:rPr>
              <w:t>可</w:t>
            </w:r>
            <w:r>
              <w:rPr>
                <w:rFonts w:hint="eastAsia" w:ascii="Times New Roman" w:hAnsi="Times New Roman" w:eastAsia="宋体" w:cs="Times New Roman"/>
                <w:color w:val="auto"/>
                <w:lang w:val="en-US" w:eastAsia="zh-CN"/>
              </w:rPr>
              <w:t>处理原料量为1</w:t>
            </w:r>
            <w:r>
              <w:rPr>
                <w:rFonts w:hint="eastAsia" w:cs="Times New Roman"/>
                <w:color w:val="auto"/>
                <w:lang w:val="en-US" w:eastAsia="zh-CN"/>
              </w:rPr>
              <w:t>7.6</w:t>
            </w:r>
            <w:r>
              <w:rPr>
                <w:rFonts w:hint="eastAsia" w:ascii="Times New Roman" w:hAnsi="Times New Roman" w:eastAsia="宋体" w:cs="Times New Roman"/>
                <w:color w:val="auto"/>
                <w:lang w:val="en-US" w:eastAsia="zh-CN"/>
              </w:rPr>
              <w:t>t，两组循环使用</w:t>
            </w:r>
            <w:r>
              <w:rPr>
                <w:rFonts w:hint="eastAsia" w:cs="Times New Roman"/>
                <w:color w:val="auto"/>
                <w:lang w:val="en-US" w:eastAsia="zh-CN"/>
              </w:rPr>
              <w:t>，每批次蒸馏时间6~7h，耗用蒸汽量约40t</w:t>
            </w:r>
            <w:r>
              <w:rPr>
                <w:rFonts w:hint="eastAsia" w:ascii="Times New Roman" w:hAnsi="Times New Roman" w:eastAsia="宋体" w:cs="Times New Roman"/>
                <w:color w:val="auto"/>
                <w:lang w:val="en-US" w:eastAsia="zh-CN"/>
              </w:rPr>
              <w:t>。</w:t>
            </w:r>
          </w:p>
          <w:p w14:paraId="5F3E3A7B">
            <w:pPr>
              <w:keepNext w:val="0"/>
              <w:keepLines w:val="0"/>
              <w:suppressLineNumbers w:val="0"/>
              <w:autoSpaceDE w:val="0"/>
              <w:autoSpaceDN w:val="0"/>
              <w:adjustRightInd w:val="0"/>
              <w:snapToGrid w:val="0"/>
              <w:spacing w:before="0" w:beforeAutospacing="0" w:after="0" w:afterAutospacing="0"/>
              <w:ind w:left="0" w:right="0" w:firstLine="42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物料输送进</w:t>
            </w:r>
            <w:r>
              <w:rPr>
                <w:rFonts w:hint="eastAsia" w:cs="Times New Roman"/>
                <w:color w:val="auto"/>
                <w:lang w:val="en-US" w:eastAsia="zh-CN"/>
              </w:rPr>
              <w:t>蒸馏釜</w:t>
            </w:r>
            <w:r>
              <w:rPr>
                <w:rFonts w:hint="eastAsia" w:ascii="Times New Roman" w:hAnsi="Times New Roman" w:eastAsia="宋体" w:cs="Times New Roman"/>
                <w:color w:val="auto"/>
                <w:lang w:val="en-US" w:eastAsia="zh-CN"/>
              </w:rPr>
              <w:t>后，关闭罐顶压力盖，然后向</w:t>
            </w:r>
            <w:r>
              <w:rPr>
                <w:rFonts w:hint="eastAsia" w:cs="Times New Roman"/>
                <w:color w:val="auto"/>
                <w:lang w:val="en-US" w:eastAsia="zh-CN"/>
              </w:rPr>
              <w:t>蒸馏釜</w:t>
            </w:r>
            <w:r>
              <w:rPr>
                <w:rFonts w:hint="eastAsia" w:ascii="Times New Roman" w:hAnsi="Times New Roman" w:eastAsia="宋体" w:cs="Times New Roman"/>
                <w:color w:val="auto"/>
                <w:lang w:val="en-US" w:eastAsia="zh-CN"/>
              </w:rPr>
              <w:t>内连续缓慢通入蒸汽进行蒸馏，蒸馏热源来自蒸汽锅炉，经</w:t>
            </w:r>
            <w:r>
              <w:rPr>
                <w:rFonts w:hint="eastAsia" w:cs="Times New Roman"/>
                <w:color w:val="auto"/>
                <w:lang w:val="en-US" w:eastAsia="zh-CN"/>
              </w:rPr>
              <w:t>过</w:t>
            </w:r>
            <w:r>
              <w:rPr>
                <w:rFonts w:hint="eastAsia" w:ascii="Times New Roman" w:hAnsi="Times New Roman" w:eastAsia="宋体" w:cs="Times New Roman"/>
                <w:color w:val="auto"/>
                <w:lang w:val="en-US" w:eastAsia="zh-CN"/>
              </w:rPr>
              <w:t>建设单位确认，蒸馏时温度为</w:t>
            </w:r>
            <w:r>
              <w:rPr>
                <w:rFonts w:hint="default" w:ascii="Times New Roman" w:hAnsi="Times New Roman" w:eastAsia="宋体" w:cs="Times New Roman"/>
                <w:color w:val="auto"/>
                <w:lang w:val="en-US" w:eastAsia="zh-CN"/>
              </w:rPr>
              <w:t>115~120</w:t>
            </w:r>
            <w:r>
              <w:rPr>
                <w:rFonts w:hint="eastAsia" w:ascii="Times New Roman" w:hAnsi="Times New Roman" w:eastAsia="宋体" w:cs="Times New Roman"/>
                <w:color w:val="auto"/>
                <w:lang w:val="en-US" w:eastAsia="zh-CN"/>
              </w:rPr>
              <w:t>℃，一般不能超过</w:t>
            </w:r>
            <w:r>
              <w:rPr>
                <w:rFonts w:hint="default" w:ascii="Times New Roman" w:hAnsi="Times New Roman" w:eastAsia="宋体" w:cs="Times New Roman"/>
                <w:color w:val="auto"/>
                <w:lang w:val="en-US" w:eastAsia="zh-CN"/>
              </w:rPr>
              <w:t>120</w:t>
            </w:r>
            <w:r>
              <w:rPr>
                <w:rFonts w:hint="eastAsia" w:ascii="Times New Roman" w:hAnsi="Times New Roman" w:eastAsia="宋体" w:cs="Times New Roman"/>
                <w:color w:val="auto"/>
                <w:lang w:val="en-US" w:eastAsia="zh-CN"/>
              </w:rPr>
              <w:t>℃，温度过高会破坏物质的结构。根据柏木油的物理属性，柏木油的闪点</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00℃，沸点</w:t>
            </w:r>
            <w:r>
              <w:rPr>
                <w:rFonts w:hint="default" w:ascii="Times New Roman" w:hAnsi="Times New Roman" w:eastAsia="宋体" w:cs="Times New Roman"/>
                <w:color w:val="auto"/>
                <w:lang w:val="en-US" w:eastAsia="zh-CN"/>
              </w:rPr>
              <w:t>279</w:t>
            </w:r>
            <w:r>
              <w:rPr>
                <w:rFonts w:hint="eastAsia" w:ascii="Times New Roman" w:hAnsi="Times New Roman" w:eastAsia="宋体" w:cs="Times New Roman"/>
                <w:color w:val="auto"/>
                <w:lang w:val="en-US" w:eastAsia="zh-CN"/>
              </w:rPr>
              <w:t>℃（尚无燃点参数），水蒸气蒸馏常用于在常压下沸点较高或在沸腾时易分解的物质，同时使用水蒸气蒸馏法被提纯的物质还应具备不溶于水或微溶于水的特点。本项目蒸馏温度（</w:t>
            </w:r>
            <w:r>
              <w:rPr>
                <w:rFonts w:hint="default" w:ascii="Times New Roman" w:hAnsi="Times New Roman" w:eastAsia="宋体" w:cs="Times New Roman"/>
                <w:color w:val="auto"/>
                <w:lang w:val="en-US" w:eastAsia="zh-CN"/>
              </w:rPr>
              <w:t>115~120</w:t>
            </w:r>
            <w:r>
              <w:rPr>
                <w:rFonts w:hint="eastAsia" w:ascii="Times New Roman" w:hAnsi="Times New Roman" w:eastAsia="宋体" w:cs="Times New Roman"/>
                <w:color w:val="auto"/>
                <w:lang w:val="en-US" w:eastAsia="zh-CN"/>
              </w:rPr>
              <w:t>℃）远小于柏木油的沸点温度（</w:t>
            </w:r>
            <w:r>
              <w:rPr>
                <w:rFonts w:hint="default" w:ascii="Times New Roman" w:hAnsi="Times New Roman" w:eastAsia="宋体" w:cs="Times New Roman"/>
                <w:color w:val="auto"/>
                <w:lang w:val="en-US" w:eastAsia="zh-CN"/>
              </w:rPr>
              <w:t>279</w:t>
            </w:r>
            <w:r>
              <w:rPr>
                <w:rFonts w:hint="eastAsia" w:ascii="宋体" w:hAnsi="宋体" w:eastAsia="宋体" w:cs="宋体"/>
                <w:color w:val="auto"/>
                <w:lang w:val="en-US" w:eastAsia="zh-CN"/>
              </w:rPr>
              <w:t>℃</w:t>
            </w:r>
            <w:r>
              <w:rPr>
                <w:rFonts w:hint="eastAsia" w:ascii="Times New Roman" w:hAnsi="Times New Roman" w:eastAsia="宋体" w:cs="Times New Roman"/>
                <w:color w:val="auto"/>
                <w:lang w:val="en-US" w:eastAsia="zh-CN"/>
              </w:rPr>
              <w:t>），同时柏木油在水中的溶解度＜</w:t>
            </w:r>
            <w:r>
              <w:rPr>
                <w:rFonts w:hint="default" w:ascii="Times New Roman" w:hAnsi="Times New Roman" w:eastAsia="宋体" w:cs="Times New Roman"/>
                <w:color w:val="auto"/>
                <w:lang w:val="en-US" w:eastAsia="zh-CN"/>
              </w:rPr>
              <w:t>0.1%</w:t>
            </w:r>
            <w:r>
              <w:rPr>
                <w:rFonts w:hint="eastAsia" w:ascii="Times New Roman" w:hAnsi="Times New Roman" w:eastAsia="宋体" w:cs="Times New Roman"/>
                <w:color w:val="auto"/>
                <w:lang w:val="en-US" w:eastAsia="zh-CN"/>
              </w:rPr>
              <w:t>，完全符合使用蒸馏法进行提取。蒸汽锅炉产生的蒸汽会将</w:t>
            </w:r>
            <w:r>
              <w:rPr>
                <w:rFonts w:hint="eastAsia" w:cs="Times New Roman"/>
                <w:color w:val="auto"/>
                <w:lang w:val="en-US" w:eastAsia="zh-CN"/>
              </w:rPr>
              <w:t>蒸馏釜</w:t>
            </w:r>
            <w:r>
              <w:rPr>
                <w:rFonts w:hint="eastAsia" w:ascii="Times New Roman" w:hAnsi="Times New Roman" w:eastAsia="宋体" w:cs="Times New Roman"/>
                <w:color w:val="auto"/>
                <w:lang w:val="en-US" w:eastAsia="zh-CN"/>
              </w:rPr>
              <w:t>中枯柏树蔸中的油提取出来，根据四川子童香料有限公司经验数据，柏木油提取</w:t>
            </w:r>
            <w:r>
              <w:rPr>
                <w:rFonts w:hint="eastAsia" w:cs="Times New Roman"/>
                <w:color w:val="auto"/>
                <w:lang w:val="en-US" w:eastAsia="zh-CN"/>
              </w:rPr>
              <w:t>出油</w:t>
            </w:r>
            <w:r>
              <w:rPr>
                <w:rFonts w:hint="eastAsia" w:ascii="Times New Roman" w:hAnsi="Times New Roman" w:eastAsia="宋体" w:cs="Times New Roman"/>
                <w:color w:val="auto"/>
                <w:lang w:val="en-US" w:eastAsia="zh-CN"/>
              </w:rPr>
              <w:t>率为</w:t>
            </w:r>
            <w:r>
              <w:rPr>
                <w:rFonts w:hint="default"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w:t>
            </w:r>
          </w:p>
          <w:p w14:paraId="70FE771A">
            <w:pPr>
              <w:keepNext w:val="0"/>
              <w:keepLines w:val="0"/>
              <w:suppressLineNumbers w:val="0"/>
              <w:autoSpaceDE w:val="0"/>
              <w:autoSpaceDN w:val="0"/>
              <w:adjustRightInd w:val="0"/>
              <w:snapToGrid w:val="0"/>
              <w:spacing w:before="0" w:beforeAutospacing="0" w:after="0" w:afterAutospacing="0"/>
              <w:ind w:left="0" w:right="0" w:firstLine="42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w:t>
            </w:r>
            <w:r>
              <w:rPr>
                <w:rFonts w:hint="eastAsia" w:ascii="Times New Roman" w:hAnsi="Times New Roman" w:eastAsia="宋体" w:cs="Times New Roman"/>
                <w:color w:val="auto"/>
                <w:lang w:val="en-US" w:eastAsia="zh-CN"/>
              </w:rPr>
              <w:t>、水蒸气蒸馏的原理：蒸馏的目的是利用水蒸气尽可能将原料中的精油提取出来。蒸汽通入植物器官包括：根、茎、枝叶中时，由于蒸汽首先对原料产生作用，即在原料组织表面的芳香油分与蒸汽直接接触，向原料组织渗透、扩散，从而使组织内部的精油以水汽为载体，逐步扩散到组织表面不断气化，产生的水汽和油的两个蒸汽分压，混合蒸汽通过</w:t>
            </w:r>
            <w:r>
              <w:rPr>
                <w:rFonts w:hint="eastAsia" w:cs="Times New Roman"/>
                <w:color w:val="auto"/>
                <w:lang w:val="en-US" w:eastAsia="zh-CN"/>
              </w:rPr>
              <w:t>导气管</w:t>
            </w:r>
            <w:r>
              <w:rPr>
                <w:rFonts w:hint="eastAsia" w:ascii="Times New Roman" w:hAnsi="Times New Roman" w:eastAsia="宋体" w:cs="Times New Roman"/>
                <w:color w:val="auto"/>
                <w:lang w:val="en-US" w:eastAsia="zh-CN"/>
              </w:rPr>
              <w:t>进入冷凝器，进行冷却，形成液体，然后由于比重不同，再经油水分离，即得到精油。</w:t>
            </w:r>
          </w:p>
          <w:p w14:paraId="7220E9E6">
            <w:pPr>
              <w:keepNext w:val="0"/>
              <w:keepLines w:val="0"/>
              <w:suppressLineNumbers w:val="0"/>
              <w:autoSpaceDE w:val="0"/>
              <w:autoSpaceDN w:val="0"/>
              <w:adjustRightInd w:val="0"/>
              <w:snapToGrid w:val="0"/>
              <w:spacing w:before="0" w:beforeAutospacing="0" w:after="0" w:afterAutospacing="0"/>
              <w:ind w:left="0" w:right="0" w:firstLine="42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B</w:t>
            </w:r>
            <w:r>
              <w:rPr>
                <w:rFonts w:hint="eastAsia" w:ascii="Times New Roman" w:hAnsi="Times New Roman" w:eastAsia="宋体" w:cs="Times New Roman"/>
                <w:color w:val="auto"/>
                <w:lang w:val="en-US" w:eastAsia="zh-CN"/>
              </w:rPr>
              <w:t>、本项目蒸馏特点：由于柏木精油中含有罗汉柏木烯、柏木脑、</w:t>
            </w:r>
            <w:r>
              <w:rPr>
                <w:rFonts w:hint="default" w:ascii="Times New Roman" w:hAnsi="Times New Roman" w:eastAsia="宋体" w:cs="Times New Roman"/>
                <w:color w:val="auto"/>
                <w:lang w:val="en-US" w:eastAsia="zh-CN"/>
              </w:rPr>
              <w:t>α</w:t>
            </w:r>
            <w:r>
              <w:rPr>
                <w:rFonts w:hint="eastAsia" w:ascii="Times New Roman" w:hAnsi="Times New Roman" w:eastAsia="宋体" w:cs="Times New Roman"/>
                <w:color w:val="auto"/>
                <w:lang w:val="en-US" w:eastAsia="zh-CN"/>
              </w:rPr>
              <w:t>烯、</w:t>
            </w:r>
            <w:r>
              <w:rPr>
                <w:rFonts w:hint="default" w:ascii="Times New Roman" w:hAnsi="Times New Roman" w:eastAsia="宋体" w:cs="Times New Roman"/>
                <w:color w:val="auto"/>
                <w:lang w:val="en-US" w:eastAsia="zh-CN"/>
              </w:rPr>
              <w:t>β</w:t>
            </w:r>
            <w:r>
              <w:rPr>
                <w:rFonts w:hint="eastAsia" w:ascii="Times New Roman" w:hAnsi="Times New Roman" w:eastAsia="宋体" w:cs="Times New Roman"/>
                <w:color w:val="auto"/>
                <w:lang w:val="en-US" w:eastAsia="zh-CN"/>
              </w:rPr>
              <w:t>烯等有机物，以上几种有机物不溶于水，形成精油与水的互不相溶体系，加热时，随着温度的增高，精油和水均加快蒸发，产生混合体蒸汽，其蒸汽导入冷凝器中得到水与精油的液体混合物，然后经过油水分离后即可得到精油产品。</w:t>
            </w:r>
          </w:p>
          <w:p w14:paraId="00D6B2AB">
            <w:pPr>
              <w:keepNext w:val="0"/>
              <w:keepLines w:val="0"/>
              <w:suppressLineNumbers w:val="0"/>
              <w:autoSpaceDE w:val="0"/>
              <w:autoSpaceDN w:val="0"/>
              <w:adjustRightInd w:val="0"/>
              <w:snapToGrid w:val="0"/>
              <w:spacing w:before="0" w:beforeAutospacing="0" w:after="0" w:afterAutospacing="0"/>
              <w:ind w:left="0" w:right="0" w:firstLine="42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夹带植物精油成分的蒸汽从</w:t>
            </w:r>
            <w:r>
              <w:rPr>
                <w:rFonts w:hint="eastAsia" w:cs="Times New Roman"/>
                <w:color w:val="auto"/>
                <w:lang w:val="en-US" w:eastAsia="zh-CN"/>
              </w:rPr>
              <w:t>蒸馏釜</w:t>
            </w:r>
            <w:r>
              <w:rPr>
                <w:rFonts w:hint="eastAsia" w:ascii="Times New Roman" w:hAnsi="Times New Roman" w:eastAsia="宋体" w:cs="Times New Roman"/>
                <w:color w:val="auto"/>
                <w:lang w:val="en-US" w:eastAsia="zh-CN"/>
              </w:rPr>
              <w:t>顶部进入冷凝器中进行冷凝冷却，当</w:t>
            </w:r>
            <w:r>
              <w:rPr>
                <w:rFonts w:hint="eastAsia" w:cs="Times New Roman"/>
                <w:color w:val="auto"/>
                <w:lang w:val="en-US" w:eastAsia="zh-CN"/>
              </w:rPr>
              <w:t>馏出</w:t>
            </w:r>
            <w:r>
              <w:rPr>
                <w:rFonts w:hint="eastAsia" w:ascii="Times New Roman" w:hAnsi="Times New Roman" w:eastAsia="宋体" w:cs="Times New Roman"/>
                <w:color w:val="auto"/>
                <w:lang w:val="en-US" w:eastAsia="zh-CN"/>
              </w:rPr>
              <w:t>液无明显油珠，澄清透明时，便可停止蒸馏。</w:t>
            </w:r>
          </w:p>
          <w:p w14:paraId="12375874">
            <w:pPr>
              <w:keepNext w:val="0"/>
              <w:keepLines w:val="0"/>
              <w:suppressLineNumbers w:val="0"/>
              <w:autoSpaceDE w:val="0"/>
              <w:autoSpaceDN w:val="0"/>
              <w:adjustRightInd w:val="0"/>
              <w:snapToGrid w:val="0"/>
              <w:spacing w:before="0" w:beforeAutospacing="0" w:after="0" w:afterAutospacing="0"/>
              <w:ind w:left="0" w:right="0" w:firstLine="42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经过蒸馏后的液态部分为油水混合物（即产品半成品），固态部分为柏树蔸木渣。油水混合物通过管道进入冷凝器中进行冷凝，柏树蔸木渣从蒸馏器底部出料后</w:t>
            </w:r>
            <w:r>
              <w:rPr>
                <w:rFonts w:hint="eastAsia" w:cs="Times New Roman"/>
                <w:color w:val="auto"/>
                <w:lang w:val="en-US" w:eastAsia="zh-CN"/>
              </w:rPr>
              <w:t>在蒸馏后木屑堆放区自然晾干</w:t>
            </w:r>
            <w:r>
              <w:rPr>
                <w:rFonts w:hint="eastAsia" w:ascii="Times New Roman" w:hAnsi="Times New Roman" w:eastAsia="宋体" w:cs="Times New Roman"/>
                <w:color w:val="auto"/>
                <w:lang w:val="en-US" w:eastAsia="zh-CN"/>
              </w:rPr>
              <w:t>。</w:t>
            </w:r>
          </w:p>
          <w:p w14:paraId="4F460CFF">
            <w:pPr>
              <w:keepNext w:val="0"/>
              <w:keepLines w:val="0"/>
              <w:numPr>
                <w:ilvl w:val="0"/>
                <w:numId w:val="5"/>
              </w:numPr>
              <w:suppressLineNumbers w:val="0"/>
              <w:overflowPunct w:val="0"/>
              <w:autoSpaceDE w:val="0"/>
              <w:autoSpaceDN w:val="0"/>
              <w:adjustRightInd w:val="0"/>
              <w:snapToGrid w:val="0"/>
              <w:spacing w:before="0" w:beforeAutospacing="0" w:after="0" w:afterAutospacing="0"/>
              <w:ind w:left="0" w:right="72" w:rightChars="30" w:firstLine="420"/>
              <w:rPr>
                <w:rFonts w:hint="eastAsia" w:ascii="Times New Roman" w:hAnsi="Times New Roman" w:cs="Times New Roman"/>
                <w:b/>
                <w:color w:val="auto"/>
                <w:kern w:val="0"/>
                <w:szCs w:val="21"/>
              </w:rPr>
            </w:pPr>
            <w:r>
              <w:rPr>
                <w:rFonts w:hint="eastAsia" w:ascii="Times New Roman" w:hAnsi="Times New Roman" w:cs="Times New Roman"/>
                <w:b/>
                <w:color w:val="auto"/>
                <w:kern w:val="0"/>
                <w:szCs w:val="21"/>
              </w:rPr>
              <w:t>冷凝降温、木渣出料干燥</w:t>
            </w:r>
          </w:p>
          <w:p w14:paraId="1C649CC3">
            <w:pPr>
              <w:keepNext w:val="0"/>
              <w:keepLines w:val="0"/>
              <w:suppressLineNumbers w:val="0"/>
              <w:autoSpaceDE w:val="0"/>
              <w:autoSpaceDN w:val="0"/>
              <w:adjustRightInd w:val="0"/>
              <w:snapToGrid w:val="0"/>
              <w:spacing w:before="0" w:beforeAutospacing="0" w:after="0" w:afterAutospacing="0"/>
              <w:ind w:left="0" w:right="0" w:firstLine="420"/>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经过蒸馏后的油水混合物通过</w:t>
            </w:r>
            <w:r>
              <w:rPr>
                <w:rFonts w:hint="eastAsia" w:cs="Times New Roman"/>
                <w:color w:val="auto"/>
                <w:lang w:val="en-US" w:eastAsia="zh-CN"/>
              </w:rPr>
              <w:t>蒸馏釜</w:t>
            </w:r>
            <w:r>
              <w:rPr>
                <w:rFonts w:hint="eastAsia" w:ascii="Times New Roman" w:hAnsi="Times New Roman" w:eastAsia="宋体" w:cs="Times New Roman"/>
                <w:color w:val="auto"/>
                <w:lang w:val="en-US" w:eastAsia="zh-CN"/>
              </w:rPr>
              <w:t>顶部的冷凝管进入冷凝器中进行冷凝成液态。项目共有3</w:t>
            </w:r>
            <w:r>
              <w:rPr>
                <w:rFonts w:hint="eastAsia" w:cs="Times New Roman"/>
                <w:color w:val="auto"/>
                <w:lang w:val="en-US" w:eastAsia="zh-CN"/>
              </w:rPr>
              <w:t>2</w:t>
            </w:r>
            <w:r>
              <w:rPr>
                <w:rFonts w:hint="eastAsia" w:ascii="Times New Roman" w:hAnsi="Times New Roman" w:eastAsia="宋体" w:cs="Times New Roman"/>
                <w:color w:val="auto"/>
                <w:lang w:val="en-US" w:eastAsia="zh-CN"/>
              </w:rPr>
              <w:t>个储罐，设置1台冷凝器，1</w:t>
            </w:r>
            <w:r>
              <w:rPr>
                <w:rFonts w:hint="eastAsia" w:cs="Times New Roman"/>
                <w:color w:val="auto"/>
                <w:lang w:val="en-US" w:eastAsia="zh-CN"/>
              </w:rPr>
              <w:t>6</w:t>
            </w:r>
            <w:r>
              <w:rPr>
                <w:rFonts w:hint="eastAsia" w:ascii="Times New Roman" w:hAnsi="Times New Roman" w:eastAsia="宋体" w:cs="Times New Roman"/>
                <w:color w:val="auto"/>
                <w:lang w:val="en-US" w:eastAsia="zh-CN"/>
              </w:rPr>
              <w:t>个储罐共用</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台冷凝器，错时使用。</w:t>
            </w:r>
          </w:p>
          <w:p w14:paraId="036839B5">
            <w:pPr>
              <w:keepNext w:val="0"/>
              <w:keepLines w:val="0"/>
              <w:suppressLineNumbers w:val="0"/>
              <w:autoSpaceDE w:val="0"/>
              <w:autoSpaceDN w:val="0"/>
              <w:adjustRightInd w:val="0"/>
              <w:snapToGrid w:val="0"/>
              <w:spacing w:before="0" w:beforeAutospacing="0" w:after="0" w:afterAutospacing="0"/>
              <w:ind w:left="0" w:right="0" w:firstLine="420"/>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根据建设单位以往的生产经验以及项目油品品质需要，将温度降至</w:t>
            </w:r>
            <w:r>
              <w:rPr>
                <w:rFonts w:hint="default" w:ascii="Times New Roman" w:hAnsi="Times New Roman" w:eastAsia="宋体" w:cs="Times New Roman"/>
                <w:color w:val="auto"/>
                <w:lang w:val="en-US" w:eastAsia="zh-CN"/>
              </w:rPr>
              <w:t>36</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40</w:t>
            </w:r>
            <w:r>
              <w:rPr>
                <w:rFonts w:hint="eastAsia" w:ascii="Times New Roman" w:hAnsi="Times New Roman" w:eastAsia="宋体" w:cs="Times New Roman"/>
                <w:color w:val="auto"/>
                <w:lang w:val="en-US" w:eastAsia="zh-CN"/>
              </w:rPr>
              <w:t>℃左右的时候收集到的柏木油品质是最好的，项目使用的为160㎡螺旋板式冷凝器，采用冷却水作为冷媒回收蒸馏的柏木油。</w:t>
            </w:r>
          </w:p>
          <w:p w14:paraId="25E122B4">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2388870" cy="2075180"/>
                  <wp:effectExtent l="0" t="0" r="11430" b="1270"/>
                  <wp:docPr id="10" name="图片 10" descr="螺旋板式换热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螺旋板式换热器"/>
                          <pic:cNvPicPr>
                            <a:picLocks noChangeAspect="1"/>
                          </pic:cNvPicPr>
                        </pic:nvPicPr>
                        <pic:blipFill>
                          <a:blip r:embed="rId23"/>
                          <a:stretch>
                            <a:fillRect/>
                          </a:stretch>
                        </pic:blipFill>
                        <pic:spPr>
                          <a:xfrm>
                            <a:off x="0" y="0"/>
                            <a:ext cx="2388870" cy="2075180"/>
                          </a:xfrm>
                          <a:prstGeom prst="rect">
                            <a:avLst/>
                          </a:prstGeom>
                        </pic:spPr>
                      </pic:pic>
                    </a:graphicData>
                  </a:graphic>
                </wp:inline>
              </w:drawing>
            </w:r>
          </w:p>
          <w:p w14:paraId="609DFEE9">
            <w:pPr>
              <w:pStyle w:val="46"/>
              <w:keepNext w:val="0"/>
              <w:keepLines w:val="0"/>
              <w:suppressLineNumbers w:val="0"/>
              <w:spacing w:before="0" w:beforeAutospacing="0" w:after="0" w:afterAutospacing="0"/>
              <w:ind w:left="0" w:right="0"/>
              <w:jc w:val="center"/>
              <w:rPr>
                <w:rFonts w:hint="eastAsia" w:eastAsia="宋体"/>
                <w:b/>
                <w:bCs/>
                <w:color w:val="auto"/>
                <w:sz w:val="21"/>
                <w:szCs w:val="21"/>
                <w:lang w:val="en-US" w:eastAsia="zh-CN"/>
              </w:rPr>
            </w:pPr>
            <w:r>
              <w:rPr>
                <w:rFonts w:hint="eastAsia"/>
                <w:b/>
                <w:bCs/>
                <w:color w:val="auto"/>
                <w:sz w:val="21"/>
                <w:szCs w:val="21"/>
                <w:lang w:val="en-US" w:eastAsia="zh-CN"/>
              </w:rPr>
              <w:t>冷凝换热器</w:t>
            </w:r>
          </w:p>
          <w:p w14:paraId="67022410">
            <w:pPr>
              <w:keepNext w:val="0"/>
              <w:keepLines w:val="0"/>
              <w:suppressLineNumbers w:val="0"/>
              <w:autoSpaceDE w:val="0"/>
              <w:autoSpaceDN w:val="0"/>
              <w:adjustRightInd w:val="0"/>
              <w:snapToGrid w:val="0"/>
              <w:spacing w:before="0" w:beforeAutospacing="0" w:after="0" w:afterAutospacing="0"/>
              <w:ind w:left="0" w:right="0" w:firstLine="420"/>
              <w:rPr>
                <w:rFonts w:hint="eastAsia" w:ascii="Times New Roman" w:hAnsi="Times New Roman" w:eastAsia="宋体" w:cs="Times New Roman"/>
                <w:color w:val="auto"/>
              </w:rPr>
            </w:pPr>
            <w:r>
              <w:rPr>
                <w:rFonts w:hint="eastAsia" w:ascii="Times New Roman" w:hAnsi="Times New Roman" w:eastAsia="宋体" w:cs="Times New Roman"/>
                <w:b/>
                <w:bCs/>
                <w:color w:val="auto"/>
                <w:lang w:val="en-US" w:eastAsia="zh-CN"/>
              </w:rPr>
              <w:t>冷凝器的工作原理</w:t>
            </w:r>
            <w:r>
              <w:rPr>
                <w:rFonts w:hint="eastAsia" w:ascii="Times New Roman" w:hAnsi="Times New Roman" w:eastAsia="宋体" w:cs="Times New Roman"/>
                <w:color w:val="auto"/>
                <w:lang w:val="en-US" w:eastAsia="zh-CN"/>
              </w:rPr>
              <w:t>：携带着大量热量的物料进入冷凝器，气体走壳程，冷却水走管程。冷却水在塔内与空气进行热交换，使废热传输到空气中并散到大气中。料液从冷凝器壳程通过，水作为制冷剂在冷凝器内侧循环，以不断带走料液的热量。蒸馏时温度为</w:t>
            </w:r>
            <w:r>
              <w:rPr>
                <w:rFonts w:hint="default" w:ascii="Times New Roman" w:hAnsi="Times New Roman" w:eastAsia="宋体" w:cs="Times New Roman"/>
                <w:color w:val="auto"/>
                <w:lang w:val="en-US" w:eastAsia="zh-CN"/>
              </w:rPr>
              <w:t>115~120</w:t>
            </w:r>
            <w:r>
              <w:rPr>
                <w:rFonts w:hint="eastAsia" w:ascii="Times New Roman" w:hAnsi="Times New Roman" w:eastAsia="宋体" w:cs="Times New Roman"/>
                <w:color w:val="auto"/>
                <w:lang w:val="en-US" w:eastAsia="zh-CN"/>
              </w:rPr>
              <w:t>℃，一般不能超过</w:t>
            </w:r>
            <w:r>
              <w:rPr>
                <w:rFonts w:hint="default" w:ascii="Times New Roman" w:hAnsi="Times New Roman" w:eastAsia="宋体" w:cs="Times New Roman"/>
                <w:color w:val="auto"/>
                <w:lang w:val="en-US" w:eastAsia="zh-CN"/>
              </w:rPr>
              <w:t>120</w:t>
            </w:r>
            <w:r>
              <w:rPr>
                <w:rFonts w:hint="eastAsia" w:ascii="Times New Roman" w:hAnsi="Times New Roman" w:eastAsia="宋体" w:cs="Times New Roman"/>
                <w:color w:val="auto"/>
                <w:lang w:val="en-US" w:eastAsia="zh-CN"/>
              </w:rPr>
              <w:t>℃，冷却后的料液温度降至</w:t>
            </w:r>
            <w:r>
              <w:rPr>
                <w:rFonts w:hint="default" w:ascii="Times New Roman" w:hAnsi="Times New Roman" w:eastAsia="宋体" w:cs="Times New Roman"/>
                <w:color w:val="auto"/>
                <w:lang w:val="en-US" w:eastAsia="zh-CN"/>
              </w:rPr>
              <w:t>36</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40</w:t>
            </w:r>
            <w:r>
              <w:rPr>
                <w:rFonts w:hint="eastAsia" w:ascii="Times New Roman" w:hAnsi="Times New Roman" w:eastAsia="宋体" w:cs="Times New Roman"/>
                <w:color w:val="auto"/>
                <w:lang w:val="en-US" w:eastAsia="zh-CN"/>
              </w:rPr>
              <w:t>℃，一般不会超过</w:t>
            </w:r>
            <w:r>
              <w:rPr>
                <w:rFonts w:hint="default" w:ascii="Times New Roman" w:hAnsi="Times New Roman" w:eastAsia="宋体" w:cs="Times New Roman"/>
                <w:color w:val="auto"/>
                <w:lang w:val="en-US" w:eastAsia="zh-CN"/>
              </w:rPr>
              <w:t>40</w:t>
            </w:r>
            <w:r>
              <w:rPr>
                <w:rFonts w:hint="eastAsia" w:ascii="Times New Roman" w:hAnsi="Times New Roman" w:eastAsia="宋体" w:cs="Times New Roman"/>
                <w:color w:val="auto"/>
                <w:lang w:val="en-US" w:eastAsia="zh-CN"/>
              </w:rPr>
              <w:t>℃。冷凝时间约</w:t>
            </w:r>
            <w:r>
              <w:rPr>
                <w:rFonts w:hint="default" w:ascii="Times New Roman" w:hAnsi="Times New Roman" w:eastAsia="宋体" w:cs="Times New Roman"/>
                <w:color w:val="auto"/>
                <w:lang w:val="en-US" w:eastAsia="zh-CN"/>
              </w:rPr>
              <w:t>15</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20min</w:t>
            </w:r>
            <w:r>
              <w:rPr>
                <w:rFonts w:hint="eastAsia" w:ascii="Times New Roman" w:hAnsi="Times New Roman" w:eastAsia="宋体" w:cs="Times New Roman"/>
                <w:color w:val="auto"/>
                <w:lang w:val="en-US" w:eastAsia="zh-CN"/>
              </w:rPr>
              <w:t>，冷凝后料液为油水混合物，收集起来再进入油水分离池进行油水分离。</w:t>
            </w:r>
          </w:p>
          <w:p w14:paraId="23F16332">
            <w:pPr>
              <w:keepNext w:val="0"/>
              <w:keepLines w:val="0"/>
              <w:suppressLineNumbers w:val="0"/>
              <w:autoSpaceDE w:val="0"/>
              <w:autoSpaceDN w:val="0"/>
              <w:adjustRightInd w:val="0"/>
              <w:snapToGrid w:val="0"/>
              <w:spacing w:before="0" w:beforeAutospacing="0" w:after="0" w:afterAutospacing="0"/>
              <w:ind w:left="0" w:right="0" w:firstLine="42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木渣出料干燥：柏树蔸木渣从蒸馏器底部出料后放置在托盘上，</w:t>
            </w:r>
            <w:r>
              <w:rPr>
                <w:rFonts w:hint="eastAsia" w:cs="Times New Roman"/>
                <w:color w:val="auto"/>
                <w:lang w:val="en-US" w:eastAsia="zh-CN"/>
              </w:rPr>
              <w:t>送至蒸馏后木渣堆放区</w:t>
            </w:r>
            <w:r>
              <w:rPr>
                <w:rFonts w:hint="eastAsia" w:ascii="Times New Roman" w:hAnsi="Times New Roman" w:eastAsia="宋体" w:cs="Times New Roman"/>
                <w:color w:val="auto"/>
                <w:lang w:val="en-US" w:eastAsia="zh-CN"/>
              </w:rPr>
              <w:t>进行冷却</w:t>
            </w:r>
            <w:r>
              <w:rPr>
                <w:rFonts w:hint="eastAsia" w:cs="Times New Roman"/>
                <w:color w:val="auto"/>
                <w:lang w:val="en-US" w:eastAsia="zh-CN"/>
              </w:rPr>
              <w:t>晾干</w:t>
            </w:r>
            <w:r>
              <w:rPr>
                <w:rFonts w:hint="eastAsia" w:ascii="Times New Roman" w:hAnsi="Times New Roman" w:eastAsia="宋体" w:cs="Times New Roman"/>
                <w:color w:val="auto"/>
                <w:lang w:val="en-US" w:eastAsia="zh-CN"/>
              </w:rPr>
              <w:t>，约经过</w:t>
            </w:r>
            <w:r>
              <w:rPr>
                <w:rFonts w:hint="eastAsia" w:cs="Times New Roman"/>
                <w:color w:val="auto"/>
                <w:lang w:val="en-US" w:eastAsia="zh-CN"/>
              </w:rPr>
              <w:t>3</w:t>
            </w:r>
            <w:r>
              <w:rPr>
                <w:rFonts w:hint="default" w:ascii="Times New Roman" w:hAnsi="Times New Roman" w:eastAsia="宋体" w:cs="Times New Roman"/>
                <w:color w:val="auto"/>
                <w:lang w:val="en-US" w:eastAsia="zh-CN"/>
              </w:rPr>
              <w:t>0min</w:t>
            </w:r>
            <w:r>
              <w:rPr>
                <w:rFonts w:hint="eastAsia" w:ascii="Times New Roman" w:hAnsi="Times New Roman" w:eastAsia="宋体" w:cs="Times New Roman"/>
                <w:color w:val="auto"/>
                <w:lang w:val="en-US" w:eastAsia="zh-CN"/>
              </w:rPr>
              <w:t>后可自然降温至室温，</w:t>
            </w:r>
            <w:r>
              <w:rPr>
                <w:rFonts w:hint="eastAsia" w:cs="Times New Roman"/>
                <w:color w:val="auto"/>
                <w:lang w:val="en-US" w:eastAsia="zh-CN"/>
              </w:rPr>
              <w:t>2h内挥发掉大部分水分，放置约12h后</w:t>
            </w:r>
            <w:r>
              <w:rPr>
                <w:rFonts w:hint="eastAsia" w:ascii="Times New Roman" w:hAnsi="Times New Roman" w:eastAsia="宋体" w:cs="Times New Roman"/>
                <w:color w:val="auto"/>
                <w:lang w:val="en-US" w:eastAsia="zh-CN"/>
              </w:rPr>
              <w:t>进入</w:t>
            </w:r>
            <w:r>
              <w:rPr>
                <w:rFonts w:hint="eastAsia" w:cs="Times New Roman"/>
                <w:color w:val="auto"/>
                <w:lang w:val="en-US" w:eastAsia="zh-CN"/>
              </w:rPr>
              <w:t>生物质制粒机</w:t>
            </w:r>
            <w:r>
              <w:rPr>
                <w:rFonts w:hint="eastAsia" w:ascii="Times New Roman" w:hAnsi="Times New Roman" w:eastAsia="宋体" w:cs="Times New Roman"/>
                <w:color w:val="auto"/>
                <w:lang w:val="en-US" w:eastAsia="zh-CN"/>
              </w:rPr>
              <w:t>内制成生物质颗粒。</w:t>
            </w:r>
            <w:r>
              <w:rPr>
                <w:rFonts w:hint="eastAsia" w:cs="Times New Roman"/>
                <w:color w:val="auto"/>
                <w:lang w:val="en-US" w:eastAsia="zh-CN"/>
              </w:rPr>
              <w:t>类比已批复的波尔曼生物科技（四川）有限公司《年产 1400 吨非食用植物油加工生产项目》，该项目原料包含柏木、樟树、杉木根，使用水蒸气蒸馏法，在蒸馏釜内进行蒸馏，</w:t>
            </w:r>
            <w:r>
              <w:rPr>
                <w:rFonts w:hint="eastAsia" w:ascii="Times New Roman" w:hAnsi="Times New Roman" w:eastAsia="宋体" w:cs="Times New Roman"/>
                <w:color w:val="auto"/>
                <w:lang w:val="en-US" w:eastAsia="zh-CN"/>
              </w:rPr>
              <w:t>刚刚经过蒸馏出来尚未自然晾干的柏树木渣的含水率</w:t>
            </w:r>
            <w:r>
              <w:rPr>
                <w:rFonts w:hint="eastAsia" w:cs="Times New Roman"/>
                <w:color w:val="auto"/>
                <w:lang w:val="en-US" w:eastAsia="zh-CN"/>
              </w:rPr>
              <w:t>约为40</w:t>
            </w:r>
            <w:r>
              <w:rPr>
                <w:rFonts w:hint="eastAsia" w:ascii="Times New Roman" w:hAnsi="Times New Roman" w:eastAsia="宋体" w:cs="Times New Roman"/>
                <w:color w:val="auto"/>
                <w:lang w:val="en-US" w:eastAsia="zh-CN"/>
              </w:rPr>
              <w:t>%</w:t>
            </w:r>
            <w:r>
              <w:rPr>
                <w:rFonts w:hint="eastAsia" w:cs="Times New Roman"/>
                <w:color w:val="auto"/>
                <w:lang w:val="en-US" w:eastAsia="zh-CN"/>
              </w:rPr>
              <w:t>。同时根据</w:t>
            </w:r>
            <w:r>
              <w:rPr>
                <w:rFonts w:hint="eastAsia" w:ascii="Times New Roman" w:hAnsi="Times New Roman" w:eastAsia="宋体" w:cs="宋体"/>
                <w:color w:val="auto"/>
                <w:kern w:val="0"/>
                <w:lang w:val="en-US" w:eastAsia="zh-CN" w:bidi="ar"/>
              </w:rPr>
              <w:t>四川子童香料有限公司分别对原料、</w:t>
            </w:r>
            <w:r>
              <w:rPr>
                <w:rFonts w:hint="eastAsia" w:ascii="宋体" w:hAnsi="宋体" w:eastAsia="宋体" w:cs="宋体"/>
                <w:color w:val="auto"/>
                <w:kern w:val="0"/>
                <w:sz w:val="24"/>
                <w:szCs w:val="24"/>
                <w:lang w:val="en-US" w:eastAsia="zh-CN" w:bidi="ar"/>
              </w:rPr>
              <w:t>自然晾干后的柏树木渣进行了含水率检测</w:t>
            </w:r>
            <w:r>
              <w:rPr>
                <w:rFonts w:hint="eastAsia" w:ascii="宋体" w:hAnsi="宋体" w:cs="宋体"/>
                <w:color w:val="auto"/>
                <w:kern w:val="0"/>
                <w:sz w:val="24"/>
                <w:szCs w:val="24"/>
                <w:lang w:val="en-US" w:eastAsia="zh-CN" w:bidi="ar"/>
              </w:rPr>
              <w:t>结果，</w:t>
            </w:r>
            <w:r>
              <w:rPr>
                <w:rFonts w:hint="eastAsia" w:ascii="Times New Roman" w:hAnsi="Times New Roman" w:eastAsia="宋体" w:cs="Times New Roman"/>
                <w:color w:val="auto"/>
                <w:lang w:val="en-US" w:eastAsia="zh-CN"/>
              </w:rPr>
              <w:t>经过一段时间自然</w:t>
            </w:r>
            <w:r>
              <w:rPr>
                <w:rFonts w:hint="eastAsia" w:cs="Times New Roman"/>
                <w:color w:val="auto"/>
                <w:lang w:val="en-US" w:eastAsia="zh-CN"/>
              </w:rPr>
              <w:t>晾干</w:t>
            </w:r>
            <w:r>
              <w:rPr>
                <w:rFonts w:hint="eastAsia" w:ascii="Times New Roman" w:hAnsi="Times New Roman" w:eastAsia="宋体" w:cs="Times New Roman"/>
                <w:color w:val="auto"/>
                <w:lang w:val="en-US" w:eastAsia="zh-CN"/>
              </w:rPr>
              <w:t>后木渣含水率约为</w:t>
            </w:r>
            <w:r>
              <w:rPr>
                <w:rFonts w:hint="default" w:ascii="Times New Roman" w:hAnsi="Times New Roman" w:eastAsia="宋体" w:cs="Times New Roman"/>
                <w:color w:val="auto"/>
                <w:lang w:val="en-US" w:eastAsia="zh-CN"/>
              </w:rPr>
              <w:t>9.08%</w:t>
            </w:r>
            <w:r>
              <w:rPr>
                <w:rFonts w:hint="eastAsia" w:ascii="Times New Roman" w:hAnsi="Times New Roman" w:eastAsia="宋体" w:cs="Times New Roman"/>
                <w:color w:val="auto"/>
                <w:lang w:val="en-US" w:eastAsia="zh-CN"/>
              </w:rPr>
              <w:t>，成型生物质颗粒含水率为</w:t>
            </w:r>
            <w:r>
              <w:rPr>
                <w:rFonts w:hint="default" w:ascii="Times New Roman" w:hAnsi="Times New Roman" w:eastAsia="宋体" w:cs="Times New Roman"/>
                <w:color w:val="auto"/>
                <w:lang w:val="en-US" w:eastAsia="zh-CN"/>
              </w:rPr>
              <w:t>8.87%</w:t>
            </w:r>
            <w:r>
              <w:rPr>
                <w:rFonts w:hint="eastAsia" w:ascii="Times New Roman" w:hAnsi="Times New Roman" w:eastAsia="宋体" w:cs="Times New Roman"/>
                <w:color w:val="auto"/>
                <w:lang w:val="en-US" w:eastAsia="zh-CN"/>
              </w:rPr>
              <w:t>。</w:t>
            </w:r>
          </w:p>
          <w:p w14:paraId="71A934CD">
            <w:pPr>
              <w:keepNext w:val="0"/>
              <w:keepLines w:val="0"/>
              <w:suppressLineNumbers w:val="0"/>
              <w:overflowPunct w:val="0"/>
              <w:adjustRightInd w:val="0"/>
              <w:snapToGrid w:val="0"/>
              <w:spacing w:before="0" w:beforeAutospacing="0" w:after="0" w:afterAutospacing="0"/>
              <w:ind w:left="0" w:right="0" w:firstLine="482" w:firstLineChars="200"/>
              <w:rPr>
                <w:rFonts w:hint="eastAsia" w:ascii="Times New Roman" w:hAnsi="Times New Roman" w:eastAsia="宋体" w:cs="Times New Roman"/>
                <w:b/>
                <w:color w:val="auto"/>
                <w:lang w:eastAsia="zh-CN"/>
              </w:rPr>
            </w:pPr>
            <w:r>
              <w:rPr>
                <w:rFonts w:hint="eastAsia" w:ascii="Times New Roman" w:hAnsi="Times New Roman" w:cs="Times New Roman"/>
                <w:b/>
                <w:color w:val="auto"/>
              </w:rPr>
              <w:t>（4）</w:t>
            </w:r>
            <w:r>
              <w:rPr>
                <w:rFonts w:hint="eastAsia" w:ascii="Times New Roman" w:hAnsi="Times New Roman" w:cs="Times New Roman"/>
                <w:b/>
                <w:color w:val="auto"/>
                <w:lang w:val="en-US" w:eastAsia="zh-CN"/>
              </w:rPr>
              <w:t>油水分离</w:t>
            </w:r>
          </w:p>
          <w:p w14:paraId="68EF9494">
            <w:pPr>
              <w:keepNext w:val="0"/>
              <w:keepLines w:val="0"/>
              <w:suppressLineNumbers w:val="0"/>
              <w:autoSpaceDE w:val="0"/>
              <w:autoSpaceDN w:val="0"/>
              <w:adjustRightInd w:val="0"/>
              <w:snapToGrid w:val="0"/>
              <w:spacing w:before="0" w:beforeAutospacing="0" w:after="0" w:afterAutospacing="0"/>
              <w:ind w:left="0" w:right="0" w:firstLine="420"/>
              <w:rPr>
                <w:rFonts w:hint="eastAsia" w:ascii="Times New Roman" w:hAnsi="Times New Roman" w:cs="Times New Roman"/>
                <w:color w:val="auto"/>
              </w:rPr>
            </w:pPr>
            <w:r>
              <w:rPr>
                <w:rFonts w:hint="eastAsia" w:ascii="Times New Roman" w:hAnsi="Times New Roman" w:cs="Times New Roman"/>
                <w:color w:val="auto"/>
              </w:rPr>
              <w:t>经过冷凝降温后的油水混合物，温度已降至36～40</w:t>
            </w:r>
            <w:r>
              <w:rPr>
                <w:rFonts w:hint="eastAsia" w:ascii="Times New Roman" w:hAnsi="Times New Roman" w:cs="Times New Roman"/>
                <w:color w:val="auto"/>
                <w:lang w:eastAsia="zh-CN"/>
              </w:rPr>
              <w:t>℃</w:t>
            </w:r>
            <w:r>
              <w:rPr>
                <w:rFonts w:hint="eastAsia" w:ascii="Times New Roman" w:hAnsi="Times New Roman" w:cs="Times New Roman"/>
                <w:color w:val="auto"/>
              </w:rPr>
              <w:t>，通过冷凝器底端的盘管出水端通过一个法兰盘连接管道直接进入油水分离槽，在油水分离槽内进行油水分离。由于</w:t>
            </w:r>
            <w:r>
              <w:rPr>
                <w:rFonts w:hint="eastAsia" w:ascii="Times New Roman" w:hAnsi="Times New Roman" w:cs="Times New Roman"/>
                <w:color w:val="auto"/>
                <w:lang w:eastAsia="zh-CN"/>
              </w:rPr>
              <w:t>柏木油</w:t>
            </w:r>
            <w:r>
              <w:rPr>
                <w:rFonts w:hint="eastAsia" w:ascii="Times New Roman" w:hAnsi="Times New Roman" w:cs="Times New Roman"/>
                <w:color w:val="auto"/>
              </w:rPr>
              <w:t>具有一定的挥发性，此分离过程会产生VOCs。</w:t>
            </w:r>
          </w:p>
          <w:p w14:paraId="04544089">
            <w:pPr>
              <w:keepNext w:val="0"/>
              <w:keepLines w:val="0"/>
              <w:suppressLineNumbers w:val="0"/>
              <w:autoSpaceDE w:val="0"/>
              <w:autoSpaceDN w:val="0"/>
              <w:adjustRightInd w:val="0"/>
              <w:snapToGrid w:val="0"/>
              <w:spacing w:before="0" w:beforeAutospacing="0" w:after="0" w:afterAutospacing="0"/>
              <w:ind w:left="0" w:right="0" w:firstLine="420"/>
              <w:rPr>
                <w:rFonts w:hint="eastAsia" w:ascii="Times New Roman" w:hAnsi="Times New Roman" w:cs="Times New Roman"/>
                <w:color w:val="auto"/>
              </w:rPr>
            </w:pPr>
            <w:r>
              <w:rPr>
                <w:rFonts w:hint="eastAsia" w:ascii="Times New Roman" w:hAnsi="Times New Roman" w:cs="Times New Roman"/>
                <w:b/>
                <w:bCs/>
                <w:color w:val="auto"/>
              </w:rPr>
              <w:t>油水分离的原理</w:t>
            </w:r>
            <w:r>
              <w:rPr>
                <w:rFonts w:hint="eastAsia" w:ascii="Times New Roman" w:hAnsi="Times New Roman" w:cs="Times New Roman"/>
                <w:color w:val="auto"/>
              </w:rPr>
              <w:t>：根据油水比重不一样，油水进行分离。本项目</w:t>
            </w:r>
            <w:r>
              <w:rPr>
                <w:rFonts w:hint="eastAsia" w:ascii="Times New Roman" w:hAnsi="Times New Roman" w:cs="Times New Roman"/>
                <w:color w:val="auto"/>
                <w:lang w:eastAsia="zh-CN"/>
              </w:rPr>
              <w:t>柏木油</w:t>
            </w:r>
            <w:r>
              <w:rPr>
                <w:rFonts w:hint="eastAsia" w:ascii="Times New Roman" w:hAnsi="Times New Roman" w:cs="Times New Roman"/>
                <w:color w:val="auto"/>
              </w:rPr>
              <w:t>的比重为0.96～0.97，油比水轻，油浮于水的表面之上。</w:t>
            </w:r>
          </w:p>
          <w:p w14:paraId="5177458F">
            <w:pPr>
              <w:keepNext w:val="0"/>
              <w:keepLines w:val="0"/>
              <w:suppressLineNumbers w:val="0"/>
              <w:autoSpaceDE w:val="0"/>
              <w:autoSpaceDN w:val="0"/>
              <w:adjustRightInd w:val="0"/>
              <w:snapToGrid w:val="0"/>
              <w:spacing w:before="0" w:beforeAutospacing="0" w:after="0" w:afterAutospacing="0"/>
              <w:ind w:left="0" w:right="0" w:firstLine="420"/>
              <w:rPr>
                <w:rFonts w:hint="eastAsia" w:ascii="Times New Roman" w:hAnsi="Times New Roman" w:cs="Times New Roman"/>
                <w:color w:val="auto"/>
              </w:rPr>
            </w:pPr>
            <w:r>
              <w:rPr>
                <w:rFonts w:hint="eastAsia" w:ascii="Times New Roman" w:hAnsi="Times New Roman" w:cs="Times New Roman"/>
                <w:color w:val="auto"/>
              </w:rPr>
              <w:t>首先</w:t>
            </w:r>
            <w:r>
              <w:rPr>
                <w:rFonts w:hint="eastAsia" w:ascii="Times New Roman" w:hAnsi="Times New Roman" w:cs="Times New Roman"/>
                <w:color w:val="auto"/>
                <w:lang w:eastAsia="zh-CN"/>
              </w:rPr>
              <w:t>柏木油</w:t>
            </w:r>
            <w:r>
              <w:rPr>
                <w:rFonts w:hint="eastAsia" w:ascii="Times New Roman" w:hAnsi="Times New Roman" w:cs="Times New Roman"/>
                <w:color w:val="auto"/>
              </w:rPr>
              <w:t>的油水混合物进入集油室，粗大油滴随即上浮进入集油室顶部</w:t>
            </w:r>
            <w:r>
              <w:rPr>
                <w:rFonts w:hint="eastAsia" w:cs="Times New Roman"/>
                <w:color w:val="auto"/>
                <w:lang w:eastAsia="zh-CN"/>
              </w:rPr>
              <w:t>，</w:t>
            </w:r>
            <w:r>
              <w:rPr>
                <w:rFonts w:hint="eastAsia" w:cs="Times New Roman"/>
                <w:color w:val="auto"/>
                <w:lang w:val="en-US" w:eastAsia="zh-CN"/>
              </w:rPr>
              <w:t>少量沉渣沉淀于底部</w:t>
            </w:r>
            <w:r>
              <w:rPr>
                <w:rFonts w:hint="eastAsia" w:ascii="Times New Roman" w:hAnsi="Times New Roman" w:cs="Times New Roman"/>
                <w:color w:val="auto"/>
              </w:rPr>
              <w:t>；含有小颗粒的油向下流动经过板式聚结器聚集成粗粉粒，形成较大油滴上浮集中到集油室；其余更小颗粒的油水混合物再经过吸油布</w:t>
            </w:r>
            <w:r>
              <w:rPr>
                <w:rFonts w:hint="eastAsia" w:cs="Times New Roman"/>
                <w:color w:val="auto"/>
                <w:lang w:val="en-US" w:eastAsia="zh-CN"/>
              </w:rPr>
              <w:t>吸附</w:t>
            </w:r>
            <w:r>
              <w:rPr>
                <w:rFonts w:hint="eastAsia" w:ascii="Times New Roman" w:hAnsi="Times New Roman" w:cs="Times New Roman"/>
                <w:color w:val="auto"/>
              </w:rPr>
              <w:t>后分离出来，最后废水从分离槽底部的开孔排出，即为油水混合废水，同时分离时会挥发出一定量的VOCs。由于</w:t>
            </w:r>
            <w:r>
              <w:rPr>
                <w:rFonts w:hint="eastAsia" w:ascii="Times New Roman" w:hAnsi="Times New Roman" w:cs="Times New Roman"/>
                <w:color w:val="auto"/>
                <w:lang w:eastAsia="zh-CN"/>
              </w:rPr>
              <w:t>柏木油</w:t>
            </w:r>
            <w:r>
              <w:rPr>
                <w:rFonts w:hint="eastAsia" w:ascii="Times New Roman" w:hAnsi="Times New Roman" w:cs="Times New Roman"/>
                <w:color w:val="auto"/>
              </w:rPr>
              <w:t>具有较高的经济价值，为了最大程度的获得</w:t>
            </w:r>
            <w:r>
              <w:rPr>
                <w:rFonts w:hint="eastAsia" w:ascii="Times New Roman" w:hAnsi="Times New Roman" w:cs="Times New Roman"/>
                <w:color w:val="auto"/>
                <w:lang w:eastAsia="zh-CN"/>
              </w:rPr>
              <w:t>柏木油</w:t>
            </w:r>
            <w:r>
              <w:rPr>
                <w:rFonts w:hint="eastAsia" w:ascii="Times New Roman" w:hAnsi="Times New Roman" w:cs="Times New Roman"/>
                <w:color w:val="auto"/>
              </w:rPr>
              <w:t>，最后不能直接分离出来的</w:t>
            </w:r>
            <w:r>
              <w:rPr>
                <w:rFonts w:hint="eastAsia" w:ascii="Times New Roman" w:hAnsi="Times New Roman" w:cs="Times New Roman"/>
                <w:color w:val="auto"/>
                <w:lang w:eastAsia="zh-CN"/>
              </w:rPr>
              <w:t>柏木油</w:t>
            </w:r>
            <w:r>
              <w:rPr>
                <w:rFonts w:hint="eastAsia" w:ascii="Times New Roman" w:hAnsi="Times New Roman" w:cs="Times New Roman"/>
                <w:color w:val="auto"/>
              </w:rPr>
              <w:t>采用吸油布进行</w:t>
            </w:r>
            <w:r>
              <w:rPr>
                <w:rFonts w:hint="eastAsia" w:cs="Times New Roman"/>
                <w:color w:val="auto"/>
                <w:lang w:val="en-US" w:eastAsia="zh-CN"/>
              </w:rPr>
              <w:t>吸附</w:t>
            </w:r>
            <w:r>
              <w:rPr>
                <w:rFonts w:hint="eastAsia" w:ascii="Times New Roman" w:hAnsi="Times New Roman" w:cs="Times New Roman"/>
                <w:color w:val="auto"/>
              </w:rPr>
              <w:t>，然后</w:t>
            </w:r>
            <w:r>
              <w:rPr>
                <w:rFonts w:hint="eastAsia" w:cs="Times New Roman"/>
                <w:color w:val="auto"/>
                <w:lang w:val="en-US" w:eastAsia="zh-CN"/>
              </w:rPr>
              <w:t>手工拧干</w:t>
            </w:r>
            <w:r>
              <w:rPr>
                <w:rFonts w:hint="eastAsia" w:ascii="Times New Roman" w:hAnsi="Times New Roman" w:cs="Times New Roman"/>
                <w:color w:val="auto"/>
              </w:rPr>
              <w:t>，将吸油布里面的</w:t>
            </w:r>
            <w:r>
              <w:rPr>
                <w:rFonts w:hint="eastAsia" w:ascii="Times New Roman" w:hAnsi="Times New Roman" w:cs="Times New Roman"/>
                <w:color w:val="auto"/>
                <w:lang w:eastAsia="zh-CN"/>
              </w:rPr>
              <w:t>柏木油</w:t>
            </w:r>
            <w:r>
              <w:rPr>
                <w:rFonts w:hint="eastAsia" w:ascii="Times New Roman" w:hAnsi="Times New Roman" w:cs="Times New Roman"/>
                <w:color w:val="auto"/>
              </w:rPr>
              <w:t>油水混合物分离出来，分离出来的油水混合物再次放入油水分离槽内进行分离。</w:t>
            </w:r>
          </w:p>
          <w:p w14:paraId="2D4E5AD7">
            <w:pPr>
              <w:keepNext w:val="0"/>
              <w:keepLines w:val="0"/>
              <w:suppressLineNumbers w:val="0"/>
              <w:adjustRightInd w:val="0"/>
              <w:snapToGrid w:val="0"/>
              <w:spacing w:before="0" w:beforeAutospacing="0" w:after="0" w:afterAutospacing="0"/>
              <w:ind w:left="420" w:right="0"/>
              <w:rPr>
                <w:rFonts w:hint="eastAsia" w:ascii="Times New Roman" w:hAnsi="Times New Roman" w:eastAsia="宋体" w:cs="Times New Roman"/>
                <w:b/>
                <w:color w:val="auto"/>
                <w:lang w:eastAsia="zh-CN"/>
              </w:rPr>
            </w:pPr>
            <w:r>
              <w:rPr>
                <w:rFonts w:hint="eastAsia" w:ascii="Times New Roman" w:hAnsi="Times New Roman" w:cs="Times New Roman"/>
                <w:b/>
                <w:color w:val="auto"/>
              </w:rPr>
              <w:t>（5）</w:t>
            </w:r>
            <w:r>
              <w:rPr>
                <w:rFonts w:hint="eastAsia" w:ascii="Times New Roman" w:hAnsi="Times New Roman" w:cs="Times New Roman"/>
                <w:b/>
                <w:color w:val="auto"/>
                <w:lang w:val="en-US" w:eastAsia="zh-CN"/>
              </w:rPr>
              <w:t>灌装</w:t>
            </w:r>
          </w:p>
          <w:p w14:paraId="266B9940">
            <w:pPr>
              <w:keepNext w:val="0"/>
              <w:keepLines w:val="0"/>
              <w:suppressLineNumbers w:val="0"/>
              <w:autoSpaceDE w:val="0"/>
              <w:autoSpaceDN w:val="0"/>
              <w:adjustRightInd w:val="0"/>
              <w:snapToGrid w:val="0"/>
              <w:spacing w:before="0" w:beforeAutospacing="0" w:after="0" w:afterAutospacing="0"/>
              <w:ind w:left="0" w:right="0" w:firstLine="420"/>
              <w:rPr>
                <w:rFonts w:hint="eastAsia" w:ascii="Times New Roman" w:hAnsi="Times New Roman" w:eastAsia="宋体" w:cs="Times New Roman"/>
                <w:color w:val="auto"/>
              </w:rPr>
            </w:pPr>
            <w:r>
              <w:rPr>
                <w:rFonts w:hint="eastAsia" w:ascii="Times New Roman" w:hAnsi="Times New Roman" w:eastAsia="宋体" w:cs="Times New Roman"/>
                <w:color w:val="auto"/>
              </w:rPr>
              <w:t>分离好的</w:t>
            </w:r>
            <w:r>
              <w:rPr>
                <w:rFonts w:hint="eastAsia" w:ascii="Times New Roman" w:hAnsi="Times New Roman" w:eastAsia="宋体" w:cs="Times New Roman"/>
                <w:color w:val="auto"/>
                <w:lang w:eastAsia="zh-CN"/>
              </w:rPr>
              <w:t>柏木油</w:t>
            </w:r>
            <w:r>
              <w:rPr>
                <w:rFonts w:hint="eastAsia" w:ascii="Times New Roman" w:hAnsi="Times New Roman" w:eastAsia="宋体" w:cs="Times New Roman"/>
                <w:color w:val="auto"/>
              </w:rPr>
              <w:t>（产品含水率1.8%）由灌装器进行密封灌装后（200kg/桶）入库。</w:t>
            </w:r>
          </w:p>
          <w:p w14:paraId="0F9EEDD9">
            <w:pPr>
              <w:keepNext w:val="0"/>
              <w:keepLines w:val="0"/>
              <w:suppressLineNumbers w:val="0"/>
              <w:adjustRightInd w:val="0"/>
              <w:snapToGrid w:val="0"/>
              <w:spacing w:before="0" w:beforeAutospacing="0" w:after="0" w:afterAutospacing="0"/>
              <w:ind w:left="420" w:right="0"/>
              <w:rPr>
                <w:rFonts w:hint="eastAsia" w:ascii="Times New Roman" w:hAnsi="Times New Roman" w:cs="Times New Roman"/>
                <w:b/>
                <w:color w:val="auto"/>
              </w:rPr>
            </w:pPr>
            <w:r>
              <w:rPr>
                <w:rFonts w:hint="eastAsia" w:ascii="Times New Roman" w:hAnsi="Times New Roman" w:cs="Times New Roman"/>
                <w:b/>
                <w:color w:val="auto"/>
              </w:rPr>
              <w:t>（6）生物颗粒制造</w:t>
            </w:r>
          </w:p>
          <w:p w14:paraId="71938B67">
            <w:pPr>
              <w:keepNext w:val="0"/>
              <w:keepLines w:val="0"/>
              <w:suppressLineNumbers w:val="0"/>
              <w:adjustRightInd w:val="0"/>
              <w:snapToGrid w:val="0"/>
              <w:spacing w:before="0" w:beforeAutospacing="0" w:after="0" w:afterAutospacing="0"/>
              <w:ind w:left="0" w:right="72" w:rightChars="30" w:firstLine="480" w:firstLineChars="200"/>
              <w:rPr>
                <w:rFonts w:hint="eastAsia" w:ascii="Times New Roman" w:hAnsi="Times New Roman" w:cs="Times New Roman"/>
                <w:bCs/>
                <w:color w:val="auto"/>
              </w:rPr>
            </w:pPr>
            <w:r>
              <w:rPr>
                <w:rFonts w:hint="eastAsia" w:ascii="Times New Roman" w:hAnsi="Times New Roman" w:cs="Times New Roman"/>
                <w:bCs/>
                <w:color w:val="auto"/>
              </w:rPr>
              <w:t>经过蒸馏后的油水混合物通过管道进入冷凝器中进行冷凝，固态部分即为柏树蔸木渣，从蒸馏器底部出料后放置在托盘上，在</w:t>
            </w:r>
            <w:r>
              <w:rPr>
                <w:rFonts w:hint="eastAsia" w:cs="Times New Roman"/>
                <w:bCs/>
                <w:color w:val="auto"/>
                <w:lang w:val="en-US" w:eastAsia="zh-CN"/>
              </w:rPr>
              <w:t>木屑堆放区</w:t>
            </w:r>
            <w:r>
              <w:rPr>
                <w:rFonts w:hint="eastAsia" w:ascii="Times New Roman" w:hAnsi="Times New Roman" w:cs="Times New Roman"/>
                <w:bCs/>
                <w:color w:val="auto"/>
              </w:rPr>
              <w:t>进行冷却降温至室温，然后进入</w:t>
            </w:r>
            <w:r>
              <w:rPr>
                <w:rFonts w:hint="eastAsia" w:cs="Times New Roman"/>
                <w:bCs/>
                <w:color w:val="auto"/>
                <w:lang w:eastAsia="zh-CN"/>
              </w:rPr>
              <w:t>生物质制粒机</w:t>
            </w:r>
            <w:r>
              <w:rPr>
                <w:rFonts w:hint="eastAsia" w:ascii="Times New Roman" w:hAnsi="Times New Roman" w:cs="Times New Roman"/>
                <w:bCs/>
                <w:color w:val="auto"/>
              </w:rPr>
              <w:t>内制成生物质颗粒。刚刚经过蒸馏出来尚未自然晾干的柏树木渣尺寸规格约为10mm×10mm，含水率</w:t>
            </w:r>
            <w:r>
              <w:rPr>
                <w:rFonts w:hint="eastAsia" w:cs="Times New Roman"/>
                <w:bCs/>
                <w:color w:val="auto"/>
                <w:lang w:val="en-US" w:eastAsia="zh-CN"/>
              </w:rPr>
              <w:t>约</w:t>
            </w:r>
            <w:r>
              <w:rPr>
                <w:rFonts w:hint="eastAsia" w:ascii="Times New Roman" w:hAnsi="Times New Roman" w:cs="Times New Roman"/>
                <w:bCs/>
                <w:color w:val="auto"/>
              </w:rPr>
              <w:t>为</w:t>
            </w:r>
            <w:r>
              <w:rPr>
                <w:rFonts w:hint="eastAsia" w:cs="Times New Roman"/>
                <w:bCs/>
                <w:color w:val="auto"/>
                <w:lang w:val="en-US" w:eastAsia="zh-CN"/>
              </w:rPr>
              <w:t>40</w:t>
            </w:r>
            <w:r>
              <w:rPr>
                <w:rFonts w:hint="eastAsia" w:ascii="Times New Roman" w:hAnsi="Times New Roman" w:cs="Times New Roman"/>
                <w:bCs/>
                <w:color w:val="auto"/>
                <w:lang w:eastAsia="zh-CN"/>
              </w:rPr>
              <w:t>%</w:t>
            </w:r>
            <w:r>
              <w:rPr>
                <w:rFonts w:hint="eastAsia" w:ascii="Times New Roman" w:hAnsi="Times New Roman" w:cs="Times New Roman"/>
                <w:bCs/>
                <w:color w:val="auto"/>
              </w:rPr>
              <w:t>，经过一段时间自然挥发后木渣含水率约为9.08%，成型生物质颗粒含水率为8.87%。木渣经过</w:t>
            </w:r>
            <w:r>
              <w:rPr>
                <w:rFonts w:hint="eastAsia" w:cs="Times New Roman"/>
                <w:bCs/>
                <w:color w:val="auto"/>
                <w:lang w:eastAsia="zh-CN"/>
              </w:rPr>
              <w:t>生物质制粒机</w:t>
            </w:r>
            <w:r>
              <w:rPr>
                <w:rFonts w:hint="eastAsia" w:cs="Times New Roman"/>
                <w:bCs/>
                <w:color w:val="auto"/>
                <w:lang w:val="en-US" w:eastAsia="zh-CN"/>
              </w:rPr>
              <w:t>压轮摩擦挤压，</w:t>
            </w:r>
            <w:r>
              <w:rPr>
                <w:rFonts w:hint="eastAsia" w:ascii="Times New Roman" w:hAnsi="Times New Roman" w:cs="Times New Roman"/>
                <w:bCs/>
                <w:color w:val="auto"/>
              </w:rPr>
              <w:t>压制成成型生物质颗粒后尺寸规格为φ10mm×长60mm，</w:t>
            </w:r>
            <w:r>
              <w:rPr>
                <w:rFonts w:hint="eastAsia" w:cs="Times New Roman"/>
                <w:bCs/>
                <w:color w:val="auto"/>
                <w:lang w:val="en-US" w:eastAsia="zh-CN"/>
              </w:rPr>
              <w:t>在设备料仓下方放置吨袋，</w:t>
            </w:r>
            <w:r>
              <w:rPr>
                <w:rFonts w:hint="eastAsia" w:ascii="Times New Roman" w:hAnsi="Times New Roman" w:cs="Times New Roman"/>
                <w:bCs/>
                <w:color w:val="auto"/>
              </w:rPr>
              <w:t>成型后的生物质颗粒经</w:t>
            </w:r>
            <w:r>
              <w:rPr>
                <w:rFonts w:hint="eastAsia" w:cs="Times New Roman"/>
                <w:bCs/>
                <w:color w:val="auto"/>
                <w:lang w:val="en-US" w:eastAsia="zh-CN"/>
              </w:rPr>
              <w:t>重力进入吨袋，</w:t>
            </w:r>
            <w:r>
              <w:rPr>
                <w:rFonts w:hint="eastAsia" w:ascii="Times New Roman" w:hAnsi="Times New Roman" w:cs="Times New Roman"/>
                <w:bCs/>
                <w:color w:val="auto"/>
              </w:rPr>
              <w:t>人工</w:t>
            </w:r>
            <w:r>
              <w:rPr>
                <w:rFonts w:hint="eastAsia" w:cs="Times New Roman"/>
                <w:bCs/>
                <w:color w:val="auto"/>
                <w:lang w:val="en-US" w:eastAsia="zh-CN"/>
              </w:rPr>
              <w:t>封口</w:t>
            </w:r>
            <w:r>
              <w:rPr>
                <w:rFonts w:hint="eastAsia" w:ascii="Times New Roman" w:hAnsi="Times New Roman" w:cs="Times New Roman"/>
                <w:bCs/>
                <w:color w:val="auto"/>
              </w:rPr>
              <w:t>后外售。</w:t>
            </w:r>
          </w:p>
          <w:p w14:paraId="58849617">
            <w:pPr>
              <w:keepNext w:val="0"/>
              <w:keepLines w:val="0"/>
              <w:suppressLineNumbers w:val="0"/>
              <w:adjustRightInd w:val="0"/>
              <w:snapToGrid w:val="0"/>
              <w:spacing w:before="0" w:beforeAutospacing="0" w:after="0" w:afterAutospacing="0"/>
              <w:ind w:left="0" w:right="72" w:rightChars="30" w:firstLine="480" w:firstLineChars="200"/>
              <w:rPr>
                <w:rFonts w:hint="eastAsia" w:ascii="Times New Roman" w:hAnsi="Times New Roman" w:eastAsia="宋体" w:cs="Times New Roman"/>
                <w:bCs/>
                <w:color w:val="auto"/>
                <w:lang w:val="en-US" w:eastAsia="zh-CN"/>
              </w:rPr>
            </w:pPr>
            <w:r>
              <w:rPr>
                <w:rFonts w:hint="eastAsia" w:ascii="Times New Roman" w:hAnsi="Times New Roman" w:cs="Times New Roman"/>
                <w:bCs/>
                <w:color w:val="auto"/>
              </w:rPr>
              <w:t>木渣在降温的过程中会有一定量的</w:t>
            </w:r>
            <w:r>
              <w:rPr>
                <w:rFonts w:hint="eastAsia" w:cs="Times New Roman"/>
                <w:bCs/>
                <w:color w:val="auto"/>
                <w:lang w:val="en-US" w:eastAsia="zh-CN"/>
              </w:rPr>
              <w:t>水蒸气</w:t>
            </w:r>
            <w:r>
              <w:rPr>
                <w:rFonts w:hint="eastAsia" w:ascii="Times New Roman" w:hAnsi="Times New Roman" w:cs="Times New Roman"/>
                <w:bCs/>
                <w:color w:val="auto"/>
              </w:rPr>
              <w:t>，</w:t>
            </w:r>
            <w:r>
              <w:rPr>
                <w:rFonts w:hint="eastAsia" w:cs="Times New Roman"/>
                <w:bCs/>
                <w:color w:val="auto"/>
                <w:lang w:val="en-US" w:eastAsia="zh-CN"/>
              </w:rPr>
              <w:t>进料过程中会产生一定量的粉尘</w:t>
            </w:r>
            <w:r>
              <w:rPr>
                <w:rFonts w:hint="eastAsia" w:ascii="Times New Roman" w:hAnsi="Times New Roman" w:cs="Times New Roman"/>
                <w:bCs/>
                <w:color w:val="auto"/>
              </w:rPr>
              <w:t>。</w:t>
            </w:r>
            <w:r>
              <w:rPr>
                <w:rFonts w:hint="eastAsia" w:cs="Times New Roman"/>
                <w:bCs/>
                <w:color w:val="auto"/>
                <w:lang w:val="en-US" w:eastAsia="zh-CN"/>
              </w:rPr>
              <w:t>成品</w:t>
            </w:r>
            <w:r>
              <w:rPr>
                <w:rFonts w:hint="eastAsia" w:ascii="Times New Roman" w:hAnsi="Times New Roman" w:eastAsia="宋体" w:cs="Times New Roman"/>
                <w:bCs/>
                <w:color w:val="auto"/>
                <w:lang w:val="en-US" w:eastAsia="zh-CN"/>
              </w:rPr>
              <w:t>生物质颗粒产品见下图：</w:t>
            </w:r>
          </w:p>
          <w:p w14:paraId="0407B5B1">
            <w:pPr>
              <w:pStyle w:val="46"/>
              <w:keepNext w:val="0"/>
              <w:keepLines w:val="0"/>
              <w:suppressLineNumbers w:val="0"/>
              <w:spacing w:before="0" w:beforeAutospacing="0" w:after="0" w:afterAutospacing="0"/>
              <w:ind w:left="0" w:right="0"/>
              <w:jc w:val="center"/>
              <w:rPr>
                <w:rFonts w:hint="default"/>
                <w:bCs/>
                <w:color w:val="auto"/>
                <w:lang w:val="en-US" w:eastAsia="zh-CN"/>
              </w:rPr>
            </w:pPr>
            <w:r>
              <w:rPr>
                <w:rFonts w:hint="default"/>
                <w:color w:val="auto"/>
              </w:rPr>
              <w:drawing>
                <wp:inline distT="0" distB="0" distL="114300" distR="114300">
                  <wp:extent cx="2295525" cy="2422525"/>
                  <wp:effectExtent l="0" t="0" r="9525" b="15875"/>
                  <wp:docPr id="1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9"/>
                          <pic:cNvPicPr>
                            <a:picLocks noChangeAspect="1"/>
                          </pic:cNvPicPr>
                        </pic:nvPicPr>
                        <pic:blipFill>
                          <a:blip r:embed="rId24"/>
                          <a:stretch>
                            <a:fillRect/>
                          </a:stretch>
                        </pic:blipFill>
                        <pic:spPr>
                          <a:xfrm>
                            <a:off x="0" y="0"/>
                            <a:ext cx="2295525" cy="2422525"/>
                          </a:xfrm>
                          <a:prstGeom prst="rect">
                            <a:avLst/>
                          </a:prstGeom>
                          <a:noFill/>
                          <a:ln>
                            <a:noFill/>
                          </a:ln>
                        </pic:spPr>
                      </pic:pic>
                    </a:graphicData>
                  </a:graphic>
                </wp:inline>
              </w:drawing>
            </w:r>
          </w:p>
          <w:p w14:paraId="6BE78034">
            <w:pPr>
              <w:keepNext w:val="0"/>
              <w:keepLines w:val="0"/>
              <w:suppressLineNumbers w:val="0"/>
              <w:spacing w:before="0" w:beforeAutospacing="0" w:after="0" w:afterAutospacing="0"/>
              <w:ind w:left="0" w:right="72" w:rightChars="30" w:firstLine="482"/>
              <w:rPr>
                <w:rFonts w:hint="default" w:ascii="Times New Roman" w:hAnsi="Times New Roman" w:cs="宋体"/>
                <w:color w:val="auto"/>
              </w:rPr>
            </w:pPr>
            <w:r>
              <w:rPr>
                <w:rFonts w:hint="default" w:ascii="Times New Roman" w:hAnsi="Times New Roman" w:cs="Times New Roman"/>
                <w:b/>
                <w:bCs/>
                <w:color w:val="auto"/>
              </w:rPr>
              <w:t>3</w:t>
            </w:r>
            <w:r>
              <w:rPr>
                <w:rFonts w:hint="eastAsia" w:ascii="Times New Roman" w:hAnsi="Times New Roman" w:cs="Times New Roman"/>
                <w:b/>
                <w:bCs/>
                <w:color w:val="auto"/>
              </w:rPr>
              <w:t>、主要污染工序</w:t>
            </w:r>
          </w:p>
          <w:p w14:paraId="51896AAD">
            <w:pPr>
              <w:keepNext w:val="0"/>
              <w:keepLines w:val="0"/>
              <w:suppressLineNumbers w:val="0"/>
              <w:spacing w:before="0" w:beforeAutospacing="0" w:after="0" w:afterAutospacing="0"/>
              <w:ind w:left="0" w:right="72" w:rightChars="30" w:firstLine="480" w:firstLineChars="200"/>
              <w:rPr>
                <w:rFonts w:hint="eastAsia" w:ascii="Times New Roman" w:hAnsi="Times New Roman" w:cs="Times New Roman"/>
                <w:color w:val="auto"/>
              </w:rPr>
            </w:pPr>
            <w:r>
              <w:rPr>
                <w:rFonts w:hint="eastAsia" w:ascii="Times New Roman" w:hAnsi="Times New Roman" w:cs="Times New Roman"/>
                <w:color w:val="auto"/>
              </w:rPr>
              <w:t>根据对生产工艺流程、生产设备和原辅材料分析，确定本项目生产过程中的污染因素如下：</w:t>
            </w:r>
          </w:p>
          <w:p w14:paraId="3E6F9354">
            <w:pPr>
              <w:keepNext w:val="0"/>
              <w:keepLines w:val="0"/>
              <w:suppressLineNumbers w:val="0"/>
              <w:spacing w:before="0" w:beforeAutospacing="0" w:after="0" w:afterAutospacing="0"/>
              <w:ind w:left="0" w:right="72" w:rightChars="30" w:firstLine="480" w:firstLineChars="200"/>
              <w:rPr>
                <w:rFonts w:hint="eastAsia" w:ascii="Times New Roman" w:hAnsi="Times New Roman" w:cs="Times New Roman"/>
                <w:color w:val="auto"/>
                <w:vertAlign w:val="baseline"/>
              </w:rPr>
            </w:pPr>
            <w:r>
              <w:rPr>
                <w:rFonts w:hint="eastAsia" w:ascii="Times New Roman" w:hAnsi="Times New Roman" w:cs="Times New Roman"/>
                <w:color w:val="auto"/>
              </w:rPr>
              <w:t>废水：油水分离废水</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软化水设备反冲洗废水</w:t>
            </w:r>
            <w:r>
              <w:rPr>
                <w:rFonts w:hint="eastAsia" w:ascii="Times New Roman" w:hAnsi="Times New Roman" w:cs="Times New Roman"/>
                <w:color w:val="auto"/>
              </w:rPr>
              <w:t>以及员工生活污水；</w:t>
            </w:r>
          </w:p>
          <w:p w14:paraId="77B3EAE0">
            <w:pPr>
              <w:keepNext w:val="0"/>
              <w:keepLines w:val="0"/>
              <w:suppressLineNumbers w:val="0"/>
              <w:spacing w:before="0" w:beforeAutospacing="0" w:after="0" w:afterAutospacing="0"/>
              <w:ind w:left="0" w:right="72" w:rightChars="30" w:firstLine="480" w:firstLineChars="200"/>
              <w:rPr>
                <w:rFonts w:hint="eastAsia" w:ascii="Times New Roman" w:hAnsi="Times New Roman" w:cs="Times New Roman"/>
                <w:color w:val="auto"/>
              </w:rPr>
            </w:pPr>
            <w:r>
              <w:rPr>
                <w:rFonts w:hint="eastAsia" w:ascii="Times New Roman" w:hAnsi="Times New Roman" w:cs="Times New Roman"/>
                <w:color w:val="auto"/>
              </w:rPr>
              <w:t>废气：</w:t>
            </w:r>
            <w:r>
              <w:rPr>
                <w:rFonts w:hint="eastAsia" w:cs="Times New Roman"/>
                <w:color w:val="auto"/>
                <w:lang w:val="en-US" w:eastAsia="zh-CN"/>
              </w:rPr>
              <w:t>破碎、</w:t>
            </w:r>
            <w:r>
              <w:rPr>
                <w:rFonts w:hint="eastAsia" w:ascii="Times New Roman" w:hAnsi="Times New Roman" w:cs="Times New Roman"/>
                <w:color w:val="auto"/>
              </w:rPr>
              <w:t>粉碎</w:t>
            </w:r>
            <w:r>
              <w:rPr>
                <w:rFonts w:hint="eastAsia" w:ascii="Times New Roman" w:hAnsi="Times New Roman" w:cs="Times New Roman"/>
                <w:color w:val="auto"/>
                <w:lang w:val="en-US" w:eastAsia="zh-CN"/>
              </w:rPr>
              <w:t>及输送</w:t>
            </w:r>
            <w:r>
              <w:rPr>
                <w:rFonts w:hint="eastAsia" w:ascii="Times New Roman" w:hAnsi="Times New Roman" w:cs="Times New Roman"/>
                <w:color w:val="auto"/>
              </w:rPr>
              <w:t>工序产生的粉尘、油水分离产生的有机物废气</w:t>
            </w:r>
            <w:r>
              <w:rPr>
                <w:rFonts w:hint="eastAsia" w:ascii="Times New Roman" w:hAnsi="Times New Roman" w:cs="Times New Roman"/>
                <w:color w:val="auto"/>
                <w:lang w:eastAsia="zh-CN"/>
              </w:rPr>
              <w:t>、</w:t>
            </w:r>
            <w:r>
              <w:rPr>
                <w:rFonts w:hint="eastAsia" w:cs="Times New Roman"/>
                <w:color w:val="auto"/>
                <w:lang w:val="en-US" w:eastAsia="zh-CN"/>
              </w:rPr>
              <w:t>生物质制粒产生粉尘、</w:t>
            </w:r>
            <w:r>
              <w:rPr>
                <w:rFonts w:hint="eastAsia" w:ascii="Times New Roman" w:hAnsi="Times New Roman" w:cs="Times New Roman"/>
                <w:color w:val="auto"/>
                <w:lang w:eastAsia="zh-CN"/>
              </w:rPr>
              <w:t>生物质锅炉</w:t>
            </w:r>
            <w:r>
              <w:rPr>
                <w:rFonts w:hint="eastAsia" w:ascii="Times New Roman" w:hAnsi="Times New Roman" w:cs="Times New Roman"/>
                <w:color w:val="auto"/>
              </w:rPr>
              <w:t>燃烧废气；</w:t>
            </w:r>
          </w:p>
          <w:p w14:paraId="06039425">
            <w:pPr>
              <w:keepNext w:val="0"/>
              <w:keepLines w:val="0"/>
              <w:suppressLineNumbers w:val="0"/>
              <w:spacing w:before="0" w:beforeAutospacing="0" w:after="0" w:afterAutospacing="0"/>
              <w:ind w:left="0" w:right="72" w:rightChars="30" w:firstLine="480" w:firstLineChars="200"/>
              <w:rPr>
                <w:rFonts w:hint="eastAsia" w:ascii="Times New Roman" w:hAnsi="Times New Roman" w:cs="Times New Roman"/>
                <w:color w:val="auto"/>
              </w:rPr>
            </w:pPr>
            <w:r>
              <w:rPr>
                <w:rFonts w:hint="eastAsia" w:ascii="Times New Roman" w:hAnsi="Times New Roman" w:cs="Times New Roman"/>
                <w:color w:val="auto"/>
              </w:rPr>
              <w:t>噪声：</w:t>
            </w:r>
            <w:r>
              <w:rPr>
                <w:rFonts w:hint="eastAsia" w:ascii="Times New Roman" w:hAnsi="Times New Roman" w:cs="Times New Roman"/>
                <w:color w:val="auto"/>
                <w:lang w:val="en-US" w:eastAsia="zh-CN"/>
              </w:rPr>
              <w:t>生产</w:t>
            </w:r>
            <w:r>
              <w:rPr>
                <w:rFonts w:hint="eastAsia" w:ascii="Times New Roman" w:hAnsi="Times New Roman" w:cs="Times New Roman"/>
                <w:color w:val="auto"/>
              </w:rPr>
              <w:t>设备</w:t>
            </w:r>
            <w:r>
              <w:rPr>
                <w:rFonts w:hint="eastAsia" w:ascii="Times New Roman" w:hAnsi="Times New Roman" w:cs="Times New Roman"/>
                <w:color w:val="auto"/>
                <w:lang w:val="en-US" w:eastAsia="zh-CN"/>
              </w:rPr>
              <w:t>运行</w:t>
            </w:r>
            <w:r>
              <w:rPr>
                <w:rFonts w:hint="eastAsia" w:ascii="Times New Roman" w:hAnsi="Times New Roman" w:cs="Times New Roman"/>
                <w:color w:val="auto"/>
              </w:rPr>
              <w:t>噪声；</w:t>
            </w:r>
          </w:p>
          <w:p w14:paraId="47E73B31">
            <w:pPr>
              <w:keepNext w:val="0"/>
              <w:keepLines w:val="0"/>
              <w:suppressLineNumbers w:val="0"/>
              <w:spacing w:before="0" w:beforeAutospacing="0" w:after="0" w:afterAutospacing="0"/>
              <w:ind w:left="0" w:right="72" w:rightChars="30" w:firstLine="480" w:firstLineChars="200"/>
              <w:rPr>
                <w:rFonts w:hint="eastAsia" w:ascii="Times New Roman" w:hAnsi="Times New Roman" w:cs="Times New Roman"/>
                <w:color w:val="auto"/>
              </w:rPr>
            </w:pPr>
            <w:r>
              <w:rPr>
                <w:rFonts w:hint="eastAsia" w:ascii="Times New Roman" w:hAnsi="Times New Roman" w:cs="Times New Roman"/>
                <w:color w:val="auto"/>
              </w:rPr>
              <w:t>固废：袋装生物质颗粒产生的废包装袋、</w:t>
            </w:r>
            <w:r>
              <w:rPr>
                <w:rFonts w:hint="eastAsia" w:ascii="Times New Roman" w:hAnsi="Times New Roman" w:cs="Times New Roman"/>
                <w:color w:val="auto"/>
                <w:lang w:val="en-US" w:eastAsia="zh-CN"/>
              </w:rPr>
              <w:t>锅炉生物质燃烧产生灰渣、锅炉废气处理装置收集除尘灰、</w:t>
            </w:r>
            <w:r>
              <w:rPr>
                <w:rFonts w:hint="eastAsia" w:cs="Times New Roman"/>
                <w:color w:val="auto"/>
                <w:lang w:val="en-US" w:eastAsia="zh-CN"/>
              </w:rPr>
              <w:t>破碎及制粒粉尘</w:t>
            </w:r>
            <w:r>
              <w:rPr>
                <w:rFonts w:hint="eastAsia" w:ascii="Times New Roman" w:hAnsi="Times New Roman" w:cs="Times New Roman"/>
                <w:color w:val="auto"/>
                <w:lang w:val="en-US" w:eastAsia="zh-CN"/>
              </w:rPr>
              <w:t>除尘器收集除尘灰</w:t>
            </w:r>
            <w:r>
              <w:rPr>
                <w:rFonts w:hint="eastAsia" w:cs="Times New Roman"/>
                <w:color w:val="auto"/>
                <w:lang w:val="en-US" w:eastAsia="zh-CN"/>
              </w:rPr>
              <w:t>、</w:t>
            </w:r>
            <w:r>
              <w:rPr>
                <w:rFonts w:hint="eastAsia" w:ascii="Times New Roman" w:hAnsi="Times New Roman" w:cs="Times New Roman"/>
                <w:color w:val="auto"/>
                <w:lang w:val="en-US" w:eastAsia="zh-CN"/>
              </w:rPr>
              <w:t>软水制备产生废离子交换树脂、油水分离产生</w:t>
            </w:r>
            <w:r>
              <w:rPr>
                <w:rFonts w:hint="eastAsia" w:ascii="Times New Roman" w:hAnsi="Times New Roman" w:cs="Times New Roman"/>
                <w:color w:val="auto"/>
              </w:rPr>
              <w:t>吸油布、</w:t>
            </w:r>
            <w:r>
              <w:rPr>
                <w:rFonts w:hint="eastAsia" w:ascii="Times New Roman" w:hAnsi="Times New Roman" w:cs="Times New Roman"/>
                <w:color w:val="auto"/>
                <w:lang w:val="en-US" w:eastAsia="zh-CN"/>
              </w:rPr>
              <w:t>有机废气处理装置产生</w:t>
            </w:r>
            <w:r>
              <w:rPr>
                <w:rFonts w:hint="eastAsia" w:ascii="Times New Roman" w:hAnsi="Times New Roman" w:cs="Times New Roman"/>
                <w:color w:val="auto"/>
              </w:rPr>
              <w:t>废活性炭、</w:t>
            </w:r>
            <w:r>
              <w:rPr>
                <w:rFonts w:hint="eastAsia" w:ascii="Times New Roman" w:hAnsi="Times New Roman" w:cs="Times New Roman"/>
                <w:color w:val="auto"/>
                <w:lang w:val="en-US" w:eastAsia="zh-CN"/>
              </w:rPr>
              <w:t>设备维护及检修产生废机油、</w:t>
            </w:r>
            <w:r>
              <w:rPr>
                <w:rFonts w:hint="eastAsia" w:ascii="Times New Roman" w:hAnsi="Times New Roman" w:cs="Times New Roman"/>
                <w:color w:val="auto"/>
              </w:rPr>
              <w:t>生活垃圾。</w:t>
            </w:r>
          </w:p>
          <w:p w14:paraId="05B601B7">
            <w:pPr>
              <w:keepNext w:val="0"/>
              <w:keepLines w:val="0"/>
              <w:suppressLineNumbers w:val="0"/>
              <w:spacing w:before="0" w:beforeAutospacing="0" w:after="0" w:afterAutospacing="0"/>
              <w:ind w:left="0" w:right="72" w:rightChars="30" w:firstLine="482" w:firstLineChars="200"/>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4、物料平衡</w:t>
            </w:r>
          </w:p>
          <w:p w14:paraId="2D3B0DA7">
            <w:pPr>
              <w:keepNext w:val="0"/>
              <w:keepLines w:val="0"/>
              <w:suppressLineNumbers w:val="0"/>
              <w:spacing w:before="0" w:beforeAutospacing="0" w:after="0" w:afterAutospacing="0"/>
              <w:ind w:left="0" w:right="72" w:rightChars="3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本项目生产加工过程的物料平衡见下表2</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9。</w:t>
            </w:r>
          </w:p>
          <w:p w14:paraId="2E433266">
            <w:pPr>
              <w:pStyle w:val="85"/>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lang w:val="en-US" w:eastAsia="zh-CN"/>
              </w:rPr>
            </w:pPr>
            <w:r>
              <w:rPr>
                <w:rFonts w:hint="eastAsia" w:ascii="Times New Roman" w:hAnsi="Times New Roman" w:eastAsia="宋体" w:cs="Times New Roman"/>
                <w:b/>
                <w:bCs/>
                <w:color w:val="auto"/>
                <w:kern w:val="0"/>
                <w:lang w:val="en-US" w:eastAsia="zh-CN"/>
              </w:rPr>
              <w:t>表2</w:t>
            </w:r>
            <w:r>
              <w:rPr>
                <w:rFonts w:hint="default" w:ascii="Times New Roman" w:hAnsi="Times New Roman" w:eastAsia="宋体" w:cs="Times New Roman"/>
                <w:b/>
                <w:bCs/>
                <w:color w:val="auto"/>
                <w:kern w:val="0"/>
                <w:lang w:val="en-US" w:eastAsia="zh-CN"/>
              </w:rPr>
              <w:t>-</w:t>
            </w:r>
            <w:r>
              <w:rPr>
                <w:rFonts w:hint="eastAsia" w:ascii="Times New Roman" w:hAnsi="Times New Roman" w:eastAsia="宋体" w:cs="Times New Roman"/>
                <w:b/>
                <w:bCs/>
                <w:color w:val="auto"/>
                <w:kern w:val="0"/>
                <w:lang w:val="en-US" w:eastAsia="zh-CN"/>
              </w:rPr>
              <w:t>9</w:t>
            </w:r>
            <w:r>
              <w:rPr>
                <w:rFonts w:hint="default" w:ascii="Times New Roman" w:hAnsi="Times New Roman" w:eastAsia="宋体" w:cs="Times New Roman"/>
                <w:b/>
                <w:bCs/>
                <w:color w:val="auto"/>
                <w:kern w:val="0"/>
                <w:lang w:val="en-US" w:eastAsia="zh-CN"/>
              </w:rPr>
              <w:t xml:space="preserve"> </w:t>
            </w:r>
            <w:r>
              <w:rPr>
                <w:rFonts w:hint="eastAsia" w:ascii="Times New Roman" w:hAnsi="Times New Roman" w:eastAsia="宋体" w:cs="Times New Roman"/>
                <w:b/>
                <w:bCs/>
                <w:color w:val="auto"/>
                <w:kern w:val="0"/>
                <w:lang w:val="en-US" w:eastAsia="zh-CN"/>
              </w:rPr>
              <w:t>生产物料平衡表</w:t>
            </w:r>
          </w:p>
          <w:tbl>
            <w:tblPr>
              <w:tblStyle w:val="29"/>
              <w:tblW w:w="833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2083"/>
              <w:gridCol w:w="2084"/>
              <w:gridCol w:w="2084"/>
            </w:tblGrid>
            <w:tr w14:paraId="453F6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6" w:type="dxa"/>
                  <w:gridSpan w:val="2"/>
                  <w:tcBorders>
                    <w:tl2br w:val="nil"/>
                    <w:tr2bl w:val="nil"/>
                  </w:tcBorders>
                  <w:noWrap w:val="0"/>
                  <w:vAlign w:val="center"/>
                </w:tcPr>
                <w:p w14:paraId="2DE29F74">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投入物料</w:t>
                  </w:r>
                </w:p>
              </w:tc>
              <w:tc>
                <w:tcPr>
                  <w:tcW w:w="4168" w:type="dxa"/>
                  <w:gridSpan w:val="2"/>
                  <w:tcBorders>
                    <w:tl2br w:val="nil"/>
                    <w:tr2bl w:val="nil"/>
                  </w:tcBorders>
                  <w:noWrap w:val="0"/>
                  <w:vAlign w:val="center"/>
                </w:tcPr>
                <w:p w14:paraId="0CCB801D">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产出物料</w:t>
                  </w:r>
                </w:p>
              </w:tc>
            </w:tr>
            <w:tr w14:paraId="69B7E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3" w:type="dxa"/>
                  <w:tcBorders>
                    <w:tl2br w:val="nil"/>
                    <w:tr2bl w:val="nil"/>
                  </w:tcBorders>
                  <w:noWrap w:val="0"/>
                  <w:vAlign w:val="center"/>
                </w:tcPr>
                <w:p w14:paraId="6671CDA6">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原料名称</w:t>
                  </w:r>
                </w:p>
              </w:tc>
              <w:tc>
                <w:tcPr>
                  <w:tcW w:w="2083" w:type="dxa"/>
                  <w:tcBorders>
                    <w:tl2br w:val="nil"/>
                    <w:tr2bl w:val="nil"/>
                  </w:tcBorders>
                  <w:noWrap w:val="0"/>
                  <w:vAlign w:val="center"/>
                </w:tcPr>
                <w:p w14:paraId="15A66640">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投入量t/a</w:t>
                  </w:r>
                </w:p>
              </w:tc>
              <w:tc>
                <w:tcPr>
                  <w:tcW w:w="2084" w:type="dxa"/>
                  <w:tcBorders>
                    <w:tl2br w:val="nil"/>
                    <w:tr2bl w:val="nil"/>
                  </w:tcBorders>
                  <w:noWrap w:val="0"/>
                  <w:vAlign w:val="center"/>
                </w:tcPr>
                <w:p w14:paraId="20BC118E">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物料名称</w:t>
                  </w:r>
                </w:p>
              </w:tc>
              <w:tc>
                <w:tcPr>
                  <w:tcW w:w="2084" w:type="dxa"/>
                  <w:tcBorders>
                    <w:tl2br w:val="nil"/>
                    <w:tr2bl w:val="nil"/>
                  </w:tcBorders>
                  <w:noWrap w:val="0"/>
                  <w:vAlign w:val="center"/>
                </w:tcPr>
                <w:p w14:paraId="73EA39E4">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产出量t/a</w:t>
                  </w:r>
                </w:p>
              </w:tc>
            </w:tr>
            <w:tr w14:paraId="03CA48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3" w:type="dxa"/>
                  <w:tcBorders>
                    <w:tl2br w:val="nil"/>
                    <w:tr2bl w:val="nil"/>
                  </w:tcBorders>
                  <w:noWrap w:val="0"/>
                  <w:vAlign w:val="center"/>
                </w:tcPr>
                <w:p w14:paraId="4D394D07">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枯柏树蔸</w:t>
                  </w:r>
                  <w:r>
                    <w:rPr>
                      <w:rFonts w:hint="eastAsia" w:ascii="Times New Roman" w:hAnsi="Times New Roman" w:cs="Times New Roman"/>
                      <w:color w:val="auto"/>
                      <w:sz w:val="21"/>
                      <w:szCs w:val="21"/>
                      <w:vertAlign w:val="baseline"/>
                      <w:lang w:val="en-US" w:eastAsia="zh-CN"/>
                    </w:rPr>
                    <w:t>（含水率13.36%）</w:t>
                  </w:r>
                </w:p>
              </w:tc>
              <w:tc>
                <w:tcPr>
                  <w:tcW w:w="2083" w:type="dxa"/>
                  <w:tcBorders>
                    <w:tl2br w:val="nil"/>
                    <w:tr2bl w:val="nil"/>
                  </w:tcBorders>
                  <w:noWrap w:val="0"/>
                  <w:vAlign w:val="center"/>
                </w:tcPr>
                <w:p w14:paraId="37FCB83D">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4910</w:t>
                  </w:r>
                </w:p>
              </w:tc>
              <w:tc>
                <w:tcPr>
                  <w:tcW w:w="2084" w:type="dxa"/>
                  <w:tcBorders>
                    <w:tl2br w:val="nil"/>
                    <w:tr2bl w:val="nil"/>
                  </w:tcBorders>
                  <w:noWrap w:val="0"/>
                  <w:vAlign w:val="center"/>
                </w:tcPr>
                <w:p w14:paraId="2988367B">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产品（柏木油，含水1.8%）</w:t>
                  </w:r>
                </w:p>
              </w:tc>
              <w:tc>
                <w:tcPr>
                  <w:tcW w:w="2084" w:type="dxa"/>
                  <w:tcBorders>
                    <w:tl2br w:val="nil"/>
                    <w:tr2bl w:val="nil"/>
                  </w:tcBorders>
                  <w:noWrap w:val="0"/>
                  <w:vAlign w:val="center"/>
                </w:tcPr>
                <w:p w14:paraId="0AB00041">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150</w:t>
                  </w:r>
                </w:p>
              </w:tc>
            </w:tr>
            <w:tr w14:paraId="24839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3" w:type="dxa"/>
                  <w:tcBorders>
                    <w:tl2br w:val="nil"/>
                    <w:tr2bl w:val="nil"/>
                  </w:tcBorders>
                  <w:noWrap w:val="0"/>
                  <w:vAlign w:val="center"/>
                </w:tcPr>
                <w:p w14:paraId="3F2F2E32">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水蒸气</w:t>
                  </w:r>
                </w:p>
              </w:tc>
              <w:tc>
                <w:tcPr>
                  <w:tcW w:w="2083" w:type="dxa"/>
                  <w:tcBorders>
                    <w:tl2br w:val="nil"/>
                    <w:tr2bl w:val="nil"/>
                  </w:tcBorders>
                  <w:noWrap w:val="0"/>
                  <w:vAlign w:val="center"/>
                </w:tcPr>
                <w:p w14:paraId="68D985DE">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12000</w:t>
                  </w:r>
                </w:p>
              </w:tc>
              <w:tc>
                <w:tcPr>
                  <w:tcW w:w="2084" w:type="dxa"/>
                  <w:tcBorders>
                    <w:tl2br w:val="nil"/>
                    <w:tr2bl w:val="nil"/>
                  </w:tcBorders>
                  <w:noWrap w:val="0"/>
                  <w:vAlign w:val="center"/>
                </w:tcPr>
                <w:p w14:paraId="3F96813E">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副产物（生物质颗粒，含水8.87%）</w:t>
                  </w:r>
                </w:p>
              </w:tc>
              <w:tc>
                <w:tcPr>
                  <w:tcW w:w="2084" w:type="dxa"/>
                  <w:tcBorders>
                    <w:tl2br w:val="nil"/>
                    <w:tr2bl w:val="nil"/>
                  </w:tcBorders>
                  <w:noWrap w:val="0"/>
                  <w:vAlign w:val="center"/>
                </w:tcPr>
                <w:p w14:paraId="38063FA2">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4500</w:t>
                  </w:r>
                </w:p>
              </w:tc>
            </w:tr>
            <w:tr w14:paraId="6055E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3" w:type="dxa"/>
                  <w:tcBorders>
                    <w:tl2br w:val="nil"/>
                    <w:tr2bl w:val="nil"/>
                  </w:tcBorders>
                  <w:noWrap w:val="0"/>
                  <w:vAlign w:val="center"/>
                </w:tcPr>
                <w:p w14:paraId="343DDB6C">
                  <w:pPr>
                    <w:keepNext w:val="0"/>
                    <w:keepLines w:val="0"/>
                    <w:suppressLineNumbers w:val="0"/>
                    <w:spacing w:before="0" w:beforeAutospacing="0" w:after="0" w:afterAutospacing="0" w:line="240" w:lineRule="auto"/>
                    <w:ind w:left="0" w:right="72" w:rightChars="30"/>
                    <w:jc w:val="center"/>
                    <w:rPr>
                      <w:rFonts w:hint="eastAsia" w:ascii="Times New Roman" w:hAnsi="Times New Roman" w:cs="Times New Roman"/>
                      <w:color w:val="auto"/>
                      <w:sz w:val="21"/>
                      <w:szCs w:val="21"/>
                      <w:vertAlign w:val="baseline"/>
                    </w:rPr>
                  </w:pPr>
                </w:p>
              </w:tc>
              <w:tc>
                <w:tcPr>
                  <w:tcW w:w="2083" w:type="dxa"/>
                  <w:tcBorders>
                    <w:tl2br w:val="nil"/>
                    <w:tr2bl w:val="nil"/>
                  </w:tcBorders>
                  <w:noWrap w:val="0"/>
                  <w:vAlign w:val="center"/>
                </w:tcPr>
                <w:p w14:paraId="1BBC150E">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p>
              </w:tc>
              <w:tc>
                <w:tcPr>
                  <w:tcW w:w="2084" w:type="dxa"/>
                  <w:tcBorders>
                    <w:tl2br w:val="nil"/>
                    <w:tr2bl w:val="nil"/>
                  </w:tcBorders>
                  <w:noWrap w:val="0"/>
                  <w:vAlign w:val="center"/>
                </w:tcPr>
                <w:p w14:paraId="43FA3945">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进入废水</w:t>
                  </w:r>
                </w:p>
              </w:tc>
              <w:tc>
                <w:tcPr>
                  <w:tcW w:w="2084" w:type="dxa"/>
                  <w:tcBorders>
                    <w:tl2br w:val="nil"/>
                    <w:tr2bl w:val="nil"/>
                  </w:tcBorders>
                  <w:noWrap w:val="0"/>
                  <w:vAlign w:val="center"/>
                </w:tcPr>
                <w:p w14:paraId="2A46EB9B">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9295.376 </w:t>
                  </w:r>
                </w:p>
              </w:tc>
            </w:tr>
            <w:tr w14:paraId="6B7A9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3" w:type="dxa"/>
                  <w:tcBorders>
                    <w:tl2br w:val="nil"/>
                    <w:tr2bl w:val="nil"/>
                  </w:tcBorders>
                  <w:noWrap w:val="0"/>
                  <w:vAlign w:val="center"/>
                </w:tcPr>
                <w:p w14:paraId="139BB432">
                  <w:pPr>
                    <w:keepNext w:val="0"/>
                    <w:keepLines w:val="0"/>
                    <w:suppressLineNumbers w:val="0"/>
                    <w:spacing w:before="0" w:beforeAutospacing="0" w:after="0" w:afterAutospacing="0" w:line="240" w:lineRule="auto"/>
                    <w:ind w:left="0" w:right="72" w:rightChars="30"/>
                    <w:jc w:val="center"/>
                    <w:rPr>
                      <w:rFonts w:hint="eastAsia" w:ascii="Times New Roman" w:hAnsi="Times New Roman" w:cs="Times New Roman"/>
                      <w:color w:val="auto"/>
                      <w:sz w:val="21"/>
                      <w:szCs w:val="21"/>
                      <w:vertAlign w:val="baseline"/>
                    </w:rPr>
                  </w:pPr>
                </w:p>
              </w:tc>
              <w:tc>
                <w:tcPr>
                  <w:tcW w:w="2083" w:type="dxa"/>
                  <w:tcBorders>
                    <w:tl2br w:val="nil"/>
                    <w:tr2bl w:val="nil"/>
                  </w:tcBorders>
                  <w:noWrap w:val="0"/>
                  <w:vAlign w:val="center"/>
                </w:tcPr>
                <w:p w14:paraId="38F067C1">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p>
              </w:tc>
              <w:tc>
                <w:tcPr>
                  <w:tcW w:w="2084" w:type="dxa"/>
                  <w:tcBorders>
                    <w:tl2br w:val="nil"/>
                    <w:tr2bl w:val="nil"/>
                  </w:tcBorders>
                  <w:noWrap w:val="0"/>
                  <w:vAlign w:val="center"/>
                </w:tcPr>
                <w:p w14:paraId="21CEB563">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进入废气</w:t>
                  </w:r>
                </w:p>
              </w:tc>
              <w:tc>
                <w:tcPr>
                  <w:tcW w:w="2084" w:type="dxa"/>
                  <w:tcBorders>
                    <w:tl2br w:val="nil"/>
                    <w:tr2bl w:val="nil"/>
                  </w:tcBorders>
                  <w:shd w:val="clear" w:color="auto" w:fill="auto"/>
                  <w:noWrap w:val="0"/>
                  <w:vAlign w:val="center"/>
                </w:tcPr>
                <w:p w14:paraId="46990A12">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5.663 </w:t>
                  </w:r>
                </w:p>
              </w:tc>
            </w:tr>
            <w:tr w14:paraId="1A05F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3" w:type="dxa"/>
                  <w:tcBorders>
                    <w:tl2br w:val="nil"/>
                    <w:tr2bl w:val="nil"/>
                  </w:tcBorders>
                  <w:noWrap w:val="0"/>
                  <w:vAlign w:val="center"/>
                </w:tcPr>
                <w:p w14:paraId="1AC75BEE">
                  <w:pPr>
                    <w:keepNext w:val="0"/>
                    <w:keepLines w:val="0"/>
                    <w:suppressLineNumbers w:val="0"/>
                    <w:spacing w:before="0" w:beforeAutospacing="0" w:after="0" w:afterAutospacing="0" w:line="240" w:lineRule="auto"/>
                    <w:ind w:left="0" w:right="72" w:rightChars="30"/>
                    <w:jc w:val="center"/>
                    <w:rPr>
                      <w:rFonts w:hint="eastAsia" w:ascii="Times New Roman" w:hAnsi="Times New Roman" w:cs="Times New Roman"/>
                      <w:color w:val="auto"/>
                      <w:sz w:val="21"/>
                      <w:szCs w:val="21"/>
                      <w:vertAlign w:val="baseline"/>
                    </w:rPr>
                  </w:pPr>
                </w:p>
              </w:tc>
              <w:tc>
                <w:tcPr>
                  <w:tcW w:w="2083" w:type="dxa"/>
                  <w:tcBorders>
                    <w:tl2br w:val="nil"/>
                    <w:tr2bl w:val="nil"/>
                  </w:tcBorders>
                  <w:noWrap w:val="0"/>
                  <w:vAlign w:val="center"/>
                </w:tcPr>
                <w:p w14:paraId="6BDA328E">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p>
              </w:tc>
              <w:tc>
                <w:tcPr>
                  <w:tcW w:w="2084" w:type="dxa"/>
                  <w:tcBorders>
                    <w:tl2br w:val="nil"/>
                    <w:tr2bl w:val="nil"/>
                  </w:tcBorders>
                  <w:noWrap w:val="0"/>
                  <w:vAlign w:val="center"/>
                </w:tcPr>
                <w:p w14:paraId="3642B357">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水蒸气管道损失</w:t>
                  </w:r>
                </w:p>
              </w:tc>
              <w:tc>
                <w:tcPr>
                  <w:tcW w:w="2084" w:type="dxa"/>
                  <w:tcBorders>
                    <w:tl2br w:val="nil"/>
                    <w:tr2bl w:val="nil"/>
                  </w:tcBorders>
                  <w:noWrap w:val="0"/>
                  <w:vAlign w:val="center"/>
                </w:tcPr>
                <w:p w14:paraId="0B774742">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w:t>
                  </w:r>
                </w:p>
              </w:tc>
            </w:tr>
            <w:tr w14:paraId="7DAB1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83" w:type="dxa"/>
                  <w:tcBorders>
                    <w:tl2br w:val="nil"/>
                    <w:tr2bl w:val="nil"/>
                  </w:tcBorders>
                  <w:noWrap w:val="0"/>
                  <w:vAlign w:val="center"/>
                </w:tcPr>
                <w:p w14:paraId="4F4AA692">
                  <w:pPr>
                    <w:keepNext w:val="0"/>
                    <w:keepLines w:val="0"/>
                    <w:suppressLineNumbers w:val="0"/>
                    <w:spacing w:before="0" w:beforeAutospacing="0" w:after="0" w:afterAutospacing="0" w:line="240" w:lineRule="auto"/>
                    <w:ind w:left="0" w:right="72" w:rightChars="30"/>
                    <w:jc w:val="center"/>
                    <w:rPr>
                      <w:rFonts w:hint="eastAsia" w:ascii="Times New Roman" w:hAnsi="Times New Roman" w:cs="Times New Roman"/>
                      <w:color w:val="auto"/>
                      <w:sz w:val="21"/>
                      <w:szCs w:val="21"/>
                      <w:vertAlign w:val="baseline"/>
                    </w:rPr>
                  </w:pPr>
                </w:p>
              </w:tc>
              <w:tc>
                <w:tcPr>
                  <w:tcW w:w="2083" w:type="dxa"/>
                  <w:tcBorders>
                    <w:tl2br w:val="nil"/>
                    <w:tr2bl w:val="nil"/>
                  </w:tcBorders>
                  <w:noWrap w:val="0"/>
                  <w:vAlign w:val="center"/>
                </w:tcPr>
                <w:p w14:paraId="2D0E0131">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p>
              </w:tc>
              <w:tc>
                <w:tcPr>
                  <w:tcW w:w="2084" w:type="dxa"/>
                  <w:tcBorders>
                    <w:tl2br w:val="nil"/>
                    <w:tr2bl w:val="nil"/>
                  </w:tcBorders>
                  <w:noWrap w:val="0"/>
                  <w:vAlign w:val="center"/>
                </w:tcPr>
                <w:p w14:paraId="4D49B64C">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蒸馏损耗</w:t>
                  </w:r>
                </w:p>
              </w:tc>
              <w:tc>
                <w:tcPr>
                  <w:tcW w:w="2084" w:type="dxa"/>
                  <w:tcBorders>
                    <w:tl2br w:val="nil"/>
                    <w:tr2bl w:val="nil"/>
                  </w:tcBorders>
                  <w:noWrap w:val="0"/>
                  <w:vAlign w:val="center"/>
                </w:tcPr>
                <w:p w14:paraId="4AE4BEDD">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600</w:t>
                  </w:r>
                </w:p>
              </w:tc>
            </w:tr>
            <w:tr w14:paraId="686AD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3" w:type="dxa"/>
                  <w:tcBorders>
                    <w:tl2br w:val="nil"/>
                    <w:tr2bl w:val="nil"/>
                  </w:tcBorders>
                  <w:noWrap w:val="0"/>
                  <w:vAlign w:val="center"/>
                </w:tcPr>
                <w:p w14:paraId="0D1BC6CB">
                  <w:pPr>
                    <w:keepNext w:val="0"/>
                    <w:keepLines w:val="0"/>
                    <w:suppressLineNumbers w:val="0"/>
                    <w:spacing w:before="0" w:beforeAutospacing="0" w:after="0" w:afterAutospacing="0" w:line="240" w:lineRule="auto"/>
                    <w:ind w:left="0" w:right="72" w:rightChars="30"/>
                    <w:jc w:val="center"/>
                    <w:rPr>
                      <w:rFonts w:hint="eastAsia" w:ascii="Times New Roman" w:hAnsi="Times New Roman" w:cs="Times New Roman"/>
                      <w:color w:val="auto"/>
                      <w:sz w:val="21"/>
                      <w:szCs w:val="21"/>
                      <w:vertAlign w:val="baseline"/>
                    </w:rPr>
                  </w:pPr>
                </w:p>
              </w:tc>
              <w:tc>
                <w:tcPr>
                  <w:tcW w:w="2083" w:type="dxa"/>
                  <w:tcBorders>
                    <w:tl2br w:val="nil"/>
                    <w:tr2bl w:val="nil"/>
                  </w:tcBorders>
                  <w:noWrap w:val="0"/>
                  <w:vAlign w:val="center"/>
                </w:tcPr>
                <w:p w14:paraId="5B87890A">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p>
              </w:tc>
              <w:tc>
                <w:tcPr>
                  <w:tcW w:w="2084" w:type="dxa"/>
                  <w:tcBorders>
                    <w:tl2br w:val="nil"/>
                    <w:tr2bl w:val="nil"/>
                  </w:tcBorders>
                  <w:noWrap w:val="0"/>
                  <w:vAlign w:val="center"/>
                </w:tcPr>
                <w:p w14:paraId="0AC4EF9B">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晾干、制粒过程蒸汽损失</w:t>
                  </w:r>
                </w:p>
              </w:tc>
              <w:tc>
                <w:tcPr>
                  <w:tcW w:w="2084" w:type="dxa"/>
                  <w:tcBorders>
                    <w:tl2br w:val="nil"/>
                    <w:tr2bl w:val="nil"/>
                  </w:tcBorders>
                  <w:noWrap w:val="0"/>
                  <w:vAlign w:val="center"/>
                </w:tcPr>
                <w:p w14:paraId="60B57519">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2334.750 </w:t>
                  </w:r>
                </w:p>
              </w:tc>
            </w:tr>
            <w:tr w14:paraId="50C81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3" w:type="dxa"/>
                  <w:tcBorders>
                    <w:tl2br w:val="nil"/>
                    <w:tr2bl w:val="nil"/>
                  </w:tcBorders>
                  <w:noWrap w:val="0"/>
                  <w:vAlign w:val="center"/>
                </w:tcPr>
                <w:p w14:paraId="368110B9">
                  <w:pPr>
                    <w:keepNext w:val="0"/>
                    <w:keepLines w:val="0"/>
                    <w:suppressLineNumbers w:val="0"/>
                    <w:spacing w:before="0" w:beforeAutospacing="0" w:after="0" w:afterAutospacing="0" w:line="240" w:lineRule="auto"/>
                    <w:ind w:left="0" w:right="72" w:rightChars="30"/>
                    <w:jc w:val="center"/>
                    <w:rPr>
                      <w:rFonts w:hint="eastAsia" w:ascii="Times New Roman" w:hAnsi="Times New Roman" w:cs="Times New Roman"/>
                      <w:color w:val="auto"/>
                      <w:sz w:val="21"/>
                      <w:szCs w:val="21"/>
                      <w:vertAlign w:val="baseline"/>
                    </w:rPr>
                  </w:pPr>
                </w:p>
              </w:tc>
              <w:tc>
                <w:tcPr>
                  <w:tcW w:w="2083" w:type="dxa"/>
                  <w:tcBorders>
                    <w:tl2br w:val="nil"/>
                    <w:tr2bl w:val="nil"/>
                  </w:tcBorders>
                  <w:noWrap w:val="0"/>
                  <w:vAlign w:val="center"/>
                </w:tcPr>
                <w:p w14:paraId="198D2CE5">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p>
              </w:tc>
              <w:tc>
                <w:tcPr>
                  <w:tcW w:w="2084" w:type="dxa"/>
                  <w:tcBorders>
                    <w:tl2br w:val="nil"/>
                    <w:tr2bl w:val="nil"/>
                  </w:tcBorders>
                  <w:noWrap w:val="0"/>
                  <w:vAlign w:val="center"/>
                </w:tcPr>
                <w:p w14:paraId="3A16899D">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其他损耗</w:t>
                  </w:r>
                </w:p>
              </w:tc>
              <w:tc>
                <w:tcPr>
                  <w:tcW w:w="2084" w:type="dxa"/>
                  <w:tcBorders>
                    <w:tl2br w:val="nil"/>
                    <w:tr2bl w:val="nil"/>
                  </w:tcBorders>
                  <w:noWrap w:val="0"/>
                  <w:vAlign w:val="center"/>
                </w:tcPr>
                <w:p w14:paraId="22095DA7">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0.211 </w:t>
                  </w:r>
                </w:p>
              </w:tc>
            </w:tr>
            <w:tr w14:paraId="39C75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3" w:type="dxa"/>
                  <w:tcBorders>
                    <w:tl2br w:val="nil"/>
                    <w:tr2bl w:val="nil"/>
                  </w:tcBorders>
                  <w:noWrap w:val="0"/>
                  <w:vAlign w:val="center"/>
                </w:tcPr>
                <w:p w14:paraId="391615C2">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合计</w:t>
                  </w:r>
                </w:p>
              </w:tc>
              <w:tc>
                <w:tcPr>
                  <w:tcW w:w="2083" w:type="dxa"/>
                  <w:tcBorders>
                    <w:tl2br w:val="nil"/>
                    <w:tr2bl w:val="nil"/>
                  </w:tcBorders>
                  <w:noWrap w:val="0"/>
                  <w:vAlign w:val="center"/>
                </w:tcPr>
                <w:p w14:paraId="4AC43C22">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w:t>
                  </w:r>
                  <w:r>
                    <w:rPr>
                      <w:rFonts w:hint="eastAsia" w:ascii="Times New Roman" w:hAnsi="Times New Roman" w:eastAsia="宋体" w:cs="Times New Roman"/>
                      <w:color w:val="auto"/>
                      <w:sz w:val="21"/>
                      <w:szCs w:val="21"/>
                      <w:vertAlign w:val="baseline"/>
                      <w:lang w:val="en-US" w:eastAsia="zh-CN"/>
                    </w:rPr>
                    <w:t>9</w:t>
                  </w:r>
                  <w:r>
                    <w:rPr>
                      <w:rFonts w:hint="eastAsia" w:cs="Times New Roman"/>
                      <w:color w:val="auto"/>
                      <w:sz w:val="21"/>
                      <w:szCs w:val="21"/>
                      <w:vertAlign w:val="baseline"/>
                      <w:lang w:val="en-US" w:eastAsia="zh-CN"/>
                    </w:rPr>
                    <w:t>10</w:t>
                  </w:r>
                </w:p>
              </w:tc>
              <w:tc>
                <w:tcPr>
                  <w:tcW w:w="2084" w:type="dxa"/>
                  <w:tcBorders>
                    <w:tl2br w:val="nil"/>
                    <w:tr2bl w:val="nil"/>
                  </w:tcBorders>
                  <w:noWrap w:val="0"/>
                  <w:vAlign w:val="center"/>
                </w:tcPr>
                <w:p w14:paraId="5A671FB5">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合计</w:t>
                  </w:r>
                </w:p>
              </w:tc>
              <w:tc>
                <w:tcPr>
                  <w:tcW w:w="2084" w:type="dxa"/>
                  <w:tcBorders>
                    <w:tl2br w:val="nil"/>
                    <w:tr2bl w:val="nil"/>
                  </w:tcBorders>
                  <w:noWrap w:val="0"/>
                  <w:vAlign w:val="center"/>
                </w:tcPr>
                <w:p w14:paraId="197AE60E">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169</w:t>
                  </w:r>
                  <w:r>
                    <w:rPr>
                      <w:rFonts w:hint="eastAsia" w:cs="Times New Roman"/>
                      <w:color w:val="auto"/>
                      <w:sz w:val="21"/>
                      <w:szCs w:val="21"/>
                      <w:vertAlign w:val="baseline"/>
                      <w:lang w:val="en-US" w:eastAsia="zh-CN"/>
                    </w:rPr>
                    <w:t>10</w:t>
                  </w:r>
                </w:p>
              </w:tc>
            </w:tr>
          </w:tbl>
          <w:p w14:paraId="33C1FD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firstLine="482"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5、蒸汽平衡</w:t>
            </w:r>
          </w:p>
          <w:p w14:paraId="02940F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firstLine="480" w:firstLineChars="200"/>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本项目蒸汽由锅炉提供，主要用于枯柏</w:t>
            </w:r>
            <w:r>
              <w:rPr>
                <w:rFonts w:hint="eastAsia" w:cs="Times New Roman"/>
                <w:b w:val="0"/>
                <w:bCs w:val="0"/>
                <w:color w:val="auto"/>
                <w:lang w:val="en-US" w:eastAsia="zh-CN"/>
              </w:rPr>
              <w:t>树蔸</w:t>
            </w:r>
            <w:r>
              <w:rPr>
                <w:rFonts w:hint="default" w:ascii="Times New Roman" w:hAnsi="Times New Roman" w:eastAsia="宋体" w:cs="Times New Roman"/>
                <w:b w:val="0"/>
                <w:bCs w:val="0"/>
                <w:color w:val="auto"/>
                <w:lang w:val="en-US" w:eastAsia="zh-CN"/>
              </w:rPr>
              <w:t>蒸馏使用。蒸汽</w:t>
            </w:r>
            <w:r>
              <w:rPr>
                <w:rFonts w:hint="eastAsia" w:cs="Times New Roman"/>
                <w:b w:val="0"/>
                <w:bCs w:val="0"/>
                <w:color w:val="auto"/>
                <w:lang w:val="en-US" w:eastAsia="zh-CN"/>
              </w:rPr>
              <w:t>供应</w:t>
            </w:r>
            <w:r>
              <w:rPr>
                <w:rFonts w:hint="default" w:ascii="Times New Roman" w:hAnsi="Times New Roman" w:eastAsia="宋体" w:cs="Times New Roman"/>
                <w:b w:val="0"/>
                <w:bCs w:val="0"/>
                <w:color w:val="auto"/>
                <w:lang w:val="en-US" w:eastAsia="zh-CN"/>
              </w:rPr>
              <w:t>量约为</w:t>
            </w:r>
            <w:r>
              <w:rPr>
                <w:rFonts w:hint="eastAsia" w:ascii="Times New Roman" w:hAnsi="Times New Roman" w:eastAsia="宋体" w:cs="Times New Roman"/>
                <w:b w:val="0"/>
                <w:bCs w:val="0"/>
                <w:color w:val="auto"/>
                <w:lang w:val="en-US" w:eastAsia="zh-CN"/>
              </w:rPr>
              <w:t>5</w:t>
            </w:r>
            <w:r>
              <w:rPr>
                <w:rFonts w:hint="default" w:ascii="Times New Roman" w:hAnsi="Times New Roman" w:eastAsia="宋体" w:cs="Times New Roman"/>
                <w:b w:val="0"/>
                <w:bCs w:val="0"/>
                <w:color w:val="auto"/>
                <w:lang w:val="en-US" w:eastAsia="zh-CN"/>
              </w:rPr>
              <w:t>t/h、压力0.3MPa、温度100～120℃。该部分蒸汽进行利用后，产生蒸汽冷凝后经油水分离</w:t>
            </w:r>
            <w:r>
              <w:rPr>
                <w:rFonts w:hint="eastAsia" w:cs="Times New Roman"/>
                <w:b w:val="0"/>
                <w:bCs w:val="0"/>
                <w:color w:val="auto"/>
                <w:lang w:val="en-US" w:eastAsia="zh-CN"/>
              </w:rPr>
              <w:t>池、厌氧池</w:t>
            </w:r>
            <w:r>
              <w:rPr>
                <w:rFonts w:hint="default" w:ascii="Times New Roman" w:hAnsi="Times New Roman" w:eastAsia="宋体" w:cs="Times New Roman"/>
                <w:b w:val="0"/>
                <w:bCs w:val="0"/>
                <w:color w:val="auto"/>
                <w:lang w:val="en-US" w:eastAsia="zh-CN"/>
              </w:rPr>
              <w:t>处理后排入园区污水管网。</w:t>
            </w:r>
          </w:p>
          <w:p w14:paraId="61FF96D2">
            <w:pPr>
              <w:pStyle w:val="85"/>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lang w:val="en-US" w:eastAsia="zh-CN"/>
              </w:rPr>
            </w:pPr>
            <w:r>
              <w:rPr>
                <w:rFonts w:hint="eastAsia" w:ascii="Times New Roman" w:hAnsi="Times New Roman" w:eastAsia="宋体" w:cs="Times New Roman"/>
                <w:b/>
                <w:bCs/>
                <w:color w:val="auto"/>
                <w:kern w:val="0"/>
                <w:lang w:val="en-US" w:eastAsia="zh-CN"/>
              </w:rPr>
              <w:t>表2</w:t>
            </w:r>
            <w:r>
              <w:rPr>
                <w:rFonts w:hint="default" w:ascii="Times New Roman" w:hAnsi="Times New Roman" w:eastAsia="宋体" w:cs="Times New Roman"/>
                <w:b/>
                <w:bCs/>
                <w:color w:val="auto"/>
                <w:kern w:val="0"/>
                <w:lang w:val="en-US" w:eastAsia="zh-CN"/>
              </w:rPr>
              <w:t>-</w:t>
            </w:r>
            <w:r>
              <w:rPr>
                <w:rFonts w:hint="eastAsia" w:ascii="Times New Roman" w:hAnsi="Times New Roman" w:eastAsia="宋体" w:cs="Times New Roman"/>
                <w:b/>
                <w:bCs/>
                <w:color w:val="auto"/>
                <w:kern w:val="0"/>
                <w:lang w:val="en-US" w:eastAsia="zh-CN"/>
              </w:rPr>
              <w:t>10</w:t>
            </w:r>
            <w:r>
              <w:rPr>
                <w:rFonts w:hint="default" w:ascii="Times New Roman" w:hAnsi="Times New Roman" w:eastAsia="宋体" w:cs="Times New Roman"/>
                <w:b/>
                <w:bCs/>
                <w:color w:val="auto"/>
                <w:kern w:val="0"/>
                <w:lang w:val="en-US" w:eastAsia="zh-CN"/>
              </w:rPr>
              <w:t xml:space="preserve"> </w:t>
            </w:r>
            <w:r>
              <w:rPr>
                <w:rFonts w:hint="eastAsia" w:ascii="Times New Roman" w:hAnsi="Times New Roman" w:eastAsia="宋体" w:cs="Times New Roman"/>
                <w:b/>
                <w:bCs/>
                <w:color w:val="auto"/>
                <w:kern w:val="0"/>
                <w:lang w:val="en-US" w:eastAsia="zh-CN"/>
              </w:rPr>
              <w:t>蒸汽平衡表</w:t>
            </w:r>
            <w:r>
              <w:rPr>
                <w:rFonts w:hint="eastAsia"/>
                <w:color w:val="auto"/>
                <w:lang w:eastAsia="zh-CN"/>
              </w:rPr>
              <w:t>（</w:t>
            </w:r>
            <w:r>
              <w:rPr>
                <w:rFonts w:hint="eastAsia"/>
                <w:color w:val="auto"/>
                <w:lang w:val="en-US" w:eastAsia="zh-CN"/>
              </w:rPr>
              <w:t>单位：吨/年</w:t>
            </w:r>
            <w:r>
              <w:rPr>
                <w:rFonts w:hint="eastAsia"/>
                <w:color w:val="auto"/>
                <w:lang w:eastAsia="zh-CN"/>
              </w:rPr>
              <w:t>）</w:t>
            </w:r>
          </w:p>
          <w:tbl>
            <w:tblPr>
              <w:tblStyle w:val="29"/>
              <w:tblW w:w="82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560"/>
              <w:gridCol w:w="1770"/>
              <w:gridCol w:w="1530"/>
              <w:gridCol w:w="1775"/>
            </w:tblGrid>
            <w:tr w14:paraId="734C8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tcBorders>
                    <w:tl2br w:val="nil"/>
                    <w:tr2bl w:val="nil"/>
                  </w:tcBorders>
                  <w:noWrap w:val="0"/>
                  <w:vAlign w:val="center"/>
                </w:tcPr>
                <w:p w14:paraId="34E96FC6">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装置</w:t>
                  </w:r>
                </w:p>
              </w:tc>
              <w:tc>
                <w:tcPr>
                  <w:tcW w:w="1560" w:type="dxa"/>
                  <w:tcBorders>
                    <w:tl2br w:val="nil"/>
                    <w:tr2bl w:val="nil"/>
                  </w:tcBorders>
                  <w:noWrap w:val="0"/>
                  <w:vAlign w:val="center"/>
                </w:tcPr>
                <w:p w14:paraId="636311DC">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蒸汽量</w:t>
                  </w:r>
                </w:p>
              </w:tc>
              <w:tc>
                <w:tcPr>
                  <w:tcW w:w="1770" w:type="dxa"/>
                  <w:tcBorders>
                    <w:tl2br w:val="nil"/>
                    <w:tr2bl w:val="nil"/>
                  </w:tcBorders>
                  <w:noWrap w:val="0"/>
                  <w:vAlign w:val="center"/>
                </w:tcPr>
                <w:p w14:paraId="44610B70">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损失量</w:t>
                  </w:r>
                </w:p>
              </w:tc>
              <w:tc>
                <w:tcPr>
                  <w:tcW w:w="1530" w:type="dxa"/>
                  <w:tcBorders>
                    <w:tl2br w:val="nil"/>
                    <w:tr2bl w:val="nil"/>
                  </w:tcBorders>
                  <w:noWrap w:val="0"/>
                  <w:vAlign w:val="center"/>
                </w:tcPr>
                <w:p w14:paraId="66A42959">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蒸汽冷凝水</w:t>
                  </w:r>
                </w:p>
              </w:tc>
              <w:tc>
                <w:tcPr>
                  <w:tcW w:w="1775" w:type="dxa"/>
                  <w:tcBorders>
                    <w:tl2br w:val="nil"/>
                    <w:tr2bl w:val="nil"/>
                  </w:tcBorders>
                  <w:noWrap w:val="0"/>
                  <w:vAlign w:val="center"/>
                </w:tcPr>
                <w:p w14:paraId="02E6F136">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备注</w:t>
                  </w:r>
                </w:p>
              </w:tc>
            </w:tr>
            <w:tr w14:paraId="5E48B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tcBorders>
                    <w:tl2br w:val="nil"/>
                    <w:tr2bl w:val="nil"/>
                  </w:tcBorders>
                  <w:noWrap w:val="0"/>
                  <w:vAlign w:val="center"/>
                </w:tcPr>
                <w:p w14:paraId="17877D4E">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蒸馏釜</w:t>
                  </w:r>
                </w:p>
              </w:tc>
              <w:tc>
                <w:tcPr>
                  <w:tcW w:w="1560" w:type="dxa"/>
                  <w:tcBorders>
                    <w:tl2br w:val="nil"/>
                    <w:tr2bl w:val="nil"/>
                  </w:tcBorders>
                  <w:noWrap w:val="0"/>
                  <w:vAlign w:val="center"/>
                </w:tcPr>
                <w:p w14:paraId="44688A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12000</w:t>
                  </w:r>
                </w:p>
              </w:tc>
              <w:tc>
                <w:tcPr>
                  <w:tcW w:w="1770" w:type="dxa"/>
                  <w:tcBorders>
                    <w:tl2br w:val="nil"/>
                    <w:tr2bl w:val="nil"/>
                  </w:tcBorders>
                  <w:noWrap w:val="0"/>
                  <w:vAlign w:val="center"/>
                </w:tcPr>
                <w:p w14:paraId="49C0C7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30" w:type="dxa"/>
                  <w:tcBorders>
                    <w:tl2br w:val="nil"/>
                    <w:tr2bl w:val="nil"/>
                  </w:tcBorders>
                  <w:shd w:val="clear" w:color="auto" w:fill="auto"/>
                  <w:noWrap w:val="0"/>
                  <w:vAlign w:val="center"/>
                </w:tcPr>
                <w:p w14:paraId="554D1F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9295.376 </w:t>
                  </w:r>
                </w:p>
              </w:tc>
              <w:tc>
                <w:tcPr>
                  <w:tcW w:w="1775" w:type="dxa"/>
                  <w:vMerge w:val="restart"/>
                  <w:tcBorders>
                    <w:tl2br w:val="nil"/>
                    <w:tr2bl w:val="nil"/>
                  </w:tcBorders>
                  <w:noWrap w:val="0"/>
                  <w:vAlign w:val="center"/>
                </w:tcPr>
                <w:p w14:paraId="0C8D5115">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蒸汽冷凝后经油水分离</w:t>
                  </w:r>
                  <w:r>
                    <w:rPr>
                      <w:rFonts w:hint="eastAsia" w:cs="Times New Roman"/>
                      <w:color w:val="auto"/>
                      <w:sz w:val="21"/>
                      <w:szCs w:val="21"/>
                      <w:vertAlign w:val="baseline"/>
                      <w:lang w:val="en-US" w:eastAsia="zh-CN"/>
                    </w:rPr>
                    <w:t>池、厌氧池处理后</w:t>
                  </w:r>
                  <w:r>
                    <w:rPr>
                      <w:rFonts w:hint="eastAsia" w:ascii="Times New Roman" w:hAnsi="Times New Roman" w:eastAsia="宋体" w:cs="Times New Roman"/>
                      <w:color w:val="auto"/>
                      <w:sz w:val="21"/>
                      <w:szCs w:val="21"/>
                      <w:vertAlign w:val="baseline"/>
                      <w:lang w:val="en-US" w:eastAsia="zh-CN"/>
                    </w:rPr>
                    <w:t>排入园区污水管网</w:t>
                  </w:r>
                </w:p>
              </w:tc>
            </w:tr>
            <w:tr w14:paraId="1629D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tcBorders>
                    <w:tl2br w:val="nil"/>
                    <w:tr2bl w:val="nil"/>
                  </w:tcBorders>
                  <w:noWrap w:val="0"/>
                  <w:vAlign w:val="center"/>
                </w:tcPr>
                <w:p w14:paraId="153C8C77">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管道损失</w:t>
                  </w:r>
                </w:p>
              </w:tc>
              <w:tc>
                <w:tcPr>
                  <w:tcW w:w="1560" w:type="dxa"/>
                  <w:tcBorders>
                    <w:tl2br w:val="nil"/>
                    <w:tr2bl w:val="nil"/>
                  </w:tcBorders>
                  <w:noWrap w:val="0"/>
                  <w:vAlign w:val="center"/>
                </w:tcPr>
                <w:p w14:paraId="1B01DE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770" w:type="dxa"/>
                  <w:tcBorders>
                    <w:tl2br w:val="nil"/>
                    <w:tr2bl w:val="nil"/>
                  </w:tcBorders>
                  <w:noWrap w:val="0"/>
                  <w:vAlign w:val="center"/>
                </w:tcPr>
                <w:p w14:paraId="2F0BA0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530" w:type="dxa"/>
                  <w:tcBorders>
                    <w:tl2br w:val="nil"/>
                    <w:tr2bl w:val="nil"/>
                  </w:tcBorders>
                  <w:noWrap w:val="0"/>
                  <w:vAlign w:val="center"/>
                </w:tcPr>
                <w:p w14:paraId="70DE2F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775" w:type="dxa"/>
                  <w:vMerge w:val="continue"/>
                  <w:tcBorders>
                    <w:tl2br w:val="nil"/>
                    <w:tr2bl w:val="nil"/>
                  </w:tcBorders>
                  <w:noWrap w:val="0"/>
                  <w:vAlign w:val="center"/>
                </w:tcPr>
                <w:p w14:paraId="183BE818">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p>
              </w:tc>
            </w:tr>
            <w:tr w14:paraId="65E80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tcBorders>
                    <w:tl2br w:val="nil"/>
                    <w:tr2bl w:val="nil"/>
                  </w:tcBorders>
                  <w:noWrap w:val="0"/>
                  <w:vAlign w:val="center"/>
                </w:tcPr>
                <w:p w14:paraId="26670E0F">
                  <w:pPr>
                    <w:keepNext w:val="0"/>
                    <w:keepLines w:val="0"/>
                    <w:suppressLineNumbers w:val="0"/>
                    <w:spacing w:before="0" w:beforeAutospacing="0" w:after="0" w:afterAutospacing="0" w:line="240" w:lineRule="auto"/>
                    <w:ind w:left="0" w:right="72" w:rightChars="3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进入木屑</w:t>
                  </w:r>
                </w:p>
              </w:tc>
              <w:tc>
                <w:tcPr>
                  <w:tcW w:w="1560" w:type="dxa"/>
                  <w:tcBorders>
                    <w:tl2br w:val="nil"/>
                    <w:tr2bl w:val="nil"/>
                  </w:tcBorders>
                  <w:noWrap w:val="0"/>
                  <w:vAlign w:val="center"/>
                </w:tcPr>
                <w:p w14:paraId="3C0FF2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770" w:type="dxa"/>
                  <w:tcBorders>
                    <w:tl2br w:val="nil"/>
                    <w:tr2bl w:val="nil"/>
                  </w:tcBorders>
                  <w:noWrap w:val="0"/>
                  <w:vAlign w:val="center"/>
                </w:tcPr>
                <w:p w14:paraId="3FDD07A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2080.624 </w:t>
                  </w:r>
                </w:p>
              </w:tc>
              <w:tc>
                <w:tcPr>
                  <w:tcW w:w="1530" w:type="dxa"/>
                  <w:tcBorders>
                    <w:tl2br w:val="nil"/>
                    <w:tr2bl w:val="nil"/>
                  </w:tcBorders>
                  <w:noWrap w:val="0"/>
                  <w:vAlign w:val="center"/>
                </w:tcPr>
                <w:p w14:paraId="4ADE84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775" w:type="dxa"/>
                  <w:vMerge w:val="continue"/>
                  <w:tcBorders>
                    <w:tl2br w:val="nil"/>
                    <w:tr2bl w:val="nil"/>
                  </w:tcBorders>
                  <w:noWrap w:val="0"/>
                  <w:vAlign w:val="center"/>
                </w:tcPr>
                <w:p w14:paraId="2E7410DD">
                  <w:pPr>
                    <w:keepNext w:val="0"/>
                    <w:keepLines w:val="0"/>
                    <w:suppressLineNumbers w:val="0"/>
                    <w:spacing w:before="0" w:beforeAutospacing="0" w:after="0" w:afterAutospacing="0" w:line="240" w:lineRule="auto"/>
                    <w:ind w:left="0" w:right="72" w:rightChars="30"/>
                    <w:jc w:val="center"/>
                    <w:rPr>
                      <w:rFonts w:hint="default" w:ascii="Times New Roman" w:hAnsi="Times New Roman" w:eastAsia="宋体" w:cs="Times New Roman"/>
                      <w:color w:val="auto"/>
                      <w:sz w:val="21"/>
                      <w:szCs w:val="21"/>
                      <w:vertAlign w:val="baseline"/>
                      <w:lang w:val="en-US" w:eastAsia="zh-CN"/>
                    </w:rPr>
                  </w:pPr>
                </w:p>
              </w:tc>
            </w:tr>
            <w:tr w14:paraId="45F49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tcBorders>
                    <w:tl2br w:val="nil"/>
                    <w:tr2bl w:val="nil"/>
                  </w:tcBorders>
                  <w:noWrap w:val="0"/>
                  <w:vAlign w:val="center"/>
                </w:tcPr>
                <w:p w14:paraId="0BF7AFA9">
                  <w:pPr>
                    <w:keepNext w:val="0"/>
                    <w:keepLines w:val="0"/>
                    <w:suppressLineNumbers w:val="0"/>
                    <w:spacing w:before="0" w:beforeAutospacing="0" w:after="0" w:afterAutospacing="0" w:line="240" w:lineRule="auto"/>
                    <w:ind w:left="0" w:right="72" w:rightChars="3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合计</w:t>
                  </w:r>
                </w:p>
              </w:tc>
              <w:tc>
                <w:tcPr>
                  <w:tcW w:w="1560" w:type="dxa"/>
                  <w:tcBorders>
                    <w:tl2br w:val="nil"/>
                    <w:tr2bl w:val="nil"/>
                  </w:tcBorders>
                  <w:noWrap w:val="0"/>
                  <w:vAlign w:val="center"/>
                </w:tcPr>
                <w:p w14:paraId="5B34A05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12000</w:t>
                  </w:r>
                </w:p>
              </w:tc>
              <w:tc>
                <w:tcPr>
                  <w:tcW w:w="1770" w:type="dxa"/>
                  <w:tcBorders>
                    <w:tl2br w:val="nil"/>
                    <w:tr2bl w:val="nil"/>
                  </w:tcBorders>
                  <w:noWrap w:val="0"/>
                  <w:vAlign w:val="center"/>
                </w:tcPr>
                <w:p w14:paraId="72D919F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2704.624 </w:t>
                  </w:r>
                </w:p>
              </w:tc>
              <w:tc>
                <w:tcPr>
                  <w:tcW w:w="1530" w:type="dxa"/>
                  <w:tcBorders>
                    <w:tl2br w:val="nil"/>
                    <w:tr2bl w:val="nil"/>
                  </w:tcBorders>
                  <w:shd w:val="clear" w:color="auto" w:fill="auto"/>
                  <w:noWrap w:val="0"/>
                  <w:vAlign w:val="center"/>
                </w:tcPr>
                <w:p w14:paraId="33F1CAB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9295.376 </w:t>
                  </w:r>
                </w:p>
              </w:tc>
              <w:tc>
                <w:tcPr>
                  <w:tcW w:w="1775" w:type="dxa"/>
                  <w:tcBorders>
                    <w:tl2br w:val="nil"/>
                    <w:tr2bl w:val="nil"/>
                  </w:tcBorders>
                  <w:noWrap w:val="0"/>
                  <w:vAlign w:val="center"/>
                </w:tcPr>
                <w:p w14:paraId="6F9D2713">
                  <w:pPr>
                    <w:keepNext w:val="0"/>
                    <w:keepLines w:val="0"/>
                    <w:suppressLineNumbers w:val="0"/>
                    <w:spacing w:before="0" w:beforeAutospacing="0" w:after="0" w:afterAutospacing="0" w:line="240" w:lineRule="auto"/>
                    <w:ind w:left="0" w:right="72" w:rightChars="30"/>
                    <w:jc w:val="center"/>
                    <w:rPr>
                      <w:rFonts w:hint="eastAsia" w:ascii="Times New Roman" w:hAnsi="Times New Roman" w:cs="Times New Roman"/>
                      <w:color w:val="auto"/>
                      <w:sz w:val="21"/>
                      <w:szCs w:val="21"/>
                      <w:vertAlign w:val="baseline"/>
                    </w:rPr>
                  </w:pPr>
                </w:p>
              </w:tc>
            </w:tr>
          </w:tbl>
          <w:p w14:paraId="4C770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firstLine="482"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6、VOCs平衡</w:t>
            </w:r>
          </w:p>
          <w:p w14:paraId="5A3A9A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firstLine="480" w:firstLineChars="200"/>
              <w:textAlignment w:val="auto"/>
              <w:rPr>
                <w:rFonts w:hint="eastAsia"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本项目</w:t>
            </w:r>
            <w:r>
              <w:rPr>
                <w:rFonts w:hint="eastAsia" w:ascii="Times New Roman" w:hAnsi="Times New Roman" w:eastAsia="宋体" w:cs="Times New Roman"/>
                <w:b w:val="0"/>
                <w:bCs w:val="0"/>
                <w:color w:val="auto"/>
                <w:lang w:val="en-US" w:eastAsia="zh-CN"/>
              </w:rPr>
              <w:t>原料</w:t>
            </w:r>
            <w:r>
              <w:rPr>
                <w:rFonts w:hint="eastAsia" w:cs="Times New Roman"/>
                <w:b w:val="0"/>
                <w:bCs w:val="0"/>
                <w:color w:val="auto"/>
                <w:lang w:val="en-US" w:eastAsia="zh-CN"/>
              </w:rPr>
              <w:t>产油</w:t>
            </w:r>
            <w:r>
              <w:rPr>
                <w:rFonts w:hint="eastAsia" w:ascii="Times New Roman" w:hAnsi="Times New Roman" w:eastAsia="宋体" w:cs="Times New Roman"/>
                <w:b w:val="0"/>
                <w:bCs w:val="0"/>
                <w:color w:val="auto"/>
                <w:lang w:val="en-US" w:eastAsia="zh-CN"/>
              </w:rPr>
              <w:t>率约为3%，油水混合物经冷凝后在油水分离池内分离，油水分离有机废气经收集后进入两级活性炭吸附装置处理，处理后废气经15m高</w:t>
            </w:r>
            <w:r>
              <w:rPr>
                <w:rFonts w:hint="eastAsia" w:cs="Times New Roman"/>
                <w:b w:val="0"/>
                <w:bCs w:val="0"/>
                <w:color w:val="auto"/>
                <w:lang w:val="en-US" w:eastAsia="zh-CN"/>
              </w:rPr>
              <w:t>3#排气筒</w:t>
            </w:r>
            <w:r>
              <w:rPr>
                <w:rFonts w:hint="eastAsia" w:ascii="Times New Roman" w:hAnsi="Times New Roman" w:eastAsia="宋体" w:cs="Times New Roman"/>
                <w:b w:val="0"/>
                <w:bCs w:val="0"/>
                <w:color w:val="auto"/>
                <w:lang w:val="en-US" w:eastAsia="zh-CN"/>
              </w:rPr>
              <w:t>排放，VOCs平衡如下：</w:t>
            </w:r>
          </w:p>
          <w:p w14:paraId="6731A0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object>
                <v:shape id="_x0000_i1028" o:spt="75" type="#_x0000_t75" style="height:194.6pt;width:416.55pt;" o:ole="t" filled="f" o:preferrelative="t" stroked="f" coordsize="21600,21600">
                  <v:path/>
                  <v:fill on="f" focussize="0,0"/>
                  <v:stroke on="f"/>
                  <v:imagedata r:id="rId26" o:title=""/>
                  <o:lock v:ext="edit" aspectratio="f"/>
                  <w10:wrap type="none"/>
                  <w10:anchorlock/>
                </v:shape>
                <o:OLEObject Type="Embed" ProgID="Visio.Drawing.15" ShapeID="_x0000_i1028" DrawAspect="Content" ObjectID="_1468075728" r:id="rId25">
                  <o:LockedField>false</o:LockedField>
                </o:OLEObject>
              </w:object>
            </w:r>
          </w:p>
          <w:p w14:paraId="4C9F49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cs="Times New Roman"/>
                <w:b/>
                <w:bCs/>
                <w:color w:val="auto"/>
                <w:sz w:val="21"/>
                <w:szCs w:val="21"/>
              </w:rPr>
              <w:t>图2</w:t>
            </w:r>
            <w:r>
              <w:rPr>
                <w:rFonts w:hint="default"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rPr>
              <w:t>项目</w:t>
            </w:r>
            <w:r>
              <w:rPr>
                <w:rFonts w:hint="eastAsia" w:ascii="Times New Roman" w:hAnsi="Times New Roman" w:cs="Times New Roman"/>
                <w:b/>
                <w:bCs/>
                <w:color w:val="auto"/>
                <w:sz w:val="21"/>
                <w:szCs w:val="21"/>
                <w:lang w:val="en-US" w:eastAsia="zh-CN"/>
              </w:rPr>
              <w:t>VOCs平衡</w:t>
            </w:r>
            <w:r>
              <w:rPr>
                <w:rFonts w:hint="eastAsia" w:cs="Times New Roman"/>
                <w:b/>
                <w:bCs/>
                <w:color w:val="auto"/>
                <w:sz w:val="21"/>
                <w:szCs w:val="21"/>
                <w:lang w:val="en-US" w:eastAsia="zh-CN"/>
              </w:rPr>
              <w:t xml:space="preserve">（单位：t/a） </w:t>
            </w:r>
          </w:p>
        </w:tc>
      </w:tr>
      <w:tr w14:paraId="363E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 w:type="pct"/>
            <w:noWrap w:val="0"/>
            <w:vAlign w:val="center"/>
          </w:tcPr>
          <w:p w14:paraId="3EB3E7B0">
            <w:pPr>
              <w:pStyle w:val="25"/>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bCs/>
                <w:color w:val="auto"/>
                <w:kern w:val="2"/>
                <w:szCs w:val="24"/>
              </w:rPr>
              <w:t>与项目有关的原有环境污染</w:t>
            </w:r>
            <w:r>
              <w:rPr>
                <w:rFonts w:hint="eastAsia" w:ascii="Times New Roman" w:hAnsi="Times New Roman" w:cs="Times New Roman"/>
                <w:bCs/>
                <w:color w:val="auto"/>
                <w:kern w:val="2"/>
                <w:szCs w:val="24"/>
                <w:lang w:val="en-US" w:eastAsia="zh-CN"/>
              </w:rPr>
              <w:t>问题</w:t>
            </w:r>
          </w:p>
        </w:tc>
        <w:tc>
          <w:tcPr>
            <w:tcW w:w="4624" w:type="pct"/>
            <w:noWrap w:val="0"/>
            <w:vAlign w:val="top"/>
          </w:tcPr>
          <w:p w14:paraId="41F93EE8">
            <w:pPr>
              <w:pStyle w:val="85"/>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color w:val="auto"/>
                <w:kern w:val="0"/>
                <w:sz w:val="24"/>
                <w:szCs w:val="24"/>
              </w:rPr>
            </w:pPr>
            <w:r>
              <w:rPr>
                <w:rFonts w:hint="eastAsia" w:ascii="Times New Roman" w:hAnsi="Times New Roman" w:cs="Times New Roman"/>
                <w:b w:val="0"/>
                <w:color w:val="auto"/>
                <w:kern w:val="0"/>
                <w:sz w:val="24"/>
                <w:szCs w:val="24"/>
                <w:lang w:val="en-US" w:eastAsia="zh-CN"/>
              </w:rPr>
              <w:t>本项目为租用厂房，</w:t>
            </w:r>
            <w:r>
              <w:rPr>
                <w:rFonts w:hint="eastAsia" w:cs="Times New Roman"/>
                <w:b w:val="0"/>
                <w:color w:val="auto"/>
                <w:kern w:val="0"/>
                <w:sz w:val="24"/>
                <w:szCs w:val="24"/>
                <w:lang w:val="en-US" w:eastAsia="zh-CN"/>
              </w:rPr>
              <w:t>中通建材公司</w:t>
            </w:r>
            <w:r>
              <w:rPr>
                <w:rFonts w:hint="eastAsia" w:ascii="Times New Roman" w:hAnsi="Times New Roman" w:cs="Times New Roman"/>
                <w:b w:val="0"/>
                <w:color w:val="auto"/>
                <w:kern w:val="0"/>
                <w:sz w:val="24"/>
                <w:szCs w:val="24"/>
                <w:lang w:val="en-US" w:eastAsia="zh-CN"/>
              </w:rPr>
              <w:t>已对项目租用生产车间及</w:t>
            </w:r>
            <w:r>
              <w:rPr>
                <w:rFonts w:hint="eastAsia" w:cs="Times New Roman"/>
                <w:b w:val="0"/>
                <w:color w:val="auto"/>
                <w:kern w:val="0"/>
                <w:sz w:val="24"/>
                <w:szCs w:val="24"/>
                <w:lang w:val="en-US" w:eastAsia="zh-CN"/>
              </w:rPr>
              <w:t>空地</w:t>
            </w:r>
            <w:r>
              <w:rPr>
                <w:rFonts w:hint="eastAsia" w:ascii="Times New Roman" w:hAnsi="Times New Roman" w:cs="Times New Roman"/>
                <w:b w:val="0"/>
                <w:color w:val="auto"/>
                <w:kern w:val="0"/>
                <w:sz w:val="24"/>
                <w:szCs w:val="24"/>
                <w:lang w:val="en-US" w:eastAsia="zh-CN"/>
              </w:rPr>
              <w:t>等进行清理</w:t>
            </w:r>
            <w:r>
              <w:rPr>
                <w:rFonts w:hint="eastAsia" w:ascii="Times New Roman" w:hAnsi="Times New Roman" w:cs="Times New Roman"/>
                <w:b w:val="0"/>
                <w:color w:val="auto"/>
                <w:kern w:val="0"/>
                <w:sz w:val="24"/>
                <w:szCs w:val="24"/>
              </w:rPr>
              <w:t>，现目前整个厂房</w:t>
            </w:r>
            <w:r>
              <w:rPr>
                <w:rFonts w:hint="eastAsia" w:cs="Times New Roman"/>
                <w:b w:val="0"/>
                <w:color w:val="auto"/>
                <w:kern w:val="0"/>
                <w:sz w:val="24"/>
                <w:szCs w:val="24"/>
                <w:lang w:eastAsia="zh-CN"/>
              </w:rPr>
              <w:t>、</w:t>
            </w:r>
            <w:r>
              <w:rPr>
                <w:rFonts w:hint="eastAsia" w:cs="Times New Roman"/>
                <w:b w:val="0"/>
                <w:color w:val="auto"/>
                <w:kern w:val="0"/>
                <w:sz w:val="24"/>
                <w:szCs w:val="24"/>
                <w:lang w:val="en-US" w:eastAsia="zh-CN"/>
              </w:rPr>
              <w:t>堆料场均</w:t>
            </w:r>
            <w:r>
              <w:rPr>
                <w:rFonts w:hint="eastAsia" w:ascii="Times New Roman" w:hAnsi="Times New Roman" w:cs="Times New Roman"/>
                <w:b w:val="0"/>
                <w:color w:val="auto"/>
                <w:kern w:val="0"/>
                <w:sz w:val="24"/>
                <w:szCs w:val="24"/>
                <w:lang w:val="en-US" w:eastAsia="zh-CN"/>
              </w:rPr>
              <w:t>为空置</w:t>
            </w:r>
            <w:r>
              <w:rPr>
                <w:rFonts w:hint="eastAsia" w:cs="Times New Roman"/>
                <w:b w:val="0"/>
                <w:color w:val="auto"/>
                <w:kern w:val="0"/>
                <w:sz w:val="24"/>
                <w:szCs w:val="24"/>
                <w:lang w:val="en-US" w:eastAsia="zh-CN"/>
              </w:rPr>
              <w:t>状态，空地地表覆盖少量植被</w:t>
            </w:r>
            <w:r>
              <w:rPr>
                <w:rFonts w:hint="eastAsia" w:ascii="Times New Roman" w:hAnsi="Times New Roman" w:cs="Times New Roman"/>
                <w:b w:val="0"/>
                <w:color w:val="auto"/>
                <w:kern w:val="0"/>
                <w:sz w:val="24"/>
                <w:szCs w:val="24"/>
              </w:rPr>
              <w:t>，无环境遗留问题。</w:t>
            </w:r>
          </w:p>
          <w:p w14:paraId="18DFCECB">
            <w:pPr>
              <w:pStyle w:val="85"/>
              <w:keepNext w:val="0"/>
              <w:keepLines w:val="0"/>
              <w:widowControl/>
              <w:suppressLineNumbers w:val="0"/>
              <w:spacing w:before="0" w:beforeAutospacing="0" w:after="0" w:afterAutospacing="0" w:line="360" w:lineRule="auto"/>
              <w:ind w:left="0" w:right="0"/>
              <w:jc w:val="both"/>
              <w:rPr>
                <w:rFonts w:hint="default"/>
                <w:color w:val="auto"/>
              </w:rPr>
            </w:pPr>
            <w:r>
              <w:rPr>
                <w:rFonts w:hint="default"/>
                <w:color w:val="auto"/>
              </w:rPr>
              <w:drawing>
                <wp:inline distT="0" distB="0" distL="114300" distR="114300">
                  <wp:extent cx="5287645" cy="3470910"/>
                  <wp:effectExtent l="0" t="0" r="8255" b="152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7"/>
                          <a:stretch>
                            <a:fillRect/>
                          </a:stretch>
                        </pic:blipFill>
                        <pic:spPr>
                          <a:xfrm>
                            <a:off x="0" y="0"/>
                            <a:ext cx="5287645" cy="3470910"/>
                          </a:xfrm>
                          <a:prstGeom prst="rect">
                            <a:avLst/>
                          </a:prstGeom>
                          <a:noFill/>
                          <a:ln>
                            <a:noFill/>
                          </a:ln>
                        </pic:spPr>
                      </pic:pic>
                    </a:graphicData>
                  </a:graphic>
                </wp:inline>
              </w:drawing>
            </w:r>
          </w:p>
          <w:p w14:paraId="08853935">
            <w:pPr>
              <w:pStyle w:val="85"/>
              <w:keepNext w:val="0"/>
              <w:keepLines w:val="0"/>
              <w:widowControl/>
              <w:suppressLineNumbers w:val="0"/>
              <w:spacing w:before="0" w:beforeAutospacing="0" w:after="0" w:afterAutospacing="0" w:line="360" w:lineRule="auto"/>
              <w:ind w:left="0" w:right="0"/>
              <w:jc w:val="center"/>
              <w:rPr>
                <w:rFonts w:hint="eastAsia"/>
                <w:color w:val="auto"/>
                <w:lang w:val="en-US" w:eastAsia="zh-CN"/>
              </w:rPr>
            </w:pPr>
            <w:r>
              <w:rPr>
                <w:rFonts w:hint="eastAsia"/>
                <w:color w:val="auto"/>
                <w:lang w:val="en-US" w:eastAsia="zh-CN"/>
              </w:rPr>
              <w:t>项目租赁厂房</w:t>
            </w:r>
          </w:p>
          <w:p w14:paraId="218AC128">
            <w:pPr>
              <w:pStyle w:val="85"/>
              <w:keepNext w:val="0"/>
              <w:keepLines w:val="0"/>
              <w:widowControl/>
              <w:suppressLineNumbers w:val="0"/>
              <w:spacing w:before="0" w:beforeAutospacing="0" w:after="0" w:afterAutospacing="0"/>
              <w:ind w:left="0" w:right="0"/>
              <w:jc w:val="center"/>
              <w:rPr>
                <w:rFonts w:hint="default"/>
                <w:color w:val="auto"/>
              </w:rPr>
            </w:pPr>
            <w:r>
              <w:rPr>
                <w:rFonts w:hint="default"/>
                <w:color w:val="auto"/>
              </w:rPr>
              <w:drawing>
                <wp:inline distT="0" distB="0" distL="114300" distR="114300">
                  <wp:extent cx="4968240" cy="3530600"/>
                  <wp:effectExtent l="0" t="0" r="381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8"/>
                          <a:stretch>
                            <a:fillRect/>
                          </a:stretch>
                        </pic:blipFill>
                        <pic:spPr>
                          <a:xfrm>
                            <a:off x="0" y="0"/>
                            <a:ext cx="4968240" cy="3530600"/>
                          </a:xfrm>
                          <a:prstGeom prst="rect">
                            <a:avLst/>
                          </a:prstGeom>
                          <a:noFill/>
                          <a:ln>
                            <a:noFill/>
                          </a:ln>
                        </pic:spPr>
                      </pic:pic>
                    </a:graphicData>
                  </a:graphic>
                </wp:inline>
              </w:drawing>
            </w:r>
          </w:p>
          <w:p w14:paraId="074727A0">
            <w:pPr>
              <w:pStyle w:val="85"/>
              <w:keepNext w:val="0"/>
              <w:keepLines w:val="0"/>
              <w:widowControl/>
              <w:suppressLineNumbers w:val="0"/>
              <w:spacing w:before="0" w:beforeAutospacing="0" w:after="0" w:afterAutospacing="0" w:line="360" w:lineRule="auto"/>
              <w:ind w:left="0" w:right="0"/>
              <w:jc w:val="center"/>
              <w:rPr>
                <w:rFonts w:hint="default"/>
                <w:color w:val="auto"/>
                <w:lang w:val="en-US" w:eastAsia="zh-CN"/>
              </w:rPr>
            </w:pPr>
            <w:r>
              <w:rPr>
                <w:rFonts w:hint="eastAsia" w:cs="Times New Roman"/>
                <w:color w:val="auto"/>
                <w:kern w:val="0"/>
                <w:lang w:val="en-US" w:eastAsia="zh-CN"/>
              </w:rPr>
              <w:t>中通建材公司生产车间内</w:t>
            </w:r>
          </w:p>
          <w:p w14:paraId="5006069D">
            <w:pPr>
              <w:pStyle w:val="85"/>
              <w:keepNext w:val="0"/>
              <w:keepLines w:val="0"/>
              <w:widowControl/>
              <w:suppressLineNumbers w:val="0"/>
              <w:spacing w:before="0" w:beforeAutospacing="0" w:after="0" w:afterAutospacing="0" w:line="360" w:lineRule="auto"/>
              <w:ind w:left="0" w:right="0"/>
              <w:jc w:val="center"/>
              <w:rPr>
                <w:rFonts w:hint="eastAsia" w:ascii="Times New Roman" w:hAnsi="Times New Roman" w:eastAsia="宋体" w:cs="Times New Roman"/>
                <w:b w:val="0"/>
                <w:color w:val="auto"/>
                <w:kern w:val="0"/>
                <w:sz w:val="24"/>
                <w:szCs w:val="24"/>
                <w:lang w:eastAsia="zh-CN"/>
              </w:rPr>
            </w:pPr>
            <w:r>
              <w:rPr>
                <w:rFonts w:hint="eastAsia" w:ascii="Times New Roman" w:hAnsi="Times New Roman" w:eastAsia="宋体" w:cs="Times New Roman"/>
                <w:b w:val="0"/>
                <w:color w:val="auto"/>
                <w:kern w:val="0"/>
                <w:sz w:val="24"/>
                <w:szCs w:val="24"/>
                <w:lang w:eastAsia="zh-CN"/>
              </w:rPr>
              <w:drawing>
                <wp:inline distT="0" distB="0" distL="114300" distR="114300">
                  <wp:extent cx="4421505" cy="3315335"/>
                  <wp:effectExtent l="0" t="0" r="17145" b="18415"/>
                  <wp:docPr id="15" name="图片 81" descr="e7bdc1f2b052ad8d3f7e57c57675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1" descr="e7bdc1f2b052ad8d3f7e57c576759d9"/>
                          <pic:cNvPicPr>
                            <a:picLocks noChangeAspect="1"/>
                          </pic:cNvPicPr>
                        </pic:nvPicPr>
                        <pic:blipFill>
                          <a:blip r:embed="rId29"/>
                          <a:stretch>
                            <a:fillRect/>
                          </a:stretch>
                        </pic:blipFill>
                        <pic:spPr>
                          <a:xfrm>
                            <a:off x="0" y="0"/>
                            <a:ext cx="4421505" cy="3315335"/>
                          </a:xfrm>
                          <a:prstGeom prst="rect">
                            <a:avLst/>
                          </a:prstGeom>
                          <a:noFill/>
                          <a:ln>
                            <a:noFill/>
                          </a:ln>
                        </pic:spPr>
                      </pic:pic>
                    </a:graphicData>
                  </a:graphic>
                </wp:inline>
              </w:drawing>
            </w:r>
          </w:p>
          <w:p w14:paraId="2B78A0AA">
            <w:pPr>
              <w:pStyle w:val="85"/>
              <w:keepNext w:val="0"/>
              <w:keepLines w:val="0"/>
              <w:widowControl/>
              <w:suppressLineNumbers w:val="0"/>
              <w:spacing w:before="0" w:beforeAutospacing="0" w:after="0" w:afterAutospacing="0"/>
              <w:ind w:left="0" w:right="0" w:firstLine="422" w:firstLineChars="200"/>
              <w:rPr>
                <w:rFonts w:hint="eastAsia" w:cs="Times New Roman"/>
                <w:b/>
                <w:bCs/>
                <w:color w:val="auto"/>
                <w:kern w:val="0"/>
                <w:lang w:val="en-US" w:eastAsia="zh-CN"/>
              </w:rPr>
            </w:pPr>
            <w:r>
              <w:rPr>
                <w:rFonts w:hint="eastAsia" w:cs="Times New Roman"/>
                <w:color w:val="auto"/>
                <w:kern w:val="0"/>
                <w:lang w:val="en-US" w:eastAsia="zh-CN"/>
              </w:rPr>
              <w:t>中通建材公司</w:t>
            </w:r>
            <w:r>
              <w:rPr>
                <w:rFonts w:hint="eastAsia" w:ascii="Times New Roman" w:hAnsi="Times New Roman" w:eastAsia="宋体" w:cs="Times New Roman"/>
                <w:b/>
                <w:bCs/>
                <w:color w:val="auto"/>
                <w:kern w:val="0"/>
                <w:lang w:val="en-US" w:eastAsia="zh-CN"/>
              </w:rPr>
              <w:t>堆料场</w:t>
            </w:r>
            <w:r>
              <w:rPr>
                <w:rFonts w:hint="eastAsia" w:cs="Times New Roman"/>
                <w:b/>
                <w:bCs/>
                <w:color w:val="auto"/>
                <w:kern w:val="0"/>
                <w:lang w:val="en-US" w:eastAsia="zh-CN"/>
              </w:rPr>
              <w:t>及空地</w:t>
            </w:r>
          </w:p>
          <w:p w14:paraId="114648F6">
            <w:pPr>
              <w:pStyle w:val="85"/>
              <w:keepNext w:val="0"/>
              <w:keepLines w:val="0"/>
              <w:widowControl/>
              <w:suppressLineNumbers w:val="0"/>
              <w:spacing w:before="0" w:beforeAutospacing="0" w:after="0" w:afterAutospacing="0"/>
              <w:ind w:left="0" w:right="0" w:firstLine="422" w:firstLineChars="200"/>
              <w:rPr>
                <w:rFonts w:hint="default"/>
                <w:color w:val="auto"/>
                <w:lang w:val="en-US" w:eastAsia="zh-CN"/>
              </w:rPr>
            </w:pPr>
          </w:p>
        </w:tc>
      </w:tr>
    </w:tbl>
    <w:p w14:paraId="51CE9698">
      <w:pPr>
        <w:pStyle w:val="25"/>
        <w:jc w:val="center"/>
        <w:rPr>
          <w:rFonts w:ascii="Times New Roman" w:hAnsi="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F37AED5">
      <w:pPr>
        <w:pStyle w:val="25"/>
        <w:spacing w:line="240" w:lineRule="auto"/>
        <w:jc w:val="center"/>
        <w:outlineLvl w:val="0"/>
        <w:rPr>
          <w:rFonts w:hint="eastAsia" w:ascii="Times New Roman" w:hAnsi="Times New Roman" w:eastAsia="黑体" w:cs="Times New Roman"/>
          <w:snapToGrid w:val="0"/>
          <w:color w:val="auto"/>
          <w:sz w:val="30"/>
          <w:szCs w:val="30"/>
        </w:rPr>
      </w:pPr>
      <w:r>
        <w:rPr>
          <w:rFonts w:hint="eastAsia" w:ascii="Times New Roman" w:hAnsi="Times New Roman" w:eastAsia="黑体" w:cs="Times New Roman"/>
          <w:snapToGrid w:val="0"/>
          <w:color w:val="auto"/>
          <w:sz w:val="30"/>
          <w:szCs w:val="30"/>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8554"/>
      </w:tblGrid>
      <w:tr w14:paraId="4BFD62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507" w:type="dxa"/>
            <w:noWrap w:val="0"/>
            <w:vAlign w:val="center"/>
          </w:tcPr>
          <w:p w14:paraId="2222ABC1">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kern w:val="0"/>
              </w:rPr>
            </w:pPr>
            <w:r>
              <w:rPr>
                <w:rFonts w:hint="eastAsia" w:ascii="Times New Roman" w:hAnsi="Times New Roman" w:cs="宋体"/>
                <w:color w:val="auto"/>
                <w:kern w:val="0"/>
              </w:rPr>
              <w:t>区域</w:t>
            </w:r>
          </w:p>
          <w:p w14:paraId="38B64E28">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kern w:val="0"/>
              </w:rPr>
            </w:pPr>
            <w:r>
              <w:rPr>
                <w:rFonts w:hint="eastAsia" w:ascii="Times New Roman" w:hAnsi="Times New Roman" w:cs="宋体"/>
                <w:color w:val="auto"/>
                <w:kern w:val="0"/>
              </w:rPr>
              <w:t>环境</w:t>
            </w:r>
          </w:p>
          <w:p w14:paraId="516B0FAF">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kern w:val="0"/>
              </w:rPr>
            </w:pPr>
            <w:r>
              <w:rPr>
                <w:rFonts w:hint="eastAsia" w:ascii="Times New Roman" w:hAnsi="Times New Roman" w:cs="宋体"/>
                <w:color w:val="auto"/>
                <w:kern w:val="0"/>
              </w:rPr>
              <w:t>质量</w:t>
            </w:r>
          </w:p>
          <w:p w14:paraId="7592ABE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kern w:val="0"/>
                <w:szCs w:val="21"/>
              </w:rPr>
            </w:pPr>
            <w:r>
              <w:rPr>
                <w:rFonts w:hint="eastAsia" w:ascii="Times New Roman" w:hAnsi="Times New Roman" w:cs="宋体"/>
                <w:color w:val="auto"/>
                <w:kern w:val="0"/>
              </w:rPr>
              <w:t>现状</w:t>
            </w:r>
          </w:p>
        </w:tc>
        <w:tc>
          <w:tcPr>
            <w:tcW w:w="8554" w:type="dxa"/>
            <w:noWrap w:val="0"/>
            <w:vAlign w:val="top"/>
          </w:tcPr>
          <w:p w14:paraId="14B5F894">
            <w:pPr>
              <w:keepNext w:val="0"/>
              <w:keepLines w:val="0"/>
              <w:suppressLineNumbers w:val="0"/>
              <w:adjustRightInd w:val="0"/>
              <w:snapToGrid w:val="0"/>
              <w:spacing w:before="0" w:beforeAutospacing="0" w:after="0" w:afterAutospacing="0"/>
              <w:ind w:left="0" w:right="0"/>
              <w:rPr>
                <w:rFonts w:hint="eastAsia" w:ascii="Times New Roman" w:hAnsi="Times New Roman" w:cs="宋体"/>
                <w:b/>
                <w:bCs/>
                <w:color w:val="auto"/>
                <w:kern w:val="0"/>
              </w:rPr>
            </w:pPr>
            <w:r>
              <w:rPr>
                <w:rFonts w:hint="eastAsia" w:ascii="Times New Roman" w:hAnsi="Times New Roman" w:cs="宋体"/>
                <w:b/>
                <w:bCs/>
                <w:color w:val="auto"/>
                <w:kern w:val="0"/>
              </w:rPr>
              <w:t>一、大气环境质量现状</w:t>
            </w:r>
          </w:p>
          <w:p w14:paraId="3FE06610">
            <w:pPr>
              <w:keepNext w:val="0"/>
              <w:keepLines w:val="0"/>
              <w:suppressLineNumbers w:val="0"/>
              <w:adjustRightInd w:val="0"/>
              <w:snapToGrid w:val="0"/>
              <w:spacing w:before="0" w:beforeAutospacing="0" w:after="0" w:afterAutospacing="0"/>
              <w:ind w:left="0" w:right="0"/>
              <w:rPr>
                <w:rFonts w:hint="eastAsia" w:ascii="Times New Roman" w:hAnsi="Times New Roman" w:cs="宋体"/>
                <w:b/>
                <w:bCs/>
                <w:color w:val="auto"/>
                <w:kern w:val="0"/>
              </w:rPr>
            </w:pPr>
            <w:r>
              <w:rPr>
                <w:rFonts w:hint="eastAsia" w:ascii="Times New Roman" w:hAnsi="Times New Roman" w:cs="宋体"/>
                <w:b/>
                <w:bCs/>
                <w:color w:val="auto"/>
                <w:kern w:val="0"/>
              </w:rPr>
              <w:t>1、基本污染物环境质量现状</w:t>
            </w:r>
          </w:p>
          <w:p w14:paraId="71F07AE9">
            <w:pPr>
              <w:keepNext w:val="0"/>
              <w:keepLines w:val="0"/>
              <w:suppressLineNumbers w:val="0"/>
              <w:autoSpaceDE w:val="0"/>
              <w:autoSpaceDN w:val="0"/>
              <w:adjustRightInd w:val="0"/>
              <w:spacing w:before="0" w:beforeAutospacing="0" w:after="0" w:afterAutospacing="0" w:line="360" w:lineRule="auto"/>
              <w:ind w:left="0" w:right="0" w:firstLine="540"/>
              <w:rPr>
                <w:rFonts w:hint="eastAsia" w:ascii="Times New Roman" w:hAnsi="Times New Roman" w:eastAsia="宋体" w:cs="Times New Roman"/>
                <w:color w:val="auto"/>
                <w:kern w:val="0"/>
                <w:sz w:val="24"/>
              </w:rPr>
            </w:pPr>
            <w:r>
              <w:rPr>
                <w:rFonts w:hint="default" w:ascii="Times New Roman" w:hAnsi="Times New Roman" w:cs="Times New Roman"/>
                <w:color w:val="auto"/>
              </w:rPr>
              <w:t>本项目位于四川省遂宁市蓬溪县上游工业园</w:t>
            </w:r>
            <w:r>
              <w:rPr>
                <w:rFonts w:hint="default" w:ascii="Times New Roman" w:hAnsi="Times New Roman" w:cs="Times New Roman"/>
                <w:bCs/>
                <w:color w:val="auto"/>
              </w:rPr>
              <w:t>，属于大气环境功能区2类区，执行《环境空气质量标准》（GB3095-2012）二级标准。本次环境空气质量现状评价引用</w:t>
            </w:r>
            <w:bookmarkStart w:id="1" w:name="_Hlk163746518"/>
            <w:r>
              <w:rPr>
                <w:rFonts w:hint="default" w:ascii="Times New Roman" w:hAnsi="Times New Roman" w:eastAsia="宋体" w:cs="Times New Roman"/>
                <w:color w:val="auto"/>
                <w:sz w:val="24"/>
                <w:lang w:val="zh-CN"/>
              </w:rPr>
              <w:t>《2023年遂宁市环境质量公告》</w:t>
            </w:r>
            <w:bookmarkEnd w:id="1"/>
            <w:r>
              <w:rPr>
                <w:rFonts w:hint="eastAsia"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公告表明</w:t>
            </w:r>
            <w:r>
              <w:rPr>
                <w:rFonts w:hint="default" w:ascii="Times New Roman" w:hAnsi="Times New Roman" w:eastAsia="宋体" w:cs="Times New Roman"/>
                <w:color w:val="auto"/>
                <w:sz w:val="24"/>
                <w:lang w:val="zh-CN"/>
              </w:rPr>
              <w:t>2023年度遂宁市城区环境空气质量119天优、199天良、43天轻度污染、3天中度污染、1天重度污染，空气质量达标率为87.1%，主要污染物SO</w:t>
            </w:r>
            <w:r>
              <w:rPr>
                <w:rFonts w:hint="default" w:ascii="Times New Roman" w:hAnsi="Times New Roman" w:eastAsia="宋体" w:cs="Times New Roman"/>
                <w:color w:val="auto"/>
                <w:sz w:val="24"/>
                <w:vertAlign w:val="subscript"/>
                <w:lang w:val="zh-CN"/>
              </w:rPr>
              <w:t>2</w:t>
            </w:r>
            <w:r>
              <w:rPr>
                <w:rFonts w:hint="default" w:ascii="Times New Roman" w:hAnsi="Times New Roman" w:eastAsia="宋体" w:cs="Times New Roman"/>
                <w:color w:val="auto"/>
                <w:sz w:val="24"/>
                <w:lang w:val="zh-CN"/>
              </w:rPr>
              <w:t>、NO</w:t>
            </w:r>
            <w:r>
              <w:rPr>
                <w:rFonts w:hint="default" w:ascii="Times New Roman" w:hAnsi="Times New Roman" w:eastAsia="宋体" w:cs="Times New Roman"/>
                <w:color w:val="auto"/>
                <w:sz w:val="24"/>
                <w:vertAlign w:val="subscript"/>
                <w:lang w:val="zh-CN"/>
              </w:rPr>
              <w:t>2</w:t>
            </w:r>
            <w:r>
              <w:rPr>
                <w:rFonts w:hint="default" w:ascii="Times New Roman" w:hAnsi="Times New Roman" w:eastAsia="宋体" w:cs="Times New Roman"/>
                <w:color w:val="auto"/>
                <w:sz w:val="24"/>
                <w:lang w:val="zh-CN"/>
              </w:rPr>
              <w:t>、PM</w:t>
            </w:r>
            <w:r>
              <w:rPr>
                <w:rFonts w:hint="default" w:ascii="Times New Roman" w:hAnsi="Times New Roman" w:eastAsia="宋体" w:cs="Times New Roman"/>
                <w:color w:val="auto"/>
                <w:sz w:val="24"/>
                <w:vertAlign w:val="subscript"/>
                <w:lang w:val="zh-CN"/>
              </w:rPr>
              <w:t>10</w:t>
            </w:r>
            <w:r>
              <w:rPr>
                <w:rFonts w:hint="default" w:ascii="Times New Roman" w:hAnsi="Times New Roman" w:eastAsia="宋体" w:cs="Times New Roman"/>
                <w:color w:val="auto"/>
                <w:sz w:val="24"/>
                <w:lang w:val="zh-CN"/>
              </w:rPr>
              <w:t>、PM</w:t>
            </w:r>
            <w:r>
              <w:rPr>
                <w:rFonts w:hint="default" w:ascii="Times New Roman" w:hAnsi="Times New Roman" w:eastAsia="宋体" w:cs="Times New Roman"/>
                <w:color w:val="auto"/>
                <w:sz w:val="24"/>
                <w:vertAlign w:val="subscript"/>
                <w:lang w:val="zh-CN"/>
              </w:rPr>
              <w:t>2.5</w:t>
            </w:r>
            <w:r>
              <w:rPr>
                <w:rFonts w:hint="default" w:ascii="Times New Roman" w:hAnsi="Times New Roman" w:eastAsia="宋体" w:cs="Times New Roman"/>
                <w:color w:val="auto"/>
                <w:sz w:val="24"/>
                <w:lang w:val="zh-CN"/>
              </w:rPr>
              <w:t>、CO和O</w:t>
            </w:r>
            <w:r>
              <w:rPr>
                <w:rFonts w:hint="default" w:ascii="Times New Roman" w:hAnsi="Times New Roman" w:eastAsia="宋体" w:cs="Times New Roman"/>
                <w:color w:val="auto"/>
                <w:sz w:val="24"/>
                <w:vertAlign w:val="subscript"/>
                <w:lang w:val="zh-CN"/>
              </w:rPr>
              <w:t>3</w:t>
            </w:r>
            <w:r>
              <w:rPr>
                <w:rFonts w:hint="default" w:ascii="Times New Roman" w:hAnsi="Times New Roman" w:eastAsia="宋体" w:cs="Times New Roman"/>
                <w:color w:val="auto"/>
                <w:sz w:val="24"/>
                <w:lang w:val="zh-CN"/>
              </w:rPr>
              <w:t>的年均值分别为7.7μg/m</w:t>
            </w:r>
            <w:r>
              <w:rPr>
                <w:rFonts w:hint="default" w:ascii="Times New Roman" w:hAnsi="Times New Roman" w:eastAsia="宋体" w:cs="Times New Roman"/>
                <w:color w:val="auto"/>
                <w:sz w:val="24"/>
                <w:vertAlign w:val="superscript"/>
                <w:lang w:val="zh-CN"/>
              </w:rPr>
              <w:t>3</w:t>
            </w:r>
            <w:r>
              <w:rPr>
                <w:rFonts w:hint="default" w:ascii="Times New Roman" w:hAnsi="Times New Roman" w:eastAsia="宋体" w:cs="Times New Roman"/>
                <w:color w:val="auto"/>
                <w:sz w:val="24"/>
                <w:lang w:val="zh-CN"/>
              </w:rPr>
              <w:t>、24.6μg/m</w:t>
            </w:r>
            <w:r>
              <w:rPr>
                <w:rFonts w:hint="default" w:ascii="Times New Roman" w:hAnsi="Times New Roman" w:eastAsia="宋体" w:cs="Times New Roman"/>
                <w:color w:val="auto"/>
                <w:sz w:val="24"/>
                <w:vertAlign w:val="superscript"/>
                <w:lang w:val="zh-CN"/>
              </w:rPr>
              <w:t>3</w:t>
            </w:r>
            <w:r>
              <w:rPr>
                <w:rFonts w:hint="default" w:ascii="Times New Roman" w:hAnsi="Times New Roman" w:eastAsia="宋体" w:cs="Times New Roman"/>
                <w:color w:val="auto"/>
                <w:sz w:val="24"/>
                <w:lang w:val="zh-CN"/>
              </w:rPr>
              <w:t>、51.7μg/m</w:t>
            </w:r>
            <w:r>
              <w:rPr>
                <w:rFonts w:hint="default" w:ascii="Times New Roman" w:hAnsi="Times New Roman" w:eastAsia="宋体" w:cs="Times New Roman"/>
                <w:color w:val="auto"/>
                <w:sz w:val="24"/>
                <w:vertAlign w:val="superscript"/>
                <w:lang w:val="zh-CN"/>
              </w:rPr>
              <w:t>3</w:t>
            </w:r>
            <w:r>
              <w:rPr>
                <w:rFonts w:hint="default" w:ascii="Times New Roman" w:hAnsi="Times New Roman" w:eastAsia="宋体" w:cs="Times New Roman"/>
                <w:color w:val="auto"/>
                <w:sz w:val="24"/>
                <w:lang w:val="zh-CN"/>
              </w:rPr>
              <w:t>、30.0μg/m</w:t>
            </w:r>
            <w:r>
              <w:rPr>
                <w:rFonts w:hint="default" w:ascii="Times New Roman" w:hAnsi="Times New Roman" w:eastAsia="宋体" w:cs="Times New Roman"/>
                <w:color w:val="auto"/>
                <w:sz w:val="24"/>
                <w:vertAlign w:val="superscript"/>
                <w:lang w:val="zh-CN"/>
              </w:rPr>
              <w:t>3</w:t>
            </w:r>
            <w:r>
              <w:rPr>
                <w:rFonts w:hint="default" w:ascii="Times New Roman" w:hAnsi="Times New Roman" w:eastAsia="宋体" w:cs="Times New Roman"/>
                <w:color w:val="auto"/>
                <w:sz w:val="24"/>
                <w:lang w:val="zh-CN"/>
              </w:rPr>
              <w:t>、1.0mg/m</w:t>
            </w:r>
            <w:r>
              <w:rPr>
                <w:rFonts w:hint="default" w:ascii="Times New Roman" w:hAnsi="Times New Roman" w:eastAsia="宋体" w:cs="Times New Roman"/>
                <w:color w:val="auto"/>
                <w:sz w:val="24"/>
                <w:vertAlign w:val="superscript"/>
                <w:lang w:val="zh-CN"/>
              </w:rPr>
              <w:t>3</w:t>
            </w:r>
            <w:r>
              <w:rPr>
                <w:rFonts w:hint="default" w:ascii="Times New Roman" w:hAnsi="Times New Roman" w:eastAsia="宋体" w:cs="Times New Roman"/>
                <w:color w:val="auto"/>
                <w:sz w:val="24"/>
                <w:lang w:val="zh-CN"/>
              </w:rPr>
              <w:t>和144.4μg/m</w:t>
            </w:r>
            <w:r>
              <w:rPr>
                <w:rFonts w:hint="default" w:ascii="Times New Roman" w:hAnsi="Times New Roman" w:eastAsia="宋体" w:cs="Times New Roman"/>
                <w:color w:val="auto"/>
                <w:sz w:val="24"/>
                <w:vertAlign w:val="superscript"/>
                <w:lang w:val="zh-CN"/>
              </w:rPr>
              <w:t>3</w:t>
            </w:r>
            <w:r>
              <w:rPr>
                <w:rFonts w:hint="default" w:ascii="Times New Roman" w:hAnsi="Times New Roman" w:eastAsia="宋体" w:cs="Times New Roman"/>
                <w:color w:val="auto"/>
                <w:sz w:val="24"/>
                <w:lang w:val="zh-CN"/>
              </w:rPr>
              <w:t>。同比SO</w:t>
            </w:r>
            <w:r>
              <w:rPr>
                <w:rFonts w:hint="default" w:ascii="Times New Roman" w:hAnsi="Times New Roman" w:eastAsia="宋体" w:cs="Times New Roman"/>
                <w:color w:val="auto"/>
                <w:sz w:val="24"/>
                <w:vertAlign w:val="subscript"/>
                <w:lang w:val="zh-CN"/>
              </w:rPr>
              <w:t>2</w:t>
            </w:r>
            <w:r>
              <w:rPr>
                <w:rFonts w:hint="default" w:ascii="Times New Roman" w:hAnsi="Times New Roman" w:eastAsia="宋体" w:cs="Times New Roman"/>
                <w:color w:val="auto"/>
                <w:sz w:val="24"/>
                <w:lang w:val="zh-CN"/>
              </w:rPr>
              <w:t>、PM</w:t>
            </w:r>
            <w:r>
              <w:rPr>
                <w:rFonts w:hint="default" w:ascii="Times New Roman" w:hAnsi="Times New Roman" w:eastAsia="宋体" w:cs="Times New Roman"/>
                <w:color w:val="auto"/>
                <w:sz w:val="24"/>
                <w:vertAlign w:val="subscript"/>
                <w:lang w:val="zh-CN"/>
              </w:rPr>
              <w:t>10</w:t>
            </w:r>
            <w:r>
              <w:rPr>
                <w:rFonts w:hint="default" w:ascii="Times New Roman" w:hAnsi="Times New Roman" w:eastAsia="宋体" w:cs="Times New Roman"/>
                <w:color w:val="auto"/>
                <w:sz w:val="24"/>
                <w:lang w:val="zh-CN"/>
              </w:rPr>
              <w:t>和O</w:t>
            </w:r>
            <w:r>
              <w:rPr>
                <w:rFonts w:hint="default" w:ascii="Times New Roman" w:hAnsi="Times New Roman" w:eastAsia="宋体" w:cs="Times New Roman"/>
                <w:color w:val="auto"/>
                <w:sz w:val="24"/>
                <w:vertAlign w:val="subscript"/>
                <w:lang w:val="zh-CN"/>
              </w:rPr>
              <w:t>3</w:t>
            </w:r>
            <w:r>
              <w:rPr>
                <w:rFonts w:hint="default" w:ascii="Times New Roman" w:hAnsi="Times New Roman" w:eastAsia="宋体" w:cs="Times New Roman"/>
                <w:color w:val="auto"/>
                <w:sz w:val="24"/>
                <w:lang w:val="zh-CN"/>
              </w:rPr>
              <w:t>浓度分别下降了21.4%、4.3%和1.1%，NO</w:t>
            </w:r>
            <w:r>
              <w:rPr>
                <w:rFonts w:hint="default" w:ascii="Times New Roman" w:hAnsi="Times New Roman" w:eastAsia="宋体" w:cs="Times New Roman"/>
                <w:color w:val="auto"/>
                <w:sz w:val="24"/>
                <w:vertAlign w:val="subscript"/>
                <w:lang w:val="zh-CN"/>
              </w:rPr>
              <w:t>2</w:t>
            </w:r>
            <w:r>
              <w:rPr>
                <w:rFonts w:hint="default" w:ascii="Times New Roman" w:hAnsi="Times New Roman" w:eastAsia="宋体" w:cs="Times New Roman"/>
                <w:color w:val="auto"/>
                <w:sz w:val="24"/>
                <w:lang w:val="zh-CN"/>
              </w:rPr>
              <w:t>、PM</w:t>
            </w:r>
            <w:r>
              <w:rPr>
                <w:rFonts w:hint="default" w:ascii="Times New Roman" w:hAnsi="Times New Roman" w:eastAsia="宋体" w:cs="Times New Roman"/>
                <w:color w:val="auto"/>
                <w:sz w:val="24"/>
                <w:vertAlign w:val="subscript"/>
                <w:lang w:val="zh-CN"/>
              </w:rPr>
              <w:t>2.5</w:t>
            </w:r>
            <w:r>
              <w:rPr>
                <w:rFonts w:hint="default" w:ascii="Times New Roman" w:hAnsi="Times New Roman" w:eastAsia="宋体" w:cs="Times New Roman"/>
                <w:color w:val="auto"/>
                <w:sz w:val="24"/>
                <w:lang w:val="zh-CN"/>
              </w:rPr>
              <w:t>和CO浓度分别上升了22.4%、0.7%和11.1%。</w:t>
            </w:r>
            <w:bookmarkStart w:id="2" w:name="_Hlk167290975"/>
            <w:r>
              <w:rPr>
                <w:rFonts w:hint="default" w:ascii="Times New Roman" w:hAnsi="Times New Roman" w:eastAsia="宋体" w:cs="Times New Roman"/>
                <w:bCs/>
                <w:color w:val="auto"/>
                <w:sz w:val="24"/>
              </w:rPr>
              <w:t>具体见下表</w:t>
            </w:r>
            <w:r>
              <w:rPr>
                <w:rFonts w:hint="eastAsia" w:ascii="Times New Roman" w:hAnsi="Times New Roman" w:eastAsia="宋体" w:cs="Times New Roman"/>
                <w:color w:val="auto"/>
                <w:kern w:val="0"/>
                <w:sz w:val="24"/>
              </w:rPr>
              <w:t>：</w:t>
            </w:r>
          </w:p>
          <w:bookmarkEnd w:id="2"/>
          <w:p w14:paraId="2215E075">
            <w:pPr>
              <w:keepNext w:val="0"/>
              <w:keepLines w:val="0"/>
              <w:suppressLineNumbers w:val="0"/>
              <w:spacing w:before="120" w:beforeLines="50" w:beforeAutospacing="0" w:after="0" w:afterAutospacing="0" w:line="240" w:lineRule="auto"/>
              <w:ind w:left="0" w:right="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表3-</w:t>
            </w:r>
            <w:r>
              <w:rPr>
                <w:rFonts w:hint="eastAsia" w:ascii="Times New Roman" w:hAnsi="Times New Roman" w:eastAsia="宋体" w:cs="Times New Roman"/>
                <w:b/>
                <w:color w:val="auto"/>
                <w:sz w:val="21"/>
                <w:szCs w:val="21"/>
                <w:lang w:val="en-US" w:eastAsia="zh-CN"/>
              </w:rPr>
              <w:t>1</w:t>
            </w:r>
            <w:r>
              <w:rPr>
                <w:rFonts w:hint="eastAsia" w:ascii="Times New Roman" w:hAnsi="Times New Roman" w:eastAsia="宋体" w:cs="Times New Roman"/>
                <w:b/>
                <w:color w:val="auto"/>
                <w:sz w:val="21"/>
                <w:szCs w:val="21"/>
                <w:lang w:eastAsia="zh-CN"/>
              </w:rPr>
              <w:t xml:space="preserve">  区域空气质量现状评价</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1784"/>
              <w:gridCol w:w="1394"/>
              <w:gridCol w:w="1115"/>
              <w:gridCol w:w="1469"/>
              <w:gridCol w:w="1400"/>
            </w:tblGrid>
            <w:tr w14:paraId="07E92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noWrap w:val="0"/>
                  <w:vAlign w:val="center"/>
                </w:tcPr>
                <w:p w14:paraId="3EDD699A">
                  <w:pPr>
                    <w:pStyle w:val="73"/>
                    <w:keepNext w:val="0"/>
                    <w:keepLines w:val="0"/>
                    <w:widowControl/>
                    <w:suppressLineNumbers w:val="0"/>
                    <w:spacing w:before="0" w:beforeLines="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污染物</w:t>
                  </w:r>
                </w:p>
              </w:tc>
              <w:tc>
                <w:tcPr>
                  <w:tcW w:w="1070" w:type="pct"/>
                  <w:noWrap w:val="0"/>
                  <w:vAlign w:val="center"/>
                </w:tcPr>
                <w:p w14:paraId="3FD35BA0">
                  <w:pPr>
                    <w:pStyle w:val="73"/>
                    <w:keepNext w:val="0"/>
                    <w:keepLines w:val="0"/>
                    <w:widowControl/>
                    <w:suppressLineNumbers w:val="0"/>
                    <w:spacing w:before="0" w:beforeLines="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评价指标</w:t>
                  </w:r>
                </w:p>
              </w:tc>
              <w:tc>
                <w:tcPr>
                  <w:tcW w:w="836" w:type="pct"/>
                  <w:noWrap w:val="0"/>
                  <w:vAlign w:val="center"/>
                </w:tcPr>
                <w:p w14:paraId="3E761DDC">
                  <w:pPr>
                    <w:pStyle w:val="73"/>
                    <w:keepNext w:val="0"/>
                    <w:keepLines w:val="0"/>
                    <w:widowControl/>
                    <w:suppressLineNumbers w:val="0"/>
                    <w:spacing w:before="0" w:beforeLines="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现状浓度</w:t>
                  </w:r>
                </w:p>
              </w:tc>
              <w:tc>
                <w:tcPr>
                  <w:tcW w:w="669" w:type="pct"/>
                  <w:noWrap w:val="0"/>
                  <w:vAlign w:val="center"/>
                </w:tcPr>
                <w:p w14:paraId="3B5AC1F4">
                  <w:pPr>
                    <w:pStyle w:val="73"/>
                    <w:keepNext w:val="0"/>
                    <w:keepLines w:val="0"/>
                    <w:widowControl/>
                    <w:suppressLineNumbers w:val="0"/>
                    <w:spacing w:before="0" w:beforeLines="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881" w:type="pct"/>
                  <w:noWrap w:val="0"/>
                  <w:vAlign w:val="center"/>
                </w:tcPr>
                <w:p w14:paraId="49BD1460">
                  <w:pPr>
                    <w:pStyle w:val="73"/>
                    <w:keepNext w:val="0"/>
                    <w:keepLines w:val="0"/>
                    <w:widowControl/>
                    <w:suppressLineNumbers w:val="0"/>
                    <w:spacing w:before="0" w:beforeLines="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占标率</w:t>
                  </w:r>
                  <w:r>
                    <w:rPr>
                      <w:rFonts w:hint="default" w:ascii="Times New Roman" w:hAnsi="Times New Roman" w:eastAsia="宋体" w:cs="Times New Roman"/>
                      <w:color w:val="auto"/>
                      <w:sz w:val="21"/>
                      <w:szCs w:val="21"/>
                      <w:lang w:val="en-US" w:eastAsia="zh-CN"/>
                    </w:rPr>
                    <w:t>/%</w:t>
                  </w:r>
                </w:p>
              </w:tc>
              <w:tc>
                <w:tcPr>
                  <w:tcW w:w="836" w:type="pct"/>
                  <w:noWrap w:val="0"/>
                  <w:vAlign w:val="center"/>
                </w:tcPr>
                <w:p w14:paraId="30E1A6F7">
                  <w:pPr>
                    <w:pStyle w:val="73"/>
                    <w:keepNext w:val="0"/>
                    <w:keepLines w:val="0"/>
                    <w:widowControl/>
                    <w:suppressLineNumbers w:val="0"/>
                    <w:spacing w:before="0" w:beforeLines="0" w:beforeAutospacing="0" w:after="0" w:afterAutospacing="0"/>
                    <w:ind w:left="0" w:right="0"/>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color w:val="auto"/>
                      <w:sz w:val="21"/>
                      <w:szCs w:val="21"/>
                    </w:rPr>
                    <w:t>达标情况</w:t>
                  </w:r>
                </w:p>
              </w:tc>
            </w:tr>
            <w:tr w14:paraId="6DB85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noWrap w:val="0"/>
                  <w:vAlign w:val="center"/>
                </w:tcPr>
                <w:p w14:paraId="0E1A4A9C">
                  <w:pPr>
                    <w:pStyle w:val="49"/>
                    <w:keepNext w:val="0"/>
                    <w:keepLines w:val="0"/>
                    <w:suppressLineNumbers w:val="0"/>
                    <w:adjustRightInd/>
                    <w:snapToGrid/>
                    <w:spacing w:before="0" w:beforeLines="0" w:beforeAutospacing="0" w:after="0" w:afterLines="0" w:afterAutospacing="0" w:line="240" w:lineRule="auto"/>
                    <w:ind w:left="0" w:right="0"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SO</w:t>
                  </w:r>
                  <w:r>
                    <w:rPr>
                      <w:rFonts w:hint="default" w:ascii="Times New Roman" w:hAnsi="Times New Roman" w:cs="Times New Roman"/>
                      <w:color w:val="auto"/>
                      <w:kern w:val="2"/>
                      <w:sz w:val="21"/>
                      <w:szCs w:val="21"/>
                      <w:vertAlign w:val="subscript"/>
                    </w:rPr>
                    <w:t>2</w:t>
                  </w:r>
                </w:p>
              </w:tc>
              <w:tc>
                <w:tcPr>
                  <w:tcW w:w="1070" w:type="pct"/>
                  <w:noWrap w:val="0"/>
                  <w:vAlign w:val="center"/>
                </w:tcPr>
                <w:p w14:paraId="4253FE13">
                  <w:pPr>
                    <w:pStyle w:val="73"/>
                    <w:keepNext w:val="0"/>
                    <w:keepLines w:val="0"/>
                    <w:widowControl/>
                    <w:suppressLineNumbers w:val="0"/>
                    <w:spacing w:before="0" w:beforeLines="0" w:beforeAutospacing="0" w:after="0" w:afterAutospacing="0"/>
                    <w:ind w:left="0" w:right="0"/>
                    <w:rPr>
                      <w:rFonts w:hint="default" w:ascii="Times New Roman" w:hAnsi="Times New Roman" w:eastAsia="宋体" w:cs="Times New Roman"/>
                      <w:b w:val="0"/>
                      <w:bCs w:val="0"/>
                      <w:snapToGrid/>
                      <w:color w:val="auto"/>
                      <w:kern w:val="2"/>
                      <w:sz w:val="21"/>
                      <w:szCs w:val="21"/>
                      <w:lang w:val="en-US" w:eastAsia="zh-CN" w:bidi="ar-SA"/>
                    </w:rPr>
                  </w:pPr>
                  <w:r>
                    <w:rPr>
                      <w:rFonts w:hint="default" w:ascii="Times New Roman" w:hAnsi="Times New Roman" w:eastAsia="宋体" w:cs="Times New Roman"/>
                      <w:b w:val="0"/>
                      <w:bCs w:val="0"/>
                      <w:snapToGrid/>
                      <w:color w:val="auto"/>
                      <w:kern w:val="2"/>
                      <w:sz w:val="21"/>
                      <w:szCs w:val="21"/>
                      <w:lang w:val="en-US" w:eastAsia="zh-CN" w:bidi="ar-SA"/>
                    </w:rPr>
                    <w:t>年平均值</w:t>
                  </w:r>
                </w:p>
              </w:tc>
              <w:tc>
                <w:tcPr>
                  <w:tcW w:w="836" w:type="pct"/>
                  <w:noWrap w:val="0"/>
                  <w:vAlign w:val="center"/>
                </w:tcPr>
                <w:p w14:paraId="2ACB0A27">
                  <w:pPr>
                    <w:pStyle w:val="73"/>
                    <w:keepNext w:val="0"/>
                    <w:keepLines w:val="0"/>
                    <w:widowControl/>
                    <w:suppressLineNumbers w:val="0"/>
                    <w:spacing w:before="0" w:beforeLines="0" w:beforeAutospacing="0" w:after="0" w:afterAutospacing="0"/>
                    <w:ind w:left="0" w:right="0"/>
                    <w:rPr>
                      <w:rFonts w:hint="default" w:ascii="Times New Roman" w:hAnsi="Times New Roman" w:eastAsia="宋体" w:cs="Times New Roman"/>
                      <w:b w:val="0"/>
                      <w:bCs w:val="0"/>
                      <w:snapToGrid/>
                      <w:color w:val="auto"/>
                      <w:kern w:val="2"/>
                      <w:sz w:val="21"/>
                      <w:szCs w:val="21"/>
                      <w:lang w:val="en-US" w:eastAsia="zh-CN" w:bidi="ar-SA"/>
                    </w:rPr>
                  </w:pPr>
                  <w:r>
                    <w:rPr>
                      <w:rFonts w:hint="default" w:ascii="Times New Roman" w:hAnsi="Times New Roman" w:eastAsia="宋体" w:cs="Times New Roman"/>
                      <w:b w:val="0"/>
                      <w:bCs w:val="0"/>
                      <w:snapToGrid/>
                      <w:color w:val="auto"/>
                      <w:kern w:val="2"/>
                      <w:sz w:val="21"/>
                      <w:szCs w:val="21"/>
                      <w:lang w:val="en-US" w:eastAsia="zh-CN" w:bidi="ar-SA"/>
                    </w:rPr>
                    <w:t>7.7</w:t>
                  </w:r>
                </w:p>
              </w:tc>
              <w:tc>
                <w:tcPr>
                  <w:tcW w:w="669" w:type="pct"/>
                  <w:noWrap w:val="0"/>
                  <w:vAlign w:val="center"/>
                </w:tcPr>
                <w:p w14:paraId="126366A6">
                  <w:pPr>
                    <w:pStyle w:val="73"/>
                    <w:keepNext w:val="0"/>
                    <w:keepLines w:val="0"/>
                    <w:widowControl/>
                    <w:suppressLineNumbers w:val="0"/>
                    <w:spacing w:before="0" w:beforeLines="0" w:beforeAutospacing="0" w:after="0" w:afterAutospacing="0"/>
                    <w:ind w:left="0" w:right="0"/>
                    <w:rPr>
                      <w:rFonts w:hint="default" w:ascii="Times New Roman" w:hAnsi="Times New Roman" w:eastAsia="宋体" w:cs="Times New Roman"/>
                      <w:b w:val="0"/>
                      <w:bCs w:val="0"/>
                      <w:snapToGrid/>
                      <w:color w:val="auto"/>
                      <w:kern w:val="2"/>
                      <w:sz w:val="21"/>
                      <w:szCs w:val="21"/>
                      <w:lang w:val="en-US" w:eastAsia="zh-CN" w:bidi="ar-SA"/>
                    </w:rPr>
                  </w:pPr>
                  <w:r>
                    <w:rPr>
                      <w:rFonts w:hint="default" w:ascii="Times New Roman" w:hAnsi="Times New Roman" w:eastAsia="宋体" w:cs="Times New Roman"/>
                      <w:b w:val="0"/>
                      <w:bCs w:val="0"/>
                      <w:snapToGrid/>
                      <w:color w:val="auto"/>
                      <w:kern w:val="2"/>
                      <w:sz w:val="21"/>
                      <w:szCs w:val="21"/>
                      <w:lang w:val="en-US" w:eastAsia="zh-CN" w:bidi="ar-SA"/>
                    </w:rPr>
                    <w:t>60</w:t>
                  </w:r>
                </w:p>
              </w:tc>
              <w:tc>
                <w:tcPr>
                  <w:tcW w:w="881" w:type="pct"/>
                  <w:noWrap w:val="0"/>
                  <w:vAlign w:val="center"/>
                </w:tcPr>
                <w:p w14:paraId="4D3C4923">
                  <w:pPr>
                    <w:pStyle w:val="73"/>
                    <w:keepNext w:val="0"/>
                    <w:keepLines w:val="0"/>
                    <w:widowControl/>
                    <w:suppressLineNumbers w:val="0"/>
                    <w:spacing w:before="0" w:beforeLines="0" w:beforeAutospacing="0" w:after="0" w:afterAutospacing="0"/>
                    <w:ind w:left="0" w:right="0"/>
                    <w:rPr>
                      <w:rFonts w:hint="default" w:ascii="Times New Roman" w:hAnsi="Times New Roman" w:eastAsia="宋体" w:cs="Times New Roman"/>
                      <w:b w:val="0"/>
                      <w:bCs w:val="0"/>
                      <w:snapToGrid/>
                      <w:color w:val="auto"/>
                      <w:kern w:val="2"/>
                      <w:sz w:val="21"/>
                      <w:szCs w:val="21"/>
                      <w:lang w:val="en-US" w:eastAsia="zh-CN" w:bidi="ar-SA"/>
                    </w:rPr>
                  </w:pPr>
                  <w:r>
                    <w:rPr>
                      <w:rFonts w:hint="default" w:ascii="Times New Roman" w:hAnsi="Times New Roman" w:eastAsia="宋体" w:cs="Times New Roman"/>
                      <w:b w:val="0"/>
                      <w:bCs w:val="0"/>
                      <w:snapToGrid/>
                      <w:color w:val="auto"/>
                      <w:kern w:val="2"/>
                      <w:sz w:val="21"/>
                      <w:szCs w:val="21"/>
                      <w:lang w:val="en-US" w:eastAsia="zh-CN" w:bidi="ar-SA"/>
                    </w:rPr>
                    <w:t>12.8</w:t>
                  </w:r>
                </w:p>
              </w:tc>
              <w:tc>
                <w:tcPr>
                  <w:tcW w:w="836" w:type="pct"/>
                  <w:noWrap w:val="0"/>
                  <w:vAlign w:val="center"/>
                </w:tcPr>
                <w:p w14:paraId="1E18A37C">
                  <w:pPr>
                    <w:pStyle w:val="73"/>
                    <w:keepNext w:val="0"/>
                    <w:keepLines w:val="0"/>
                    <w:widowControl/>
                    <w:suppressLineNumbers w:val="0"/>
                    <w:spacing w:before="0" w:beforeLines="0" w:beforeAutospacing="0" w:after="0" w:afterAutospacing="0"/>
                    <w:ind w:left="0" w:right="0"/>
                    <w:rPr>
                      <w:rFonts w:hint="default" w:ascii="Times New Roman" w:hAnsi="Times New Roman" w:eastAsia="宋体" w:cs="Times New Roman"/>
                      <w:b w:val="0"/>
                      <w:bCs w:val="0"/>
                      <w:snapToGrid/>
                      <w:color w:val="auto"/>
                      <w:kern w:val="2"/>
                      <w:sz w:val="21"/>
                      <w:szCs w:val="21"/>
                      <w:lang w:val="en-US" w:eastAsia="zh-CN" w:bidi="ar-SA"/>
                    </w:rPr>
                  </w:pPr>
                  <w:r>
                    <w:rPr>
                      <w:rFonts w:hint="default" w:ascii="Times New Roman" w:hAnsi="Times New Roman" w:eastAsia="宋体" w:cs="Times New Roman"/>
                      <w:b w:val="0"/>
                      <w:bCs w:val="0"/>
                      <w:snapToGrid/>
                      <w:color w:val="auto"/>
                      <w:kern w:val="2"/>
                      <w:sz w:val="21"/>
                      <w:szCs w:val="21"/>
                      <w:lang w:val="en-US" w:eastAsia="zh-CN" w:bidi="ar-SA"/>
                    </w:rPr>
                    <w:t>达标</w:t>
                  </w:r>
                </w:p>
              </w:tc>
            </w:tr>
            <w:tr w14:paraId="097F4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noWrap w:val="0"/>
                  <w:vAlign w:val="center"/>
                </w:tcPr>
                <w:p w14:paraId="7B7A936E">
                  <w:pPr>
                    <w:pStyle w:val="49"/>
                    <w:keepNext w:val="0"/>
                    <w:keepLines w:val="0"/>
                    <w:suppressLineNumbers w:val="0"/>
                    <w:adjustRightInd/>
                    <w:snapToGrid/>
                    <w:spacing w:before="0" w:beforeLines="0" w:beforeAutospacing="0" w:after="0" w:afterLines="0" w:afterAutospacing="0" w:line="240" w:lineRule="auto"/>
                    <w:ind w:left="0" w:right="0"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NO</w:t>
                  </w:r>
                  <w:r>
                    <w:rPr>
                      <w:rFonts w:hint="default" w:ascii="Times New Roman" w:hAnsi="Times New Roman" w:cs="Times New Roman"/>
                      <w:color w:val="auto"/>
                      <w:kern w:val="2"/>
                      <w:sz w:val="21"/>
                      <w:szCs w:val="21"/>
                      <w:vertAlign w:val="subscript"/>
                    </w:rPr>
                    <w:t>2</w:t>
                  </w:r>
                </w:p>
              </w:tc>
              <w:tc>
                <w:tcPr>
                  <w:tcW w:w="1070" w:type="pct"/>
                  <w:noWrap w:val="0"/>
                  <w:vAlign w:val="center"/>
                </w:tcPr>
                <w:p w14:paraId="3013E3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年</w:t>
                  </w:r>
                  <w:r>
                    <w:rPr>
                      <w:rFonts w:hint="default" w:ascii="Times New Roman" w:hAnsi="Times New Roman" w:eastAsia="宋体" w:cs="Times New Roman"/>
                      <w:color w:val="auto"/>
                      <w:kern w:val="2"/>
                      <w:sz w:val="21"/>
                      <w:szCs w:val="21"/>
                    </w:rPr>
                    <w:t>平均值</w:t>
                  </w:r>
                </w:p>
              </w:tc>
              <w:tc>
                <w:tcPr>
                  <w:tcW w:w="836" w:type="pct"/>
                  <w:noWrap w:val="0"/>
                  <w:vAlign w:val="center"/>
                </w:tcPr>
                <w:p w14:paraId="1ECCD7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24.6</w:t>
                  </w:r>
                </w:p>
              </w:tc>
              <w:tc>
                <w:tcPr>
                  <w:tcW w:w="669" w:type="pct"/>
                  <w:noWrap w:val="0"/>
                  <w:vAlign w:val="center"/>
                </w:tcPr>
                <w:p w14:paraId="0294CA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40</w:t>
                  </w:r>
                </w:p>
              </w:tc>
              <w:tc>
                <w:tcPr>
                  <w:tcW w:w="881" w:type="pct"/>
                  <w:noWrap w:val="0"/>
                  <w:vAlign w:val="center"/>
                </w:tcPr>
                <w:p w14:paraId="7548D0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61.5</w:t>
                  </w:r>
                </w:p>
              </w:tc>
              <w:tc>
                <w:tcPr>
                  <w:tcW w:w="836" w:type="pct"/>
                  <w:noWrap w:val="0"/>
                  <w:vAlign w:val="center"/>
                </w:tcPr>
                <w:p w14:paraId="788DB8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达标</w:t>
                  </w:r>
                </w:p>
              </w:tc>
            </w:tr>
            <w:tr w14:paraId="0BC3D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noWrap w:val="0"/>
                  <w:vAlign w:val="center"/>
                </w:tcPr>
                <w:p w14:paraId="67EB1CE7">
                  <w:pPr>
                    <w:pStyle w:val="49"/>
                    <w:keepNext w:val="0"/>
                    <w:keepLines w:val="0"/>
                    <w:suppressLineNumbers w:val="0"/>
                    <w:adjustRightInd/>
                    <w:snapToGrid/>
                    <w:spacing w:before="0" w:beforeLines="0" w:beforeAutospacing="0" w:after="0" w:afterLines="0" w:afterAutospacing="0" w:line="240" w:lineRule="auto"/>
                    <w:ind w:left="0" w:right="0"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PM</w:t>
                  </w:r>
                  <w:r>
                    <w:rPr>
                      <w:rFonts w:hint="default" w:ascii="Times New Roman" w:hAnsi="Times New Roman" w:cs="Times New Roman"/>
                      <w:color w:val="auto"/>
                      <w:kern w:val="2"/>
                      <w:sz w:val="21"/>
                      <w:szCs w:val="21"/>
                      <w:vertAlign w:val="subscript"/>
                    </w:rPr>
                    <w:t>10</w:t>
                  </w:r>
                </w:p>
              </w:tc>
              <w:tc>
                <w:tcPr>
                  <w:tcW w:w="1070" w:type="pct"/>
                  <w:noWrap w:val="0"/>
                  <w:vAlign w:val="center"/>
                </w:tcPr>
                <w:p w14:paraId="5B1893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年</w:t>
                  </w:r>
                  <w:r>
                    <w:rPr>
                      <w:rFonts w:hint="default" w:ascii="Times New Roman" w:hAnsi="Times New Roman" w:eastAsia="宋体" w:cs="Times New Roman"/>
                      <w:color w:val="auto"/>
                      <w:kern w:val="2"/>
                      <w:sz w:val="21"/>
                      <w:szCs w:val="21"/>
                    </w:rPr>
                    <w:t>平均值</w:t>
                  </w:r>
                </w:p>
              </w:tc>
              <w:tc>
                <w:tcPr>
                  <w:tcW w:w="836" w:type="pct"/>
                  <w:noWrap w:val="0"/>
                  <w:vAlign w:val="center"/>
                </w:tcPr>
                <w:p w14:paraId="76A7AD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51.7</w:t>
                  </w:r>
                </w:p>
              </w:tc>
              <w:tc>
                <w:tcPr>
                  <w:tcW w:w="669" w:type="pct"/>
                  <w:noWrap w:val="0"/>
                  <w:vAlign w:val="center"/>
                </w:tcPr>
                <w:p w14:paraId="1C939B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70</w:t>
                  </w:r>
                </w:p>
              </w:tc>
              <w:tc>
                <w:tcPr>
                  <w:tcW w:w="881" w:type="pct"/>
                  <w:noWrap w:val="0"/>
                  <w:vAlign w:val="center"/>
                </w:tcPr>
                <w:p w14:paraId="6CB4C3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73.9</w:t>
                  </w:r>
                </w:p>
              </w:tc>
              <w:tc>
                <w:tcPr>
                  <w:tcW w:w="836" w:type="pct"/>
                  <w:noWrap w:val="0"/>
                  <w:vAlign w:val="center"/>
                </w:tcPr>
                <w:p w14:paraId="5C91EF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达标</w:t>
                  </w:r>
                </w:p>
              </w:tc>
            </w:tr>
            <w:tr w14:paraId="4C377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noWrap w:val="0"/>
                  <w:vAlign w:val="center"/>
                </w:tcPr>
                <w:p w14:paraId="2249B790">
                  <w:pPr>
                    <w:pStyle w:val="49"/>
                    <w:keepNext w:val="0"/>
                    <w:keepLines w:val="0"/>
                    <w:suppressLineNumbers w:val="0"/>
                    <w:adjustRightInd/>
                    <w:snapToGrid/>
                    <w:spacing w:before="0" w:beforeLines="0" w:beforeAutospacing="0" w:after="0" w:afterLines="0" w:afterAutospacing="0" w:line="240" w:lineRule="auto"/>
                    <w:ind w:left="0" w:right="0"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PM</w:t>
                  </w:r>
                  <w:r>
                    <w:rPr>
                      <w:rFonts w:hint="default" w:ascii="Times New Roman" w:hAnsi="Times New Roman" w:cs="Times New Roman"/>
                      <w:color w:val="auto"/>
                      <w:kern w:val="2"/>
                      <w:sz w:val="21"/>
                      <w:szCs w:val="21"/>
                      <w:vertAlign w:val="subscript"/>
                    </w:rPr>
                    <w:t>2.5</w:t>
                  </w:r>
                </w:p>
              </w:tc>
              <w:tc>
                <w:tcPr>
                  <w:tcW w:w="1070" w:type="pct"/>
                  <w:noWrap w:val="0"/>
                  <w:vAlign w:val="center"/>
                </w:tcPr>
                <w:p w14:paraId="72E8B3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年</w:t>
                  </w:r>
                  <w:r>
                    <w:rPr>
                      <w:rFonts w:hint="default" w:ascii="Times New Roman" w:hAnsi="Times New Roman" w:eastAsia="宋体" w:cs="Times New Roman"/>
                      <w:color w:val="auto"/>
                      <w:kern w:val="2"/>
                      <w:sz w:val="21"/>
                      <w:szCs w:val="21"/>
                    </w:rPr>
                    <w:t>平均值</w:t>
                  </w:r>
                </w:p>
              </w:tc>
              <w:tc>
                <w:tcPr>
                  <w:tcW w:w="836" w:type="pct"/>
                  <w:noWrap w:val="0"/>
                  <w:vAlign w:val="center"/>
                </w:tcPr>
                <w:p w14:paraId="0C5C42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30.0</w:t>
                  </w:r>
                </w:p>
              </w:tc>
              <w:tc>
                <w:tcPr>
                  <w:tcW w:w="669" w:type="pct"/>
                  <w:noWrap w:val="0"/>
                  <w:vAlign w:val="center"/>
                </w:tcPr>
                <w:p w14:paraId="7EDD98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35</w:t>
                  </w:r>
                </w:p>
              </w:tc>
              <w:tc>
                <w:tcPr>
                  <w:tcW w:w="881" w:type="pct"/>
                  <w:noWrap w:val="0"/>
                  <w:vAlign w:val="center"/>
                </w:tcPr>
                <w:p w14:paraId="51DBC5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85.7</w:t>
                  </w:r>
                </w:p>
              </w:tc>
              <w:tc>
                <w:tcPr>
                  <w:tcW w:w="836" w:type="pct"/>
                  <w:noWrap w:val="0"/>
                  <w:vAlign w:val="center"/>
                </w:tcPr>
                <w:p w14:paraId="618D01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达标</w:t>
                  </w:r>
                </w:p>
              </w:tc>
            </w:tr>
            <w:tr w14:paraId="1AAC9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noWrap w:val="0"/>
                  <w:vAlign w:val="center"/>
                </w:tcPr>
                <w:p w14:paraId="039B736A">
                  <w:pPr>
                    <w:pStyle w:val="49"/>
                    <w:keepNext w:val="0"/>
                    <w:keepLines w:val="0"/>
                    <w:suppressLineNumbers w:val="0"/>
                    <w:adjustRightInd/>
                    <w:snapToGrid/>
                    <w:spacing w:before="0" w:beforeLines="0" w:beforeAutospacing="0" w:after="0" w:afterLines="0" w:afterAutospacing="0" w:line="240" w:lineRule="auto"/>
                    <w:ind w:left="0" w:right="0"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CO</w:t>
                  </w:r>
                </w:p>
              </w:tc>
              <w:tc>
                <w:tcPr>
                  <w:tcW w:w="1070" w:type="pct"/>
                  <w:noWrap w:val="0"/>
                  <w:vAlign w:val="center"/>
                </w:tcPr>
                <w:p w14:paraId="64C2EF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日均值</w:t>
                  </w:r>
                </w:p>
              </w:tc>
              <w:tc>
                <w:tcPr>
                  <w:tcW w:w="836" w:type="pct"/>
                  <w:noWrap w:val="0"/>
                  <w:vAlign w:val="center"/>
                </w:tcPr>
                <w:p w14:paraId="26861A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1000</w:t>
                  </w:r>
                </w:p>
              </w:tc>
              <w:tc>
                <w:tcPr>
                  <w:tcW w:w="669" w:type="pct"/>
                  <w:noWrap w:val="0"/>
                  <w:vAlign w:val="center"/>
                </w:tcPr>
                <w:p w14:paraId="665397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4</w:t>
                  </w:r>
                  <w:r>
                    <w:rPr>
                      <w:rFonts w:hint="default" w:ascii="Times New Roman" w:hAnsi="Times New Roman" w:eastAsia="宋体" w:cs="Times New Roman"/>
                      <w:color w:val="auto"/>
                      <w:kern w:val="2"/>
                      <w:sz w:val="21"/>
                      <w:szCs w:val="21"/>
                      <w:lang w:val="en-US" w:eastAsia="zh-CN"/>
                    </w:rPr>
                    <w:t>000</w:t>
                  </w:r>
                </w:p>
              </w:tc>
              <w:tc>
                <w:tcPr>
                  <w:tcW w:w="881" w:type="pct"/>
                  <w:noWrap w:val="0"/>
                  <w:vAlign w:val="center"/>
                </w:tcPr>
                <w:p w14:paraId="2EC8E7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25</w:t>
                  </w:r>
                </w:p>
              </w:tc>
              <w:tc>
                <w:tcPr>
                  <w:tcW w:w="836" w:type="pct"/>
                  <w:noWrap w:val="0"/>
                  <w:vAlign w:val="center"/>
                </w:tcPr>
                <w:p w14:paraId="72C4C0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达标</w:t>
                  </w:r>
                </w:p>
              </w:tc>
            </w:tr>
            <w:tr w14:paraId="13C946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noWrap w:val="0"/>
                  <w:vAlign w:val="center"/>
                </w:tcPr>
                <w:p w14:paraId="2B5E6D1B">
                  <w:pPr>
                    <w:pStyle w:val="49"/>
                    <w:keepNext w:val="0"/>
                    <w:keepLines w:val="0"/>
                    <w:suppressLineNumbers w:val="0"/>
                    <w:adjustRightInd/>
                    <w:snapToGrid/>
                    <w:spacing w:before="0" w:beforeLines="0" w:beforeAutospacing="0" w:after="0" w:afterLines="0" w:afterAutospacing="0" w:line="240" w:lineRule="auto"/>
                    <w:ind w:left="0" w:right="0"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O</w:t>
                  </w:r>
                  <w:r>
                    <w:rPr>
                      <w:rFonts w:hint="default" w:ascii="Times New Roman" w:hAnsi="Times New Roman" w:cs="Times New Roman"/>
                      <w:color w:val="auto"/>
                      <w:kern w:val="2"/>
                      <w:sz w:val="21"/>
                      <w:szCs w:val="21"/>
                      <w:vertAlign w:val="subscript"/>
                    </w:rPr>
                    <w:t>3</w:t>
                  </w:r>
                </w:p>
              </w:tc>
              <w:tc>
                <w:tcPr>
                  <w:tcW w:w="1070" w:type="pct"/>
                  <w:noWrap w:val="0"/>
                  <w:vAlign w:val="center"/>
                </w:tcPr>
                <w:p w14:paraId="4DD28D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8小时均值</w:t>
                  </w:r>
                </w:p>
              </w:tc>
              <w:tc>
                <w:tcPr>
                  <w:tcW w:w="836" w:type="pct"/>
                  <w:noWrap w:val="0"/>
                  <w:vAlign w:val="center"/>
                </w:tcPr>
                <w:p w14:paraId="640F8E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144.4</w:t>
                  </w:r>
                </w:p>
              </w:tc>
              <w:tc>
                <w:tcPr>
                  <w:tcW w:w="669" w:type="pct"/>
                  <w:noWrap w:val="0"/>
                  <w:vAlign w:val="center"/>
                </w:tcPr>
                <w:p w14:paraId="03D82B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160</w:t>
                  </w:r>
                </w:p>
              </w:tc>
              <w:tc>
                <w:tcPr>
                  <w:tcW w:w="881" w:type="pct"/>
                  <w:noWrap w:val="0"/>
                  <w:vAlign w:val="center"/>
                </w:tcPr>
                <w:p w14:paraId="2CBEC9D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90.25</w:t>
                  </w:r>
                </w:p>
              </w:tc>
              <w:tc>
                <w:tcPr>
                  <w:tcW w:w="836" w:type="pct"/>
                  <w:noWrap w:val="0"/>
                  <w:vAlign w:val="center"/>
                </w:tcPr>
                <w:p w14:paraId="079197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达标</w:t>
                  </w:r>
                </w:p>
              </w:tc>
            </w:tr>
            <w:tr w14:paraId="63429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noWrap w:val="0"/>
                  <w:vAlign w:val="center"/>
                </w:tcPr>
                <w:p w14:paraId="6FEF79A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臭氧月平均值为日最大8小时平均浓度值第90百分位数，一氧化碳月平均值为每日平均浓度值第 95 百分位数。</w:t>
                  </w:r>
                </w:p>
              </w:tc>
            </w:tr>
          </w:tbl>
          <w:p w14:paraId="212D8FED">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bCs/>
                <w:color w:val="auto"/>
              </w:rPr>
            </w:pPr>
            <w:r>
              <w:rPr>
                <w:rFonts w:hint="eastAsia" w:ascii="TimesNewRoman" w:hAnsi="TimesNewRoman" w:eastAsia="宋体" w:cs="Times New Roman"/>
                <w:color w:val="auto"/>
                <w:kern w:val="0"/>
                <w:sz w:val="24"/>
                <w:szCs w:val="24"/>
                <w:lang w:val="en-US" w:eastAsia="zh-CN" w:bidi="ar-SA"/>
              </w:rPr>
              <w:t>本项目位于遂宁市蓬溪县境内，</w:t>
            </w:r>
            <w:r>
              <w:rPr>
                <w:rFonts w:hint="default" w:ascii="TimesNewRoman" w:hAnsi="TimesNewRoman" w:eastAsia="宋体" w:cs="Times New Roman"/>
                <w:color w:val="auto"/>
                <w:kern w:val="0"/>
                <w:sz w:val="24"/>
                <w:szCs w:val="24"/>
                <w:lang w:val="en-US" w:eastAsia="zh-CN" w:bidi="ar-SA"/>
              </w:rPr>
              <w:t>由上表可知，项目所在</w:t>
            </w:r>
            <w:r>
              <w:rPr>
                <w:rFonts w:hint="eastAsia" w:ascii="TimesNewRoman" w:hAnsi="TimesNewRoman" w:eastAsia="宋体" w:cs="Times New Roman"/>
                <w:color w:val="auto"/>
                <w:kern w:val="0"/>
                <w:sz w:val="24"/>
                <w:szCs w:val="24"/>
                <w:lang w:val="zh-CN" w:eastAsia="zh-CN" w:bidi="ar-SA"/>
              </w:rPr>
              <w:t>区域</w:t>
            </w:r>
            <w:r>
              <w:rPr>
                <w:rFonts w:hint="default" w:ascii="TimesNewRoman" w:hAnsi="TimesNewRoman" w:eastAsia="宋体" w:cs="Times New Roman"/>
                <w:color w:val="auto"/>
                <w:kern w:val="0"/>
                <w:sz w:val="24"/>
                <w:szCs w:val="24"/>
                <w:lang w:val="en-US" w:eastAsia="zh-CN" w:bidi="ar-SA"/>
              </w:rPr>
              <w:t>环境空气中六项基本污染物均达《环境空气质量标准》（GB3095-2012）二级标准，因此项目所在区域环境空气质量达标，为达标区。</w:t>
            </w:r>
          </w:p>
          <w:p w14:paraId="24C9FC59">
            <w:pPr>
              <w:keepNext w:val="0"/>
              <w:keepLines w:val="0"/>
              <w:suppressLineNumbers w:val="0"/>
              <w:adjustRightInd w:val="0"/>
              <w:snapToGrid w:val="0"/>
              <w:spacing w:before="0" w:beforeAutospacing="0" w:after="0" w:afterAutospacing="0"/>
              <w:ind w:left="0" w:right="0"/>
              <w:rPr>
                <w:rFonts w:hint="default" w:ascii="Times New Roman" w:hAnsi="Times New Roman" w:cs="宋体"/>
                <w:b/>
                <w:bCs/>
                <w:color w:val="auto"/>
                <w:kern w:val="0"/>
              </w:rPr>
            </w:pPr>
            <w:r>
              <w:rPr>
                <w:rFonts w:hint="eastAsia" w:ascii="Times New Roman" w:hAnsi="Times New Roman" w:cs="宋体"/>
                <w:b/>
                <w:bCs/>
                <w:color w:val="auto"/>
                <w:kern w:val="0"/>
              </w:rPr>
              <w:t>2、其他污染物补充监测</w:t>
            </w:r>
          </w:p>
          <w:p w14:paraId="154702F0">
            <w:pPr>
              <w:keepNext w:val="0"/>
              <w:keepLines w:val="0"/>
              <w:suppressLineNumbers w:val="0"/>
              <w:overflowPunct w:val="0"/>
              <w:autoSpaceDE w:val="0"/>
              <w:autoSpaceDN w:val="0"/>
              <w:spacing w:before="0" w:beforeAutospacing="0" w:after="0" w:afterAutospacing="0"/>
              <w:ind w:left="0" w:right="0" w:firstLine="480" w:firstLineChars="200"/>
              <w:rPr>
                <w:rFonts w:hint="eastAsia" w:ascii="Times New Roman" w:hAnsi="Times New Roman" w:cs="Times New Roman"/>
                <w:color w:val="auto"/>
              </w:rPr>
            </w:pPr>
            <w:r>
              <w:rPr>
                <w:rFonts w:hint="default" w:ascii="Times New Roman" w:hAnsi="Times New Roman" w:cs="Times New Roman"/>
                <w:color w:val="auto"/>
              </w:rPr>
              <w:t>本项目排放特征污染物主要是颗粒物，</w:t>
            </w:r>
            <w:r>
              <w:rPr>
                <w:rFonts w:hint="eastAsia" w:ascii="Times New Roman" w:hAnsi="Times New Roman" w:cs="Times New Roman"/>
                <w:color w:val="auto"/>
              </w:rPr>
              <w:t>本次评价</w:t>
            </w:r>
            <w:r>
              <w:rPr>
                <w:rFonts w:hint="eastAsia" w:cs="Times New Roman"/>
                <w:color w:val="auto"/>
                <w:lang w:eastAsia="zh-CN"/>
              </w:rPr>
              <w:t>颗粒物</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VOCs</w:t>
            </w:r>
            <w:r>
              <w:rPr>
                <w:rFonts w:hint="eastAsia" w:ascii="Times New Roman" w:hAnsi="Times New Roman" w:cs="Times New Roman"/>
                <w:color w:val="auto"/>
              </w:rPr>
              <w:t>数据引用</w:t>
            </w:r>
            <w:r>
              <w:rPr>
                <w:rFonts w:hint="eastAsia" w:ascii="Times New Roman" w:hAnsi="Times New Roman" w:cs="Times New Roman"/>
                <w:color w:val="auto"/>
                <w:lang w:val="en-US" w:eastAsia="zh-CN"/>
              </w:rPr>
              <w:t>四川乐辰木业有限公司</w:t>
            </w:r>
            <w:r>
              <w:rPr>
                <w:rFonts w:hint="eastAsia" w:ascii="Times New Roman" w:hAnsi="Times New Roman" w:cs="Times New Roman"/>
                <w:color w:val="auto"/>
              </w:rPr>
              <w:t>于202</w:t>
            </w:r>
            <w:r>
              <w:rPr>
                <w:rFonts w:hint="eastAsia" w:ascii="Times New Roman" w:hAnsi="Times New Roman" w:cs="Times New Roman"/>
                <w:color w:val="auto"/>
                <w:lang w:val="en-US" w:eastAsia="zh-CN"/>
              </w:rPr>
              <w:t>4</w:t>
            </w:r>
            <w:r>
              <w:rPr>
                <w:rFonts w:hint="eastAsia" w:ascii="Times New Roman" w:hAnsi="Times New Roman" w:cs="Times New Roman"/>
                <w:color w:val="auto"/>
              </w:rPr>
              <w:t>年</w:t>
            </w:r>
            <w:r>
              <w:rPr>
                <w:rFonts w:hint="eastAsia" w:ascii="Times New Roman" w:hAnsi="Times New Roman" w:cs="Times New Roman"/>
                <w:color w:val="auto"/>
                <w:lang w:val="en-US" w:eastAsia="zh-CN"/>
              </w:rPr>
              <w:t>4</w:t>
            </w:r>
            <w:r>
              <w:rPr>
                <w:rFonts w:hint="eastAsia" w:ascii="Times New Roman" w:hAnsi="Times New Roman" w:cs="Times New Roman"/>
                <w:color w:val="auto"/>
              </w:rPr>
              <w:t>月</w:t>
            </w:r>
            <w:r>
              <w:rPr>
                <w:rFonts w:hint="eastAsia" w:ascii="Times New Roman" w:hAnsi="Times New Roman" w:cs="Times New Roman"/>
                <w:color w:val="auto"/>
                <w:lang w:val="en-US" w:eastAsia="zh-CN"/>
              </w:rPr>
              <w:t>4</w:t>
            </w:r>
            <w:r>
              <w:rPr>
                <w:rFonts w:hint="eastAsia" w:ascii="Times New Roman" w:hAnsi="Times New Roman" w:cs="Times New Roman"/>
                <w:color w:val="auto"/>
              </w:rPr>
              <w:t>日-</w:t>
            </w:r>
            <w:r>
              <w:rPr>
                <w:rFonts w:hint="eastAsia" w:ascii="Times New Roman" w:hAnsi="Times New Roman" w:cs="Times New Roman"/>
                <w:color w:val="auto"/>
                <w:lang w:val="en-US" w:eastAsia="zh-CN"/>
              </w:rPr>
              <w:t>4</w:t>
            </w:r>
            <w:r>
              <w:rPr>
                <w:rFonts w:hint="eastAsia" w:ascii="Times New Roman" w:hAnsi="Times New Roman" w:cs="Times New Roman"/>
                <w:color w:val="auto"/>
              </w:rPr>
              <w:t>月</w:t>
            </w:r>
            <w:r>
              <w:rPr>
                <w:rFonts w:hint="eastAsia" w:ascii="Times New Roman" w:hAnsi="Times New Roman" w:cs="Times New Roman"/>
                <w:color w:val="auto"/>
                <w:lang w:val="en-US" w:eastAsia="zh-CN"/>
              </w:rPr>
              <w:t>10</w:t>
            </w:r>
            <w:r>
              <w:rPr>
                <w:rFonts w:hint="eastAsia" w:ascii="Times New Roman" w:hAnsi="Times New Roman" w:cs="Times New Roman"/>
                <w:color w:val="auto"/>
              </w:rPr>
              <w:t>日的监测报告，</w:t>
            </w:r>
            <w:r>
              <w:rPr>
                <w:rFonts w:hint="eastAsia" w:ascii="Times New Roman" w:hAnsi="Times New Roman" w:cs="Times New Roman"/>
                <w:color w:val="auto"/>
                <w:lang w:val="en-US" w:eastAsia="zh-CN"/>
              </w:rPr>
              <w:t>该</w:t>
            </w:r>
            <w:r>
              <w:rPr>
                <w:rFonts w:hint="eastAsia" w:ascii="Times New Roman" w:hAnsi="Times New Roman" w:cs="Times New Roman"/>
                <w:color w:val="auto"/>
              </w:rPr>
              <w:t>项目</w:t>
            </w:r>
            <w:r>
              <w:rPr>
                <w:rFonts w:hint="eastAsia" w:ascii="Times New Roman" w:hAnsi="Times New Roman" w:cs="Times New Roman"/>
                <w:color w:val="auto"/>
                <w:lang w:val="en-US" w:eastAsia="zh-CN"/>
              </w:rPr>
              <w:t>大气监测点</w:t>
            </w:r>
            <w:r>
              <w:rPr>
                <w:rFonts w:hint="eastAsia" w:ascii="Times New Roman" w:hAnsi="Times New Roman" w:cs="Times New Roman"/>
                <w:color w:val="auto"/>
              </w:rPr>
              <w:t>处于本项目西北侧约1.</w:t>
            </w:r>
            <w:r>
              <w:rPr>
                <w:rFonts w:hint="eastAsia" w:ascii="Times New Roman" w:hAnsi="Times New Roman" w:cs="Times New Roman"/>
                <w:color w:val="auto"/>
                <w:lang w:val="en-US" w:eastAsia="zh-CN"/>
              </w:rPr>
              <w:t>1</w:t>
            </w:r>
            <w:r>
              <w:rPr>
                <w:rFonts w:hint="eastAsia" w:ascii="Times New Roman" w:hAnsi="Times New Roman" w:cs="Times New Roman"/>
                <w:color w:val="auto"/>
              </w:rPr>
              <w:t>km，数据的距离和时效满足《建设项目环境影响报告表编制技术指南（污染影响类）（试行）》的相关要求，监测至今区域污染源未发生较大变化，上述引用数据可以反映本项目区域的环境空气质量现状，引用数据有效。</w:t>
            </w:r>
          </w:p>
          <w:p w14:paraId="64D8FA3D">
            <w:pPr>
              <w:keepNext w:val="0"/>
              <w:keepLines w:val="0"/>
              <w:numPr>
                <w:ilvl w:val="0"/>
                <w:numId w:val="6"/>
              </w:numPr>
              <w:suppressLineNumbers w:val="0"/>
              <w:spacing w:before="0" w:beforeAutospacing="0" w:after="0" w:afterAutospacing="0"/>
              <w:ind w:left="0" w:right="0" w:firstLine="480" w:firstLineChars="200"/>
              <w:jc w:val="left"/>
              <w:rPr>
                <w:rFonts w:hint="eastAsia" w:ascii="Times New Roman" w:hAnsi="Times New Roman" w:cs="Times New Roman"/>
                <w:color w:val="auto"/>
              </w:rPr>
            </w:pPr>
            <w:r>
              <w:rPr>
                <w:rFonts w:hint="eastAsia" w:ascii="Times New Roman" w:hAnsi="Times New Roman" w:cs="Times New Roman"/>
                <w:color w:val="auto"/>
              </w:rPr>
              <w:t>监测点位及频次</w:t>
            </w:r>
          </w:p>
          <w:p w14:paraId="1A3340AC">
            <w:pPr>
              <w:keepNext w:val="0"/>
              <w:keepLines w:val="0"/>
              <w:suppressLineNumbers w:val="0"/>
              <w:spacing w:before="120" w:beforeLines="5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表3-</w:t>
            </w:r>
            <w:r>
              <w:rPr>
                <w:rFonts w:hint="eastAsia" w:ascii="Times New Roman" w:hAnsi="Times New Roman" w:cs="Times New Roman"/>
                <w:b/>
                <w:color w:val="auto"/>
                <w:sz w:val="21"/>
                <w:szCs w:val="21"/>
              </w:rPr>
              <w:t xml:space="preserve">2   </w:t>
            </w:r>
            <w:r>
              <w:rPr>
                <w:rFonts w:hint="eastAsia" w:ascii="Times New Roman" w:hAnsi="Times New Roman" w:cs="Times New Roman"/>
                <w:b/>
                <w:color w:val="auto"/>
                <w:sz w:val="21"/>
                <w:szCs w:val="21"/>
                <w:lang w:eastAsia="zh-CN"/>
              </w:rPr>
              <w:t>环境空气监测</w:t>
            </w:r>
            <w:r>
              <w:rPr>
                <w:rFonts w:hint="eastAsia" w:ascii="Times New Roman" w:hAnsi="Times New Roman" w:cs="Times New Roman"/>
                <w:b/>
                <w:color w:val="auto"/>
                <w:sz w:val="21"/>
                <w:szCs w:val="21"/>
              </w:rPr>
              <w:t>点位及检测频次</w:t>
            </w:r>
          </w:p>
          <w:tbl>
            <w:tblPr>
              <w:tblStyle w:val="28"/>
              <w:tblW w:w="48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38"/>
              <w:gridCol w:w="1983"/>
              <w:gridCol w:w="2396"/>
              <w:gridCol w:w="2546"/>
            </w:tblGrid>
            <w:tr w14:paraId="3CE74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58" w:type="pct"/>
                  <w:noWrap w:val="0"/>
                  <w:vAlign w:val="center"/>
                </w:tcPr>
                <w:p w14:paraId="4DA5E1A4">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rPr>
                    <w:t>编号</w:t>
                  </w:r>
                </w:p>
              </w:tc>
              <w:tc>
                <w:tcPr>
                  <w:tcW w:w="1214" w:type="pct"/>
                  <w:noWrap w:val="0"/>
                  <w:vAlign w:val="center"/>
                </w:tcPr>
                <w:p w14:paraId="501F2747">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b/>
                      <w:color w:val="auto"/>
                      <w:sz w:val="21"/>
                      <w:szCs w:val="21"/>
                      <w:lang w:eastAsia="zh-CN"/>
                    </w:rPr>
                    <w:t>监测点位</w:t>
                  </w:r>
                </w:p>
              </w:tc>
              <w:tc>
                <w:tcPr>
                  <w:tcW w:w="1467" w:type="pct"/>
                  <w:noWrap w:val="0"/>
                  <w:vAlign w:val="center"/>
                </w:tcPr>
                <w:p w14:paraId="6DE8DBF5">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rPr>
                    <w:t>与本项目直线距离（m）</w:t>
                  </w:r>
                </w:p>
              </w:tc>
              <w:tc>
                <w:tcPr>
                  <w:tcW w:w="1559" w:type="pct"/>
                  <w:noWrap w:val="0"/>
                  <w:vAlign w:val="center"/>
                </w:tcPr>
                <w:p w14:paraId="0F22F462">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b/>
                      <w:color w:val="auto"/>
                      <w:sz w:val="21"/>
                      <w:szCs w:val="21"/>
                    </w:rPr>
                    <w:t>检测频次</w:t>
                  </w:r>
                </w:p>
              </w:tc>
            </w:tr>
            <w:tr w14:paraId="1C8D3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9" w:hRule="atLeast"/>
              </w:trPr>
              <w:tc>
                <w:tcPr>
                  <w:tcW w:w="758" w:type="pct"/>
                  <w:noWrap w:val="0"/>
                  <w:vAlign w:val="center"/>
                </w:tcPr>
                <w:p w14:paraId="530D247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1#</w:t>
                  </w:r>
                </w:p>
              </w:tc>
              <w:tc>
                <w:tcPr>
                  <w:tcW w:w="1214" w:type="pct"/>
                  <w:noWrap w:val="0"/>
                  <w:vAlign w:val="center"/>
                </w:tcPr>
                <w:p w14:paraId="579EA8DD">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rPr>
                    <w:t>项目</w:t>
                  </w:r>
                  <w:r>
                    <w:rPr>
                      <w:rFonts w:hint="eastAsia" w:ascii="Times New Roman" w:hAnsi="Times New Roman" w:cs="Times New Roman"/>
                      <w:color w:val="auto"/>
                      <w:sz w:val="21"/>
                      <w:szCs w:val="21"/>
                      <w:lang w:val="en-US" w:eastAsia="zh-CN"/>
                    </w:rPr>
                    <w:t>西北侧</w:t>
                  </w:r>
                </w:p>
              </w:tc>
              <w:tc>
                <w:tcPr>
                  <w:tcW w:w="1467" w:type="pct"/>
                  <w:noWrap w:val="0"/>
                  <w:vAlign w:val="center"/>
                </w:tcPr>
                <w:p w14:paraId="3F00B9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1100</w:t>
                  </w:r>
                </w:p>
              </w:tc>
              <w:tc>
                <w:tcPr>
                  <w:tcW w:w="1559" w:type="pct"/>
                  <w:noWrap w:val="0"/>
                  <w:vAlign w:val="center"/>
                </w:tcPr>
                <w:p w14:paraId="64D6E2E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连续检测</w:t>
                  </w:r>
                  <w:r>
                    <w:rPr>
                      <w:rFonts w:hint="eastAsia" w:ascii="Times New Roman" w:hAnsi="Times New Roman" w:cs="Times New Roman"/>
                      <w:color w:val="auto"/>
                      <w:sz w:val="21"/>
                      <w:szCs w:val="21"/>
                      <w:lang w:val="en-US" w:eastAsia="zh-CN"/>
                    </w:rPr>
                    <w:t>7</w:t>
                  </w:r>
                  <w:r>
                    <w:rPr>
                      <w:rFonts w:hint="eastAsia" w:ascii="Times New Roman" w:hAnsi="Times New Roman" w:cs="Times New Roman"/>
                      <w:color w:val="auto"/>
                      <w:sz w:val="21"/>
                      <w:szCs w:val="21"/>
                    </w:rPr>
                    <w:t>天</w:t>
                  </w:r>
                </w:p>
              </w:tc>
            </w:tr>
          </w:tbl>
          <w:p w14:paraId="18FC0BB7">
            <w:pPr>
              <w:pStyle w:val="11"/>
              <w:keepNext w:val="0"/>
              <w:keepLines w:val="0"/>
              <w:suppressLineNumbers w:val="0"/>
              <w:overflowPunct w:val="0"/>
              <w:autoSpaceDE w:val="0"/>
              <w:autoSpaceDN w:val="0"/>
              <w:adjustRightInd w:val="0"/>
              <w:spacing w:before="120" w:beforeLines="50" w:beforeAutospacing="0" w:after="0" w:afterAutospacing="0" w:line="360" w:lineRule="auto"/>
              <w:ind w:left="0"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（2）检测结果见下表：</w:t>
            </w:r>
          </w:p>
          <w:p w14:paraId="349C6D1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rPr>
              <w:t>表3-</w:t>
            </w:r>
            <w:r>
              <w:rPr>
                <w:rFonts w:hint="eastAsia" w:ascii="Times New Roman" w:hAnsi="Times New Roman" w:cs="Times New Roman"/>
                <w:b/>
                <w:color w:val="auto"/>
                <w:sz w:val="21"/>
                <w:szCs w:val="21"/>
              </w:rPr>
              <w:t xml:space="preserve">3   </w:t>
            </w:r>
            <w:r>
              <w:rPr>
                <w:rFonts w:hint="eastAsia" w:ascii="Times New Roman" w:hAnsi="Times New Roman" w:cs="Times New Roman"/>
                <w:b/>
                <w:color w:val="auto"/>
                <w:sz w:val="21"/>
                <w:szCs w:val="21"/>
                <w:lang w:eastAsia="zh-CN"/>
              </w:rPr>
              <w:t>环境空气</w:t>
            </w:r>
            <w:r>
              <w:rPr>
                <w:rFonts w:hint="eastAsia" w:ascii="Times New Roman" w:hAnsi="Times New Roman" w:cs="Times New Roman"/>
                <w:b/>
                <w:color w:val="auto"/>
                <w:sz w:val="21"/>
                <w:szCs w:val="21"/>
                <w:lang w:val="en-US" w:eastAsia="zh-CN"/>
              </w:rPr>
              <w:t>检测</w:t>
            </w:r>
            <w:r>
              <w:rPr>
                <w:rFonts w:hint="default" w:ascii="Times New Roman" w:hAnsi="Times New Roman" w:cs="Times New Roman"/>
                <w:b/>
                <w:color w:val="auto"/>
                <w:sz w:val="21"/>
                <w:szCs w:val="21"/>
              </w:rPr>
              <w:t>结果表</w:t>
            </w:r>
            <w:r>
              <w:rPr>
                <w:rFonts w:hint="eastAsia" w:ascii="Times New Roman" w:hAnsi="Times New Roman" w:cs="Times New Roman"/>
                <w:b/>
                <w:color w:val="auto"/>
                <w:sz w:val="21"/>
                <w:szCs w:val="21"/>
                <w:lang w:eastAsia="zh-CN"/>
              </w:rPr>
              <w:t>（</w:t>
            </w:r>
            <w:r>
              <w:rPr>
                <w:rFonts w:hint="eastAsia" w:ascii="Times New Roman" w:hAnsi="Times New Roman" w:cs="Times New Roman"/>
                <w:b/>
                <w:bCs/>
                <w:color w:val="auto"/>
                <w:sz w:val="21"/>
                <w:szCs w:val="21"/>
                <w:lang w:val="en-US" w:eastAsia="zh-CN"/>
              </w:rPr>
              <w:t>总悬浮颗粒物（日均值）</w:t>
            </w:r>
            <w:r>
              <w:rPr>
                <w:rFonts w:hint="eastAsia" w:ascii="Times New Roman" w:hAnsi="Times New Roman" w:cs="Times New Roman"/>
                <w:b/>
                <w:color w:val="auto"/>
                <w:sz w:val="21"/>
                <w:szCs w:val="21"/>
                <w:lang w:eastAsia="zh-CN"/>
              </w:rPr>
              <w:t>）</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756"/>
              <w:gridCol w:w="1506"/>
              <w:gridCol w:w="2536"/>
              <w:gridCol w:w="2537"/>
            </w:tblGrid>
            <w:tr w14:paraId="7F7F84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1053" w:type="pct"/>
                  <w:noWrap w:val="0"/>
                  <w:vAlign w:val="center"/>
                </w:tcPr>
                <w:p w14:paraId="1E5E823B">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color w:val="auto"/>
                      <w:sz w:val="21"/>
                      <w:szCs w:val="21"/>
                      <w:lang w:eastAsia="zh-CN"/>
                    </w:rPr>
                  </w:pPr>
                  <w:r>
                    <w:rPr>
                      <w:rFonts w:hint="eastAsia" w:ascii="Times New Roman" w:hAnsi="Times New Roman" w:cs="Times New Roman"/>
                      <w:b/>
                      <w:color w:val="auto"/>
                      <w:sz w:val="21"/>
                      <w:szCs w:val="21"/>
                    </w:rPr>
                    <w:t>检测</w:t>
                  </w:r>
                  <w:r>
                    <w:rPr>
                      <w:rFonts w:hint="eastAsia" w:ascii="Times New Roman" w:hAnsi="Times New Roman" w:cs="Times New Roman"/>
                      <w:b/>
                      <w:color w:val="auto"/>
                      <w:sz w:val="21"/>
                      <w:szCs w:val="21"/>
                      <w:lang w:val="en-US" w:eastAsia="zh-CN"/>
                    </w:rPr>
                    <w:t>点位</w:t>
                  </w:r>
                </w:p>
              </w:tc>
              <w:tc>
                <w:tcPr>
                  <w:tcW w:w="903" w:type="pct"/>
                  <w:noWrap w:val="0"/>
                  <w:vAlign w:val="center"/>
                </w:tcPr>
                <w:p w14:paraId="133A07B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rPr>
                    <w:t>检测日期</w:t>
                  </w:r>
                </w:p>
              </w:tc>
              <w:tc>
                <w:tcPr>
                  <w:tcW w:w="1521" w:type="pct"/>
                  <w:noWrap w:val="0"/>
                  <w:vAlign w:val="center"/>
                </w:tcPr>
                <w:p w14:paraId="302D0F5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b/>
                      <w:color w:val="auto"/>
                      <w:sz w:val="21"/>
                      <w:szCs w:val="21"/>
                    </w:rPr>
                    <w:t>检测结果（单位：mg/m</w:t>
                  </w:r>
                  <w:r>
                    <w:rPr>
                      <w:rFonts w:hint="eastAsia" w:ascii="Times New Roman" w:hAnsi="Times New Roman" w:cs="Times New Roman"/>
                      <w:b/>
                      <w:color w:val="auto"/>
                      <w:sz w:val="21"/>
                      <w:szCs w:val="21"/>
                      <w:vertAlign w:val="superscript"/>
                    </w:rPr>
                    <w:t>3</w:t>
                  </w:r>
                  <w:r>
                    <w:rPr>
                      <w:rFonts w:hint="eastAsia" w:ascii="Times New Roman" w:hAnsi="Times New Roman" w:cs="Times New Roman"/>
                      <w:b/>
                      <w:color w:val="auto"/>
                      <w:sz w:val="21"/>
                      <w:szCs w:val="21"/>
                    </w:rPr>
                    <w:t>）</w:t>
                  </w:r>
                </w:p>
              </w:tc>
              <w:tc>
                <w:tcPr>
                  <w:tcW w:w="1521" w:type="pct"/>
                  <w:noWrap w:val="0"/>
                  <w:vAlign w:val="center"/>
                </w:tcPr>
                <w:p w14:paraId="66F48DD4">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lang w:val="en-US" w:eastAsia="zh-CN"/>
                    </w:rPr>
                    <w:t>标准限值</w:t>
                  </w:r>
                </w:p>
              </w:tc>
            </w:tr>
            <w:tr w14:paraId="3A74D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1053" w:type="pct"/>
                  <w:vMerge w:val="restart"/>
                  <w:noWrap w:val="0"/>
                  <w:vAlign w:val="center"/>
                </w:tcPr>
                <w:p w14:paraId="275B1C9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1#项目西北侧</w:t>
                  </w:r>
                </w:p>
              </w:tc>
              <w:tc>
                <w:tcPr>
                  <w:tcW w:w="903" w:type="pct"/>
                  <w:noWrap w:val="0"/>
                  <w:vAlign w:val="center"/>
                </w:tcPr>
                <w:p w14:paraId="648E5F9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2024.4.4</w:t>
                  </w:r>
                </w:p>
              </w:tc>
              <w:tc>
                <w:tcPr>
                  <w:tcW w:w="1521" w:type="pct"/>
                  <w:noWrap w:val="0"/>
                  <w:vAlign w:val="center"/>
                </w:tcPr>
                <w:p w14:paraId="00E3B4B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135</w:t>
                  </w:r>
                </w:p>
              </w:tc>
              <w:tc>
                <w:tcPr>
                  <w:tcW w:w="1521" w:type="pct"/>
                  <w:vMerge w:val="restart"/>
                  <w:noWrap w:val="0"/>
                  <w:vAlign w:val="center"/>
                </w:tcPr>
                <w:p w14:paraId="4717D81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300</w:t>
                  </w:r>
                </w:p>
              </w:tc>
            </w:tr>
            <w:tr w14:paraId="6F692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5" w:hRule="atLeast"/>
                <w:jc w:val="center"/>
              </w:trPr>
              <w:tc>
                <w:tcPr>
                  <w:tcW w:w="1053" w:type="pct"/>
                  <w:vMerge w:val="continue"/>
                  <w:noWrap w:val="0"/>
                  <w:vAlign w:val="center"/>
                </w:tcPr>
                <w:p w14:paraId="70B3EA9E">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p>
              </w:tc>
              <w:tc>
                <w:tcPr>
                  <w:tcW w:w="903" w:type="pct"/>
                  <w:noWrap w:val="0"/>
                  <w:vAlign w:val="center"/>
                </w:tcPr>
                <w:p w14:paraId="72ECCABC">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2024.4.5</w:t>
                  </w:r>
                </w:p>
              </w:tc>
              <w:tc>
                <w:tcPr>
                  <w:tcW w:w="1521" w:type="pct"/>
                  <w:noWrap w:val="0"/>
                  <w:vAlign w:val="center"/>
                </w:tcPr>
                <w:p w14:paraId="4C5FA52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114</w:t>
                  </w:r>
                </w:p>
              </w:tc>
              <w:tc>
                <w:tcPr>
                  <w:tcW w:w="1521" w:type="pct"/>
                  <w:vMerge w:val="continue"/>
                  <w:noWrap w:val="0"/>
                  <w:vAlign w:val="center"/>
                </w:tcPr>
                <w:p w14:paraId="7FC67C2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437FA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053" w:type="pct"/>
                  <w:vMerge w:val="continue"/>
                  <w:noWrap w:val="0"/>
                  <w:vAlign w:val="center"/>
                </w:tcPr>
                <w:p w14:paraId="61E7CC1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903" w:type="pct"/>
                  <w:noWrap w:val="0"/>
                  <w:vAlign w:val="center"/>
                </w:tcPr>
                <w:p w14:paraId="1AAF2F52">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2024.4.6</w:t>
                  </w:r>
                </w:p>
              </w:tc>
              <w:tc>
                <w:tcPr>
                  <w:tcW w:w="1521" w:type="pct"/>
                  <w:noWrap w:val="0"/>
                  <w:vAlign w:val="center"/>
                </w:tcPr>
                <w:p w14:paraId="0D6E18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139</w:t>
                  </w:r>
                </w:p>
              </w:tc>
              <w:tc>
                <w:tcPr>
                  <w:tcW w:w="1521" w:type="pct"/>
                  <w:vMerge w:val="continue"/>
                  <w:noWrap w:val="0"/>
                  <w:vAlign w:val="center"/>
                </w:tcPr>
                <w:p w14:paraId="1DF8CB1E">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7CA13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053" w:type="pct"/>
                  <w:vMerge w:val="continue"/>
                  <w:noWrap w:val="0"/>
                  <w:vAlign w:val="center"/>
                </w:tcPr>
                <w:p w14:paraId="75BB24C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903" w:type="pct"/>
                  <w:noWrap w:val="0"/>
                  <w:vAlign w:val="center"/>
                </w:tcPr>
                <w:p w14:paraId="7D563E9C">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2024.4.7</w:t>
                  </w:r>
                </w:p>
              </w:tc>
              <w:tc>
                <w:tcPr>
                  <w:tcW w:w="1521" w:type="pct"/>
                  <w:noWrap w:val="0"/>
                  <w:vAlign w:val="center"/>
                </w:tcPr>
                <w:p w14:paraId="07F56E1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124</w:t>
                  </w:r>
                </w:p>
              </w:tc>
              <w:tc>
                <w:tcPr>
                  <w:tcW w:w="1521" w:type="pct"/>
                  <w:vMerge w:val="continue"/>
                  <w:noWrap w:val="0"/>
                  <w:vAlign w:val="center"/>
                </w:tcPr>
                <w:p w14:paraId="1948225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39DA7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053" w:type="pct"/>
                  <w:vMerge w:val="continue"/>
                  <w:noWrap w:val="0"/>
                  <w:vAlign w:val="center"/>
                </w:tcPr>
                <w:p w14:paraId="75CE665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903" w:type="pct"/>
                  <w:noWrap w:val="0"/>
                  <w:vAlign w:val="center"/>
                </w:tcPr>
                <w:p w14:paraId="38ACFA3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2024.4.8</w:t>
                  </w:r>
                </w:p>
              </w:tc>
              <w:tc>
                <w:tcPr>
                  <w:tcW w:w="1521" w:type="pct"/>
                  <w:noWrap w:val="0"/>
                  <w:vAlign w:val="center"/>
                </w:tcPr>
                <w:p w14:paraId="36F6ECC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111</w:t>
                  </w:r>
                </w:p>
              </w:tc>
              <w:tc>
                <w:tcPr>
                  <w:tcW w:w="1521" w:type="pct"/>
                  <w:vMerge w:val="continue"/>
                  <w:noWrap w:val="0"/>
                  <w:vAlign w:val="center"/>
                </w:tcPr>
                <w:p w14:paraId="329C76D3">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13849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053" w:type="pct"/>
                  <w:vMerge w:val="continue"/>
                  <w:noWrap w:val="0"/>
                  <w:vAlign w:val="center"/>
                </w:tcPr>
                <w:p w14:paraId="70E56E3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903" w:type="pct"/>
                  <w:noWrap w:val="0"/>
                  <w:vAlign w:val="center"/>
                </w:tcPr>
                <w:p w14:paraId="3B0ABC4A">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2024.4.9</w:t>
                  </w:r>
                </w:p>
              </w:tc>
              <w:tc>
                <w:tcPr>
                  <w:tcW w:w="1521" w:type="pct"/>
                  <w:noWrap w:val="0"/>
                  <w:vAlign w:val="center"/>
                </w:tcPr>
                <w:p w14:paraId="597A0F0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132</w:t>
                  </w:r>
                </w:p>
              </w:tc>
              <w:tc>
                <w:tcPr>
                  <w:tcW w:w="1521" w:type="pct"/>
                  <w:vMerge w:val="continue"/>
                  <w:noWrap w:val="0"/>
                  <w:vAlign w:val="center"/>
                </w:tcPr>
                <w:p w14:paraId="10F94563">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1CE55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1053" w:type="pct"/>
                  <w:vMerge w:val="continue"/>
                  <w:noWrap w:val="0"/>
                  <w:vAlign w:val="center"/>
                </w:tcPr>
                <w:p w14:paraId="42E1D2B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903" w:type="pct"/>
                  <w:noWrap w:val="0"/>
                  <w:vAlign w:val="center"/>
                </w:tcPr>
                <w:p w14:paraId="1B01F7E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2024.4.10</w:t>
                  </w:r>
                </w:p>
              </w:tc>
              <w:tc>
                <w:tcPr>
                  <w:tcW w:w="1521" w:type="pct"/>
                  <w:noWrap w:val="0"/>
                  <w:vAlign w:val="center"/>
                </w:tcPr>
                <w:p w14:paraId="1536E51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144</w:t>
                  </w:r>
                </w:p>
              </w:tc>
              <w:tc>
                <w:tcPr>
                  <w:tcW w:w="1521" w:type="pct"/>
                  <w:vMerge w:val="continue"/>
                  <w:noWrap w:val="0"/>
                  <w:vAlign w:val="center"/>
                </w:tcPr>
                <w:p w14:paraId="2F2F1213">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bl>
          <w:p w14:paraId="7AFDD2B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rPr>
              <w:t>表3-</w:t>
            </w:r>
            <w:r>
              <w:rPr>
                <w:rFonts w:hint="eastAsia" w:ascii="Times New Roman" w:hAnsi="Times New Roman" w:cs="Times New Roman"/>
                <w:b/>
                <w:color w:val="auto"/>
                <w:sz w:val="21"/>
                <w:szCs w:val="21"/>
                <w:lang w:val="en-US" w:eastAsia="zh-CN"/>
              </w:rPr>
              <w:t>4</w:t>
            </w:r>
            <w:r>
              <w:rPr>
                <w:rFonts w:hint="eastAsia" w:ascii="Times New Roman" w:hAnsi="Times New Roman" w:cs="Times New Roman"/>
                <w:b/>
                <w:color w:val="auto"/>
                <w:sz w:val="21"/>
                <w:szCs w:val="21"/>
              </w:rPr>
              <w:t xml:space="preserve">   环境空气检测结果表</w:t>
            </w:r>
          </w:p>
          <w:tbl>
            <w:tblPr>
              <w:tblStyle w:val="28"/>
              <w:tblW w:w="475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82"/>
              <w:gridCol w:w="1275"/>
              <w:gridCol w:w="1275"/>
              <w:gridCol w:w="757"/>
              <w:gridCol w:w="843"/>
              <w:gridCol w:w="816"/>
              <w:gridCol w:w="708"/>
              <w:gridCol w:w="1178"/>
            </w:tblGrid>
            <w:tr w14:paraId="44039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682" w:type="pct"/>
                  <w:vMerge w:val="restart"/>
                  <w:noWrap w:val="0"/>
                  <w:vAlign w:val="center"/>
                </w:tcPr>
                <w:p w14:paraId="6D97BCF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color w:val="auto"/>
                      <w:sz w:val="21"/>
                      <w:szCs w:val="21"/>
                      <w:lang w:eastAsia="zh-CN"/>
                    </w:rPr>
                  </w:pPr>
                  <w:r>
                    <w:rPr>
                      <w:rFonts w:hint="eastAsia" w:ascii="Times New Roman" w:hAnsi="Times New Roman" w:cs="Times New Roman"/>
                      <w:b/>
                      <w:color w:val="auto"/>
                      <w:sz w:val="21"/>
                      <w:szCs w:val="21"/>
                    </w:rPr>
                    <w:t>检测</w:t>
                  </w:r>
                  <w:r>
                    <w:rPr>
                      <w:rFonts w:hint="eastAsia" w:ascii="Times New Roman" w:hAnsi="Times New Roman" w:cs="Times New Roman"/>
                      <w:b/>
                      <w:color w:val="auto"/>
                      <w:sz w:val="21"/>
                      <w:szCs w:val="21"/>
                      <w:lang w:val="en-US" w:eastAsia="zh-CN"/>
                    </w:rPr>
                    <w:t>点位</w:t>
                  </w:r>
                </w:p>
              </w:tc>
              <w:tc>
                <w:tcPr>
                  <w:tcW w:w="803" w:type="pct"/>
                  <w:vMerge w:val="restart"/>
                  <w:noWrap w:val="0"/>
                  <w:vAlign w:val="center"/>
                </w:tcPr>
                <w:p w14:paraId="1B5C766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监测项目</w:t>
                  </w:r>
                </w:p>
              </w:tc>
              <w:tc>
                <w:tcPr>
                  <w:tcW w:w="803" w:type="pct"/>
                  <w:vMerge w:val="restart"/>
                  <w:noWrap w:val="0"/>
                  <w:vAlign w:val="center"/>
                </w:tcPr>
                <w:p w14:paraId="7DDA844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rPr>
                    <w:t>检测日期</w:t>
                  </w:r>
                </w:p>
              </w:tc>
              <w:tc>
                <w:tcPr>
                  <w:tcW w:w="1968" w:type="pct"/>
                  <w:gridSpan w:val="4"/>
                  <w:noWrap w:val="0"/>
                  <w:vAlign w:val="center"/>
                </w:tcPr>
                <w:p w14:paraId="67B4C8D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b/>
                      <w:color w:val="auto"/>
                      <w:sz w:val="21"/>
                      <w:szCs w:val="21"/>
                    </w:rPr>
                    <w:t>检测结果（单位：mg/m</w:t>
                  </w:r>
                  <w:r>
                    <w:rPr>
                      <w:rFonts w:hint="eastAsia" w:ascii="Times New Roman" w:hAnsi="Times New Roman" w:cs="Times New Roman"/>
                      <w:b/>
                      <w:color w:val="auto"/>
                      <w:sz w:val="21"/>
                      <w:szCs w:val="21"/>
                      <w:vertAlign w:val="superscript"/>
                    </w:rPr>
                    <w:t>3</w:t>
                  </w:r>
                  <w:r>
                    <w:rPr>
                      <w:rFonts w:hint="eastAsia" w:ascii="Times New Roman" w:hAnsi="Times New Roman" w:cs="Times New Roman"/>
                      <w:b/>
                      <w:color w:val="auto"/>
                      <w:sz w:val="21"/>
                      <w:szCs w:val="21"/>
                    </w:rPr>
                    <w:t>）</w:t>
                  </w:r>
                </w:p>
              </w:tc>
              <w:tc>
                <w:tcPr>
                  <w:tcW w:w="742" w:type="pct"/>
                  <w:vMerge w:val="restart"/>
                  <w:noWrap w:val="0"/>
                  <w:vAlign w:val="center"/>
                </w:tcPr>
                <w:p w14:paraId="01E790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标准限值</w:t>
                  </w:r>
                </w:p>
              </w:tc>
            </w:tr>
            <w:tr w14:paraId="7263E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8" w:hRule="atLeast"/>
                <w:jc w:val="center"/>
              </w:trPr>
              <w:tc>
                <w:tcPr>
                  <w:tcW w:w="682" w:type="pct"/>
                  <w:vMerge w:val="continue"/>
                  <w:noWrap w:val="0"/>
                  <w:vAlign w:val="center"/>
                </w:tcPr>
                <w:p w14:paraId="23BFA531">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p>
              </w:tc>
              <w:tc>
                <w:tcPr>
                  <w:tcW w:w="803" w:type="pct"/>
                  <w:vMerge w:val="continue"/>
                  <w:noWrap w:val="0"/>
                  <w:vAlign w:val="center"/>
                </w:tcPr>
                <w:p w14:paraId="3BD9CC8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803" w:type="pct"/>
                  <w:vMerge w:val="continue"/>
                  <w:noWrap w:val="0"/>
                  <w:vAlign w:val="center"/>
                </w:tcPr>
                <w:p w14:paraId="43E6B33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477" w:type="pct"/>
                  <w:noWrap w:val="0"/>
                  <w:vAlign w:val="center"/>
                </w:tcPr>
                <w:p w14:paraId="67526D7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531" w:type="pct"/>
                  <w:noWrap w:val="0"/>
                  <w:vAlign w:val="center"/>
                </w:tcPr>
                <w:p w14:paraId="327884C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514" w:type="pct"/>
                  <w:noWrap w:val="0"/>
                  <w:vAlign w:val="center"/>
                </w:tcPr>
                <w:p w14:paraId="52FEB81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445" w:type="pct"/>
                  <w:noWrap w:val="0"/>
                  <w:vAlign w:val="center"/>
                </w:tcPr>
                <w:p w14:paraId="3A59F72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第四次</w:t>
                  </w:r>
                </w:p>
              </w:tc>
              <w:tc>
                <w:tcPr>
                  <w:tcW w:w="742" w:type="pct"/>
                  <w:vMerge w:val="continue"/>
                  <w:noWrap w:val="0"/>
                  <w:vAlign w:val="center"/>
                </w:tcPr>
                <w:p w14:paraId="3D1347E6">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bCs/>
                      <w:color w:val="auto"/>
                      <w:sz w:val="21"/>
                      <w:szCs w:val="21"/>
                      <w:lang w:val="en-US" w:eastAsia="zh-CN"/>
                    </w:rPr>
                  </w:pPr>
                </w:p>
              </w:tc>
            </w:tr>
            <w:tr w14:paraId="7CE48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682" w:type="pct"/>
                  <w:vMerge w:val="restart"/>
                  <w:noWrap w:val="0"/>
                  <w:vAlign w:val="center"/>
                </w:tcPr>
                <w:p w14:paraId="18775DE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1#项目西北侧</w:t>
                  </w:r>
                </w:p>
              </w:tc>
              <w:tc>
                <w:tcPr>
                  <w:tcW w:w="803" w:type="pct"/>
                  <w:vMerge w:val="restart"/>
                  <w:noWrap w:val="0"/>
                  <w:vAlign w:val="center"/>
                </w:tcPr>
                <w:p w14:paraId="15AE2F2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非甲烷总烃（小时值）</w:t>
                  </w:r>
                </w:p>
              </w:tc>
              <w:tc>
                <w:tcPr>
                  <w:tcW w:w="803" w:type="pct"/>
                  <w:noWrap w:val="0"/>
                  <w:vAlign w:val="center"/>
                </w:tcPr>
                <w:p w14:paraId="7FC2751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2024.4.4</w:t>
                  </w:r>
                </w:p>
              </w:tc>
              <w:tc>
                <w:tcPr>
                  <w:tcW w:w="477" w:type="pct"/>
                  <w:noWrap w:val="0"/>
                  <w:vAlign w:val="center"/>
                </w:tcPr>
                <w:p w14:paraId="701D90E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0.43</w:t>
                  </w:r>
                </w:p>
              </w:tc>
              <w:tc>
                <w:tcPr>
                  <w:tcW w:w="531" w:type="pct"/>
                  <w:noWrap w:val="0"/>
                  <w:vAlign w:val="center"/>
                </w:tcPr>
                <w:p w14:paraId="66D98E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0.31</w:t>
                  </w:r>
                </w:p>
              </w:tc>
              <w:tc>
                <w:tcPr>
                  <w:tcW w:w="514" w:type="pct"/>
                  <w:noWrap w:val="0"/>
                  <w:vAlign w:val="center"/>
                </w:tcPr>
                <w:p w14:paraId="1213F00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0.46</w:t>
                  </w:r>
                </w:p>
              </w:tc>
              <w:tc>
                <w:tcPr>
                  <w:tcW w:w="445" w:type="pct"/>
                  <w:noWrap w:val="0"/>
                  <w:vAlign w:val="center"/>
                </w:tcPr>
                <w:p w14:paraId="076999C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0.58</w:t>
                  </w:r>
                </w:p>
              </w:tc>
              <w:tc>
                <w:tcPr>
                  <w:tcW w:w="742" w:type="pct"/>
                  <w:vMerge w:val="restart"/>
                  <w:noWrap w:val="0"/>
                  <w:vAlign w:val="center"/>
                </w:tcPr>
                <w:p w14:paraId="572275E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r w14:paraId="1CD11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5" w:hRule="atLeast"/>
                <w:jc w:val="center"/>
              </w:trPr>
              <w:tc>
                <w:tcPr>
                  <w:tcW w:w="682" w:type="pct"/>
                  <w:vMerge w:val="continue"/>
                  <w:noWrap w:val="0"/>
                  <w:vAlign w:val="center"/>
                </w:tcPr>
                <w:p w14:paraId="7B24E86C">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p>
              </w:tc>
              <w:tc>
                <w:tcPr>
                  <w:tcW w:w="803" w:type="pct"/>
                  <w:vMerge w:val="continue"/>
                  <w:noWrap w:val="0"/>
                  <w:vAlign w:val="center"/>
                </w:tcPr>
                <w:p w14:paraId="04B935C4">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803" w:type="pct"/>
                  <w:noWrap w:val="0"/>
                  <w:vAlign w:val="center"/>
                </w:tcPr>
                <w:p w14:paraId="79566776">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2024.4.5</w:t>
                  </w:r>
                </w:p>
              </w:tc>
              <w:tc>
                <w:tcPr>
                  <w:tcW w:w="477" w:type="pct"/>
                  <w:noWrap w:val="0"/>
                  <w:vAlign w:val="center"/>
                </w:tcPr>
                <w:p w14:paraId="0E27C31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0.46</w:t>
                  </w:r>
                </w:p>
              </w:tc>
              <w:tc>
                <w:tcPr>
                  <w:tcW w:w="531" w:type="pct"/>
                  <w:noWrap w:val="0"/>
                  <w:vAlign w:val="center"/>
                </w:tcPr>
                <w:p w14:paraId="404DC41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0.39</w:t>
                  </w:r>
                </w:p>
              </w:tc>
              <w:tc>
                <w:tcPr>
                  <w:tcW w:w="514" w:type="pct"/>
                  <w:noWrap w:val="0"/>
                  <w:vAlign w:val="center"/>
                </w:tcPr>
                <w:p w14:paraId="6ABB431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0.37</w:t>
                  </w:r>
                </w:p>
              </w:tc>
              <w:tc>
                <w:tcPr>
                  <w:tcW w:w="445" w:type="pct"/>
                  <w:noWrap w:val="0"/>
                  <w:vAlign w:val="center"/>
                </w:tcPr>
                <w:p w14:paraId="79983BC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0.48</w:t>
                  </w:r>
                </w:p>
              </w:tc>
              <w:tc>
                <w:tcPr>
                  <w:tcW w:w="742" w:type="pct"/>
                  <w:vMerge w:val="continue"/>
                  <w:noWrap w:val="0"/>
                  <w:vAlign w:val="center"/>
                </w:tcPr>
                <w:p w14:paraId="4C49E752">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3C9DB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682" w:type="pct"/>
                  <w:vMerge w:val="continue"/>
                  <w:noWrap w:val="0"/>
                  <w:vAlign w:val="center"/>
                </w:tcPr>
                <w:p w14:paraId="1BAA85E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803" w:type="pct"/>
                  <w:vMerge w:val="continue"/>
                  <w:noWrap w:val="0"/>
                  <w:vAlign w:val="center"/>
                </w:tcPr>
                <w:p w14:paraId="77B1BDE2">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803" w:type="pct"/>
                  <w:noWrap w:val="0"/>
                  <w:vAlign w:val="center"/>
                </w:tcPr>
                <w:p w14:paraId="00C6965C">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2024.4.6</w:t>
                  </w:r>
                </w:p>
              </w:tc>
              <w:tc>
                <w:tcPr>
                  <w:tcW w:w="477" w:type="pct"/>
                  <w:noWrap w:val="0"/>
                  <w:vAlign w:val="center"/>
                </w:tcPr>
                <w:p w14:paraId="58DA030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0.55</w:t>
                  </w:r>
                </w:p>
              </w:tc>
              <w:tc>
                <w:tcPr>
                  <w:tcW w:w="531" w:type="pct"/>
                  <w:noWrap w:val="0"/>
                  <w:vAlign w:val="center"/>
                </w:tcPr>
                <w:p w14:paraId="762EB1B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0.37</w:t>
                  </w:r>
                </w:p>
              </w:tc>
              <w:tc>
                <w:tcPr>
                  <w:tcW w:w="514" w:type="pct"/>
                  <w:noWrap w:val="0"/>
                  <w:vAlign w:val="center"/>
                </w:tcPr>
                <w:p w14:paraId="53932D0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0.50</w:t>
                  </w:r>
                </w:p>
              </w:tc>
              <w:tc>
                <w:tcPr>
                  <w:tcW w:w="445" w:type="pct"/>
                  <w:noWrap w:val="0"/>
                  <w:vAlign w:val="center"/>
                </w:tcPr>
                <w:p w14:paraId="35CEA15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0.49</w:t>
                  </w:r>
                </w:p>
              </w:tc>
              <w:tc>
                <w:tcPr>
                  <w:tcW w:w="742" w:type="pct"/>
                  <w:vMerge w:val="continue"/>
                  <w:noWrap w:val="0"/>
                  <w:vAlign w:val="center"/>
                </w:tcPr>
                <w:p w14:paraId="0FEA2D1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49348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682" w:type="pct"/>
                  <w:vMerge w:val="continue"/>
                  <w:noWrap w:val="0"/>
                  <w:vAlign w:val="center"/>
                </w:tcPr>
                <w:p w14:paraId="0AF6FF5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803" w:type="pct"/>
                  <w:vMerge w:val="continue"/>
                  <w:noWrap w:val="0"/>
                  <w:vAlign w:val="center"/>
                </w:tcPr>
                <w:p w14:paraId="62196B80">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803" w:type="pct"/>
                  <w:noWrap w:val="0"/>
                  <w:vAlign w:val="center"/>
                </w:tcPr>
                <w:p w14:paraId="08ADEBA7">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2024.4.7</w:t>
                  </w:r>
                </w:p>
              </w:tc>
              <w:tc>
                <w:tcPr>
                  <w:tcW w:w="477" w:type="pct"/>
                  <w:noWrap w:val="0"/>
                  <w:vAlign w:val="center"/>
                </w:tcPr>
                <w:p w14:paraId="39CE58B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0.49</w:t>
                  </w:r>
                </w:p>
              </w:tc>
              <w:tc>
                <w:tcPr>
                  <w:tcW w:w="531" w:type="pct"/>
                  <w:noWrap w:val="0"/>
                  <w:vAlign w:val="center"/>
                </w:tcPr>
                <w:p w14:paraId="0D2D732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0.45</w:t>
                  </w:r>
                </w:p>
              </w:tc>
              <w:tc>
                <w:tcPr>
                  <w:tcW w:w="514" w:type="pct"/>
                  <w:noWrap w:val="0"/>
                  <w:vAlign w:val="center"/>
                </w:tcPr>
                <w:p w14:paraId="225F5EF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0.40</w:t>
                  </w:r>
                </w:p>
              </w:tc>
              <w:tc>
                <w:tcPr>
                  <w:tcW w:w="445" w:type="pct"/>
                  <w:noWrap w:val="0"/>
                  <w:vAlign w:val="center"/>
                </w:tcPr>
                <w:p w14:paraId="7D5B7DA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0.63</w:t>
                  </w:r>
                </w:p>
              </w:tc>
              <w:tc>
                <w:tcPr>
                  <w:tcW w:w="742" w:type="pct"/>
                  <w:vMerge w:val="continue"/>
                  <w:noWrap w:val="0"/>
                  <w:vAlign w:val="center"/>
                </w:tcPr>
                <w:p w14:paraId="5654BE11">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47BF5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682" w:type="pct"/>
                  <w:vMerge w:val="continue"/>
                  <w:noWrap w:val="0"/>
                  <w:vAlign w:val="center"/>
                </w:tcPr>
                <w:p w14:paraId="5F20183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803" w:type="pct"/>
                  <w:vMerge w:val="continue"/>
                  <w:noWrap w:val="0"/>
                  <w:vAlign w:val="center"/>
                </w:tcPr>
                <w:p w14:paraId="4AAAFEEF">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803" w:type="pct"/>
                  <w:noWrap w:val="0"/>
                  <w:vAlign w:val="center"/>
                </w:tcPr>
                <w:p w14:paraId="5D1002A4">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2024.4.8</w:t>
                  </w:r>
                </w:p>
              </w:tc>
              <w:tc>
                <w:tcPr>
                  <w:tcW w:w="477" w:type="pct"/>
                  <w:noWrap w:val="0"/>
                  <w:vAlign w:val="center"/>
                </w:tcPr>
                <w:p w14:paraId="6C2D4BA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0.41</w:t>
                  </w:r>
                </w:p>
              </w:tc>
              <w:tc>
                <w:tcPr>
                  <w:tcW w:w="531" w:type="pct"/>
                  <w:noWrap w:val="0"/>
                  <w:vAlign w:val="center"/>
                </w:tcPr>
                <w:p w14:paraId="47861E8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0.64</w:t>
                  </w:r>
                </w:p>
              </w:tc>
              <w:tc>
                <w:tcPr>
                  <w:tcW w:w="514" w:type="pct"/>
                  <w:noWrap w:val="0"/>
                  <w:vAlign w:val="center"/>
                </w:tcPr>
                <w:p w14:paraId="00B86C7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0.42</w:t>
                  </w:r>
                </w:p>
              </w:tc>
              <w:tc>
                <w:tcPr>
                  <w:tcW w:w="445" w:type="pct"/>
                  <w:noWrap w:val="0"/>
                  <w:vAlign w:val="center"/>
                </w:tcPr>
                <w:p w14:paraId="03CBCD2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0.48</w:t>
                  </w:r>
                </w:p>
              </w:tc>
              <w:tc>
                <w:tcPr>
                  <w:tcW w:w="742" w:type="pct"/>
                  <w:vMerge w:val="continue"/>
                  <w:noWrap w:val="0"/>
                  <w:vAlign w:val="center"/>
                </w:tcPr>
                <w:p w14:paraId="18EA38BD">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774DB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682" w:type="pct"/>
                  <w:vMerge w:val="continue"/>
                  <w:noWrap w:val="0"/>
                  <w:vAlign w:val="center"/>
                </w:tcPr>
                <w:p w14:paraId="56A5B80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803" w:type="pct"/>
                  <w:vMerge w:val="continue"/>
                  <w:noWrap w:val="0"/>
                  <w:vAlign w:val="center"/>
                </w:tcPr>
                <w:p w14:paraId="28715D90">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803" w:type="pct"/>
                  <w:noWrap w:val="0"/>
                  <w:vAlign w:val="center"/>
                </w:tcPr>
                <w:p w14:paraId="057BAD6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2024.4.9</w:t>
                  </w:r>
                </w:p>
              </w:tc>
              <w:tc>
                <w:tcPr>
                  <w:tcW w:w="477" w:type="pct"/>
                  <w:noWrap w:val="0"/>
                  <w:vAlign w:val="center"/>
                </w:tcPr>
                <w:p w14:paraId="78B585B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0.34</w:t>
                  </w:r>
                </w:p>
              </w:tc>
              <w:tc>
                <w:tcPr>
                  <w:tcW w:w="531" w:type="pct"/>
                  <w:noWrap w:val="0"/>
                  <w:vAlign w:val="center"/>
                </w:tcPr>
                <w:p w14:paraId="5A6587E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0.39</w:t>
                  </w:r>
                </w:p>
              </w:tc>
              <w:tc>
                <w:tcPr>
                  <w:tcW w:w="514" w:type="pct"/>
                  <w:noWrap w:val="0"/>
                  <w:vAlign w:val="center"/>
                </w:tcPr>
                <w:p w14:paraId="1EEA750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0.38</w:t>
                  </w:r>
                </w:p>
              </w:tc>
              <w:tc>
                <w:tcPr>
                  <w:tcW w:w="445" w:type="pct"/>
                  <w:noWrap w:val="0"/>
                  <w:vAlign w:val="center"/>
                </w:tcPr>
                <w:p w14:paraId="231E44A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0.26</w:t>
                  </w:r>
                </w:p>
              </w:tc>
              <w:tc>
                <w:tcPr>
                  <w:tcW w:w="742" w:type="pct"/>
                  <w:vMerge w:val="continue"/>
                  <w:noWrap w:val="0"/>
                  <w:vAlign w:val="center"/>
                </w:tcPr>
                <w:p w14:paraId="174BE06A">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67935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682" w:type="pct"/>
                  <w:vMerge w:val="continue"/>
                  <w:noWrap w:val="0"/>
                  <w:vAlign w:val="center"/>
                </w:tcPr>
                <w:p w14:paraId="7B38393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803" w:type="pct"/>
                  <w:vMerge w:val="continue"/>
                  <w:noWrap w:val="0"/>
                  <w:vAlign w:val="center"/>
                </w:tcPr>
                <w:p w14:paraId="15B3B96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803" w:type="pct"/>
                  <w:noWrap w:val="0"/>
                  <w:vAlign w:val="center"/>
                </w:tcPr>
                <w:p w14:paraId="0F111C9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2024.4.10</w:t>
                  </w:r>
                </w:p>
              </w:tc>
              <w:tc>
                <w:tcPr>
                  <w:tcW w:w="477" w:type="pct"/>
                  <w:noWrap w:val="0"/>
                  <w:vAlign w:val="center"/>
                </w:tcPr>
                <w:p w14:paraId="50A79D0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0.35</w:t>
                  </w:r>
                </w:p>
              </w:tc>
              <w:tc>
                <w:tcPr>
                  <w:tcW w:w="531" w:type="pct"/>
                  <w:noWrap w:val="0"/>
                  <w:vAlign w:val="center"/>
                </w:tcPr>
                <w:p w14:paraId="0E2498D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0.43</w:t>
                  </w:r>
                </w:p>
              </w:tc>
              <w:tc>
                <w:tcPr>
                  <w:tcW w:w="514" w:type="pct"/>
                  <w:noWrap w:val="0"/>
                  <w:vAlign w:val="center"/>
                </w:tcPr>
                <w:p w14:paraId="64DE3B9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0.35</w:t>
                  </w:r>
                </w:p>
              </w:tc>
              <w:tc>
                <w:tcPr>
                  <w:tcW w:w="445" w:type="pct"/>
                  <w:noWrap w:val="0"/>
                  <w:vAlign w:val="center"/>
                </w:tcPr>
                <w:p w14:paraId="1FE39AA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0.42</w:t>
                  </w:r>
                </w:p>
              </w:tc>
              <w:tc>
                <w:tcPr>
                  <w:tcW w:w="742" w:type="pct"/>
                  <w:vMerge w:val="continue"/>
                  <w:noWrap w:val="0"/>
                  <w:vAlign w:val="center"/>
                </w:tcPr>
                <w:p w14:paraId="3DEFDC6E">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1D267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82" w:type="pct"/>
                  <w:vMerge w:val="continue"/>
                  <w:noWrap w:val="0"/>
                  <w:vAlign w:val="center"/>
                </w:tcPr>
                <w:p w14:paraId="443B15E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803" w:type="pct"/>
                  <w:vMerge w:val="restart"/>
                  <w:noWrap w:val="0"/>
                  <w:vAlign w:val="center"/>
                </w:tcPr>
                <w:p w14:paraId="6EE7C04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氮氧化物（小时值）</w:t>
                  </w:r>
                </w:p>
              </w:tc>
              <w:tc>
                <w:tcPr>
                  <w:tcW w:w="803" w:type="pct"/>
                  <w:noWrap w:val="0"/>
                  <w:vAlign w:val="center"/>
                </w:tcPr>
                <w:p w14:paraId="0035CD2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2024.4.4</w:t>
                  </w:r>
                </w:p>
              </w:tc>
              <w:tc>
                <w:tcPr>
                  <w:tcW w:w="477" w:type="pct"/>
                  <w:noWrap w:val="0"/>
                  <w:vAlign w:val="center"/>
                </w:tcPr>
                <w:p w14:paraId="642BC6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0.013</w:t>
                  </w:r>
                </w:p>
              </w:tc>
              <w:tc>
                <w:tcPr>
                  <w:tcW w:w="531" w:type="pct"/>
                  <w:noWrap w:val="0"/>
                  <w:vAlign w:val="center"/>
                </w:tcPr>
                <w:p w14:paraId="32E1947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0.014</w:t>
                  </w:r>
                </w:p>
              </w:tc>
              <w:tc>
                <w:tcPr>
                  <w:tcW w:w="514" w:type="pct"/>
                  <w:noWrap w:val="0"/>
                  <w:vAlign w:val="center"/>
                </w:tcPr>
                <w:p w14:paraId="37BB4EA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w:t>
                  </w:r>
                </w:p>
              </w:tc>
              <w:tc>
                <w:tcPr>
                  <w:tcW w:w="445" w:type="pct"/>
                  <w:noWrap w:val="0"/>
                  <w:vAlign w:val="center"/>
                </w:tcPr>
                <w:p w14:paraId="485A86D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742" w:type="pct"/>
                  <w:vMerge w:val="restart"/>
                  <w:noWrap w:val="0"/>
                  <w:vAlign w:val="center"/>
                </w:tcPr>
                <w:p w14:paraId="0B86EFA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0.25</w:t>
                  </w:r>
                </w:p>
              </w:tc>
            </w:tr>
            <w:tr w14:paraId="3590D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5" w:hRule="atLeast"/>
                <w:jc w:val="center"/>
              </w:trPr>
              <w:tc>
                <w:tcPr>
                  <w:tcW w:w="682" w:type="pct"/>
                  <w:vMerge w:val="continue"/>
                  <w:noWrap w:val="0"/>
                  <w:vAlign w:val="center"/>
                </w:tcPr>
                <w:p w14:paraId="5A17D7F3">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p>
              </w:tc>
              <w:tc>
                <w:tcPr>
                  <w:tcW w:w="803" w:type="pct"/>
                  <w:vMerge w:val="continue"/>
                  <w:noWrap w:val="0"/>
                  <w:vAlign w:val="center"/>
                </w:tcPr>
                <w:p w14:paraId="746085BD">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803" w:type="pct"/>
                  <w:noWrap w:val="0"/>
                  <w:vAlign w:val="center"/>
                </w:tcPr>
                <w:p w14:paraId="2F187A5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2024.4.5</w:t>
                  </w:r>
                </w:p>
              </w:tc>
              <w:tc>
                <w:tcPr>
                  <w:tcW w:w="477" w:type="pct"/>
                  <w:noWrap w:val="0"/>
                  <w:vAlign w:val="center"/>
                </w:tcPr>
                <w:p w14:paraId="096320A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w:t>
                  </w:r>
                </w:p>
              </w:tc>
              <w:tc>
                <w:tcPr>
                  <w:tcW w:w="531" w:type="pct"/>
                  <w:noWrap w:val="0"/>
                  <w:vAlign w:val="center"/>
                </w:tcPr>
                <w:p w14:paraId="6A95B04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0.013</w:t>
                  </w:r>
                </w:p>
              </w:tc>
              <w:tc>
                <w:tcPr>
                  <w:tcW w:w="514" w:type="pct"/>
                  <w:noWrap w:val="0"/>
                  <w:vAlign w:val="center"/>
                </w:tcPr>
                <w:p w14:paraId="1801BD1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445" w:type="pct"/>
                  <w:noWrap w:val="0"/>
                  <w:vAlign w:val="center"/>
                </w:tcPr>
                <w:p w14:paraId="0E87111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742" w:type="pct"/>
                  <w:vMerge w:val="continue"/>
                  <w:noWrap w:val="0"/>
                  <w:vAlign w:val="center"/>
                </w:tcPr>
                <w:p w14:paraId="72416C0D">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79933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682" w:type="pct"/>
                  <w:vMerge w:val="continue"/>
                  <w:noWrap w:val="0"/>
                  <w:vAlign w:val="center"/>
                </w:tcPr>
                <w:p w14:paraId="35CA4E2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803" w:type="pct"/>
                  <w:vMerge w:val="continue"/>
                  <w:noWrap w:val="0"/>
                  <w:vAlign w:val="center"/>
                </w:tcPr>
                <w:p w14:paraId="760F2A7B">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803" w:type="pct"/>
                  <w:noWrap w:val="0"/>
                  <w:vAlign w:val="center"/>
                </w:tcPr>
                <w:p w14:paraId="1C682F6C">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2024.4.6</w:t>
                  </w:r>
                </w:p>
              </w:tc>
              <w:tc>
                <w:tcPr>
                  <w:tcW w:w="477" w:type="pct"/>
                  <w:noWrap w:val="0"/>
                  <w:vAlign w:val="center"/>
                </w:tcPr>
                <w:p w14:paraId="620E9C2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0.013</w:t>
                  </w:r>
                </w:p>
              </w:tc>
              <w:tc>
                <w:tcPr>
                  <w:tcW w:w="531" w:type="pct"/>
                  <w:noWrap w:val="0"/>
                  <w:vAlign w:val="center"/>
                </w:tcPr>
                <w:p w14:paraId="62665A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w:t>
                  </w:r>
                </w:p>
              </w:tc>
              <w:tc>
                <w:tcPr>
                  <w:tcW w:w="514" w:type="pct"/>
                  <w:noWrap w:val="0"/>
                  <w:vAlign w:val="center"/>
                </w:tcPr>
                <w:p w14:paraId="02FD2D5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0.013</w:t>
                  </w:r>
                </w:p>
              </w:tc>
              <w:tc>
                <w:tcPr>
                  <w:tcW w:w="445" w:type="pct"/>
                  <w:noWrap w:val="0"/>
                  <w:vAlign w:val="center"/>
                </w:tcPr>
                <w:p w14:paraId="2586F72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742" w:type="pct"/>
                  <w:vMerge w:val="continue"/>
                  <w:noWrap w:val="0"/>
                  <w:vAlign w:val="center"/>
                </w:tcPr>
                <w:p w14:paraId="046FC807">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1A11A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682" w:type="pct"/>
                  <w:vMerge w:val="continue"/>
                  <w:noWrap w:val="0"/>
                  <w:vAlign w:val="center"/>
                </w:tcPr>
                <w:p w14:paraId="3DBDED6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803" w:type="pct"/>
                  <w:vMerge w:val="continue"/>
                  <w:noWrap w:val="0"/>
                  <w:vAlign w:val="center"/>
                </w:tcPr>
                <w:p w14:paraId="25A01ACB">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803" w:type="pct"/>
                  <w:noWrap w:val="0"/>
                  <w:vAlign w:val="center"/>
                </w:tcPr>
                <w:p w14:paraId="6AB0547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2024.4.7</w:t>
                  </w:r>
                </w:p>
              </w:tc>
              <w:tc>
                <w:tcPr>
                  <w:tcW w:w="477" w:type="pct"/>
                  <w:noWrap w:val="0"/>
                  <w:vAlign w:val="center"/>
                </w:tcPr>
                <w:p w14:paraId="7740FB4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0.010</w:t>
                  </w:r>
                </w:p>
              </w:tc>
              <w:tc>
                <w:tcPr>
                  <w:tcW w:w="531" w:type="pct"/>
                  <w:noWrap w:val="0"/>
                  <w:vAlign w:val="center"/>
                </w:tcPr>
                <w:p w14:paraId="047B6A4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514" w:type="pct"/>
                  <w:noWrap w:val="0"/>
                  <w:vAlign w:val="center"/>
                </w:tcPr>
                <w:p w14:paraId="1360F94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w:t>
                  </w:r>
                </w:p>
              </w:tc>
              <w:tc>
                <w:tcPr>
                  <w:tcW w:w="445" w:type="pct"/>
                  <w:noWrap w:val="0"/>
                  <w:vAlign w:val="center"/>
                </w:tcPr>
                <w:p w14:paraId="3CED0E9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742" w:type="pct"/>
                  <w:vMerge w:val="continue"/>
                  <w:noWrap w:val="0"/>
                  <w:vAlign w:val="center"/>
                </w:tcPr>
                <w:p w14:paraId="1B48ED8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5A75A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682" w:type="pct"/>
                  <w:vMerge w:val="continue"/>
                  <w:noWrap w:val="0"/>
                  <w:vAlign w:val="center"/>
                </w:tcPr>
                <w:p w14:paraId="727011C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803" w:type="pct"/>
                  <w:vMerge w:val="continue"/>
                  <w:noWrap w:val="0"/>
                  <w:vAlign w:val="center"/>
                </w:tcPr>
                <w:p w14:paraId="3D74CCF7">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803" w:type="pct"/>
                  <w:noWrap w:val="0"/>
                  <w:vAlign w:val="center"/>
                </w:tcPr>
                <w:p w14:paraId="7ED31287">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2024.4.8</w:t>
                  </w:r>
                </w:p>
              </w:tc>
              <w:tc>
                <w:tcPr>
                  <w:tcW w:w="477" w:type="pct"/>
                  <w:noWrap w:val="0"/>
                  <w:vAlign w:val="center"/>
                </w:tcPr>
                <w:p w14:paraId="52FF577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w:t>
                  </w:r>
                </w:p>
              </w:tc>
              <w:tc>
                <w:tcPr>
                  <w:tcW w:w="531" w:type="pct"/>
                  <w:noWrap w:val="0"/>
                  <w:vAlign w:val="center"/>
                </w:tcPr>
                <w:p w14:paraId="475BB48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514" w:type="pct"/>
                  <w:noWrap w:val="0"/>
                  <w:vAlign w:val="center"/>
                </w:tcPr>
                <w:p w14:paraId="0CF3E85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w:t>
                  </w:r>
                </w:p>
              </w:tc>
              <w:tc>
                <w:tcPr>
                  <w:tcW w:w="445" w:type="pct"/>
                  <w:noWrap w:val="0"/>
                  <w:vAlign w:val="center"/>
                </w:tcPr>
                <w:p w14:paraId="4C7A72E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742" w:type="pct"/>
                  <w:vMerge w:val="continue"/>
                  <w:noWrap w:val="0"/>
                  <w:vAlign w:val="center"/>
                </w:tcPr>
                <w:p w14:paraId="1BBE736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72ED9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682" w:type="pct"/>
                  <w:vMerge w:val="continue"/>
                  <w:noWrap w:val="0"/>
                  <w:vAlign w:val="center"/>
                </w:tcPr>
                <w:p w14:paraId="37DF729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803" w:type="pct"/>
                  <w:vMerge w:val="continue"/>
                  <w:noWrap w:val="0"/>
                  <w:vAlign w:val="center"/>
                </w:tcPr>
                <w:p w14:paraId="25194034">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803" w:type="pct"/>
                  <w:noWrap w:val="0"/>
                  <w:vAlign w:val="center"/>
                </w:tcPr>
                <w:p w14:paraId="79B00E5D">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2024.4.9</w:t>
                  </w:r>
                </w:p>
              </w:tc>
              <w:tc>
                <w:tcPr>
                  <w:tcW w:w="477" w:type="pct"/>
                  <w:noWrap w:val="0"/>
                  <w:vAlign w:val="center"/>
                </w:tcPr>
                <w:p w14:paraId="20C9779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0.010</w:t>
                  </w:r>
                </w:p>
              </w:tc>
              <w:tc>
                <w:tcPr>
                  <w:tcW w:w="531" w:type="pct"/>
                  <w:noWrap w:val="0"/>
                  <w:vAlign w:val="center"/>
                </w:tcPr>
                <w:p w14:paraId="72CACC9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0.013</w:t>
                  </w:r>
                </w:p>
              </w:tc>
              <w:tc>
                <w:tcPr>
                  <w:tcW w:w="514" w:type="pct"/>
                  <w:noWrap w:val="0"/>
                  <w:vAlign w:val="center"/>
                </w:tcPr>
                <w:p w14:paraId="14EBCCD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445" w:type="pct"/>
                  <w:noWrap w:val="0"/>
                  <w:vAlign w:val="center"/>
                </w:tcPr>
                <w:p w14:paraId="5951C52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0.010</w:t>
                  </w:r>
                </w:p>
              </w:tc>
              <w:tc>
                <w:tcPr>
                  <w:tcW w:w="742" w:type="pct"/>
                  <w:vMerge w:val="continue"/>
                  <w:noWrap w:val="0"/>
                  <w:vAlign w:val="center"/>
                </w:tcPr>
                <w:p w14:paraId="320F5D8A">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041E9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682" w:type="pct"/>
                  <w:vMerge w:val="continue"/>
                  <w:noWrap w:val="0"/>
                  <w:vAlign w:val="center"/>
                </w:tcPr>
                <w:p w14:paraId="30ADDF1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803" w:type="pct"/>
                  <w:vMerge w:val="continue"/>
                  <w:noWrap w:val="0"/>
                  <w:vAlign w:val="center"/>
                </w:tcPr>
                <w:p w14:paraId="439F0CEB">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803" w:type="pct"/>
                  <w:noWrap w:val="0"/>
                  <w:vAlign w:val="center"/>
                </w:tcPr>
                <w:p w14:paraId="59326F8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2024.4.10</w:t>
                  </w:r>
                </w:p>
              </w:tc>
              <w:tc>
                <w:tcPr>
                  <w:tcW w:w="477" w:type="pct"/>
                  <w:noWrap w:val="0"/>
                  <w:vAlign w:val="center"/>
                </w:tcPr>
                <w:p w14:paraId="24E122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w:t>
                  </w:r>
                </w:p>
              </w:tc>
              <w:tc>
                <w:tcPr>
                  <w:tcW w:w="531" w:type="pct"/>
                  <w:noWrap w:val="0"/>
                  <w:vAlign w:val="center"/>
                </w:tcPr>
                <w:p w14:paraId="002F892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514" w:type="pct"/>
                  <w:noWrap w:val="0"/>
                  <w:vAlign w:val="center"/>
                </w:tcPr>
                <w:p w14:paraId="0E12BE9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w:t>
                  </w:r>
                </w:p>
              </w:tc>
              <w:tc>
                <w:tcPr>
                  <w:tcW w:w="445" w:type="pct"/>
                  <w:noWrap w:val="0"/>
                  <w:vAlign w:val="center"/>
                </w:tcPr>
                <w:p w14:paraId="7400CE5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742" w:type="pct"/>
                  <w:vMerge w:val="continue"/>
                  <w:noWrap w:val="0"/>
                  <w:vAlign w:val="center"/>
                </w:tcPr>
                <w:p w14:paraId="5FEDB65A">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bl>
          <w:p w14:paraId="46D57710">
            <w:pPr>
              <w:pStyle w:val="11"/>
              <w:keepNext w:val="0"/>
              <w:keepLines w:val="0"/>
              <w:suppressLineNumbers w:val="0"/>
              <w:overflowPunct w:val="0"/>
              <w:autoSpaceDE w:val="0"/>
              <w:autoSpaceDN w:val="0"/>
              <w:adjustRightInd w:val="0"/>
              <w:spacing w:before="120" w:beforeLines="50" w:beforeAutospacing="0" w:after="0" w:afterAutospacing="0" w:line="360" w:lineRule="auto"/>
              <w:ind w:left="0" w:right="-61"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由表3-</w:t>
            </w:r>
            <w:r>
              <w:rPr>
                <w:rFonts w:hint="eastAsia" w:ascii="Times New Roman" w:hAnsi="Times New Roman" w:cs="Times New Roman"/>
                <w:color w:val="auto"/>
                <w:kern w:val="2"/>
                <w:sz w:val="24"/>
                <w:szCs w:val="24"/>
              </w:rPr>
              <w:t>3</w:t>
            </w:r>
            <w:r>
              <w:rPr>
                <w:rFonts w:hint="eastAsia" w:ascii="Times New Roman" w:hAnsi="Times New Roman" w:cs="Times New Roman"/>
                <w:color w:val="auto"/>
                <w:kern w:val="2"/>
                <w:sz w:val="24"/>
                <w:szCs w:val="24"/>
                <w:lang w:eastAsia="zh-CN"/>
              </w:rPr>
              <w:t>、</w:t>
            </w:r>
            <w:r>
              <w:rPr>
                <w:rFonts w:hint="eastAsia" w:ascii="Times New Roman" w:hAnsi="Times New Roman" w:cs="Times New Roman"/>
                <w:color w:val="auto"/>
                <w:kern w:val="2"/>
                <w:sz w:val="24"/>
                <w:szCs w:val="24"/>
                <w:lang w:val="en-US" w:eastAsia="zh-CN"/>
              </w:rPr>
              <w:t>3-4</w:t>
            </w:r>
            <w:r>
              <w:rPr>
                <w:rFonts w:hint="default" w:ascii="Times New Roman" w:hAnsi="Times New Roman" w:cs="Times New Roman"/>
                <w:color w:val="auto"/>
                <w:kern w:val="2"/>
                <w:sz w:val="24"/>
                <w:szCs w:val="24"/>
              </w:rPr>
              <w:t>的监测评价结果可以得出，本次</w:t>
            </w:r>
            <w:r>
              <w:rPr>
                <w:rFonts w:hint="eastAsia" w:ascii="Times New Roman" w:hAnsi="Times New Roman" w:cs="Times New Roman"/>
                <w:color w:val="auto"/>
                <w:kern w:val="2"/>
                <w:sz w:val="24"/>
                <w:szCs w:val="24"/>
                <w:lang w:val="en-US" w:eastAsia="zh-CN"/>
              </w:rPr>
              <w:t>引用</w:t>
            </w:r>
            <w:r>
              <w:rPr>
                <w:rFonts w:hint="default" w:ascii="Times New Roman" w:hAnsi="Times New Roman" w:cs="Times New Roman"/>
                <w:color w:val="auto"/>
                <w:kern w:val="2"/>
                <w:sz w:val="24"/>
                <w:szCs w:val="24"/>
              </w:rPr>
              <w:t>环境空气现状监测点位总悬浮颗粒物</w:t>
            </w:r>
            <w:r>
              <w:rPr>
                <w:rFonts w:hint="eastAsia" w:ascii="Times New Roman" w:hAnsi="Times New Roman" w:cs="Times New Roman"/>
                <w:color w:val="auto"/>
                <w:kern w:val="2"/>
                <w:sz w:val="24"/>
                <w:szCs w:val="24"/>
                <w:lang w:eastAsia="zh-CN"/>
              </w:rPr>
              <w:t>、</w:t>
            </w:r>
            <w:r>
              <w:rPr>
                <w:rFonts w:hint="eastAsia" w:ascii="Times New Roman" w:hAnsi="Times New Roman" w:cs="Times New Roman"/>
                <w:color w:val="auto"/>
                <w:kern w:val="2"/>
                <w:sz w:val="24"/>
                <w:szCs w:val="24"/>
                <w:lang w:val="en-US" w:eastAsia="zh-CN"/>
              </w:rPr>
              <w:t>氮氧化物满足</w:t>
            </w:r>
            <w:r>
              <w:rPr>
                <w:rFonts w:hint="default" w:ascii="Times New Roman" w:hAnsi="Times New Roman" w:cs="Times New Roman"/>
                <w:color w:val="auto"/>
                <w:kern w:val="2"/>
                <w:sz w:val="24"/>
                <w:szCs w:val="24"/>
              </w:rPr>
              <w:t>《环境空气质量标准》（GB3095-2012）中的二级标准</w:t>
            </w:r>
            <w:r>
              <w:rPr>
                <w:rFonts w:hint="eastAsia" w:ascii="Times New Roman" w:hAnsi="Times New Roman" w:cs="Times New Roman"/>
                <w:color w:val="auto"/>
                <w:kern w:val="2"/>
                <w:sz w:val="24"/>
                <w:szCs w:val="24"/>
                <w:lang w:eastAsia="zh-CN"/>
              </w:rPr>
              <w:t>，</w:t>
            </w:r>
            <w:r>
              <w:rPr>
                <w:rFonts w:hint="eastAsia" w:ascii="Times New Roman" w:hAnsi="Times New Roman" w:cs="Times New Roman"/>
                <w:color w:val="auto"/>
                <w:kern w:val="2"/>
                <w:sz w:val="24"/>
                <w:szCs w:val="24"/>
                <w:lang w:val="en-US" w:eastAsia="zh-CN"/>
              </w:rPr>
              <w:t>非甲烷总烃满足《大气污染物综合排放标准详解》中相关标准</w:t>
            </w:r>
            <w:r>
              <w:rPr>
                <w:rFonts w:hint="default" w:ascii="Times New Roman" w:hAnsi="Times New Roman" w:cs="Times New Roman"/>
                <w:color w:val="auto"/>
                <w:kern w:val="2"/>
                <w:sz w:val="24"/>
                <w:szCs w:val="24"/>
              </w:rPr>
              <w:t>。本项目所在区域环境空气质量良好。</w:t>
            </w:r>
          </w:p>
          <w:p w14:paraId="6CB24D83">
            <w:pPr>
              <w:keepNext w:val="0"/>
              <w:keepLines w:val="0"/>
              <w:suppressLineNumbers w:val="0"/>
              <w:adjustRightInd w:val="0"/>
              <w:snapToGrid w:val="0"/>
              <w:spacing w:before="0" w:beforeAutospacing="0" w:after="0" w:afterAutospacing="0"/>
              <w:ind w:left="0" w:right="0"/>
              <w:rPr>
                <w:rFonts w:hint="eastAsia" w:ascii="Times New Roman" w:hAnsi="Times New Roman" w:cs="宋体"/>
                <w:b/>
                <w:bCs/>
                <w:color w:val="auto"/>
                <w:kern w:val="0"/>
              </w:rPr>
            </w:pPr>
            <w:r>
              <w:rPr>
                <w:rFonts w:hint="eastAsia" w:ascii="Times New Roman" w:hAnsi="Times New Roman" w:cs="宋体"/>
                <w:b/>
                <w:bCs/>
                <w:color w:val="auto"/>
                <w:kern w:val="0"/>
              </w:rPr>
              <w:t>二、地表水环境质量现状</w:t>
            </w:r>
          </w:p>
          <w:p w14:paraId="721B1A86">
            <w:pPr>
              <w:keepNext w:val="0"/>
              <w:keepLines w:val="0"/>
              <w:suppressLineNumbers w:val="0"/>
              <w:spacing w:before="0" w:beforeAutospacing="0" w:after="0" w:afterAutospacing="0"/>
              <w:ind w:left="0" w:right="0" w:firstLine="482" w:firstLineChars="200"/>
              <w:jc w:val="left"/>
              <w:rPr>
                <w:rFonts w:hint="eastAsia" w:ascii="Times New Roman" w:hAnsi="Times New Roman" w:cs="Times New Roman"/>
                <w:b/>
                <w:bCs/>
                <w:color w:val="auto"/>
                <w:kern w:val="0"/>
              </w:rPr>
            </w:pPr>
            <w:r>
              <w:rPr>
                <w:rFonts w:hint="eastAsia" w:ascii="Times New Roman" w:hAnsi="Times New Roman" w:cs="Times New Roman"/>
                <w:b/>
                <w:bCs/>
                <w:color w:val="auto"/>
                <w:kern w:val="0"/>
              </w:rPr>
              <w:t>1、地表水环境质量现状</w:t>
            </w:r>
          </w:p>
          <w:p w14:paraId="2837AC09">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80" w:firstLineChars="200"/>
              <w:textAlignment w:val="auto"/>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本项目营运期废水经预处理池处理后，排入市政污水管网，再经</w:t>
            </w:r>
            <w:r>
              <w:rPr>
                <w:rFonts w:hint="eastAsia" w:ascii="Times New Roman" w:hAnsi="Times New Roman" w:cs="Times New Roman"/>
                <w:color w:val="auto"/>
                <w:kern w:val="0"/>
                <w:lang w:bidi="ar"/>
              </w:rPr>
              <w:t>蓬溪县经济开发区废水处理厂</w:t>
            </w:r>
            <w:r>
              <w:rPr>
                <w:rFonts w:hint="default" w:ascii="Times New Roman" w:hAnsi="Times New Roman" w:cs="Times New Roman"/>
                <w:color w:val="auto"/>
                <w:kern w:val="0"/>
                <w:lang w:bidi="ar"/>
              </w:rPr>
              <w:t>处理后尾水排入芝溪河。</w:t>
            </w:r>
          </w:p>
          <w:p w14:paraId="08A14435">
            <w:pPr>
              <w:keepNext w:val="0"/>
              <w:keepLines w:val="0"/>
              <w:pageBreakBefore w:val="0"/>
              <w:suppressLineNumbers w:val="0"/>
              <w:kinsoku/>
              <w:wordWrap w:val="0"/>
              <w:overflowPunct/>
              <w:topLinePunct w:val="0"/>
              <w:autoSpaceDE/>
              <w:autoSpaceDN/>
              <w:bidi w:val="0"/>
              <w:spacing w:before="0" w:beforeAutospacing="0" w:after="0" w:afterAutospacing="0"/>
              <w:ind w:left="0" w:right="0" w:firstLine="480" w:firstLineChars="200"/>
              <w:textAlignment w:val="auto"/>
              <w:rPr>
                <w:rFonts w:hint="eastAsia" w:ascii="Times New Roman" w:hAnsi="Times New Roman" w:cs="宋体"/>
                <w:color w:val="auto"/>
              </w:rPr>
            </w:pPr>
            <w:r>
              <w:rPr>
                <w:rFonts w:hint="default" w:ascii="Times New Roman" w:hAnsi="Times New Roman" w:cs="Times New Roman"/>
                <w:color w:val="auto"/>
                <w:kern w:val="0"/>
                <w:lang w:bidi="ar"/>
              </w:rPr>
              <w:t>项目地表水环境根据《202</w:t>
            </w:r>
            <w:r>
              <w:rPr>
                <w:rFonts w:hint="default" w:ascii="Times New Roman" w:hAnsi="Times New Roman" w:cs="Times New Roman"/>
                <w:color w:val="auto"/>
                <w:kern w:val="0"/>
                <w:lang w:val="en-US" w:eastAsia="zh-CN" w:bidi="ar"/>
              </w:rPr>
              <w:t>3</w:t>
            </w:r>
            <w:r>
              <w:rPr>
                <w:rFonts w:hint="default" w:ascii="Times New Roman" w:hAnsi="Times New Roman" w:cs="Times New Roman"/>
                <w:color w:val="auto"/>
                <w:kern w:val="0"/>
                <w:lang w:bidi="ar"/>
              </w:rPr>
              <w:t>年遂宁市环境质量公告》（https://www.suining.gov.cn/gongkai/show/5b25e70895b814af678b0a09f2c09177.html）进行评价，202</w:t>
            </w:r>
            <w:r>
              <w:rPr>
                <w:rFonts w:hint="default" w:ascii="Times New Roman" w:hAnsi="Times New Roman" w:cs="Times New Roman"/>
                <w:color w:val="auto"/>
                <w:kern w:val="0"/>
                <w:lang w:val="en-US" w:eastAsia="zh-CN" w:bidi="ar"/>
              </w:rPr>
              <w:t>3</w:t>
            </w:r>
            <w:r>
              <w:rPr>
                <w:rFonts w:hint="default" w:ascii="Times New Roman" w:hAnsi="Times New Roman" w:cs="Times New Roman"/>
                <w:color w:val="auto"/>
                <w:kern w:val="0"/>
                <w:lang w:bidi="ar"/>
              </w:rPr>
              <w:t>年</w:t>
            </w:r>
            <w:r>
              <w:rPr>
                <w:rFonts w:hint="default" w:ascii="Times New Roman" w:hAnsi="Times New Roman" w:eastAsia="宋体" w:cs="Times New Roman"/>
                <w:i w:val="0"/>
                <w:iCs w:val="0"/>
                <w:caps w:val="0"/>
                <w:color w:val="auto"/>
                <w:spacing w:val="0"/>
                <w:sz w:val="24"/>
                <w:szCs w:val="24"/>
                <w:shd w:val="clear" w:color="auto" w:fill="FFFFFF"/>
              </w:rPr>
              <w:t>遂宁市9个国、省控地表水监测断面（含2个长江经济带断面）水环境质量状况、主要污染指标、环比和同比情况见表</w:t>
            </w:r>
            <w:r>
              <w:rPr>
                <w:rFonts w:hint="default" w:ascii="Times New Roman" w:hAnsi="Times New Roman" w:cs="Times New Roman"/>
                <w:color w:val="auto"/>
                <w:kern w:val="0"/>
                <w:lang w:bidi="ar"/>
              </w:rPr>
              <w:t>。</w:t>
            </w:r>
          </w:p>
          <w:p w14:paraId="74906646">
            <w:pPr>
              <w:pStyle w:val="73"/>
              <w:keepNext w:val="0"/>
              <w:keepLines w:val="0"/>
              <w:widowControl/>
              <w:suppressLineNumbers w:val="0"/>
              <w:spacing w:before="0" w:beforeLines="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表3-</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 xml:space="preserve">  202</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年遂宁河流水质评价结果表</w:t>
            </w:r>
          </w:p>
          <w:p w14:paraId="6A3C33C7">
            <w:pPr>
              <w:pStyle w:val="72"/>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cs="Times New Roman"/>
                <w:bCs/>
                <w:color w:val="auto"/>
              </w:rPr>
            </w:pPr>
            <w:r>
              <w:rPr>
                <w:rFonts w:hint="default" w:ascii="Times New Roman" w:hAnsi="Times New Roman" w:cs="Times New Roman"/>
                <w:color w:val="auto"/>
              </w:rPr>
              <w:drawing>
                <wp:inline distT="0" distB="0" distL="114300" distR="114300">
                  <wp:extent cx="4855210" cy="4907280"/>
                  <wp:effectExtent l="0" t="0" r="2540" b="7620"/>
                  <wp:docPr id="1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6"/>
                          <pic:cNvPicPr>
                            <a:picLocks noChangeAspect="1"/>
                          </pic:cNvPicPr>
                        </pic:nvPicPr>
                        <pic:blipFill>
                          <a:blip r:embed="rId30"/>
                          <a:srcRect l="-853" t="331" b="33128"/>
                          <a:stretch>
                            <a:fillRect/>
                          </a:stretch>
                        </pic:blipFill>
                        <pic:spPr>
                          <a:xfrm>
                            <a:off x="0" y="0"/>
                            <a:ext cx="4855210" cy="4907280"/>
                          </a:xfrm>
                          <a:prstGeom prst="rect">
                            <a:avLst/>
                          </a:prstGeom>
                          <a:noFill/>
                          <a:ln>
                            <a:noFill/>
                          </a:ln>
                        </pic:spPr>
                      </pic:pic>
                    </a:graphicData>
                  </a:graphic>
                </wp:inline>
              </w:drawing>
            </w:r>
          </w:p>
          <w:p w14:paraId="0B50FDCB">
            <w:pPr>
              <w:pStyle w:val="72"/>
              <w:keepNext w:val="0"/>
              <w:keepLines w:val="0"/>
              <w:widowControl/>
              <w:suppressLineNumbers w:val="0"/>
              <w:spacing w:before="0" w:beforeAutospacing="0" w:after="0" w:afterAutospacing="0"/>
              <w:ind w:left="0" w:right="0" w:firstLine="480"/>
              <w:rPr>
                <w:rFonts w:hint="eastAsia" w:ascii="Times New Roman" w:hAnsi="Times New Roman" w:cs="宋体"/>
                <w:bCs/>
                <w:color w:val="auto"/>
              </w:rPr>
            </w:pPr>
            <w:r>
              <w:rPr>
                <w:rFonts w:hint="eastAsia" w:ascii="Times New Roman" w:hAnsi="Times New Roman" w:cs="Times New Roman"/>
                <w:bCs/>
                <w:color w:val="auto"/>
                <w:lang w:val="en-US" w:eastAsia="zh-CN"/>
              </w:rPr>
              <w:t>项目受纳水体为芝溪河，</w:t>
            </w:r>
            <w:r>
              <w:rPr>
                <w:rFonts w:hint="default" w:ascii="Times New Roman" w:hAnsi="Times New Roman" w:cs="Times New Roman"/>
                <w:bCs/>
                <w:color w:val="auto"/>
              </w:rPr>
              <w:t>根据《202</w:t>
            </w:r>
            <w:r>
              <w:rPr>
                <w:rFonts w:hint="eastAsia" w:ascii="Times New Roman" w:hAnsi="Times New Roman" w:cs="Times New Roman"/>
                <w:bCs/>
                <w:color w:val="auto"/>
                <w:lang w:val="en-US" w:eastAsia="zh-CN"/>
              </w:rPr>
              <w:t>3</w:t>
            </w:r>
            <w:r>
              <w:rPr>
                <w:rFonts w:hint="default" w:ascii="Times New Roman" w:hAnsi="Times New Roman" w:cs="Times New Roman"/>
                <w:bCs/>
                <w:color w:val="auto"/>
              </w:rPr>
              <w:t>年遂宁市环境质量公告》</w:t>
            </w:r>
            <w:r>
              <w:rPr>
                <w:rFonts w:hint="eastAsia" w:ascii="Times New Roman" w:hAnsi="Times New Roman" w:cs="Times New Roman"/>
                <w:bCs/>
                <w:color w:val="auto"/>
                <w:lang w:val="en-US" w:eastAsia="zh-CN"/>
              </w:rPr>
              <w:t>蓬溪县芝溪河国控断面</w:t>
            </w:r>
            <w:r>
              <w:rPr>
                <w:rFonts w:hint="default" w:ascii="Times New Roman" w:hAnsi="Times New Roman" w:cs="Times New Roman"/>
                <w:bCs/>
                <w:color w:val="auto"/>
              </w:rPr>
              <w:t>河流水质评价结果</w:t>
            </w:r>
            <w:r>
              <w:rPr>
                <w:rFonts w:hint="eastAsia" w:ascii="Times New Roman" w:hAnsi="Times New Roman" w:cs="Times New Roman"/>
                <w:bCs/>
                <w:color w:val="auto"/>
                <w:lang w:val="en-US" w:eastAsia="zh-CN"/>
              </w:rPr>
              <w:t>均</w:t>
            </w:r>
            <w:r>
              <w:rPr>
                <w:rFonts w:hint="default" w:ascii="Times New Roman" w:hAnsi="Times New Roman" w:cs="Times New Roman"/>
                <w:bCs/>
                <w:color w:val="auto"/>
              </w:rPr>
              <w:t>为III类，满足</w:t>
            </w:r>
            <w:r>
              <w:rPr>
                <w:rFonts w:hint="default" w:ascii="Times New Roman" w:hAnsi="Times New Roman" w:cs="Times New Roman"/>
                <w:color w:val="auto"/>
              </w:rPr>
              <w:t>《地表水环境质量标准》（GB3838-2002）III类水域标准要求，</w:t>
            </w:r>
            <w:r>
              <w:rPr>
                <w:rFonts w:hint="default" w:ascii="Times New Roman" w:hAnsi="Times New Roman" w:cs="Times New Roman"/>
                <w:bCs/>
                <w:color w:val="auto"/>
              </w:rPr>
              <w:t>故项目所在区域地表水环境质量</w:t>
            </w:r>
            <w:r>
              <w:rPr>
                <w:rFonts w:hint="eastAsia" w:ascii="Times New Roman" w:hAnsi="Times New Roman" w:cs="Times New Roman"/>
                <w:bCs/>
                <w:color w:val="auto"/>
              </w:rPr>
              <w:t>良好</w:t>
            </w:r>
            <w:r>
              <w:rPr>
                <w:rFonts w:hint="eastAsia" w:ascii="Times New Roman" w:hAnsi="Times New Roman" w:cs="宋体"/>
                <w:bCs/>
                <w:color w:val="auto"/>
              </w:rPr>
              <w:t>。</w:t>
            </w:r>
          </w:p>
          <w:p w14:paraId="24C6E8B2">
            <w:pPr>
              <w:keepNext w:val="0"/>
              <w:keepLines w:val="0"/>
              <w:suppressLineNumbers w:val="0"/>
              <w:adjustRightInd w:val="0"/>
              <w:snapToGrid w:val="0"/>
              <w:spacing w:before="0" w:beforeAutospacing="0" w:after="0" w:afterAutospacing="0"/>
              <w:ind w:left="0" w:right="0"/>
              <w:rPr>
                <w:rFonts w:hint="eastAsia" w:ascii="Times New Roman" w:hAnsi="Times New Roman" w:cs="宋体"/>
                <w:b/>
                <w:bCs/>
                <w:color w:val="auto"/>
                <w:kern w:val="0"/>
              </w:rPr>
            </w:pPr>
            <w:r>
              <w:rPr>
                <w:rFonts w:hint="eastAsia" w:ascii="Times New Roman" w:hAnsi="Times New Roman" w:cs="宋体"/>
                <w:b/>
                <w:bCs/>
                <w:color w:val="auto"/>
                <w:kern w:val="0"/>
              </w:rPr>
              <w:t>三、声环境质量现状</w:t>
            </w:r>
          </w:p>
          <w:p w14:paraId="64B02AA7">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rPr>
            </w:pPr>
            <w:r>
              <w:rPr>
                <w:rFonts w:hint="eastAsia" w:ascii="Times New Roman" w:hAnsi="Times New Roman" w:cs="Times New Roman"/>
                <w:color w:val="auto"/>
              </w:rPr>
              <w:t>经</w:t>
            </w:r>
            <w:r>
              <w:rPr>
                <w:rFonts w:hint="eastAsia" w:cs="Times New Roman"/>
                <w:color w:val="auto"/>
                <w:lang w:eastAsia="zh-CN"/>
              </w:rPr>
              <w:t>现场勘查</w:t>
            </w:r>
            <w:r>
              <w:rPr>
                <w:rFonts w:hint="eastAsia" w:ascii="Times New Roman" w:hAnsi="Times New Roman" w:cs="Times New Roman"/>
                <w:color w:val="auto"/>
              </w:rPr>
              <w:t>，厂界外周边50米范围内不存在医院、学校、机关、科研单位、住宅、自然保护区等声环境保护目标的建设项目，且项目所在区域未引入大气、噪声污染重型企业，环境特征无重大变化，</w:t>
            </w:r>
            <w:r>
              <w:rPr>
                <w:rFonts w:hint="eastAsia" w:ascii="Times New Roman" w:hAnsi="Times New Roman" w:cs="Times New Roman"/>
                <w:color w:val="auto"/>
                <w:szCs w:val="22"/>
              </w:rPr>
              <w:t>因此，</w:t>
            </w:r>
            <w:r>
              <w:rPr>
                <w:rFonts w:hint="default" w:ascii="Times New Roman" w:hAnsi="Times New Roman" w:cs="Times New Roman"/>
                <w:bCs/>
                <w:color w:val="auto"/>
                <w:szCs w:val="20"/>
              </w:rPr>
              <w:t>不进行</w:t>
            </w:r>
            <w:r>
              <w:rPr>
                <w:rFonts w:hint="eastAsia" w:ascii="Times New Roman" w:hAnsi="Times New Roman" w:cs="Times New Roman"/>
                <w:bCs/>
                <w:color w:val="auto"/>
                <w:szCs w:val="20"/>
              </w:rPr>
              <w:t>声</w:t>
            </w:r>
            <w:r>
              <w:rPr>
                <w:rFonts w:hint="default" w:ascii="Times New Roman" w:hAnsi="Times New Roman" w:cs="Times New Roman"/>
                <w:bCs/>
                <w:color w:val="auto"/>
                <w:szCs w:val="20"/>
              </w:rPr>
              <w:t>环境质量现状监测和评价</w:t>
            </w:r>
            <w:r>
              <w:rPr>
                <w:rFonts w:hint="eastAsia" w:ascii="Times New Roman" w:hAnsi="Times New Roman" w:cs="Times New Roman"/>
                <w:color w:val="auto"/>
                <w:szCs w:val="22"/>
              </w:rPr>
              <w:t>。</w:t>
            </w:r>
          </w:p>
          <w:p w14:paraId="3D0C8D4C">
            <w:pPr>
              <w:keepNext w:val="0"/>
              <w:keepLines w:val="0"/>
              <w:numPr>
                <w:ilvl w:val="0"/>
                <w:numId w:val="2"/>
              </w:numPr>
              <w:suppressLineNumbers w:val="0"/>
              <w:adjustRightInd w:val="0"/>
              <w:snapToGrid w:val="0"/>
              <w:spacing w:before="0" w:beforeAutospacing="0" w:after="0" w:afterAutospacing="0"/>
              <w:ind w:left="0" w:right="0"/>
              <w:rPr>
                <w:rFonts w:hint="eastAsia" w:ascii="Times New Roman" w:hAnsi="Times New Roman" w:cs="宋体"/>
                <w:b/>
                <w:bCs/>
                <w:color w:val="auto"/>
              </w:rPr>
            </w:pPr>
            <w:r>
              <w:rPr>
                <w:rFonts w:hint="eastAsia" w:ascii="Times New Roman" w:hAnsi="Times New Roman" w:cs="宋体"/>
                <w:b/>
                <w:bCs/>
                <w:color w:val="auto"/>
              </w:rPr>
              <w:t>地下水及土壤环境质量现状</w:t>
            </w:r>
          </w:p>
          <w:p w14:paraId="09B6ADE5">
            <w:pPr>
              <w:pStyle w:val="61"/>
              <w:keepNext w:val="0"/>
              <w:keepLines w:val="0"/>
              <w:suppressLineNumbers w:val="0"/>
              <w:spacing w:before="0" w:beforeAutospacing="0" w:after="0" w:afterAutospacing="0" w:line="360" w:lineRule="auto"/>
              <w:ind w:left="0" w:right="0" w:firstLine="480"/>
              <w:rPr>
                <w:color w:val="auto"/>
              </w:rPr>
            </w:pPr>
            <w:r>
              <w:rPr>
                <w:color w:val="auto"/>
              </w:rPr>
              <w:t>根据《建设项目环境影响报告表编制技术指南（污染影响类）（试行）》及结合本项目的实际情况，本项目无需开展地下水及土壤监测</w:t>
            </w:r>
            <w:r>
              <w:rPr>
                <w:rFonts w:hint="default"/>
                <w:color w:val="auto"/>
              </w:rPr>
              <w:t>。</w:t>
            </w:r>
          </w:p>
          <w:p w14:paraId="55FBDCBB">
            <w:pPr>
              <w:keepNext w:val="0"/>
              <w:keepLines w:val="0"/>
              <w:numPr>
                <w:ilvl w:val="0"/>
                <w:numId w:val="2"/>
              </w:numPr>
              <w:suppressLineNumbers w:val="0"/>
              <w:adjustRightInd w:val="0"/>
              <w:snapToGrid w:val="0"/>
              <w:spacing w:before="0" w:beforeAutospacing="0" w:after="0" w:afterAutospacing="0"/>
              <w:ind w:left="0" w:right="0"/>
              <w:rPr>
                <w:rFonts w:hint="eastAsia" w:ascii="Times New Roman" w:hAnsi="Times New Roman" w:cs="宋体"/>
                <w:b/>
                <w:bCs/>
                <w:color w:val="auto"/>
                <w:kern w:val="0"/>
              </w:rPr>
            </w:pPr>
            <w:r>
              <w:rPr>
                <w:rFonts w:hint="eastAsia" w:ascii="Times New Roman" w:hAnsi="Times New Roman" w:cs="宋体"/>
                <w:b/>
                <w:bCs/>
                <w:color w:val="auto"/>
                <w:kern w:val="0"/>
              </w:rPr>
              <w:t>生态环境现状</w:t>
            </w:r>
          </w:p>
          <w:p w14:paraId="26E0B4D4">
            <w:pPr>
              <w:keepNext w:val="0"/>
              <w:keepLines w:val="0"/>
              <w:suppressLineNumbers w:val="0"/>
              <w:adjustRightInd w:val="0"/>
              <w:snapToGrid w:val="0"/>
              <w:spacing w:before="0" w:beforeAutospacing="0" w:after="0" w:afterAutospacing="0"/>
              <w:ind w:left="0" w:right="0" w:firstLine="480" w:firstLineChars="200"/>
              <w:jc w:val="left"/>
              <w:rPr>
                <w:rFonts w:hint="eastAsia" w:ascii="Times New Roman" w:hAnsi="Times New Roman" w:cs="宋体"/>
                <w:b/>
                <w:bCs/>
                <w:color w:val="auto"/>
                <w:kern w:val="0"/>
              </w:rPr>
            </w:pPr>
            <w:r>
              <w:rPr>
                <w:rFonts w:hint="eastAsia" w:ascii="Times New Roman" w:hAnsi="Times New Roman" w:cs="Times New Roman"/>
                <w:color w:val="auto"/>
              </w:rPr>
              <w:t>项目所在区域为产业园区内，以工业为主，生态系统单一，后期生态系统主要依靠人工种植的草、树等植被。目前工程所经区域土地开发利用已久，自然植被多被人工植被所代替。本项目评价区域内无重点保护目标，无特殊保护的珍稀、濒危动植物及古、大、珍、奇树木，无需特殊保护的文物古迹、风景名胜及自然保护区等生态敏感点，无重大制约因素。</w:t>
            </w:r>
          </w:p>
        </w:tc>
      </w:tr>
      <w:tr w14:paraId="135AB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507" w:type="dxa"/>
            <w:noWrap w:val="0"/>
            <w:vAlign w:val="center"/>
          </w:tcPr>
          <w:p w14:paraId="38883231">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kern w:val="0"/>
              </w:rPr>
            </w:pPr>
            <w:r>
              <w:rPr>
                <w:rFonts w:hint="eastAsia" w:ascii="Times New Roman" w:hAnsi="Times New Roman" w:cs="宋体"/>
                <w:color w:val="auto"/>
                <w:kern w:val="0"/>
              </w:rPr>
              <w:t>环境</w:t>
            </w:r>
          </w:p>
          <w:p w14:paraId="048B95F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kern w:val="0"/>
              </w:rPr>
            </w:pPr>
            <w:r>
              <w:rPr>
                <w:rFonts w:hint="eastAsia" w:ascii="Times New Roman" w:hAnsi="Times New Roman" w:cs="宋体"/>
                <w:color w:val="auto"/>
                <w:kern w:val="0"/>
              </w:rPr>
              <w:t>保护</w:t>
            </w:r>
          </w:p>
          <w:p w14:paraId="5F237C65">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kern w:val="0"/>
                <w:szCs w:val="21"/>
              </w:rPr>
            </w:pPr>
            <w:r>
              <w:rPr>
                <w:rFonts w:hint="eastAsia" w:ascii="Times New Roman" w:hAnsi="Times New Roman" w:cs="宋体"/>
                <w:color w:val="auto"/>
                <w:kern w:val="0"/>
              </w:rPr>
              <w:t>目标</w:t>
            </w:r>
          </w:p>
        </w:tc>
        <w:tc>
          <w:tcPr>
            <w:tcW w:w="8554" w:type="dxa"/>
            <w:noWrap w:val="0"/>
            <w:vAlign w:val="top"/>
          </w:tcPr>
          <w:p w14:paraId="7C0F03C3">
            <w:pPr>
              <w:keepNext w:val="0"/>
              <w:keepLines w:val="0"/>
              <w:suppressLineNumbers w:val="0"/>
              <w:adjustRightInd w:val="0"/>
              <w:snapToGrid w:val="0"/>
              <w:spacing w:before="0" w:beforeAutospacing="0" w:after="0" w:afterAutospacing="0"/>
              <w:ind w:left="0" w:right="0"/>
              <w:jc w:val="left"/>
              <w:rPr>
                <w:rFonts w:hint="eastAsia" w:ascii="Times New Roman" w:hAnsi="Times New Roman" w:cs="Times New Roman"/>
                <w:b/>
                <w:bCs/>
                <w:color w:val="auto"/>
              </w:rPr>
            </w:pPr>
            <w:r>
              <w:rPr>
                <w:rFonts w:hint="eastAsia" w:ascii="Times New Roman" w:hAnsi="Times New Roman" w:cs="Times New Roman"/>
                <w:b/>
                <w:bCs/>
                <w:color w:val="auto"/>
              </w:rPr>
              <w:t>1、大气环境保护目标</w:t>
            </w:r>
          </w:p>
          <w:p w14:paraId="2551C110">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b/>
                <w:bCs/>
                <w:color w:val="auto"/>
                <w:sz w:val="21"/>
                <w:szCs w:val="21"/>
              </w:rPr>
            </w:pPr>
            <w:r>
              <w:rPr>
                <w:rFonts w:hint="eastAsia" w:ascii="Times New Roman" w:hAnsi="Times New Roman" w:cs="Times New Roman"/>
                <w:color w:val="auto"/>
              </w:rPr>
              <w:t>本项目厂界外500m范围内涉及环境保护目标主要为居住区，如表3-</w:t>
            </w:r>
            <w:r>
              <w:rPr>
                <w:rFonts w:hint="eastAsia" w:ascii="Times New Roman" w:hAnsi="Times New Roman" w:cs="Times New Roman"/>
                <w:color w:val="auto"/>
                <w:lang w:val="en-US" w:eastAsia="zh-CN"/>
              </w:rPr>
              <w:t>6</w:t>
            </w:r>
            <w:r>
              <w:rPr>
                <w:rFonts w:hint="eastAsia" w:ascii="Times New Roman" w:hAnsi="Times New Roman" w:cs="Times New Roman"/>
                <w:color w:val="auto"/>
              </w:rPr>
              <w:t>所示：</w:t>
            </w:r>
          </w:p>
          <w:p w14:paraId="0B6C886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ascii="Times New Roman" w:hAnsi="Times New Roman" w:cs="Times New Roman"/>
                <w:b/>
                <w:bCs/>
                <w:color w:val="auto"/>
                <w:sz w:val="21"/>
                <w:szCs w:val="21"/>
                <w:lang w:val="en-US" w:eastAsia="zh-CN"/>
              </w:rPr>
              <w:t>6</w:t>
            </w:r>
            <w:r>
              <w:rPr>
                <w:rFonts w:hint="eastAsia" w:ascii="Times New Roman" w:hAnsi="Times New Roman" w:cs="Times New Roman"/>
                <w:b/>
                <w:bCs/>
                <w:color w:val="auto"/>
                <w:sz w:val="21"/>
                <w:szCs w:val="21"/>
              </w:rPr>
              <w:t xml:space="preserve">   本项目</w:t>
            </w:r>
            <w:r>
              <w:rPr>
                <w:rFonts w:hint="default" w:ascii="Times New Roman" w:hAnsi="Times New Roman" w:cs="Times New Roman"/>
                <w:b/>
                <w:bCs/>
                <w:color w:val="auto"/>
                <w:sz w:val="21"/>
                <w:szCs w:val="21"/>
              </w:rPr>
              <w:t>主要环境保护目标</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17"/>
              <w:gridCol w:w="599"/>
              <w:gridCol w:w="642"/>
              <w:gridCol w:w="1274"/>
              <w:gridCol w:w="1129"/>
              <w:gridCol w:w="999"/>
              <w:gridCol w:w="1046"/>
              <w:gridCol w:w="1629"/>
            </w:tblGrid>
            <w:tr w14:paraId="4B5A7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0" w:type="pct"/>
                  <w:noWrap w:val="0"/>
                  <w:vAlign w:val="center"/>
                </w:tcPr>
                <w:p w14:paraId="2A02D997">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环境类别</w:t>
                  </w:r>
                </w:p>
              </w:tc>
              <w:tc>
                <w:tcPr>
                  <w:tcW w:w="744" w:type="pct"/>
                  <w:gridSpan w:val="2"/>
                  <w:noWrap w:val="0"/>
                  <w:vAlign w:val="center"/>
                </w:tcPr>
                <w:p w14:paraId="4E71D97E">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方位与距离</w:t>
                  </w:r>
                </w:p>
              </w:tc>
              <w:tc>
                <w:tcPr>
                  <w:tcW w:w="1441" w:type="pct"/>
                  <w:gridSpan w:val="2"/>
                  <w:noWrap w:val="0"/>
                  <w:vAlign w:val="center"/>
                </w:tcPr>
                <w:p w14:paraId="4E0C64E5">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坐标</w:t>
                  </w:r>
                </w:p>
              </w:tc>
              <w:tc>
                <w:tcPr>
                  <w:tcW w:w="599" w:type="pct"/>
                  <w:noWrap w:val="0"/>
                  <w:vAlign w:val="center"/>
                </w:tcPr>
                <w:p w14:paraId="61A7E229">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b/>
                      <w:bCs/>
                      <w:color w:val="auto"/>
                      <w:sz w:val="21"/>
                      <w:szCs w:val="21"/>
                    </w:rPr>
                  </w:pPr>
                  <w:r>
                    <w:rPr>
                      <w:rFonts w:hint="eastAsia" w:ascii="Times New Roman" w:hAnsi="Times New Roman" w:cs="Times New Roman"/>
                      <w:b/>
                      <w:bCs/>
                      <w:color w:val="auto"/>
                      <w:sz w:val="21"/>
                      <w:szCs w:val="21"/>
                    </w:rPr>
                    <w:t>名称</w:t>
                  </w:r>
                </w:p>
              </w:tc>
              <w:tc>
                <w:tcPr>
                  <w:tcW w:w="627" w:type="pct"/>
                  <w:noWrap w:val="0"/>
                  <w:vAlign w:val="center"/>
                </w:tcPr>
                <w:p w14:paraId="0F6241E4">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规模</w:t>
                  </w:r>
                </w:p>
              </w:tc>
              <w:tc>
                <w:tcPr>
                  <w:tcW w:w="977" w:type="pct"/>
                  <w:noWrap w:val="0"/>
                  <w:vAlign w:val="center"/>
                </w:tcPr>
                <w:p w14:paraId="7EFB311B">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环境功能</w:t>
                  </w:r>
                </w:p>
              </w:tc>
            </w:tr>
            <w:tr w14:paraId="67DB0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0" w:type="pct"/>
                  <w:vMerge w:val="restart"/>
                  <w:noWrap w:val="0"/>
                  <w:vAlign w:val="center"/>
                </w:tcPr>
                <w:p w14:paraId="54936167">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bCs/>
                      <w:color w:val="auto"/>
                      <w:sz w:val="21"/>
                      <w:szCs w:val="21"/>
                    </w:rPr>
                  </w:pPr>
                  <w:r>
                    <w:rPr>
                      <w:rFonts w:hint="default" w:ascii="Times New Roman" w:hAnsi="Times New Roman" w:cs="Times New Roman"/>
                      <w:bCs/>
                      <w:color w:val="auto"/>
                      <w:sz w:val="21"/>
                      <w:szCs w:val="21"/>
                    </w:rPr>
                    <w:t>环境空气</w:t>
                  </w:r>
                </w:p>
              </w:tc>
              <w:tc>
                <w:tcPr>
                  <w:tcW w:w="359" w:type="pct"/>
                  <w:vMerge w:val="restart"/>
                  <w:noWrap w:val="0"/>
                  <w:vAlign w:val="center"/>
                </w:tcPr>
                <w:p w14:paraId="03C56202">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东北侧</w:t>
                  </w:r>
                </w:p>
              </w:tc>
              <w:tc>
                <w:tcPr>
                  <w:tcW w:w="385" w:type="pct"/>
                  <w:noWrap w:val="0"/>
                  <w:vAlign w:val="center"/>
                </w:tcPr>
                <w:p w14:paraId="19DD46B0">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2</w:t>
                  </w:r>
                  <w:r>
                    <w:rPr>
                      <w:rFonts w:hint="eastAsia" w:ascii="Times New Roman" w:hAnsi="Times New Roman" w:cs="Times New Roman"/>
                      <w:color w:val="auto"/>
                      <w:sz w:val="21"/>
                      <w:szCs w:val="21"/>
                      <w:lang w:val="en-US" w:eastAsia="zh-CN"/>
                    </w:rPr>
                    <w:t>12</w:t>
                  </w:r>
                  <w:r>
                    <w:rPr>
                      <w:rFonts w:hint="eastAsia" w:ascii="Times New Roman" w:hAnsi="Times New Roman" w:cs="Times New Roman"/>
                      <w:color w:val="auto"/>
                      <w:sz w:val="21"/>
                      <w:szCs w:val="21"/>
                    </w:rPr>
                    <w:t>m</w:t>
                  </w:r>
                </w:p>
              </w:tc>
              <w:tc>
                <w:tcPr>
                  <w:tcW w:w="764" w:type="pct"/>
                  <w:noWrap w:val="0"/>
                  <w:vAlign w:val="center"/>
                </w:tcPr>
                <w:p w14:paraId="7CC8B567">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rPr>
                    <w:t>105.6896468</w:t>
                  </w:r>
                </w:p>
              </w:tc>
              <w:tc>
                <w:tcPr>
                  <w:tcW w:w="677" w:type="pct"/>
                  <w:noWrap w:val="0"/>
                  <w:vAlign w:val="center"/>
                </w:tcPr>
                <w:p w14:paraId="634C2925">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rPr>
                    <w:t>30.7417181</w:t>
                  </w:r>
                </w:p>
              </w:tc>
              <w:tc>
                <w:tcPr>
                  <w:tcW w:w="599" w:type="pct"/>
                  <w:noWrap w:val="0"/>
                  <w:vAlign w:val="center"/>
                </w:tcPr>
                <w:p w14:paraId="3DEC3555">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rPr>
                    <w:t>梨园社区A</w:t>
                  </w:r>
                </w:p>
              </w:tc>
              <w:tc>
                <w:tcPr>
                  <w:tcW w:w="627" w:type="pct"/>
                  <w:noWrap w:val="0"/>
                  <w:vAlign w:val="center"/>
                </w:tcPr>
                <w:p w14:paraId="39991624">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rPr>
                    <w:t>约1000人</w:t>
                  </w:r>
                </w:p>
              </w:tc>
              <w:tc>
                <w:tcPr>
                  <w:tcW w:w="977" w:type="pct"/>
                  <w:vMerge w:val="restart"/>
                  <w:noWrap w:val="0"/>
                  <w:vAlign w:val="center"/>
                </w:tcPr>
                <w:p w14:paraId="488227A5">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《环境空气质量标准》（GB3095-2012）中的二级标准</w:t>
                  </w:r>
                </w:p>
              </w:tc>
            </w:tr>
            <w:tr w14:paraId="633B6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610" w:type="pct"/>
                  <w:vMerge w:val="continue"/>
                  <w:noWrap w:val="0"/>
                  <w:vAlign w:val="center"/>
                </w:tcPr>
                <w:p w14:paraId="63D3BDC1">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59" w:type="pct"/>
                  <w:vMerge w:val="continue"/>
                  <w:noWrap w:val="0"/>
                  <w:vAlign w:val="center"/>
                </w:tcPr>
                <w:p w14:paraId="6F0C7A56">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85" w:type="pct"/>
                  <w:noWrap w:val="0"/>
                  <w:vAlign w:val="center"/>
                </w:tcPr>
                <w:p w14:paraId="34ABCEA1">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412</w:t>
                  </w:r>
                  <w:r>
                    <w:rPr>
                      <w:rFonts w:hint="eastAsia" w:ascii="Times New Roman" w:hAnsi="Times New Roman" w:cs="Times New Roman"/>
                      <w:color w:val="auto"/>
                      <w:sz w:val="21"/>
                      <w:szCs w:val="21"/>
                    </w:rPr>
                    <w:t>m</w:t>
                  </w:r>
                </w:p>
              </w:tc>
              <w:tc>
                <w:tcPr>
                  <w:tcW w:w="764" w:type="pct"/>
                  <w:noWrap w:val="0"/>
                  <w:vAlign w:val="center"/>
                </w:tcPr>
                <w:p w14:paraId="6AE95E88">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105.6882199</w:t>
                  </w:r>
                </w:p>
              </w:tc>
              <w:tc>
                <w:tcPr>
                  <w:tcW w:w="677" w:type="pct"/>
                  <w:noWrap w:val="0"/>
                  <w:vAlign w:val="center"/>
                </w:tcPr>
                <w:p w14:paraId="5FEBB1D4">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30.7445935</w:t>
                  </w:r>
                </w:p>
              </w:tc>
              <w:tc>
                <w:tcPr>
                  <w:tcW w:w="599" w:type="pct"/>
                  <w:noWrap w:val="0"/>
                  <w:vAlign w:val="center"/>
                </w:tcPr>
                <w:p w14:paraId="79FE0987">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bCs/>
                      <w:color w:val="auto"/>
                      <w:sz w:val="21"/>
                      <w:szCs w:val="21"/>
                    </w:rPr>
                    <w:t>梨园社区B</w:t>
                  </w:r>
                </w:p>
              </w:tc>
              <w:tc>
                <w:tcPr>
                  <w:tcW w:w="627" w:type="pct"/>
                  <w:noWrap w:val="0"/>
                  <w:vAlign w:val="center"/>
                </w:tcPr>
                <w:p w14:paraId="018E0947">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bCs/>
                      <w:color w:val="auto"/>
                      <w:sz w:val="21"/>
                      <w:szCs w:val="21"/>
                    </w:rPr>
                    <w:t>约500人</w:t>
                  </w:r>
                </w:p>
              </w:tc>
              <w:tc>
                <w:tcPr>
                  <w:tcW w:w="977" w:type="pct"/>
                  <w:vMerge w:val="continue"/>
                  <w:noWrap w:val="0"/>
                  <w:vAlign w:val="center"/>
                </w:tcPr>
                <w:p w14:paraId="06664C95">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p>
              </w:tc>
            </w:tr>
            <w:tr w14:paraId="4B820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610" w:type="pct"/>
                  <w:vMerge w:val="continue"/>
                  <w:noWrap w:val="0"/>
                  <w:vAlign w:val="center"/>
                </w:tcPr>
                <w:p w14:paraId="2C5C73C5">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59" w:type="pct"/>
                  <w:vMerge w:val="continue"/>
                  <w:noWrap w:val="0"/>
                  <w:vAlign w:val="center"/>
                </w:tcPr>
                <w:p w14:paraId="379D9F04">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85" w:type="pct"/>
                  <w:noWrap w:val="0"/>
                  <w:vAlign w:val="center"/>
                </w:tcPr>
                <w:p w14:paraId="58B44020">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108m</w:t>
                  </w:r>
                </w:p>
              </w:tc>
              <w:tc>
                <w:tcPr>
                  <w:tcW w:w="764" w:type="pct"/>
                  <w:noWrap w:val="0"/>
                  <w:vAlign w:val="center"/>
                </w:tcPr>
                <w:p w14:paraId="360F643A">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105.686784</w:t>
                  </w:r>
                </w:p>
              </w:tc>
              <w:tc>
                <w:tcPr>
                  <w:tcW w:w="677" w:type="pct"/>
                  <w:noWrap w:val="0"/>
                  <w:vAlign w:val="center"/>
                </w:tcPr>
                <w:p w14:paraId="3872FD53">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30.738044</w:t>
                  </w:r>
                </w:p>
              </w:tc>
              <w:tc>
                <w:tcPr>
                  <w:tcW w:w="599" w:type="pct"/>
                  <w:noWrap w:val="0"/>
                  <w:vAlign w:val="center"/>
                </w:tcPr>
                <w:p w14:paraId="3C8BCE14">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bCs/>
                      <w:color w:val="auto"/>
                      <w:sz w:val="21"/>
                      <w:szCs w:val="21"/>
                    </w:rPr>
                  </w:pPr>
                  <w:r>
                    <w:rPr>
                      <w:rFonts w:hint="eastAsia" w:ascii="Times New Roman" w:hAnsi="Times New Roman" w:cs="Times New Roman"/>
                      <w:color w:val="auto"/>
                      <w:sz w:val="21"/>
                      <w:szCs w:val="18"/>
                    </w:rPr>
                    <w:t>四川人从众食品有限责任公司</w:t>
                  </w:r>
                </w:p>
              </w:tc>
              <w:tc>
                <w:tcPr>
                  <w:tcW w:w="627" w:type="pct"/>
                  <w:noWrap w:val="0"/>
                  <w:vAlign w:val="center"/>
                </w:tcPr>
                <w:p w14:paraId="35127F4F">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w:t>
                  </w:r>
                </w:p>
              </w:tc>
              <w:tc>
                <w:tcPr>
                  <w:tcW w:w="977" w:type="pct"/>
                  <w:vMerge w:val="continue"/>
                  <w:noWrap w:val="0"/>
                  <w:vAlign w:val="center"/>
                </w:tcPr>
                <w:p w14:paraId="21D987CA">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p>
              </w:tc>
            </w:tr>
          </w:tbl>
          <w:p w14:paraId="32484690">
            <w:pPr>
              <w:keepNext w:val="0"/>
              <w:keepLines w:val="0"/>
              <w:suppressLineNumbers w:val="0"/>
              <w:adjustRightInd w:val="0"/>
              <w:snapToGrid w:val="0"/>
              <w:spacing w:before="0" w:beforeAutospacing="0" w:after="0" w:afterAutospacing="0"/>
              <w:ind w:left="0" w:right="0"/>
              <w:rPr>
                <w:rFonts w:hint="eastAsia" w:ascii="Times New Roman" w:hAnsi="Times New Roman" w:cs="Times New Roman"/>
                <w:b/>
                <w:bCs/>
                <w:color w:val="auto"/>
              </w:rPr>
            </w:pPr>
            <w:r>
              <w:rPr>
                <w:rFonts w:hint="eastAsia" w:ascii="Times New Roman" w:hAnsi="Times New Roman" w:cs="Times New Roman"/>
                <w:b/>
                <w:bCs/>
                <w:color w:val="auto"/>
              </w:rPr>
              <w:t>2、声环境保护目标</w:t>
            </w:r>
          </w:p>
          <w:p w14:paraId="2BE8DDC7">
            <w:pPr>
              <w:keepNext w:val="0"/>
              <w:keepLines w:val="0"/>
              <w:suppressLineNumbers w:val="0"/>
              <w:adjustRightInd w:val="0"/>
              <w:snapToGrid w:val="0"/>
              <w:spacing w:before="0" w:beforeAutospacing="0" w:after="0" w:afterAutospacing="0"/>
              <w:ind w:left="0" w:right="0" w:firstLine="464" w:firstLineChars="200"/>
              <w:rPr>
                <w:rFonts w:hint="eastAsia" w:ascii="Times New Roman" w:hAnsi="Times New Roman" w:cs="Times New Roman"/>
                <w:b/>
                <w:bCs/>
                <w:color w:val="auto"/>
              </w:rPr>
            </w:pPr>
            <w:r>
              <w:rPr>
                <w:rFonts w:hint="default" w:ascii="Times New Roman" w:hAnsi="Times New Roman" w:cs="Times New Roman"/>
                <w:color w:val="auto"/>
                <w:spacing w:val="-4"/>
              </w:rPr>
              <w:t>本项目厂界外50m范围内均为园区引入企业，无声环境保护目标。</w:t>
            </w:r>
          </w:p>
          <w:p w14:paraId="2A46DF13">
            <w:pPr>
              <w:keepNext w:val="0"/>
              <w:keepLines w:val="0"/>
              <w:suppressLineNumbers w:val="0"/>
              <w:adjustRightInd w:val="0"/>
              <w:snapToGrid w:val="0"/>
              <w:spacing w:before="0" w:beforeAutospacing="0" w:after="0" w:afterAutospacing="0"/>
              <w:ind w:left="0" w:right="0"/>
              <w:rPr>
                <w:rFonts w:hint="eastAsia" w:ascii="Times New Roman" w:hAnsi="Times New Roman" w:cs="Times New Roman"/>
                <w:b/>
                <w:bCs/>
                <w:color w:val="auto"/>
              </w:rPr>
            </w:pPr>
            <w:r>
              <w:rPr>
                <w:rFonts w:hint="eastAsia" w:ascii="Times New Roman" w:hAnsi="Times New Roman" w:cs="Times New Roman"/>
                <w:b/>
                <w:bCs/>
                <w:color w:val="auto"/>
              </w:rPr>
              <w:t>3、地下水环境保护目标</w:t>
            </w:r>
          </w:p>
          <w:p w14:paraId="6EA3E764">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cs="Times New Roman"/>
                <w:color w:val="auto"/>
              </w:rPr>
            </w:pPr>
            <w:r>
              <w:rPr>
                <w:rFonts w:hint="eastAsia" w:ascii="Times New Roman" w:hAnsi="Times New Roman" w:cs="Times New Roman"/>
                <w:color w:val="auto"/>
              </w:rPr>
              <w:t>本项目厂界外500m范围内无地下水集中式饮用水水源和热水、矿泉水、温泉等特殊地下水资源，无地下水环境保护目标。</w:t>
            </w:r>
          </w:p>
          <w:p w14:paraId="5D98AA37">
            <w:pPr>
              <w:keepNext w:val="0"/>
              <w:keepLines w:val="0"/>
              <w:suppressLineNumbers w:val="0"/>
              <w:adjustRightInd w:val="0"/>
              <w:snapToGrid w:val="0"/>
              <w:spacing w:before="0" w:beforeAutospacing="0" w:after="0" w:afterAutospacing="0"/>
              <w:ind w:left="0" w:right="0"/>
              <w:rPr>
                <w:rFonts w:hint="eastAsia" w:ascii="Times New Roman" w:hAnsi="Times New Roman" w:cs="Times New Roman"/>
                <w:b/>
                <w:bCs/>
                <w:color w:val="auto"/>
              </w:rPr>
            </w:pPr>
            <w:r>
              <w:rPr>
                <w:rFonts w:hint="eastAsia" w:ascii="Times New Roman" w:hAnsi="Times New Roman" w:cs="Times New Roman"/>
                <w:b/>
                <w:bCs/>
                <w:color w:val="auto"/>
              </w:rPr>
              <w:t>4、生态环境保护目标</w:t>
            </w:r>
          </w:p>
          <w:p w14:paraId="52906D17">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cs="Times New Roman"/>
                <w:color w:val="auto"/>
                <w:szCs w:val="28"/>
              </w:rPr>
            </w:pPr>
            <w:r>
              <w:rPr>
                <w:rFonts w:hint="default" w:ascii="Times New Roman" w:hAnsi="Times New Roman" w:cs="Times New Roman"/>
                <w:color w:val="auto"/>
              </w:rPr>
              <w:t>项目位于蓬溪县上游工业园</w:t>
            </w:r>
            <w:r>
              <w:rPr>
                <w:rFonts w:hint="eastAsia" w:ascii="Times New Roman" w:hAnsi="Times New Roman" w:cs="Times New Roman"/>
                <w:color w:val="auto"/>
                <w:kern w:val="0"/>
                <w:lang w:eastAsia="zh-CN"/>
              </w:rPr>
              <w:t>遂宁市中通实业集团节能建材有限公司</w:t>
            </w:r>
            <w:r>
              <w:rPr>
                <w:rFonts w:hint="default" w:ascii="Times New Roman" w:hAnsi="Times New Roman" w:cs="Times New Roman"/>
                <w:color w:val="auto"/>
              </w:rPr>
              <w:t>内，</w:t>
            </w:r>
            <w:r>
              <w:rPr>
                <w:rFonts w:hint="eastAsia" w:ascii="Times New Roman" w:hAnsi="Times New Roman" w:cs="Times New Roman"/>
                <w:color w:val="auto"/>
                <w:lang w:val="en-US" w:eastAsia="zh-CN"/>
              </w:rPr>
              <w:t>为租用已有厂房，</w:t>
            </w:r>
            <w:r>
              <w:rPr>
                <w:rFonts w:hint="default" w:ascii="Times New Roman" w:hAnsi="Times New Roman" w:cs="Times New Roman"/>
                <w:color w:val="auto"/>
              </w:rPr>
              <w:t>不新增用地，</w:t>
            </w:r>
            <w:r>
              <w:rPr>
                <w:rFonts w:hint="default" w:ascii="Times New Roman" w:hAnsi="Times New Roman" w:cs="Times New Roman"/>
                <w:color w:val="auto"/>
                <w:szCs w:val="28"/>
              </w:rPr>
              <w:t>无生态环境保护目标。</w:t>
            </w:r>
          </w:p>
          <w:p w14:paraId="249FE269">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bCs/>
                <w:color w:val="auto"/>
              </w:rPr>
            </w:pPr>
            <w:r>
              <w:rPr>
                <w:rFonts w:hint="eastAsia" w:cs="Times New Roman"/>
                <w:b/>
                <w:bCs/>
                <w:color w:val="auto"/>
                <w:lang w:val="en-US" w:eastAsia="zh-CN"/>
              </w:rPr>
              <w:t>5</w:t>
            </w:r>
            <w:r>
              <w:rPr>
                <w:rFonts w:hint="default" w:ascii="Times New Roman" w:hAnsi="Times New Roman" w:cs="Times New Roman"/>
                <w:b/>
                <w:bCs/>
                <w:color w:val="auto"/>
              </w:rPr>
              <w:t>、地表水环境保护目标</w:t>
            </w:r>
          </w:p>
          <w:p w14:paraId="405454BE">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地表水环境：保护目标为项目受纳水体芝溪河，目标水质为《地表水环境质量标准》（GB3838-2002）中Ⅲ类水域标准。</w:t>
            </w:r>
          </w:p>
          <w:p w14:paraId="4C08AF8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1"/>
                <w:szCs w:val="18"/>
              </w:rPr>
            </w:pPr>
            <w:r>
              <w:rPr>
                <w:rFonts w:hint="default" w:ascii="Times New Roman" w:hAnsi="Times New Roman" w:cs="Times New Roman"/>
                <w:b/>
                <w:color w:val="auto"/>
                <w:sz w:val="21"/>
                <w:szCs w:val="18"/>
              </w:rPr>
              <w:t>表3-</w:t>
            </w:r>
            <w:r>
              <w:rPr>
                <w:rFonts w:hint="eastAsia" w:ascii="Times New Roman" w:hAnsi="Times New Roman" w:cs="Times New Roman"/>
                <w:b/>
                <w:color w:val="auto"/>
                <w:sz w:val="21"/>
                <w:szCs w:val="18"/>
                <w:lang w:val="en-US" w:eastAsia="zh-CN"/>
              </w:rPr>
              <w:t>7</w:t>
            </w:r>
            <w:r>
              <w:rPr>
                <w:rFonts w:hint="default" w:ascii="Times New Roman" w:hAnsi="Times New Roman" w:cs="Times New Roman"/>
                <w:b/>
                <w:color w:val="auto"/>
                <w:sz w:val="21"/>
                <w:szCs w:val="18"/>
              </w:rPr>
              <w:t xml:space="preserve">  项目地表水环境保护目标</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25"/>
              <w:gridCol w:w="1188"/>
              <w:gridCol w:w="821"/>
              <w:gridCol w:w="1543"/>
              <w:gridCol w:w="1094"/>
              <w:gridCol w:w="2764"/>
            </w:tblGrid>
            <w:tr w14:paraId="43D70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5" w:type="pct"/>
                  <w:noWrap w:val="0"/>
                  <w:vAlign w:val="center"/>
                </w:tcPr>
                <w:p w14:paraId="5E52E88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18"/>
                    </w:rPr>
                  </w:pPr>
                  <w:r>
                    <w:rPr>
                      <w:rFonts w:hint="default" w:ascii="Times New Roman" w:hAnsi="Times New Roman" w:cs="Times New Roman"/>
                      <w:b/>
                      <w:color w:val="auto"/>
                      <w:sz w:val="21"/>
                      <w:szCs w:val="18"/>
                    </w:rPr>
                    <w:t>要素</w:t>
                  </w:r>
                </w:p>
              </w:tc>
              <w:tc>
                <w:tcPr>
                  <w:tcW w:w="712" w:type="pct"/>
                  <w:noWrap w:val="0"/>
                  <w:vAlign w:val="center"/>
                </w:tcPr>
                <w:p w14:paraId="1AAC603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18"/>
                    </w:rPr>
                  </w:pPr>
                  <w:r>
                    <w:rPr>
                      <w:rFonts w:hint="default" w:ascii="Times New Roman" w:hAnsi="Times New Roman" w:cs="Times New Roman"/>
                      <w:b/>
                      <w:color w:val="auto"/>
                      <w:sz w:val="21"/>
                      <w:szCs w:val="18"/>
                    </w:rPr>
                    <w:t>敏感点名称</w:t>
                  </w:r>
                </w:p>
              </w:tc>
              <w:tc>
                <w:tcPr>
                  <w:tcW w:w="492" w:type="pct"/>
                  <w:noWrap w:val="0"/>
                  <w:vAlign w:val="center"/>
                </w:tcPr>
                <w:p w14:paraId="4993D2F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18"/>
                    </w:rPr>
                  </w:pPr>
                  <w:r>
                    <w:rPr>
                      <w:rFonts w:hint="default" w:ascii="Times New Roman" w:hAnsi="Times New Roman" w:cs="Times New Roman"/>
                      <w:b/>
                      <w:color w:val="auto"/>
                      <w:sz w:val="21"/>
                      <w:szCs w:val="18"/>
                    </w:rPr>
                    <w:t>方向</w:t>
                  </w:r>
                </w:p>
              </w:tc>
              <w:tc>
                <w:tcPr>
                  <w:tcW w:w="925" w:type="pct"/>
                  <w:noWrap w:val="0"/>
                  <w:vAlign w:val="center"/>
                </w:tcPr>
                <w:p w14:paraId="6B20530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18"/>
                    </w:rPr>
                  </w:pPr>
                  <w:r>
                    <w:rPr>
                      <w:rFonts w:hint="default" w:ascii="Times New Roman" w:hAnsi="Times New Roman" w:cs="Times New Roman"/>
                      <w:b/>
                      <w:color w:val="auto"/>
                      <w:sz w:val="21"/>
                      <w:szCs w:val="18"/>
                    </w:rPr>
                    <w:t>距离</w:t>
                  </w:r>
                </w:p>
              </w:tc>
              <w:tc>
                <w:tcPr>
                  <w:tcW w:w="656" w:type="pct"/>
                  <w:noWrap w:val="0"/>
                  <w:vAlign w:val="center"/>
                </w:tcPr>
                <w:p w14:paraId="6513959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18"/>
                    </w:rPr>
                  </w:pPr>
                  <w:r>
                    <w:rPr>
                      <w:rFonts w:hint="default" w:ascii="Times New Roman" w:hAnsi="Times New Roman" w:cs="Times New Roman"/>
                      <w:b/>
                      <w:color w:val="auto"/>
                      <w:sz w:val="21"/>
                      <w:szCs w:val="18"/>
                    </w:rPr>
                    <w:t>备注</w:t>
                  </w:r>
                </w:p>
              </w:tc>
              <w:tc>
                <w:tcPr>
                  <w:tcW w:w="1657" w:type="pct"/>
                  <w:noWrap w:val="0"/>
                  <w:vAlign w:val="center"/>
                </w:tcPr>
                <w:p w14:paraId="7B57B9F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18"/>
                    </w:rPr>
                  </w:pPr>
                  <w:r>
                    <w:rPr>
                      <w:rFonts w:hint="default" w:ascii="Times New Roman" w:hAnsi="Times New Roman" w:cs="Times New Roman"/>
                      <w:b/>
                      <w:color w:val="auto"/>
                      <w:sz w:val="21"/>
                      <w:szCs w:val="18"/>
                    </w:rPr>
                    <w:t>执行标准</w:t>
                  </w:r>
                </w:p>
              </w:tc>
            </w:tr>
            <w:tr w14:paraId="6D859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5" w:type="pct"/>
                  <w:noWrap w:val="0"/>
                  <w:vAlign w:val="center"/>
                </w:tcPr>
                <w:p w14:paraId="3FFF4D0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地表水</w:t>
                  </w:r>
                </w:p>
              </w:tc>
              <w:tc>
                <w:tcPr>
                  <w:tcW w:w="712" w:type="pct"/>
                  <w:noWrap w:val="0"/>
                  <w:vAlign w:val="center"/>
                </w:tcPr>
                <w:p w14:paraId="2E6A75E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芝溪河</w:t>
                  </w:r>
                </w:p>
              </w:tc>
              <w:tc>
                <w:tcPr>
                  <w:tcW w:w="492" w:type="pct"/>
                  <w:noWrap w:val="0"/>
                  <w:vAlign w:val="center"/>
                </w:tcPr>
                <w:p w14:paraId="7C6E6C6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18"/>
                    </w:rPr>
                  </w:pPr>
                  <w:r>
                    <w:rPr>
                      <w:rFonts w:hint="eastAsia" w:ascii="Times New Roman" w:hAnsi="Times New Roman" w:cs="Times New Roman"/>
                      <w:color w:val="auto"/>
                      <w:sz w:val="21"/>
                      <w:szCs w:val="18"/>
                    </w:rPr>
                    <w:t>北</w:t>
                  </w:r>
                </w:p>
              </w:tc>
              <w:tc>
                <w:tcPr>
                  <w:tcW w:w="925" w:type="pct"/>
                  <w:noWrap w:val="0"/>
                  <w:vAlign w:val="center"/>
                </w:tcPr>
                <w:p w14:paraId="6E114B6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eastAsia" w:ascii="Times New Roman" w:hAnsi="Times New Roman" w:cs="Times New Roman"/>
                      <w:color w:val="auto"/>
                      <w:sz w:val="21"/>
                      <w:szCs w:val="18"/>
                    </w:rPr>
                    <w:t>21</w:t>
                  </w:r>
                  <w:r>
                    <w:rPr>
                      <w:rFonts w:hint="eastAsia" w:ascii="Times New Roman" w:hAnsi="Times New Roman" w:cs="Times New Roman"/>
                      <w:color w:val="auto"/>
                      <w:sz w:val="21"/>
                      <w:szCs w:val="18"/>
                      <w:lang w:val="en-US" w:eastAsia="zh-CN"/>
                    </w:rPr>
                    <w:t>80</w:t>
                  </w:r>
                  <w:r>
                    <w:rPr>
                      <w:rFonts w:hint="default" w:ascii="Times New Roman" w:hAnsi="Times New Roman" w:cs="Times New Roman"/>
                      <w:color w:val="auto"/>
                      <w:sz w:val="21"/>
                      <w:szCs w:val="18"/>
                    </w:rPr>
                    <w:t>m</w:t>
                  </w:r>
                </w:p>
              </w:tc>
              <w:tc>
                <w:tcPr>
                  <w:tcW w:w="656" w:type="pct"/>
                  <w:noWrap w:val="0"/>
                  <w:vAlign w:val="center"/>
                </w:tcPr>
                <w:p w14:paraId="02328E2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受纳水体</w:t>
                  </w:r>
                </w:p>
              </w:tc>
              <w:tc>
                <w:tcPr>
                  <w:tcW w:w="1657" w:type="pct"/>
                  <w:noWrap w:val="0"/>
                  <w:vAlign w:val="center"/>
                </w:tcPr>
                <w:p w14:paraId="01F4852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《地表水环境质量标准》（GB3838-2002）Ⅲ类标准</w:t>
                  </w:r>
                </w:p>
              </w:tc>
            </w:tr>
          </w:tbl>
          <w:p w14:paraId="4004A8C9">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cs="宋体"/>
                <w:color w:val="auto"/>
                <w:kern w:val="0"/>
                <w:szCs w:val="21"/>
              </w:rPr>
            </w:pPr>
          </w:p>
        </w:tc>
      </w:tr>
      <w:tr w14:paraId="01C8FA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507" w:type="dxa"/>
            <w:noWrap w:val="0"/>
            <w:tcMar>
              <w:left w:w="28" w:type="dxa"/>
              <w:right w:w="28" w:type="dxa"/>
            </w:tcMar>
            <w:vAlign w:val="center"/>
          </w:tcPr>
          <w:p w14:paraId="39C7BCB4">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kern w:val="0"/>
              </w:rPr>
            </w:pPr>
            <w:r>
              <w:rPr>
                <w:rFonts w:hint="eastAsia" w:ascii="Times New Roman" w:hAnsi="Times New Roman" w:cs="宋体"/>
                <w:color w:val="auto"/>
                <w:kern w:val="0"/>
              </w:rPr>
              <w:t>污染</w:t>
            </w:r>
          </w:p>
          <w:p w14:paraId="3596E008">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kern w:val="0"/>
              </w:rPr>
            </w:pPr>
            <w:r>
              <w:rPr>
                <w:rFonts w:hint="eastAsia" w:ascii="Times New Roman" w:hAnsi="Times New Roman" w:cs="宋体"/>
                <w:color w:val="auto"/>
                <w:kern w:val="0"/>
              </w:rPr>
              <w:t>物排</w:t>
            </w:r>
          </w:p>
          <w:p w14:paraId="763581C7">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kern w:val="0"/>
              </w:rPr>
            </w:pPr>
            <w:r>
              <w:rPr>
                <w:rFonts w:hint="eastAsia" w:ascii="Times New Roman" w:hAnsi="Times New Roman" w:cs="宋体"/>
                <w:color w:val="auto"/>
                <w:kern w:val="0"/>
              </w:rPr>
              <w:t>放控</w:t>
            </w:r>
          </w:p>
          <w:p w14:paraId="24A8AE0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kern w:val="0"/>
              </w:rPr>
            </w:pPr>
            <w:r>
              <w:rPr>
                <w:rFonts w:hint="eastAsia" w:ascii="Times New Roman" w:hAnsi="Times New Roman" w:cs="宋体"/>
                <w:color w:val="auto"/>
                <w:kern w:val="0"/>
              </w:rPr>
              <w:t>制标</w:t>
            </w:r>
          </w:p>
          <w:p w14:paraId="243F8D1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kern w:val="0"/>
                <w:szCs w:val="21"/>
              </w:rPr>
            </w:pPr>
            <w:r>
              <w:rPr>
                <w:rFonts w:hint="eastAsia" w:ascii="Times New Roman" w:hAnsi="Times New Roman" w:cs="宋体"/>
                <w:color w:val="auto"/>
                <w:kern w:val="0"/>
              </w:rPr>
              <w:t>准</w:t>
            </w:r>
          </w:p>
        </w:tc>
        <w:tc>
          <w:tcPr>
            <w:tcW w:w="8554" w:type="dxa"/>
            <w:noWrap w:val="0"/>
            <w:vAlign w:val="top"/>
          </w:tcPr>
          <w:p w14:paraId="01EE6523">
            <w:pPr>
              <w:keepNext w:val="0"/>
              <w:keepLines w:val="0"/>
              <w:suppressLineNumbers w:val="0"/>
              <w:adjustRightInd w:val="0"/>
              <w:snapToGrid w:val="0"/>
              <w:spacing w:before="120" w:beforeLines="50" w:beforeAutospacing="0" w:after="0" w:afterAutospacing="0"/>
              <w:ind w:left="0" w:right="0"/>
              <w:rPr>
                <w:rFonts w:hint="eastAsia" w:ascii="Times New Roman" w:hAnsi="Times New Roman" w:cs="宋体"/>
                <w:b/>
                <w:bCs/>
                <w:color w:val="auto"/>
                <w:kern w:val="0"/>
              </w:rPr>
            </w:pPr>
            <w:r>
              <w:rPr>
                <w:rFonts w:hint="eastAsia" w:ascii="Times New Roman" w:hAnsi="Times New Roman" w:cs="宋体"/>
                <w:b/>
                <w:bCs/>
                <w:color w:val="auto"/>
                <w:kern w:val="0"/>
              </w:rPr>
              <w:t>一、废气排放标准</w:t>
            </w:r>
          </w:p>
          <w:p w14:paraId="3AA23DC3">
            <w:pPr>
              <w:keepNext w:val="0"/>
              <w:keepLines w:val="0"/>
              <w:suppressLineNumbers w:val="0"/>
              <w:spacing w:before="0" w:beforeAutospacing="0" w:after="0" w:afterAutospacing="0"/>
              <w:ind w:left="0" w:right="0" w:firstLine="482" w:firstLineChars="200"/>
              <w:rPr>
                <w:rFonts w:hint="default" w:ascii="Times New Roman" w:hAnsi="Times New Roman" w:cs="Times New Roman"/>
                <w:b/>
                <w:color w:val="auto"/>
              </w:rPr>
            </w:pPr>
            <w:r>
              <w:rPr>
                <w:rFonts w:hint="eastAsia" w:ascii="Times New Roman" w:hAnsi="Times New Roman" w:cs="Times New Roman"/>
                <w:b/>
                <w:bCs/>
                <w:color w:val="auto"/>
              </w:rPr>
              <w:t>1、施工期：</w:t>
            </w:r>
            <w:r>
              <w:rPr>
                <w:rFonts w:hint="default" w:ascii="Times New Roman" w:hAnsi="Times New Roman" w:cs="Times New Roman"/>
                <w:color w:val="auto"/>
              </w:rPr>
              <w:t>项目施工期施工场地扬尘排放应符合《四川省施工场地扬尘排放标准》（DB51/2682—2020）中表1规定的浓度限值。</w:t>
            </w:r>
          </w:p>
          <w:p w14:paraId="1B458C2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表3-</w:t>
            </w:r>
            <w:r>
              <w:rPr>
                <w:rFonts w:hint="eastAsia" w:ascii="Times New Roman" w:hAnsi="Times New Roman" w:cs="Times New Roman"/>
                <w:b/>
                <w:color w:val="auto"/>
                <w:sz w:val="21"/>
                <w:szCs w:val="21"/>
                <w:lang w:val="en-US" w:eastAsia="zh-CN"/>
              </w:rPr>
              <w:t>8</w:t>
            </w:r>
            <w:r>
              <w:rPr>
                <w:rFonts w:hint="default" w:ascii="Times New Roman" w:hAnsi="Times New Roman" w:cs="Times New Roman"/>
                <w:b/>
                <w:color w:val="auto"/>
                <w:sz w:val="21"/>
                <w:szCs w:val="21"/>
              </w:rPr>
              <w:t xml:space="preserve">    四川省施工场地扬尘排放限值</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83"/>
              <w:gridCol w:w="1969"/>
              <w:gridCol w:w="1662"/>
              <w:gridCol w:w="1662"/>
              <w:gridCol w:w="1662"/>
            </w:tblGrid>
            <w:tr w14:paraId="2EEF6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9" w:type="pct"/>
                  <w:noWrap w:val="0"/>
                  <w:vAlign w:val="center"/>
                </w:tcPr>
                <w:p w14:paraId="35D6F49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监测项目</w:t>
                  </w:r>
                </w:p>
              </w:tc>
              <w:tc>
                <w:tcPr>
                  <w:tcW w:w="1180" w:type="pct"/>
                  <w:noWrap w:val="0"/>
                  <w:vAlign w:val="center"/>
                </w:tcPr>
                <w:p w14:paraId="33CE140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区域</w:t>
                  </w:r>
                </w:p>
              </w:tc>
              <w:tc>
                <w:tcPr>
                  <w:tcW w:w="996" w:type="pct"/>
                  <w:noWrap w:val="0"/>
                  <w:vAlign w:val="center"/>
                </w:tcPr>
                <w:p w14:paraId="2FE3EB0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施工阶段</w:t>
                  </w:r>
                </w:p>
              </w:tc>
              <w:tc>
                <w:tcPr>
                  <w:tcW w:w="996" w:type="pct"/>
                  <w:noWrap w:val="0"/>
                  <w:vAlign w:val="center"/>
                </w:tcPr>
                <w:p w14:paraId="4680208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监测点排放限值</w:t>
                  </w:r>
                </w:p>
                <w:p w14:paraId="65AD10F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（μg/m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w:t>
                  </w:r>
                </w:p>
              </w:tc>
              <w:tc>
                <w:tcPr>
                  <w:tcW w:w="996" w:type="pct"/>
                  <w:noWrap w:val="0"/>
                  <w:vAlign w:val="center"/>
                </w:tcPr>
                <w:p w14:paraId="215C0EE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监测时间</w:t>
                  </w:r>
                </w:p>
              </w:tc>
            </w:tr>
            <w:tr w14:paraId="7B35F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9" w:type="pct"/>
                  <w:vMerge w:val="restart"/>
                  <w:noWrap w:val="0"/>
                  <w:vAlign w:val="center"/>
                </w:tcPr>
                <w:p w14:paraId="0311F5B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总悬浮颗粒物</w:t>
                  </w:r>
                </w:p>
                <w:p w14:paraId="38AD82D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（TSP）</w:t>
                  </w:r>
                </w:p>
              </w:tc>
              <w:tc>
                <w:tcPr>
                  <w:tcW w:w="1180" w:type="pct"/>
                  <w:vMerge w:val="restart"/>
                  <w:noWrap w:val="0"/>
                  <w:vAlign w:val="center"/>
                </w:tcPr>
                <w:p w14:paraId="4EA9C8A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遂宁市</w:t>
                  </w:r>
                </w:p>
              </w:tc>
              <w:tc>
                <w:tcPr>
                  <w:tcW w:w="996" w:type="pct"/>
                  <w:noWrap w:val="0"/>
                  <w:vAlign w:val="center"/>
                </w:tcPr>
                <w:p w14:paraId="09BE205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土方开挖/土方回填阶段</w:t>
                  </w:r>
                </w:p>
              </w:tc>
              <w:tc>
                <w:tcPr>
                  <w:tcW w:w="996" w:type="pct"/>
                  <w:noWrap w:val="0"/>
                  <w:vAlign w:val="center"/>
                </w:tcPr>
                <w:p w14:paraId="5B77E70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600</w:t>
                  </w:r>
                </w:p>
              </w:tc>
              <w:tc>
                <w:tcPr>
                  <w:tcW w:w="996" w:type="pct"/>
                  <w:vMerge w:val="restart"/>
                  <w:noWrap w:val="0"/>
                  <w:vAlign w:val="center"/>
                </w:tcPr>
                <w:p w14:paraId="36283BF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自监测起持续15分钟</w:t>
                  </w:r>
                </w:p>
              </w:tc>
            </w:tr>
            <w:tr w14:paraId="5C3FB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9" w:type="pct"/>
                  <w:vMerge w:val="continue"/>
                  <w:noWrap w:val="0"/>
                  <w:vAlign w:val="center"/>
                </w:tcPr>
                <w:p w14:paraId="3B2F81F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rPr>
                  </w:pPr>
                </w:p>
              </w:tc>
              <w:tc>
                <w:tcPr>
                  <w:tcW w:w="1180" w:type="pct"/>
                  <w:vMerge w:val="continue"/>
                  <w:noWrap w:val="0"/>
                  <w:vAlign w:val="center"/>
                </w:tcPr>
                <w:p w14:paraId="124B25E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rPr>
                  </w:pPr>
                </w:p>
              </w:tc>
              <w:tc>
                <w:tcPr>
                  <w:tcW w:w="996" w:type="pct"/>
                  <w:noWrap w:val="0"/>
                  <w:vAlign w:val="center"/>
                </w:tcPr>
                <w:p w14:paraId="62215DB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rPr>
                  </w:pPr>
                  <w:r>
                    <w:rPr>
                      <w:rFonts w:hint="default" w:ascii="Times New Roman" w:hAnsi="Times New Roman" w:cs="Times New Roman"/>
                      <w:color w:val="auto"/>
                      <w:sz w:val="21"/>
                    </w:rPr>
                    <w:t>其他工程阶段</w:t>
                  </w:r>
                </w:p>
              </w:tc>
              <w:tc>
                <w:tcPr>
                  <w:tcW w:w="996" w:type="pct"/>
                  <w:noWrap w:val="0"/>
                  <w:vAlign w:val="center"/>
                </w:tcPr>
                <w:p w14:paraId="1D52260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rPr>
                  </w:pPr>
                  <w:r>
                    <w:rPr>
                      <w:rFonts w:hint="default" w:ascii="Times New Roman" w:hAnsi="Times New Roman" w:cs="Times New Roman"/>
                      <w:color w:val="auto"/>
                      <w:sz w:val="21"/>
                    </w:rPr>
                    <w:t>250</w:t>
                  </w:r>
                </w:p>
              </w:tc>
              <w:tc>
                <w:tcPr>
                  <w:tcW w:w="996" w:type="pct"/>
                  <w:vMerge w:val="continue"/>
                  <w:noWrap w:val="0"/>
                  <w:vAlign w:val="center"/>
                </w:tcPr>
                <w:p w14:paraId="184F0FD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rPr>
                  </w:pPr>
                </w:p>
              </w:tc>
            </w:tr>
          </w:tbl>
          <w:p w14:paraId="4D2552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2" w:firstLineChars="200"/>
              <w:jc w:val="left"/>
              <w:textAlignment w:val="auto"/>
              <w:rPr>
                <w:rFonts w:hint="default" w:ascii="Times New Roman" w:hAnsi="Times New Roman" w:cs="Times New Roman"/>
                <w:color w:val="auto"/>
              </w:rPr>
            </w:pPr>
            <w:r>
              <w:rPr>
                <w:rFonts w:hint="eastAsia" w:ascii="Times New Roman" w:hAnsi="Times New Roman" w:cs="宋体"/>
                <w:b/>
                <w:bCs/>
                <w:color w:val="auto"/>
                <w:szCs w:val="24"/>
              </w:rPr>
              <w:t>营运期：</w:t>
            </w:r>
            <w:r>
              <w:rPr>
                <w:rFonts w:hint="eastAsia" w:ascii="宋体" w:hAnsi="宋体" w:eastAsia="宋体" w:cs="宋体"/>
                <w:color w:val="auto"/>
                <w:kern w:val="0"/>
                <w:sz w:val="24"/>
                <w:szCs w:val="24"/>
                <w:lang w:val="en-US" w:eastAsia="zh-CN" w:bidi="ar"/>
              </w:rPr>
              <w:t xml:space="preserve">有机废气执行《四川省固定污染源大气挥发性有机物排放标准》 </w:t>
            </w:r>
          </w:p>
          <w:p w14:paraId="6BEE85E0">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DB51/2377-2017</w:t>
            </w:r>
            <w:r>
              <w:rPr>
                <w:rFonts w:hint="eastAsia" w:ascii="宋体" w:hAnsi="宋体" w:eastAsia="宋体" w:cs="宋体"/>
                <w:color w:val="auto"/>
                <w:kern w:val="0"/>
                <w:sz w:val="24"/>
                <w:szCs w:val="24"/>
                <w:lang w:val="en-US" w:eastAsia="zh-CN" w:bidi="ar"/>
              </w:rPr>
              <w:t xml:space="preserve">）表 </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、表</w:t>
            </w:r>
            <w:r>
              <w:rPr>
                <w:rFonts w:hint="default" w:ascii="Times New Roman" w:hAnsi="Times New Roman" w:eastAsia="宋体" w:cs="Times New Roman"/>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 xml:space="preserve">的排放限值，详见下表。 </w:t>
            </w:r>
          </w:p>
          <w:p w14:paraId="7928D89A">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w:t>
            </w:r>
            <w:r>
              <w:rPr>
                <w:rFonts w:hint="eastAsia" w:ascii="Times New Roman" w:hAns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lang w:val="en-US" w:eastAsia="zh-CN"/>
              </w:rPr>
              <w:t>-</w:t>
            </w:r>
            <w:r>
              <w:rPr>
                <w:rFonts w:hint="eastAsia" w:ascii="Times New Roman" w:hAnsi="Times New Roman" w:eastAsia="宋体" w:cs="Times New Roman"/>
                <w:b/>
                <w:color w:val="auto"/>
                <w:sz w:val="21"/>
                <w:szCs w:val="21"/>
                <w:lang w:val="en-US" w:eastAsia="zh-CN"/>
              </w:rPr>
              <w:t>9</w:t>
            </w:r>
            <w:r>
              <w:rPr>
                <w:rFonts w:hint="default" w:ascii="Times New Roman" w:hAnsi="Times New Roman" w:eastAsia="宋体" w:cs="Times New Roman"/>
                <w:b/>
                <w:color w:val="auto"/>
                <w:sz w:val="21"/>
                <w:szCs w:val="21"/>
                <w:lang w:val="en-US" w:eastAsia="zh-CN"/>
              </w:rPr>
              <w:t xml:space="preserve"> </w:t>
            </w:r>
            <w:r>
              <w:rPr>
                <w:rFonts w:hint="eastAsia" w:ascii="Times New Roman" w:hAnsi="Times New Roman" w:eastAsia="宋体" w:cs="Times New Roman"/>
                <w:b/>
                <w:color w:val="auto"/>
                <w:sz w:val="21"/>
                <w:szCs w:val="21"/>
                <w:lang w:val="en-US" w:eastAsia="zh-CN"/>
              </w:rPr>
              <w:t>四川省固定污染源大气挥发性有机物排放标准</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275"/>
              <w:gridCol w:w="1005"/>
              <w:gridCol w:w="1260"/>
              <w:gridCol w:w="2531"/>
              <w:gridCol w:w="1264"/>
            </w:tblGrid>
            <w:tr w14:paraId="0D253D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1365" w:type="pct"/>
                  <w:vMerge w:val="restart"/>
                  <w:tcBorders>
                    <w:tl2br w:val="nil"/>
                    <w:tr2bl w:val="nil"/>
                  </w:tcBorders>
                  <w:noWrap w:val="0"/>
                  <w:vAlign w:val="center"/>
                </w:tcPr>
                <w:p w14:paraId="3595424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行业名称</w:t>
                  </w:r>
                </w:p>
              </w:tc>
              <w:tc>
                <w:tcPr>
                  <w:tcW w:w="603" w:type="pct"/>
                  <w:vMerge w:val="restart"/>
                  <w:tcBorders>
                    <w:tl2br w:val="nil"/>
                    <w:tr2bl w:val="nil"/>
                  </w:tcBorders>
                  <w:noWrap w:val="0"/>
                  <w:vAlign w:val="center"/>
                </w:tcPr>
                <w:p w14:paraId="6832E6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污染物</w:t>
                  </w:r>
                  <w:r>
                    <w:rPr>
                      <w:rFonts w:hint="default" w:ascii="Times New Roman" w:hAnsi="Times New Roman" w:eastAsia="宋体" w:cs="Times New Roman"/>
                      <w:color w:val="auto"/>
                      <w:sz w:val="21"/>
                      <w:lang w:val="en-US" w:eastAsia="zh-CN"/>
                    </w:rPr>
                    <w:br w:type="textWrapping"/>
                  </w:r>
                  <w:r>
                    <w:rPr>
                      <w:rFonts w:hint="default" w:ascii="Times New Roman" w:hAnsi="Times New Roman" w:eastAsia="宋体" w:cs="Times New Roman"/>
                      <w:color w:val="auto"/>
                      <w:sz w:val="21"/>
                      <w:lang w:val="en-US" w:eastAsia="zh-CN"/>
                    </w:rPr>
                    <w:t>名称</w:t>
                  </w:r>
                </w:p>
              </w:tc>
              <w:tc>
                <w:tcPr>
                  <w:tcW w:w="756" w:type="pct"/>
                  <w:vMerge w:val="restart"/>
                  <w:tcBorders>
                    <w:tl2br w:val="nil"/>
                    <w:tr2bl w:val="nil"/>
                  </w:tcBorders>
                  <w:noWrap w:val="0"/>
                  <w:vAlign w:val="center"/>
                </w:tcPr>
                <w:p w14:paraId="1A4CA1D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最高允许</w:t>
                  </w:r>
                  <w:r>
                    <w:rPr>
                      <w:rFonts w:hint="default" w:ascii="Times New Roman" w:hAnsi="Times New Roman" w:eastAsia="宋体" w:cs="Times New Roman"/>
                      <w:color w:val="auto"/>
                      <w:sz w:val="21"/>
                      <w:lang w:val="en-US" w:eastAsia="zh-CN"/>
                    </w:rPr>
                    <w:br w:type="textWrapping"/>
                  </w:r>
                  <w:r>
                    <w:rPr>
                      <w:rFonts w:hint="default" w:ascii="Times New Roman" w:hAnsi="Times New Roman" w:eastAsia="宋体" w:cs="Times New Roman"/>
                      <w:color w:val="auto"/>
                      <w:sz w:val="21"/>
                      <w:lang w:val="en-US" w:eastAsia="zh-CN"/>
                    </w:rPr>
                    <w:t>排放浓度</w:t>
                  </w:r>
                  <w:r>
                    <w:rPr>
                      <w:rFonts w:hint="default" w:ascii="Times New Roman" w:hAnsi="Times New Roman" w:eastAsia="宋体" w:cs="Times New Roman"/>
                      <w:color w:val="auto"/>
                      <w:sz w:val="21"/>
                      <w:lang w:val="en-US" w:eastAsia="zh-CN"/>
                    </w:rPr>
                    <w:br w:type="textWrapping"/>
                  </w:r>
                  <w:r>
                    <w:rPr>
                      <w:rFonts w:hint="default" w:ascii="Times New Roman" w:hAnsi="Times New Roman" w:eastAsia="宋体" w:cs="Times New Roman"/>
                      <w:color w:val="auto"/>
                      <w:sz w:val="21"/>
                      <w:lang w:val="en-US" w:eastAsia="zh-CN"/>
                    </w:rPr>
                    <w:t>(mg/m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w:t>
                  </w:r>
                </w:p>
              </w:tc>
              <w:tc>
                <w:tcPr>
                  <w:tcW w:w="1518" w:type="pct"/>
                  <w:tcBorders>
                    <w:tl2br w:val="nil"/>
                    <w:tr2bl w:val="nil"/>
                  </w:tcBorders>
                  <w:noWrap w:val="0"/>
                  <w:vAlign w:val="center"/>
                </w:tcPr>
                <w:p w14:paraId="11E81AB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排气筒对应的最高允</w:t>
                  </w:r>
                  <w:r>
                    <w:rPr>
                      <w:rFonts w:hint="default" w:ascii="Times New Roman" w:hAnsi="Times New Roman" w:eastAsia="宋体" w:cs="Times New Roman"/>
                      <w:color w:val="auto"/>
                      <w:sz w:val="21"/>
                      <w:lang w:val="en-US" w:eastAsia="zh-CN"/>
                    </w:rPr>
                    <w:br w:type="textWrapping"/>
                  </w:r>
                  <w:r>
                    <w:rPr>
                      <w:rFonts w:hint="default" w:ascii="Times New Roman" w:hAnsi="Times New Roman" w:eastAsia="宋体" w:cs="Times New Roman"/>
                      <w:color w:val="auto"/>
                      <w:sz w:val="21"/>
                      <w:lang w:val="en-US" w:eastAsia="zh-CN"/>
                    </w:rPr>
                    <w:t>许排放速率(kg/h)</w:t>
                  </w:r>
                </w:p>
              </w:tc>
              <w:tc>
                <w:tcPr>
                  <w:tcW w:w="755" w:type="pct"/>
                  <w:vMerge w:val="restart"/>
                  <w:tcBorders>
                    <w:tl2br w:val="nil"/>
                    <w:tr2bl w:val="nil"/>
                  </w:tcBorders>
                  <w:noWrap w:val="0"/>
                  <w:vAlign w:val="center"/>
                </w:tcPr>
                <w:p w14:paraId="141C187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最低去除</w:t>
                  </w:r>
                  <w:r>
                    <w:rPr>
                      <w:rFonts w:hint="default" w:ascii="Times New Roman" w:hAnsi="Times New Roman" w:eastAsia="宋体" w:cs="Times New Roman"/>
                      <w:color w:val="auto"/>
                      <w:sz w:val="21"/>
                      <w:lang w:val="en-US" w:eastAsia="zh-CN"/>
                    </w:rPr>
                    <w:br w:type="textWrapping"/>
                  </w:r>
                  <w:r>
                    <w:rPr>
                      <w:rFonts w:hint="default" w:ascii="Times New Roman" w:hAnsi="Times New Roman" w:eastAsia="宋体" w:cs="Times New Roman"/>
                      <w:color w:val="auto"/>
                      <w:sz w:val="21"/>
                      <w:lang w:val="en-US" w:eastAsia="zh-CN"/>
                    </w:rPr>
                    <w:t>效率</w:t>
                  </w:r>
                </w:p>
              </w:tc>
            </w:tr>
            <w:tr w14:paraId="47DE69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1365" w:type="pct"/>
                  <w:vMerge w:val="continue"/>
                  <w:tcBorders>
                    <w:tl2br w:val="nil"/>
                    <w:tr2bl w:val="nil"/>
                  </w:tcBorders>
                  <w:noWrap w:val="0"/>
                  <w:vAlign w:val="center"/>
                </w:tcPr>
                <w:p w14:paraId="6B51FC2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rPr>
                  </w:pPr>
                </w:p>
              </w:tc>
              <w:tc>
                <w:tcPr>
                  <w:tcW w:w="603" w:type="pct"/>
                  <w:vMerge w:val="continue"/>
                  <w:tcBorders>
                    <w:tl2br w:val="nil"/>
                    <w:tr2bl w:val="nil"/>
                  </w:tcBorders>
                  <w:noWrap w:val="0"/>
                  <w:vAlign w:val="center"/>
                </w:tcPr>
                <w:p w14:paraId="49758D8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rPr>
                  </w:pPr>
                </w:p>
              </w:tc>
              <w:tc>
                <w:tcPr>
                  <w:tcW w:w="756" w:type="pct"/>
                  <w:vMerge w:val="continue"/>
                  <w:tcBorders>
                    <w:tl2br w:val="nil"/>
                    <w:tr2bl w:val="nil"/>
                  </w:tcBorders>
                  <w:noWrap w:val="0"/>
                  <w:vAlign w:val="center"/>
                </w:tcPr>
                <w:p w14:paraId="4DC794E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rPr>
                  </w:pPr>
                </w:p>
              </w:tc>
              <w:tc>
                <w:tcPr>
                  <w:tcW w:w="1518" w:type="pct"/>
                  <w:tcBorders>
                    <w:tl2br w:val="nil"/>
                    <w:tr2bl w:val="nil"/>
                  </w:tcBorders>
                  <w:noWrap w:val="0"/>
                  <w:vAlign w:val="center"/>
                </w:tcPr>
                <w:p w14:paraId="23BF1CF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15m</w:t>
                  </w:r>
                </w:p>
              </w:tc>
              <w:tc>
                <w:tcPr>
                  <w:tcW w:w="755" w:type="pct"/>
                  <w:vMerge w:val="continue"/>
                  <w:tcBorders>
                    <w:tl2br w:val="nil"/>
                    <w:tr2bl w:val="nil"/>
                  </w:tcBorders>
                  <w:noWrap w:val="0"/>
                  <w:vAlign w:val="center"/>
                </w:tcPr>
                <w:p w14:paraId="28138BE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rPr>
                  </w:pPr>
                </w:p>
              </w:tc>
            </w:tr>
            <w:tr w14:paraId="111EC7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68" w:hRule="atLeast"/>
                <w:jc w:val="center"/>
              </w:trPr>
              <w:tc>
                <w:tcPr>
                  <w:tcW w:w="1365" w:type="pct"/>
                  <w:tcBorders>
                    <w:tl2br w:val="nil"/>
                    <w:tr2bl w:val="nil"/>
                  </w:tcBorders>
                  <w:noWrap w:val="0"/>
                  <w:vAlign w:val="center"/>
                </w:tcPr>
                <w:p w14:paraId="5EBDA97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涉及有机溶剂生产</w:t>
                  </w:r>
                  <w:r>
                    <w:rPr>
                      <w:rFonts w:hint="default" w:ascii="Times New Roman" w:hAnsi="Times New Roman" w:eastAsia="宋体" w:cs="Times New Roman"/>
                      <w:color w:val="auto"/>
                      <w:sz w:val="21"/>
                      <w:lang w:val="en-US" w:eastAsia="zh-CN"/>
                    </w:rPr>
                    <w:br w:type="textWrapping"/>
                  </w:r>
                  <w:r>
                    <w:rPr>
                      <w:rFonts w:hint="default" w:ascii="Times New Roman" w:hAnsi="Times New Roman" w:eastAsia="宋体" w:cs="Times New Roman"/>
                      <w:color w:val="auto"/>
                      <w:sz w:val="21"/>
                      <w:lang w:val="en-US" w:eastAsia="zh-CN"/>
                    </w:rPr>
                    <w:t>和使用的其它行业</w:t>
                  </w:r>
                </w:p>
              </w:tc>
              <w:tc>
                <w:tcPr>
                  <w:tcW w:w="603" w:type="pct"/>
                  <w:tcBorders>
                    <w:tl2br w:val="nil"/>
                    <w:tr2bl w:val="nil"/>
                  </w:tcBorders>
                  <w:noWrap w:val="0"/>
                  <w:vAlign w:val="center"/>
                </w:tcPr>
                <w:p w14:paraId="749065A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VOCs</w:t>
                  </w:r>
                </w:p>
              </w:tc>
              <w:tc>
                <w:tcPr>
                  <w:tcW w:w="756" w:type="pct"/>
                  <w:tcBorders>
                    <w:tl2br w:val="nil"/>
                    <w:tr2bl w:val="nil"/>
                  </w:tcBorders>
                  <w:noWrap w:val="0"/>
                  <w:vAlign w:val="center"/>
                </w:tcPr>
                <w:p w14:paraId="7A48327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60</w:t>
                  </w:r>
                </w:p>
              </w:tc>
              <w:tc>
                <w:tcPr>
                  <w:tcW w:w="1518" w:type="pct"/>
                  <w:tcBorders>
                    <w:tl2br w:val="nil"/>
                    <w:tr2bl w:val="nil"/>
                  </w:tcBorders>
                  <w:noWrap w:val="0"/>
                  <w:vAlign w:val="center"/>
                </w:tcPr>
                <w:p w14:paraId="610C270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3.4</w:t>
                  </w:r>
                </w:p>
              </w:tc>
              <w:tc>
                <w:tcPr>
                  <w:tcW w:w="755" w:type="pct"/>
                  <w:tcBorders>
                    <w:tl2br w:val="nil"/>
                    <w:tr2bl w:val="nil"/>
                  </w:tcBorders>
                  <w:noWrap w:val="0"/>
                  <w:vAlign w:val="center"/>
                </w:tcPr>
                <w:p w14:paraId="1B094D9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80%</w:t>
                  </w:r>
                </w:p>
              </w:tc>
            </w:tr>
            <w:tr w14:paraId="642EB4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68" w:hRule="atLeast"/>
                <w:jc w:val="center"/>
              </w:trPr>
              <w:tc>
                <w:tcPr>
                  <w:tcW w:w="5000" w:type="pct"/>
                  <w:gridSpan w:val="5"/>
                  <w:tcBorders>
                    <w:tl2br w:val="nil"/>
                    <w:tr2bl w:val="nil"/>
                  </w:tcBorders>
                  <w:noWrap w:val="0"/>
                  <w:vAlign w:val="center"/>
                </w:tcPr>
                <w:p w14:paraId="5AAF5C7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注</w:t>
                  </w:r>
                  <w:r>
                    <w:rPr>
                      <w:rFonts w:hint="eastAsia" w:ascii="Times New Roman" w:hAnsi="Times New Roman" w:eastAsia="宋体" w:cs="Times New Roman"/>
                      <w:color w:val="auto"/>
                      <w:sz w:val="21"/>
                      <w:lang w:val="en-US" w:eastAsia="zh-CN"/>
                    </w:rPr>
                    <w:t>：</w:t>
                  </w:r>
                  <w:r>
                    <w:rPr>
                      <w:rFonts w:hint="default" w:ascii="Times New Roman" w:hAnsi="Times New Roman" w:eastAsia="宋体" w:cs="Times New Roman"/>
                      <w:color w:val="auto"/>
                      <w:sz w:val="21"/>
                      <w:lang w:val="en-US" w:eastAsia="zh-CN"/>
                    </w:rPr>
                    <w:t>最低去除效率要求仅适用于处理风量大于10000m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/h，且进口VOCs浓度大于 200mg/m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的净化设施。</w:t>
                  </w:r>
                  <w:r>
                    <w:rPr>
                      <w:rFonts w:hint="eastAsia" w:cs="Times New Roman"/>
                      <w:color w:val="auto"/>
                      <w:sz w:val="21"/>
                      <w:lang w:val="en-US" w:eastAsia="zh-CN"/>
                    </w:rPr>
                    <w:t>（本项目产生浓度小于</w:t>
                  </w:r>
                  <w:r>
                    <w:rPr>
                      <w:rFonts w:hint="default" w:ascii="Times New Roman" w:hAnsi="Times New Roman" w:eastAsia="宋体" w:cs="Times New Roman"/>
                      <w:color w:val="auto"/>
                      <w:sz w:val="21"/>
                      <w:lang w:val="en-US" w:eastAsia="zh-CN"/>
                    </w:rPr>
                    <w:t>200mg/m</w:t>
                  </w:r>
                  <w:r>
                    <w:rPr>
                      <w:rFonts w:hint="default" w:ascii="Times New Roman" w:hAnsi="Times New Roman" w:eastAsia="宋体" w:cs="Times New Roman"/>
                      <w:color w:val="auto"/>
                      <w:sz w:val="21"/>
                      <w:vertAlign w:val="superscript"/>
                      <w:lang w:val="en-US" w:eastAsia="zh-CN"/>
                    </w:rPr>
                    <w:t>3</w:t>
                  </w:r>
                  <w:r>
                    <w:rPr>
                      <w:rFonts w:hint="eastAsia" w:cs="Times New Roman"/>
                      <w:color w:val="auto"/>
                      <w:sz w:val="21"/>
                      <w:lang w:val="en-US" w:eastAsia="zh-CN"/>
                    </w:rPr>
                    <w:t>，不执行最低去除效率）</w:t>
                  </w:r>
                </w:p>
              </w:tc>
            </w:tr>
          </w:tbl>
          <w:p w14:paraId="63072AF5">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right="0" w:firstLine="480" w:firstLineChars="200"/>
              <w:textAlignment w:val="auto"/>
              <w:rPr>
                <w:rFonts w:hint="eastAsia" w:ascii="Times New Roman" w:hAnsi="Times New Roman" w:cs="Times New Roman"/>
                <w:color w:val="auto"/>
              </w:rPr>
            </w:pPr>
            <w:r>
              <w:rPr>
                <w:rFonts w:hint="eastAsia" w:ascii="Times New Roman" w:hAnsi="Times New Roman" w:cs="Times New Roman"/>
                <w:color w:val="auto"/>
              </w:rPr>
              <w:t>本项目颗粒物</w:t>
            </w:r>
            <w:r>
              <w:rPr>
                <w:rFonts w:hint="eastAsia" w:ascii="Times New Roman" w:hAnsi="Times New Roman" w:cs="Times New Roman"/>
                <w:color w:val="auto"/>
                <w:lang w:val="en-US" w:eastAsia="zh-CN"/>
              </w:rPr>
              <w:t>执行</w:t>
            </w:r>
            <w:r>
              <w:rPr>
                <w:rFonts w:hint="eastAsia" w:ascii="Times New Roman" w:hAnsi="Times New Roman" w:cs="Times New Roman"/>
                <w:color w:val="auto"/>
              </w:rPr>
              <w:t>《大气污染物综合排放标准》（GB16297-1996）表2中二级标准。</w:t>
            </w:r>
          </w:p>
          <w:p w14:paraId="3E59A139">
            <w:pPr>
              <w:pStyle w:val="54"/>
              <w:keepNext w:val="0"/>
              <w:keepLines w:val="0"/>
              <w:suppressLineNumbers w:val="0"/>
              <w:spacing w:before="0" w:beforeAutospacing="0" w:after="0" w:afterAutospacing="0"/>
              <w:ind w:left="0" w:right="0" w:firstLine="211" w:firstLineChars="100"/>
              <w:rPr>
                <w:rFonts w:hint="default" w:ascii="Times New Roman" w:hAnsi="Times New Roman" w:eastAsia="宋体" w:cs="Times New Roman"/>
                <w:color w:val="auto"/>
              </w:rPr>
            </w:pPr>
            <w:r>
              <w:rPr>
                <w:rFonts w:hint="default" w:ascii="Times New Roman" w:hAnsi="Times New Roman" w:eastAsia="宋体" w:cs="Times New Roman"/>
                <w:color w:val="auto"/>
              </w:rPr>
              <w:t>表3-</w:t>
            </w: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rPr>
              <w:t xml:space="preserve">   </w:t>
            </w:r>
            <w:r>
              <w:rPr>
                <w:rFonts w:hint="eastAsia" w:ascii="Times New Roman" w:hAnsi="Times New Roman" w:eastAsia="宋体" w:cs="Times New Roman"/>
                <w:color w:val="auto"/>
                <w:szCs w:val="18"/>
              </w:rPr>
              <w:t>《大气污染物综合排放标准》</w:t>
            </w:r>
          </w:p>
          <w:tbl>
            <w:tblPr>
              <w:tblStyle w:val="28"/>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77"/>
              <w:gridCol w:w="1329"/>
              <w:gridCol w:w="1146"/>
              <w:gridCol w:w="1434"/>
              <w:gridCol w:w="1731"/>
              <w:gridCol w:w="1916"/>
            </w:tblGrid>
            <w:tr w14:paraId="1537A4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68" w:hRule="atLeast"/>
                <w:jc w:val="center"/>
              </w:trPr>
              <w:tc>
                <w:tcPr>
                  <w:tcW w:w="466" w:type="pct"/>
                  <w:tcBorders>
                    <w:tl2br w:val="nil"/>
                    <w:tr2bl w:val="nil"/>
                  </w:tcBorders>
                  <w:noWrap w:val="0"/>
                  <w:vAlign w:val="center"/>
                </w:tcPr>
                <w:p w14:paraId="736FC5D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序号</w:t>
                  </w:r>
                </w:p>
              </w:tc>
              <w:tc>
                <w:tcPr>
                  <w:tcW w:w="797" w:type="pct"/>
                  <w:tcBorders>
                    <w:tl2br w:val="nil"/>
                    <w:tr2bl w:val="nil"/>
                  </w:tcBorders>
                  <w:noWrap w:val="0"/>
                  <w:vAlign w:val="center"/>
                </w:tcPr>
                <w:p w14:paraId="7BB513D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污染物名</w:t>
                  </w:r>
                  <w:r>
                    <w:rPr>
                      <w:rFonts w:hint="default" w:ascii="Times New Roman" w:hAnsi="Times New Roman" w:eastAsia="宋体" w:cs="Times New Roman"/>
                      <w:color w:val="auto"/>
                      <w:sz w:val="21"/>
                      <w:lang w:val="en-US" w:eastAsia="zh-CN"/>
                    </w:rPr>
                    <w:br w:type="textWrapping"/>
                  </w:r>
                  <w:r>
                    <w:rPr>
                      <w:rFonts w:hint="default" w:ascii="Times New Roman" w:hAnsi="Times New Roman" w:eastAsia="宋体" w:cs="Times New Roman"/>
                      <w:color w:val="auto"/>
                      <w:sz w:val="21"/>
                      <w:lang w:val="en-US" w:eastAsia="zh-CN"/>
                    </w:rPr>
                    <w:t>称</w:t>
                  </w:r>
                </w:p>
              </w:tc>
              <w:tc>
                <w:tcPr>
                  <w:tcW w:w="687" w:type="pct"/>
                  <w:tcBorders>
                    <w:tl2br w:val="nil"/>
                    <w:tr2bl w:val="nil"/>
                  </w:tcBorders>
                  <w:noWrap w:val="0"/>
                  <w:vAlign w:val="center"/>
                </w:tcPr>
                <w:p w14:paraId="7FE2FD2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排气筒</w:t>
                  </w:r>
                  <w:r>
                    <w:rPr>
                      <w:rFonts w:hint="default" w:ascii="Times New Roman" w:hAnsi="Times New Roman" w:eastAsia="宋体" w:cs="Times New Roman"/>
                      <w:color w:val="auto"/>
                      <w:sz w:val="21"/>
                      <w:lang w:val="en-US" w:eastAsia="zh-CN"/>
                    </w:rPr>
                    <w:br w:type="textWrapping"/>
                  </w:r>
                  <w:r>
                    <w:rPr>
                      <w:rFonts w:hint="default" w:ascii="Times New Roman" w:hAnsi="Times New Roman" w:eastAsia="宋体" w:cs="Times New Roman"/>
                      <w:color w:val="auto"/>
                      <w:sz w:val="21"/>
                      <w:lang w:val="en-US" w:eastAsia="zh-CN"/>
                    </w:rPr>
                    <w:t>高度 m</w:t>
                  </w:r>
                </w:p>
              </w:tc>
              <w:tc>
                <w:tcPr>
                  <w:tcW w:w="860" w:type="pct"/>
                  <w:tcBorders>
                    <w:tl2br w:val="nil"/>
                    <w:tr2bl w:val="nil"/>
                  </w:tcBorders>
                  <w:noWrap w:val="0"/>
                  <w:vAlign w:val="center"/>
                </w:tcPr>
                <w:p w14:paraId="0F355E2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最高允许排</w:t>
                  </w:r>
                  <w:r>
                    <w:rPr>
                      <w:rFonts w:hint="default" w:ascii="Times New Roman" w:hAnsi="Times New Roman" w:eastAsia="宋体" w:cs="Times New Roman"/>
                      <w:color w:val="auto"/>
                      <w:sz w:val="21"/>
                      <w:lang w:val="en-US" w:eastAsia="zh-CN"/>
                    </w:rPr>
                    <w:br w:type="textWrapping"/>
                  </w:r>
                  <w:r>
                    <w:rPr>
                      <w:rFonts w:hint="default" w:ascii="Times New Roman" w:hAnsi="Times New Roman" w:eastAsia="宋体" w:cs="Times New Roman"/>
                      <w:color w:val="auto"/>
                      <w:sz w:val="21"/>
                      <w:lang w:val="en-US" w:eastAsia="zh-CN"/>
                    </w:rPr>
                    <w:t>放速率kg/h</w:t>
                  </w:r>
                </w:p>
              </w:tc>
              <w:tc>
                <w:tcPr>
                  <w:tcW w:w="1038" w:type="pct"/>
                  <w:tcBorders>
                    <w:tl2br w:val="nil"/>
                    <w:tr2bl w:val="nil"/>
                  </w:tcBorders>
                  <w:noWrap w:val="0"/>
                  <w:vAlign w:val="center"/>
                </w:tcPr>
                <w:p w14:paraId="29A955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最高允许排放</w:t>
                  </w:r>
                  <w:r>
                    <w:rPr>
                      <w:rFonts w:hint="default" w:ascii="Times New Roman" w:hAnsi="Times New Roman" w:eastAsia="宋体" w:cs="Times New Roman"/>
                      <w:color w:val="auto"/>
                      <w:sz w:val="21"/>
                      <w:lang w:val="en-US" w:eastAsia="zh-CN"/>
                    </w:rPr>
                    <w:br w:type="textWrapping"/>
                  </w:r>
                  <w:r>
                    <w:rPr>
                      <w:rFonts w:hint="default" w:ascii="Times New Roman" w:hAnsi="Times New Roman" w:eastAsia="宋体" w:cs="Times New Roman"/>
                      <w:color w:val="auto"/>
                      <w:sz w:val="21"/>
                      <w:lang w:val="en-US" w:eastAsia="zh-CN"/>
                    </w:rPr>
                    <w:t>浓度 mg/m</w:t>
                  </w:r>
                  <w:r>
                    <w:rPr>
                      <w:rFonts w:hint="default" w:ascii="Times New Roman" w:hAnsi="Times New Roman" w:eastAsia="宋体" w:cs="Times New Roman"/>
                      <w:color w:val="auto"/>
                      <w:sz w:val="21"/>
                      <w:vertAlign w:val="superscript"/>
                      <w:lang w:val="en-US" w:eastAsia="zh-CN"/>
                    </w:rPr>
                    <w:t>3</w:t>
                  </w:r>
                </w:p>
              </w:tc>
              <w:tc>
                <w:tcPr>
                  <w:tcW w:w="1149" w:type="pct"/>
                  <w:tcBorders>
                    <w:tl2br w:val="nil"/>
                    <w:tr2bl w:val="nil"/>
                  </w:tcBorders>
                  <w:noWrap w:val="0"/>
                  <w:vAlign w:val="center"/>
                </w:tcPr>
                <w:p w14:paraId="2E253DA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无组织排放浓度</w:t>
                  </w:r>
                  <w:r>
                    <w:rPr>
                      <w:rFonts w:hint="default" w:ascii="Times New Roman" w:hAnsi="Times New Roman" w:eastAsia="宋体" w:cs="Times New Roman"/>
                      <w:color w:val="auto"/>
                      <w:sz w:val="21"/>
                      <w:lang w:val="en-US" w:eastAsia="zh-CN"/>
                    </w:rPr>
                    <w:br w:type="textWrapping"/>
                  </w:r>
                  <w:r>
                    <w:rPr>
                      <w:rFonts w:hint="default" w:ascii="Times New Roman" w:hAnsi="Times New Roman" w:eastAsia="宋体" w:cs="Times New Roman"/>
                      <w:color w:val="auto"/>
                      <w:sz w:val="21"/>
                      <w:lang w:val="en-US" w:eastAsia="zh-CN"/>
                    </w:rPr>
                    <w:t>监控限值 mg/m</w:t>
                  </w:r>
                  <w:r>
                    <w:rPr>
                      <w:rFonts w:hint="default" w:ascii="Times New Roman" w:hAnsi="Times New Roman" w:eastAsia="宋体" w:cs="Times New Roman"/>
                      <w:color w:val="auto"/>
                      <w:sz w:val="21"/>
                      <w:vertAlign w:val="superscript"/>
                      <w:lang w:val="en-US" w:eastAsia="zh-CN"/>
                    </w:rPr>
                    <w:t>3</w:t>
                  </w:r>
                </w:p>
              </w:tc>
            </w:tr>
            <w:tr w14:paraId="2EDA68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466" w:type="pct"/>
                  <w:tcBorders>
                    <w:tl2br w:val="nil"/>
                    <w:tr2bl w:val="nil"/>
                  </w:tcBorders>
                  <w:noWrap w:val="0"/>
                  <w:vAlign w:val="center"/>
                </w:tcPr>
                <w:p w14:paraId="238B54B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w:t>
                  </w:r>
                </w:p>
              </w:tc>
              <w:tc>
                <w:tcPr>
                  <w:tcW w:w="797" w:type="pct"/>
                  <w:tcBorders>
                    <w:tl2br w:val="nil"/>
                    <w:tr2bl w:val="nil"/>
                  </w:tcBorders>
                  <w:noWrap w:val="0"/>
                  <w:vAlign w:val="center"/>
                </w:tcPr>
                <w:p w14:paraId="01F4EA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颗粒物</w:t>
                  </w:r>
                </w:p>
              </w:tc>
              <w:tc>
                <w:tcPr>
                  <w:tcW w:w="687" w:type="pct"/>
                  <w:tcBorders>
                    <w:tl2br w:val="nil"/>
                    <w:tr2bl w:val="nil"/>
                  </w:tcBorders>
                  <w:noWrap w:val="0"/>
                  <w:vAlign w:val="center"/>
                </w:tcPr>
                <w:p w14:paraId="7D9DAC0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15</w:t>
                  </w:r>
                </w:p>
              </w:tc>
              <w:tc>
                <w:tcPr>
                  <w:tcW w:w="860" w:type="pct"/>
                  <w:tcBorders>
                    <w:tl2br w:val="nil"/>
                    <w:tr2bl w:val="nil"/>
                  </w:tcBorders>
                  <w:noWrap w:val="0"/>
                  <w:vAlign w:val="center"/>
                </w:tcPr>
                <w:p w14:paraId="0D5E9B2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3.5</w:t>
                  </w:r>
                </w:p>
              </w:tc>
              <w:tc>
                <w:tcPr>
                  <w:tcW w:w="1038" w:type="pct"/>
                  <w:tcBorders>
                    <w:tl2br w:val="nil"/>
                    <w:tr2bl w:val="nil"/>
                  </w:tcBorders>
                  <w:noWrap w:val="0"/>
                  <w:vAlign w:val="center"/>
                </w:tcPr>
                <w:p w14:paraId="706F7D6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120</w:t>
                  </w:r>
                </w:p>
              </w:tc>
              <w:tc>
                <w:tcPr>
                  <w:tcW w:w="1149" w:type="pct"/>
                  <w:tcBorders>
                    <w:tl2br w:val="nil"/>
                    <w:tr2bl w:val="nil"/>
                  </w:tcBorders>
                  <w:noWrap w:val="0"/>
                  <w:vAlign w:val="center"/>
                </w:tcPr>
                <w:p w14:paraId="74BEAD3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1.0</w:t>
                  </w:r>
                </w:p>
              </w:tc>
            </w:tr>
          </w:tbl>
          <w:p w14:paraId="591872BC">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right="0" w:firstLine="480" w:firstLineChars="200"/>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项目锅炉废气污染物执行《锅炉大气污染物排放标准》</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GB13271-2014）中</w:t>
            </w:r>
            <w:r>
              <w:rPr>
                <w:rFonts w:hint="eastAsia" w:cs="Times New Roman"/>
                <w:color w:val="auto"/>
                <w:lang w:val="en-US" w:eastAsia="zh-CN"/>
              </w:rPr>
              <w:t>表3</w:t>
            </w:r>
            <w:r>
              <w:rPr>
                <w:rFonts w:hint="eastAsia" w:ascii="Times New Roman" w:hAnsi="Times New Roman" w:eastAsia="宋体" w:cs="Times New Roman"/>
                <w:color w:val="auto"/>
              </w:rPr>
              <w:t>大气污染物特别排放限值。</w:t>
            </w:r>
          </w:p>
          <w:p w14:paraId="0446C36B">
            <w:pPr>
              <w:pStyle w:val="54"/>
              <w:keepNext w:val="0"/>
              <w:keepLines w:val="0"/>
              <w:suppressLineNumbers w:val="0"/>
              <w:spacing w:before="0" w:beforeAutospacing="0" w:after="0" w:afterAutospacing="0"/>
              <w:ind w:left="0" w:right="0" w:firstLine="211" w:firstLineChars="100"/>
              <w:rPr>
                <w:rFonts w:hint="eastAsia" w:ascii="Times New Roman" w:hAnsi="Times New Roman" w:eastAsia="宋体" w:cs="Times New Roman"/>
                <w:color w:val="auto"/>
                <w:szCs w:val="18"/>
              </w:rPr>
            </w:pPr>
            <w:r>
              <w:rPr>
                <w:rFonts w:hint="eastAsia" w:ascii="Times New Roman" w:hAnsi="Times New Roman" w:eastAsia="宋体" w:cs="Times New Roman"/>
                <w:color w:val="auto"/>
                <w:szCs w:val="18"/>
              </w:rPr>
              <w:t>表</w:t>
            </w:r>
            <w:r>
              <w:rPr>
                <w:rFonts w:hint="eastAsia" w:ascii="Times New Roman" w:hAnsi="Times New Roman" w:eastAsia="宋体" w:cs="Times New Roman"/>
                <w:color w:val="auto"/>
                <w:szCs w:val="18"/>
                <w:lang w:val="en-US" w:eastAsia="zh-CN"/>
              </w:rPr>
              <w:t>3</w:t>
            </w:r>
            <w:r>
              <w:rPr>
                <w:rFonts w:hint="eastAsia" w:ascii="Times New Roman" w:hAnsi="Times New Roman" w:eastAsia="宋体" w:cs="Times New Roman"/>
                <w:color w:val="auto"/>
                <w:szCs w:val="18"/>
              </w:rPr>
              <w:t>-</w:t>
            </w:r>
            <w:r>
              <w:rPr>
                <w:rFonts w:hint="eastAsia" w:ascii="Times New Roman" w:hAnsi="Times New Roman" w:eastAsia="宋体" w:cs="Times New Roman"/>
                <w:color w:val="auto"/>
                <w:szCs w:val="18"/>
                <w:lang w:val="en-US" w:eastAsia="zh-CN"/>
              </w:rPr>
              <w:t>11</w:t>
            </w:r>
            <w:r>
              <w:rPr>
                <w:rFonts w:hint="eastAsia" w:ascii="Times New Roman" w:hAnsi="Times New Roman" w:eastAsia="宋体" w:cs="Times New Roman"/>
                <w:color w:val="auto"/>
                <w:szCs w:val="18"/>
              </w:rPr>
              <w:t xml:space="preserve"> 锅炉大气污染物排放标准</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26"/>
              <w:gridCol w:w="1331"/>
              <w:gridCol w:w="2888"/>
              <w:gridCol w:w="2790"/>
            </w:tblGrid>
            <w:tr w14:paraId="51228C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795" w:type="pct"/>
                  <w:tcBorders>
                    <w:tl2br w:val="nil"/>
                    <w:tr2bl w:val="nil"/>
                  </w:tcBorders>
                  <w:noWrap w:val="0"/>
                  <w:vAlign w:val="center"/>
                </w:tcPr>
                <w:p w14:paraId="1800CDF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锅炉类别</w:t>
                  </w:r>
                </w:p>
              </w:tc>
              <w:tc>
                <w:tcPr>
                  <w:tcW w:w="798" w:type="pct"/>
                  <w:tcBorders>
                    <w:tl2br w:val="nil"/>
                    <w:tr2bl w:val="nil"/>
                  </w:tcBorders>
                  <w:noWrap w:val="0"/>
                  <w:vAlign w:val="center"/>
                </w:tcPr>
                <w:p w14:paraId="145686A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污染物</w:t>
                  </w:r>
                </w:p>
              </w:tc>
              <w:tc>
                <w:tcPr>
                  <w:tcW w:w="1732" w:type="pct"/>
                  <w:tcBorders>
                    <w:tl2br w:val="nil"/>
                    <w:tr2bl w:val="nil"/>
                  </w:tcBorders>
                  <w:noWrap w:val="0"/>
                  <w:vAlign w:val="center"/>
                </w:tcPr>
                <w:p w14:paraId="73BCBD1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最高允许排放浓度mg/m</w:t>
                  </w:r>
                  <w:r>
                    <w:rPr>
                      <w:rFonts w:hint="default" w:ascii="Times New Roman" w:hAnsi="Times New Roman" w:eastAsia="宋体" w:cs="Times New Roman"/>
                      <w:color w:val="auto"/>
                      <w:sz w:val="21"/>
                      <w:vertAlign w:val="superscript"/>
                      <w:lang w:val="en-US" w:eastAsia="zh-CN"/>
                    </w:rPr>
                    <w:t>3</w:t>
                  </w:r>
                </w:p>
              </w:tc>
              <w:tc>
                <w:tcPr>
                  <w:tcW w:w="1673" w:type="pct"/>
                  <w:tcBorders>
                    <w:tl2br w:val="nil"/>
                    <w:tr2bl w:val="nil"/>
                  </w:tcBorders>
                  <w:noWrap w:val="0"/>
                  <w:vAlign w:val="center"/>
                </w:tcPr>
                <w:p w14:paraId="396F701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污染物排放监控位置</w:t>
                  </w:r>
                </w:p>
              </w:tc>
            </w:tr>
            <w:tr w14:paraId="2C6B62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795" w:type="pct"/>
                  <w:vMerge w:val="restart"/>
                  <w:tcBorders>
                    <w:tl2br w:val="nil"/>
                    <w:tr2bl w:val="nil"/>
                  </w:tcBorders>
                  <w:noWrap w:val="0"/>
                  <w:vAlign w:val="center"/>
                </w:tcPr>
                <w:p w14:paraId="5E0327E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燃煤</w:t>
                  </w:r>
                  <w:r>
                    <w:rPr>
                      <w:rFonts w:hint="default" w:ascii="Times New Roman" w:hAnsi="Times New Roman" w:eastAsia="宋体" w:cs="Times New Roman"/>
                      <w:color w:val="auto"/>
                      <w:sz w:val="21"/>
                      <w:lang w:val="en-US" w:eastAsia="zh-CN"/>
                    </w:rPr>
                    <w:t>锅炉</w:t>
                  </w:r>
                </w:p>
              </w:tc>
              <w:tc>
                <w:tcPr>
                  <w:tcW w:w="798" w:type="pct"/>
                  <w:tcBorders>
                    <w:tl2br w:val="nil"/>
                    <w:tr2bl w:val="nil"/>
                  </w:tcBorders>
                  <w:noWrap w:val="0"/>
                  <w:vAlign w:val="center"/>
                </w:tcPr>
                <w:p w14:paraId="5B504CD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颗粒物</w:t>
                  </w:r>
                </w:p>
              </w:tc>
              <w:tc>
                <w:tcPr>
                  <w:tcW w:w="1732" w:type="pct"/>
                  <w:tcBorders>
                    <w:tl2br w:val="nil"/>
                    <w:tr2bl w:val="nil"/>
                  </w:tcBorders>
                  <w:noWrap w:val="0"/>
                  <w:vAlign w:val="center"/>
                </w:tcPr>
                <w:p w14:paraId="5ECA0E5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30</w:t>
                  </w:r>
                </w:p>
              </w:tc>
              <w:tc>
                <w:tcPr>
                  <w:tcW w:w="1673" w:type="pct"/>
                  <w:vMerge w:val="restart"/>
                  <w:tcBorders>
                    <w:tl2br w:val="nil"/>
                    <w:tr2bl w:val="nil"/>
                  </w:tcBorders>
                  <w:noWrap w:val="0"/>
                  <w:vAlign w:val="center"/>
                </w:tcPr>
                <w:p w14:paraId="0CD016B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烟囱或烟道</w:t>
                  </w:r>
                </w:p>
              </w:tc>
            </w:tr>
            <w:tr w14:paraId="489159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795" w:type="pct"/>
                  <w:vMerge w:val="continue"/>
                  <w:tcBorders>
                    <w:tl2br w:val="nil"/>
                    <w:tr2bl w:val="nil"/>
                  </w:tcBorders>
                  <w:noWrap w:val="0"/>
                  <w:vAlign w:val="center"/>
                </w:tcPr>
                <w:p w14:paraId="31E2C67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p>
              </w:tc>
              <w:tc>
                <w:tcPr>
                  <w:tcW w:w="798" w:type="pct"/>
                  <w:tcBorders>
                    <w:tl2br w:val="nil"/>
                    <w:tr2bl w:val="nil"/>
                  </w:tcBorders>
                  <w:noWrap w:val="0"/>
                  <w:vAlign w:val="center"/>
                </w:tcPr>
                <w:p w14:paraId="3D6F993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SO</w:t>
                  </w:r>
                  <w:r>
                    <w:rPr>
                      <w:rFonts w:hint="default" w:ascii="Times New Roman" w:hAnsi="Times New Roman" w:eastAsia="宋体" w:cs="Times New Roman"/>
                      <w:color w:val="auto"/>
                      <w:sz w:val="21"/>
                      <w:vertAlign w:val="subscript"/>
                      <w:lang w:val="en-US" w:eastAsia="zh-CN"/>
                    </w:rPr>
                    <w:t>2</w:t>
                  </w:r>
                </w:p>
              </w:tc>
              <w:tc>
                <w:tcPr>
                  <w:tcW w:w="1732" w:type="pct"/>
                  <w:tcBorders>
                    <w:tl2br w:val="nil"/>
                    <w:tr2bl w:val="nil"/>
                  </w:tcBorders>
                  <w:noWrap w:val="0"/>
                  <w:vAlign w:val="center"/>
                </w:tcPr>
                <w:p w14:paraId="7AACC6D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200</w:t>
                  </w:r>
                </w:p>
              </w:tc>
              <w:tc>
                <w:tcPr>
                  <w:tcW w:w="1673" w:type="pct"/>
                  <w:vMerge w:val="continue"/>
                  <w:tcBorders>
                    <w:tl2br w:val="nil"/>
                    <w:tr2bl w:val="nil"/>
                  </w:tcBorders>
                  <w:noWrap w:val="0"/>
                  <w:vAlign w:val="center"/>
                </w:tcPr>
                <w:p w14:paraId="12B5EAE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p>
              </w:tc>
            </w:tr>
            <w:tr w14:paraId="091584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795" w:type="pct"/>
                  <w:vMerge w:val="continue"/>
                  <w:tcBorders>
                    <w:tl2br w:val="nil"/>
                    <w:tr2bl w:val="nil"/>
                  </w:tcBorders>
                  <w:noWrap w:val="0"/>
                  <w:vAlign w:val="center"/>
                </w:tcPr>
                <w:p w14:paraId="0426AFE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p>
              </w:tc>
              <w:tc>
                <w:tcPr>
                  <w:tcW w:w="798" w:type="pct"/>
                  <w:tcBorders>
                    <w:tl2br w:val="nil"/>
                    <w:tr2bl w:val="nil"/>
                  </w:tcBorders>
                  <w:noWrap w:val="0"/>
                  <w:vAlign w:val="center"/>
                </w:tcPr>
                <w:p w14:paraId="0010F41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NOx</w:t>
                  </w:r>
                </w:p>
              </w:tc>
              <w:tc>
                <w:tcPr>
                  <w:tcW w:w="1732" w:type="pct"/>
                  <w:tcBorders>
                    <w:tl2br w:val="nil"/>
                    <w:tr2bl w:val="nil"/>
                  </w:tcBorders>
                  <w:noWrap w:val="0"/>
                  <w:vAlign w:val="center"/>
                </w:tcPr>
                <w:p w14:paraId="1311E25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200</w:t>
                  </w:r>
                </w:p>
              </w:tc>
              <w:tc>
                <w:tcPr>
                  <w:tcW w:w="1673" w:type="pct"/>
                  <w:vMerge w:val="continue"/>
                  <w:tcBorders>
                    <w:tl2br w:val="nil"/>
                    <w:tr2bl w:val="nil"/>
                  </w:tcBorders>
                  <w:noWrap w:val="0"/>
                  <w:vAlign w:val="center"/>
                </w:tcPr>
                <w:p w14:paraId="599B0CD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p>
              </w:tc>
            </w:tr>
            <w:tr w14:paraId="04AD4F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795" w:type="pct"/>
                  <w:vMerge w:val="continue"/>
                  <w:tcBorders>
                    <w:tl2br w:val="nil"/>
                    <w:tr2bl w:val="nil"/>
                  </w:tcBorders>
                  <w:noWrap w:val="0"/>
                  <w:vAlign w:val="center"/>
                </w:tcPr>
                <w:p w14:paraId="5C4FFBA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p>
              </w:tc>
              <w:tc>
                <w:tcPr>
                  <w:tcW w:w="798" w:type="pct"/>
                  <w:tcBorders>
                    <w:tl2br w:val="nil"/>
                    <w:tr2bl w:val="nil"/>
                  </w:tcBorders>
                  <w:noWrap w:val="0"/>
                  <w:vAlign w:val="center"/>
                </w:tcPr>
                <w:p w14:paraId="3A8E02A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汞及其化合物</w:t>
                  </w:r>
                </w:p>
              </w:tc>
              <w:tc>
                <w:tcPr>
                  <w:tcW w:w="1732" w:type="pct"/>
                  <w:tcBorders>
                    <w:tl2br w:val="nil"/>
                    <w:tr2bl w:val="nil"/>
                  </w:tcBorders>
                  <w:noWrap w:val="0"/>
                  <w:vAlign w:val="center"/>
                </w:tcPr>
                <w:p w14:paraId="53A106E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0.05</w:t>
                  </w:r>
                </w:p>
              </w:tc>
              <w:tc>
                <w:tcPr>
                  <w:tcW w:w="1673" w:type="pct"/>
                  <w:vMerge w:val="continue"/>
                  <w:tcBorders>
                    <w:tl2br w:val="nil"/>
                    <w:tr2bl w:val="nil"/>
                  </w:tcBorders>
                  <w:noWrap w:val="0"/>
                  <w:vAlign w:val="center"/>
                </w:tcPr>
                <w:p w14:paraId="410C02D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p>
              </w:tc>
            </w:tr>
            <w:tr w14:paraId="46712D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795" w:type="pct"/>
                  <w:vMerge w:val="continue"/>
                  <w:tcBorders>
                    <w:tl2br w:val="nil"/>
                    <w:tr2bl w:val="nil"/>
                  </w:tcBorders>
                  <w:noWrap w:val="0"/>
                  <w:vAlign w:val="center"/>
                </w:tcPr>
                <w:p w14:paraId="1C82EB8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p>
              </w:tc>
              <w:tc>
                <w:tcPr>
                  <w:tcW w:w="798" w:type="pct"/>
                  <w:tcBorders>
                    <w:tl2br w:val="nil"/>
                    <w:tr2bl w:val="nil"/>
                  </w:tcBorders>
                  <w:noWrap w:val="0"/>
                  <w:vAlign w:val="center"/>
                </w:tcPr>
                <w:p w14:paraId="383D3E9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烟气黑度</w:t>
                  </w:r>
                </w:p>
              </w:tc>
              <w:tc>
                <w:tcPr>
                  <w:tcW w:w="1732" w:type="pct"/>
                  <w:tcBorders>
                    <w:tl2br w:val="nil"/>
                    <w:tr2bl w:val="nil"/>
                  </w:tcBorders>
                  <w:noWrap w:val="0"/>
                  <w:vAlign w:val="center"/>
                </w:tcPr>
                <w:p w14:paraId="7660766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1（林格曼黑度，级）</w:t>
                  </w:r>
                </w:p>
              </w:tc>
              <w:tc>
                <w:tcPr>
                  <w:tcW w:w="1673" w:type="pct"/>
                  <w:tcBorders>
                    <w:tl2br w:val="nil"/>
                    <w:tr2bl w:val="nil"/>
                  </w:tcBorders>
                  <w:noWrap w:val="0"/>
                  <w:vAlign w:val="center"/>
                </w:tcPr>
                <w:p w14:paraId="5C879D5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烟囱排放口</w:t>
                  </w:r>
                </w:p>
              </w:tc>
            </w:tr>
          </w:tbl>
          <w:p w14:paraId="5ABA85F3">
            <w:pPr>
              <w:keepNext w:val="0"/>
              <w:keepLines w:val="0"/>
              <w:suppressLineNumbers w:val="0"/>
              <w:adjustRightInd w:val="0"/>
              <w:snapToGrid w:val="0"/>
              <w:spacing w:before="120" w:beforeLines="50" w:beforeAutospacing="0" w:after="0" w:afterAutospacing="0"/>
              <w:ind w:left="0" w:right="0"/>
              <w:rPr>
                <w:rFonts w:hint="eastAsia" w:ascii="Times New Roman" w:hAnsi="Times New Roman" w:cs="宋体"/>
                <w:b/>
                <w:bCs/>
                <w:color w:val="auto"/>
                <w:kern w:val="0"/>
              </w:rPr>
            </w:pPr>
            <w:r>
              <w:rPr>
                <w:rFonts w:hint="eastAsia" w:ascii="Times New Roman" w:hAnsi="Times New Roman" w:cs="宋体"/>
                <w:b/>
                <w:bCs/>
                <w:color w:val="auto"/>
                <w:kern w:val="0"/>
              </w:rPr>
              <w:t>二、噪声排放标准</w:t>
            </w:r>
          </w:p>
          <w:p w14:paraId="0CB3CB39">
            <w:pPr>
              <w:keepNext w:val="0"/>
              <w:keepLines w:val="0"/>
              <w:suppressLineNumbers w:val="0"/>
              <w:spacing w:before="0" w:beforeAutospacing="0" w:after="0" w:afterAutospacing="0"/>
              <w:ind w:left="0" w:right="0" w:firstLine="480" w:firstLineChars="200"/>
              <w:rPr>
                <w:rFonts w:hint="default" w:ascii="Times New Roman" w:hAnsi="Times New Roman" w:cs="Times New Roman"/>
                <w:b/>
                <w:color w:val="auto"/>
                <w:spacing w:val="-2"/>
                <w:szCs w:val="21"/>
              </w:rPr>
            </w:pPr>
            <w:r>
              <w:rPr>
                <w:rFonts w:hint="default" w:ascii="Times New Roman" w:hAnsi="Times New Roman" w:cs="Times New Roman"/>
                <w:color w:val="auto"/>
              </w:rPr>
              <w:t>项目施工期执行《建筑施工场界环境噪声排放标准》(GB12523-2011)中表1规定的排放限值，详见表3-</w:t>
            </w:r>
            <w:r>
              <w:rPr>
                <w:rFonts w:hint="eastAsia" w:ascii="Times New Roman" w:hAnsi="Times New Roman" w:cs="Times New Roman"/>
                <w:color w:val="auto"/>
                <w:lang w:val="en-US" w:eastAsia="zh-CN"/>
              </w:rPr>
              <w:t>12</w:t>
            </w:r>
            <w:r>
              <w:rPr>
                <w:rFonts w:hint="default" w:ascii="Times New Roman" w:hAnsi="Times New Roman" w:cs="Times New Roman"/>
                <w:color w:val="auto"/>
              </w:rPr>
              <w:t>；</w:t>
            </w:r>
          </w:p>
          <w:p w14:paraId="3DCC6439">
            <w:pPr>
              <w:keepNext w:val="0"/>
              <w:keepLines w:val="0"/>
              <w:suppressLineNumbers w:val="0"/>
              <w:spacing w:before="120" w:beforeLines="50" w:beforeAutospacing="0" w:after="0" w:afterAutospacing="0" w:line="240" w:lineRule="auto"/>
              <w:ind w:left="0" w:right="0"/>
              <w:jc w:val="center"/>
              <w:rPr>
                <w:rFonts w:hint="default" w:ascii="Times New Roman" w:hAnsi="Times New Roman" w:cs="Times New Roman"/>
                <w:b/>
                <w:color w:val="auto"/>
                <w:spacing w:val="-2"/>
                <w:sz w:val="21"/>
                <w:szCs w:val="21"/>
              </w:rPr>
            </w:pPr>
            <w:r>
              <w:rPr>
                <w:rFonts w:hint="default" w:ascii="Times New Roman" w:hAnsi="Times New Roman" w:cs="Times New Roman"/>
                <w:b/>
                <w:color w:val="auto"/>
                <w:spacing w:val="-2"/>
                <w:sz w:val="21"/>
                <w:szCs w:val="21"/>
              </w:rPr>
              <w:t>表3-</w:t>
            </w:r>
            <w:r>
              <w:rPr>
                <w:rFonts w:hint="eastAsia" w:ascii="Times New Roman" w:hAnsi="Times New Roman" w:cs="Times New Roman"/>
                <w:b/>
                <w:color w:val="auto"/>
                <w:spacing w:val="-2"/>
                <w:sz w:val="21"/>
                <w:szCs w:val="21"/>
                <w:lang w:val="en-US" w:eastAsia="zh-CN"/>
              </w:rPr>
              <w:t>12</w:t>
            </w:r>
            <w:r>
              <w:rPr>
                <w:rFonts w:hint="eastAsia" w:ascii="Times New Roman" w:hAnsi="Times New Roman" w:cs="Times New Roman"/>
                <w:b/>
                <w:color w:val="auto"/>
                <w:spacing w:val="-2"/>
                <w:sz w:val="21"/>
                <w:szCs w:val="21"/>
              </w:rPr>
              <w:t xml:space="preserve">   </w:t>
            </w:r>
            <w:r>
              <w:rPr>
                <w:rFonts w:hint="default" w:ascii="Times New Roman" w:hAnsi="Times New Roman" w:cs="Times New Roman"/>
                <w:b/>
                <w:color w:val="auto"/>
                <w:spacing w:val="-2"/>
                <w:sz w:val="21"/>
                <w:szCs w:val="21"/>
              </w:rPr>
              <w:t>建筑施工</w:t>
            </w:r>
            <w:r>
              <w:rPr>
                <w:rFonts w:hint="eastAsia" w:ascii="Times New Roman" w:hAnsi="Times New Roman" w:cs="Times New Roman"/>
                <w:b/>
                <w:color w:val="auto"/>
                <w:spacing w:val="-2"/>
                <w:sz w:val="21"/>
                <w:szCs w:val="21"/>
              </w:rPr>
              <w:t>场</w:t>
            </w:r>
            <w:r>
              <w:rPr>
                <w:rFonts w:hint="default" w:ascii="Times New Roman" w:hAnsi="Times New Roman" w:cs="Times New Roman"/>
                <w:b/>
                <w:color w:val="auto"/>
                <w:spacing w:val="-2"/>
                <w:sz w:val="21"/>
                <w:szCs w:val="21"/>
              </w:rPr>
              <w:t>界环境噪声排放</w:t>
            </w:r>
            <w:r>
              <w:rPr>
                <w:rFonts w:hint="eastAsia" w:ascii="Times New Roman" w:hAnsi="Times New Roman" w:cs="Times New Roman"/>
                <w:b/>
                <w:color w:val="auto"/>
                <w:spacing w:val="-2"/>
                <w:sz w:val="21"/>
                <w:szCs w:val="21"/>
              </w:rPr>
              <w:t>标准</w:t>
            </w:r>
            <w:r>
              <w:rPr>
                <w:rFonts w:hint="default" w:ascii="Times New Roman" w:hAnsi="Times New Roman" w:cs="Times New Roman"/>
                <w:b/>
                <w:color w:val="auto"/>
                <w:spacing w:val="-2"/>
                <w:sz w:val="21"/>
                <w:szCs w:val="21"/>
              </w:rPr>
              <w:t>限值    单位：dB(A)</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22"/>
              <w:gridCol w:w="4116"/>
            </w:tblGrid>
            <w:tr w14:paraId="0986E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2" w:type="pct"/>
                  <w:noWrap w:val="0"/>
                  <w:vAlign w:val="center"/>
                </w:tcPr>
                <w:p w14:paraId="21C0E312">
                  <w:pPr>
                    <w:keepNext w:val="0"/>
                    <w:keepLines w:val="0"/>
                    <w:suppressLineNumbers w:val="0"/>
                    <w:tabs>
                      <w:tab w:val="left" w:pos="750"/>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昼间</w:t>
                  </w:r>
                </w:p>
              </w:tc>
              <w:tc>
                <w:tcPr>
                  <w:tcW w:w="2468" w:type="pct"/>
                  <w:noWrap w:val="0"/>
                  <w:vAlign w:val="center"/>
                </w:tcPr>
                <w:p w14:paraId="4C6F39EF">
                  <w:pPr>
                    <w:keepNext w:val="0"/>
                    <w:keepLines w:val="0"/>
                    <w:suppressLineNumbers w:val="0"/>
                    <w:tabs>
                      <w:tab w:val="left" w:pos="750"/>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夜间</w:t>
                  </w:r>
                </w:p>
              </w:tc>
            </w:tr>
            <w:tr w14:paraId="3BBA7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2" w:type="pct"/>
                  <w:noWrap w:val="0"/>
                  <w:vAlign w:val="center"/>
                </w:tcPr>
                <w:p w14:paraId="2DE1848F">
                  <w:pPr>
                    <w:keepNext w:val="0"/>
                    <w:keepLines w:val="0"/>
                    <w:suppressLineNumbers w:val="0"/>
                    <w:tabs>
                      <w:tab w:val="left" w:pos="750"/>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2468" w:type="pct"/>
                  <w:noWrap w:val="0"/>
                  <w:vAlign w:val="center"/>
                </w:tcPr>
                <w:p w14:paraId="78B716FB">
                  <w:pPr>
                    <w:keepNext w:val="0"/>
                    <w:keepLines w:val="0"/>
                    <w:suppressLineNumbers w:val="0"/>
                    <w:tabs>
                      <w:tab w:val="left" w:pos="750"/>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bl>
          <w:p w14:paraId="273209DC">
            <w:pPr>
              <w:keepNext w:val="0"/>
              <w:keepLines w:val="0"/>
              <w:suppressLineNumbers w:val="0"/>
              <w:spacing w:before="120" w:beforeLines="50" w:beforeAutospacing="0" w:after="0" w:afterAutospacing="0"/>
              <w:ind w:left="0" w:right="0" w:firstLine="480" w:firstLineChars="200"/>
              <w:rPr>
                <w:rFonts w:hint="default" w:ascii="Times New Roman" w:hAnsi="Times New Roman" w:cs="Times New Roman"/>
                <w:b/>
                <w:color w:val="auto"/>
                <w:spacing w:val="-2"/>
                <w:szCs w:val="21"/>
              </w:rPr>
            </w:pPr>
            <w:r>
              <w:rPr>
                <w:rFonts w:hint="eastAsia" w:ascii="Times New Roman" w:hAnsi="Times New Roman" w:cs="Times New Roman"/>
                <w:color w:val="auto"/>
              </w:rPr>
              <w:t>营运期</w:t>
            </w:r>
            <w:r>
              <w:rPr>
                <w:rFonts w:hint="default" w:ascii="Times New Roman" w:hAnsi="Times New Roman" w:cs="Times New Roman"/>
                <w:color w:val="auto"/>
                <w:spacing w:val="-6"/>
              </w:rPr>
              <w:t>执行《工业企业厂界环境噪声排放标准》（GB12348-2008）中表1规定的</w:t>
            </w:r>
            <w:r>
              <w:rPr>
                <w:rFonts w:hint="eastAsia" w:ascii="Times New Roman" w:hAnsi="Times New Roman" w:cs="Times New Roman"/>
                <w:color w:val="auto"/>
                <w:spacing w:val="-6"/>
              </w:rPr>
              <w:t>3</w:t>
            </w:r>
            <w:r>
              <w:rPr>
                <w:rFonts w:hint="default" w:ascii="Times New Roman" w:hAnsi="Times New Roman" w:cs="Times New Roman"/>
                <w:color w:val="auto"/>
                <w:spacing w:val="-6"/>
              </w:rPr>
              <w:t>类声环境功能区的排放限值。</w:t>
            </w:r>
          </w:p>
          <w:p w14:paraId="13006AE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pacing w:val="-2"/>
                <w:sz w:val="21"/>
                <w:szCs w:val="21"/>
              </w:rPr>
            </w:pPr>
            <w:r>
              <w:rPr>
                <w:rFonts w:hint="default" w:ascii="Times New Roman" w:hAnsi="Times New Roman" w:cs="Times New Roman"/>
                <w:b/>
                <w:color w:val="auto"/>
                <w:spacing w:val="-2"/>
                <w:sz w:val="21"/>
                <w:szCs w:val="21"/>
              </w:rPr>
              <w:t>表3-</w:t>
            </w:r>
            <w:r>
              <w:rPr>
                <w:rFonts w:hint="eastAsia" w:ascii="Times New Roman" w:hAnsi="Times New Roman" w:cs="Times New Roman"/>
                <w:b/>
                <w:color w:val="auto"/>
                <w:spacing w:val="-2"/>
                <w:sz w:val="21"/>
                <w:szCs w:val="21"/>
              </w:rPr>
              <w:t>1</w:t>
            </w:r>
            <w:r>
              <w:rPr>
                <w:rFonts w:hint="eastAsia" w:ascii="Times New Roman" w:hAnsi="Times New Roman" w:cs="Times New Roman"/>
                <w:b/>
                <w:color w:val="auto"/>
                <w:spacing w:val="-2"/>
                <w:sz w:val="21"/>
                <w:szCs w:val="21"/>
                <w:lang w:val="en-US" w:eastAsia="zh-CN"/>
              </w:rPr>
              <w:t>3</w:t>
            </w:r>
            <w:r>
              <w:rPr>
                <w:rFonts w:hint="eastAsia" w:ascii="Times New Roman" w:hAnsi="Times New Roman" w:cs="Times New Roman"/>
                <w:b/>
                <w:color w:val="auto"/>
                <w:spacing w:val="-2"/>
                <w:sz w:val="21"/>
                <w:szCs w:val="21"/>
              </w:rPr>
              <w:t xml:space="preserve">   工业</w:t>
            </w:r>
            <w:r>
              <w:rPr>
                <w:rFonts w:hint="default" w:ascii="Times New Roman" w:hAnsi="Times New Roman" w:cs="Times New Roman"/>
                <w:b/>
                <w:color w:val="auto"/>
                <w:spacing w:val="-2"/>
                <w:sz w:val="21"/>
                <w:szCs w:val="21"/>
              </w:rPr>
              <w:t>企业厂界</w:t>
            </w:r>
            <w:r>
              <w:rPr>
                <w:rFonts w:hint="eastAsia" w:ascii="Times New Roman" w:hAnsi="Times New Roman" w:cs="Times New Roman"/>
                <w:b/>
                <w:color w:val="auto"/>
                <w:spacing w:val="-2"/>
                <w:sz w:val="21"/>
                <w:szCs w:val="21"/>
              </w:rPr>
              <w:t>环境</w:t>
            </w:r>
            <w:r>
              <w:rPr>
                <w:rFonts w:hint="default" w:ascii="Times New Roman" w:hAnsi="Times New Roman" w:cs="Times New Roman"/>
                <w:b/>
                <w:color w:val="auto"/>
                <w:spacing w:val="-2"/>
                <w:sz w:val="21"/>
                <w:szCs w:val="21"/>
              </w:rPr>
              <w:t>噪声</w:t>
            </w:r>
            <w:r>
              <w:rPr>
                <w:rFonts w:hint="eastAsia" w:ascii="Times New Roman" w:hAnsi="Times New Roman" w:cs="Times New Roman"/>
                <w:b/>
                <w:color w:val="auto"/>
                <w:spacing w:val="-2"/>
                <w:sz w:val="21"/>
                <w:szCs w:val="21"/>
              </w:rPr>
              <w:t>排放</w:t>
            </w:r>
            <w:r>
              <w:rPr>
                <w:rFonts w:hint="default" w:ascii="Times New Roman" w:hAnsi="Times New Roman" w:cs="Times New Roman"/>
                <w:b/>
                <w:color w:val="auto"/>
                <w:spacing w:val="-2"/>
                <w:sz w:val="21"/>
                <w:szCs w:val="21"/>
              </w:rPr>
              <w:t>标准限值    单位：dB(A)</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77"/>
              <w:gridCol w:w="2782"/>
              <w:gridCol w:w="2779"/>
            </w:tblGrid>
            <w:tr w14:paraId="6969F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5" w:type="pct"/>
                  <w:noWrap w:val="0"/>
                  <w:vAlign w:val="center"/>
                </w:tcPr>
                <w:p w14:paraId="1398203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类别</w:t>
                  </w:r>
                </w:p>
              </w:tc>
              <w:tc>
                <w:tcPr>
                  <w:tcW w:w="1668" w:type="pct"/>
                  <w:noWrap w:val="0"/>
                  <w:vAlign w:val="center"/>
                </w:tcPr>
                <w:p w14:paraId="6E12340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昼间</w:t>
                  </w:r>
                </w:p>
              </w:tc>
              <w:tc>
                <w:tcPr>
                  <w:tcW w:w="1666" w:type="pct"/>
                  <w:noWrap w:val="0"/>
                  <w:vAlign w:val="center"/>
                </w:tcPr>
                <w:p w14:paraId="4D30F8A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夜间</w:t>
                  </w:r>
                </w:p>
              </w:tc>
            </w:tr>
            <w:tr w14:paraId="75FED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65" w:type="pct"/>
                  <w:noWrap w:val="0"/>
                  <w:vAlign w:val="center"/>
                </w:tcPr>
                <w:p w14:paraId="1085BF7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pacing w:val="-6"/>
                      <w:sz w:val="21"/>
                      <w:szCs w:val="21"/>
                    </w:rPr>
                    <w:t>3</w:t>
                  </w:r>
                  <w:r>
                    <w:rPr>
                      <w:rFonts w:hint="default" w:ascii="Times New Roman" w:hAnsi="Times New Roman" w:cs="Times New Roman"/>
                      <w:color w:val="auto"/>
                      <w:spacing w:val="-6"/>
                      <w:sz w:val="21"/>
                      <w:szCs w:val="21"/>
                    </w:rPr>
                    <w:t>类</w:t>
                  </w:r>
                </w:p>
              </w:tc>
              <w:tc>
                <w:tcPr>
                  <w:tcW w:w="1668" w:type="pct"/>
                  <w:noWrap w:val="0"/>
                  <w:vAlign w:val="center"/>
                </w:tcPr>
                <w:p w14:paraId="65999A0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65</w:t>
                  </w:r>
                </w:p>
              </w:tc>
              <w:tc>
                <w:tcPr>
                  <w:tcW w:w="1666" w:type="pct"/>
                  <w:noWrap w:val="0"/>
                  <w:vAlign w:val="center"/>
                </w:tcPr>
                <w:p w14:paraId="00C0C0C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55</w:t>
                  </w:r>
                </w:p>
              </w:tc>
            </w:tr>
          </w:tbl>
          <w:p w14:paraId="4B369373">
            <w:pPr>
              <w:keepNext w:val="0"/>
              <w:keepLines w:val="0"/>
              <w:suppressLineNumbers w:val="0"/>
              <w:adjustRightInd w:val="0"/>
              <w:snapToGrid w:val="0"/>
              <w:spacing w:before="120" w:beforeLines="50" w:beforeAutospacing="0" w:after="0" w:afterAutospacing="0"/>
              <w:ind w:left="0" w:right="0"/>
              <w:rPr>
                <w:rFonts w:hint="eastAsia" w:ascii="Times New Roman" w:hAnsi="Times New Roman" w:cs="宋体"/>
                <w:b/>
                <w:bCs/>
                <w:color w:val="auto"/>
                <w:kern w:val="0"/>
              </w:rPr>
            </w:pPr>
            <w:r>
              <w:rPr>
                <w:rFonts w:hint="eastAsia" w:ascii="Times New Roman" w:hAnsi="Times New Roman" w:cs="宋体"/>
                <w:b/>
                <w:bCs/>
                <w:color w:val="auto"/>
                <w:kern w:val="0"/>
              </w:rPr>
              <w:t>三、废水排放标准</w:t>
            </w:r>
          </w:p>
          <w:p w14:paraId="22C81327">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kern w:val="0"/>
              </w:rPr>
              <w:t>本项目</w:t>
            </w:r>
            <w:r>
              <w:rPr>
                <w:rFonts w:hint="eastAsia" w:cs="Times New Roman"/>
                <w:color w:val="auto"/>
                <w:kern w:val="0"/>
                <w:lang w:val="en-US" w:eastAsia="zh-CN"/>
              </w:rPr>
              <w:t>生活污水</w:t>
            </w:r>
            <w:r>
              <w:rPr>
                <w:rFonts w:hint="default" w:ascii="Times New Roman" w:hAnsi="Times New Roman" w:cs="Times New Roman"/>
                <w:color w:val="auto"/>
                <w:kern w:val="0"/>
              </w:rPr>
              <w:t>经厂区</w:t>
            </w:r>
            <w:r>
              <w:rPr>
                <w:rFonts w:hint="default" w:ascii="Times New Roman" w:hAnsi="Times New Roman" w:cs="Times New Roman"/>
                <w:color w:val="auto"/>
              </w:rPr>
              <w:t>已建预处理池</w:t>
            </w:r>
            <w:r>
              <w:rPr>
                <w:rFonts w:hint="default" w:ascii="Times New Roman" w:hAnsi="Times New Roman" w:cs="Times New Roman"/>
                <w:color w:val="auto"/>
                <w:kern w:val="0"/>
              </w:rPr>
              <w:t>处理</w:t>
            </w:r>
            <w:r>
              <w:rPr>
                <w:rFonts w:hint="eastAsia" w:cs="Times New Roman"/>
                <w:color w:val="auto"/>
                <w:kern w:val="0"/>
                <w:lang w:eastAsia="zh-CN"/>
              </w:rPr>
              <w:t>，</w:t>
            </w:r>
            <w:r>
              <w:rPr>
                <w:rFonts w:hint="eastAsia" w:cs="Times New Roman"/>
                <w:color w:val="auto"/>
                <w:kern w:val="0"/>
                <w:lang w:val="en-US" w:eastAsia="zh-CN"/>
              </w:rPr>
              <w:t>生产废水经油水分离池、厌氧池处理</w:t>
            </w:r>
            <w:r>
              <w:rPr>
                <w:rFonts w:hint="default" w:ascii="Times New Roman" w:hAnsi="Times New Roman" w:cs="Times New Roman"/>
                <w:color w:val="auto"/>
                <w:kern w:val="0"/>
              </w:rPr>
              <w:t>达《</w:t>
            </w:r>
            <w:r>
              <w:rPr>
                <w:rFonts w:hint="default" w:ascii="Times New Roman" w:hAnsi="Times New Roman" w:cs="Times New Roman"/>
                <w:color w:val="auto"/>
              </w:rPr>
              <w:t>污水综合排放标准》（GB8978-1996）中的三级标准后排入污水管网；经</w:t>
            </w:r>
            <w:r>
              <w:rPr>
                <w:rFonts w:hint="eastAsia" w:ascii="Times New Roman" w:hAnsi="Times New Roman" w:cs="Times New Roman"/>
                <w:color w:val="auto"/>
              </w:rPr>
              <w:t>蓬溪县经济开发区废水处理厂</w:t>
            </w:r>
            <w:r>
              <w:rPr>
                <w:rFonts w:hint="default" w:ascii="Times New Roman" w:hAnsi="Times New Roman" w:cs="Times New Roman"/>
                <w:color w:val="auto"/>
              </w:rPr>
              <w:t>处理达《城镇污水处理厂污染物排放标准》（GB18918-2002）一级A标后，排入芝溪河。</w:t>
            </w:r>
          </w:p>
          <w:p w14:paraId="158F96C4">
            <w:pPr>
              <w:keepNext w:val="0"/>
              <w:keepLines w:val="0"/>
              <w:suppressLineNumbers w:val="0"/>
              <w:spacing w:before="0" w:beforeAutospacing="0" w:after="0" w:afterAutospacing="0" w:line="240" w:lineRule="auto"/>
              <w:ind w:left="0" w:right="0" w:firstLine="414" w:firstLineChars="200"/>
              <w:jc w:val="center"/>
              <w:rPr>
                <w:rFonts w:hint="default" w:ascii="Times New Roman" w:hAnsi="Times New Roman" w:cs="Times New Roman"/>
                <w:b/>
                <w:color w:val="auto"/>
                <w:szCs w:val="21"/>
              </w:rPr>
            </w:pPr>
            <w:r>
              <w:rPr>
                <w:rFonts w:hint="default" w:ascii="Times New Roman" w:hAnsi="Times New Roman" w:cs="Times New Roman"/>
                <w:b/>
                <w:color w:val="auto"/>
                <w:spacing w:val="-2"/>
                <w:sz w:val="21"/>
                <w:szCs w:val="21"/>
              </w:rPr>
              <w:t>表3-1</w:t>
            </w:r>
            <w:r>
              <w:rPr>
                <w:rFonts w:hint="eastAsia" w:ascii="Times New Roman" w:hAnsi="Times New Roman" w:cs="Times New Roman"/>
                <w:b/>
                <w:color w:val="auto"/>
                <w:spacing w:val="-2"/>
                <w:sz w:val="21"/>
                <w:szCs w:val="21"/>
                <w:lang w:val="en-US" w:eastAsia="zh-CN"/>
              </w:rPr>
              <w:t>4</w:t>
            </w:r>
            <w:r>
              <w:rPr>
                <w:rFonts w:hint="default" w:ascii="Times New Roman" w:hAnsi="Times New Roman" w:cs="Times New Roman"/>
                <w:b/>
                <w:color w:val="auto"/>
                <w:spacing w:val="-2"/>
                <w:sz w:val="21"/>
                <w:szCs w:val="21"/>
              </w:rPr>
              <w:t xml:space="preserve">  废水污染物最高允许排放浓度  单位：mg/L，pH无量纲</w:t>
            </w:r>
          </w:p>
          <w:tbl>
            <w:tblPr>
              <w:tblStyle w:val="28"/>
              <w:tblW w:w="83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15"/>
              <w:gridCol w:w="736"/>
              <w:gridCol w:w="801"/>
              <w:gridCol w:w="716"/>
              <w:gridCol w:w="513"/>
              <w:gridCol w:w="555"/>
              <w:gridCol w:w="566"/>
              <w:gridCol w:w="610"/>
              <w:gridCol w:w="611"/>
              <w:gridCol w:w="611"/>
            </w:tblGrid>
            <w:tr w14:paraId="4799D1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68" w:type="pct"/>
                  <w:noWrap w:val="0"/>
                  <w:vAlign w:val="center"/>
                </w:tcPr>
                <w:p w14:paraId="446D863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pacing w:val="-6"/>
                      <w:sz w:val="21"/>
                      <w:szCs w:val="21"/>
                    </w:rPr>
                  </w:pPr>
                  <w:r>
                    <w:rPr>
                      <w:rFonts w:hint="default" w:ascii="Times New Roman" w:hAnsi="Times New Roman" w:cs="Times New Roman"/>
                      <w:b/>
                      <w:bCs/>
                      <w:color w:val="auto"/>
                      <w:spacing w:val="-6"/>
                      <w:sz w:val="21"/>
                      <w:szCs w:val="21"/>
                    </w:rPr>
                    <w:t>评价标准</w:t>
                  </w:r>
                </w:p>
              </w:tc>
              <w:tc>
                <w:tcPr>
                  <w:tcW w:w="442" w:type="pct"/>
                  <w:noWrap w:val="0"/>
                  <w:vAlign w:val="center"/>
                </w:tcPr>
                <w:p w14:paraId="4370256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pacing w:val="-6"/>
                      <w:sz w:val="21"/>
                      <w:szCs w:val="21"/>
                    </w:rPr>
                  </w:pPr>
                  <w:r>
                    <w:rPr>
                      <w:rFonts w:hint="default" w:ascii="Times New Roman" w:hAnsi="Times New Roman" w:cs="Times New Roman"/>
                      <w:b/>
                      <w:bCs/>
                      <w:color w:val="auto"/>
                      <w:spacing w:val="-6"/>
                      <w:sz w:val="21"/>
                      <w:szCs w:val="21"/>
                    </w:rPr>
                    <w:t>pH</w:t>
                  </w:r>
                </w:p>
              </w:tc>
              <w:tc>
                <w:tcPr>
                  <w:tcW w:w="481" w:type="pct"/>
                  <w:noWrap w:val="0"/>
                  <w:vAlign w:val="center"/>
                </w:tcPr>
                <w:p w14:paraId="4E21CCC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pacing w:val="-6"/>
                      <w:sz w:val="21"/>
                      <w:szCs w:val="21"/>
                    </w:rPr>
                  </w:pPr>
                  <w:r>
                    <w:rPr>
                      <w:rFonts w:hint="default" w:ascii="Times New Roman" w:hAnsi="Times New Roman" w:cs="Times New Roman"/>
                      <w:b/>
                      <w:bCs/>
                      <w:color w:val="auto"/>
                      <w:spacing w:val="-6"/>
                      <w:sz w:val="21"/>
                      <w:szCs w:val="21"/>
                    </w:rPr>
                    <w:t>COD</w:t>
                  </w:r>
                </w:p>
              </w:tc>
              <w:tc>
                <w:tcPr>
                  <w:tcW w:w="430" w:type="pct"/>
                  <w:noWrap w:val="0"/>
                  <w:vAlign w:val="center"/>
                </w:tcPr>
                <w:p w14:paraId="50796CB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pacing w:val="-6"/>
                      <w:sz w:val="21"/>
                      <w:szCs w:val="21"/>
                    </w:rPr>
                  </w:pPr>
                  <w:r>
                    <w:rPr>
                      <w:rFonts w:hint="default" w:ascii="Times New Roman" w:hAnsi="Times New Roman" w:cs="Times New Roman"/>
                      <w:b/>
                      <w:bCs/>
                      <w:color w:val="auto"/>
                      <w:spacing w:val="-6"/>
                      <w:sz w:val="21"/>
                      <w:szCs w:val="21"/>
                    </w:rPr>
                    <w:t>BOD</w:t>
                  </w:r>
                  <w:r>
                    <w:rPr>
                      <w:rFonts w:hint="default" w:ascii="Times New Roman" w:hAnsi="Times New Roman" w:cs="Times New Roman"/>
                      <w:b/>
                      <w:bCs/>
                      <w:color w:val="auto"/>
                      <w:spacing w:val="-6"/>
                      <w:sz w:val="21"/>
                      <w:szCs w:val="21"/>
                      <w:vertAlign w:val="subscript"/>
                    </w:rPr>
                    <w:t>5</w:t>
                  </w:r>
                </w:p>
              </w:tc>
              <w:tc>
                <w:tcPr>
                  <w:tcW w:w="304" w:type="pct"/>
                  <w:noWrap w:val="0"/>
                  <w:vAlign w:val="center"/>
                </w:tcPr>
                <w:p w14:paraId="3E39B6F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pacing w:val="-6"/>
                      <w:sz w:val="21"/>
                      <w:szCs w:val="21"/>
                    </w:rPr>
                  </w:pPr>
                  <w:r>
                    <w:rPr>
                      <w:rFonts w:hint="default" w:ascii="Times New Roman" w:hAnsi="Times New Roman" w:cs="Times New Roman"/>
                      <w:b/>
                      <w:bCs/>
                      <w:color w:val="auto"/>
                      <w:spacing w:val="-6"/>
                      <w:sz w:val="21"/>
                      <w:szCs w:val="21"/>
                    </w:rPr>
                    <w:t>SS</w:t>
                  </w:r>
                </w:p>
              </w:tc>
              <w:tc>
                <w:tcPr>
                  <w:tcW w:w="333" w:type="pct"/>
                  <w:noWrap w:val="0"/>
                  <w:vAlign w:val="center"/>
                </w:tcPr>
                <w:p w14:paraId="1E10DDC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pacing w:val="-6"/>
                      <w:sz w:val="21"/>
                      <w:szCs w:val="21"/>
                    </w:rPr>
                  </w:pPr>
                  <w:r>
                    <w:rPr>
                      <w:rFonts w:hint="default" w:ascii="Times New Roman" w:hAnsi="Times New Roman" w:cs="Times New Roman"/>
                      <w:b/>
                      <w:bCs/>
                      <w:color w:val="auto"/>
                      <w:spacing w:val="-6"/>
                      <w:sz w:val="21"/>
                      <w:szCs w:val="21"/>
                    </w:rPr>
                    <w:t>氨氮</w:t>
                  </w:r>
                </w:p>
              </w:tc>
              <w:tc>
                <w:tcPr>
                  <w:tcW w:w="340" w:type="pct"/>
                  <w:noWrap w:val="0"/>
                  <w:vAlign w:val="center"/>
                </w:tcPr>
                <w:p w14:paraId="73F5DFC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bCs/>
                      <w:color w:val="auto"/>
                      <w:spacing w:val="-6"/>
                      <w:kern w:val="2"/>
                      <w:sz w:val="21"/>
                      <w:szCs w:val="21"/>
                      <w:lang w:val="en-US" w:eastAsia="zh-CN" w:bidi="ar-SA"/>
                    </w:rPr>
                  </w:pPr>
                  <w:r>
                    <w:rPr>
                      <w:rFonts w:hint="default" w:ascii="Times New Roman" w:hAnsi="Times New Roman" w:cs="Times New Roman"/>
                      <w:b/>
                      <w:bCs/>
                      <w:color w:val="auto"/>
                      <w:spacing w:val="-6"/>
                      <w:sz w:val="21"/>
                      <w:szCs w:val="21"/>
                    </w:rPr>
                    <w:t>TP</w:t>
                  </w:r>
                </w:p>
              </w:tc>
              <w:tc>
                <w:tcPr>
                  <w:tcW w:w="366" w:type="pct"/>
                  <w:noWrap w:val="0"/>
                  <w:vAlign w:val="center"/>
                </w:tcPr>
                <w:p w14:paraId="148670AA">
                  <w:pPr>
                    <w:keepNext w:val="0"/>
                    <w:keepLines w:val="0"/>
                    <w:suppressLineNumbers w:val="0"/>
                    <w:spacing w:before="0" w:beforeAutospacing="0" w:after="0" w:afterAutospacing="0" w:line="240" w:lineRule="auto"/>
                    <w:ind w:left="0" w:right="0"/>
                    <w:jc w:val="center"/>
                    <w:rPr>
                      <w:rFonts w:hint="default" w:cs="Times New Roman"/>
                      <w:b/>
                      <w:bCs/>
                      <w:color w:val="auto"/>
                      <w:spacing w:val="-6"/>
                      <w:sz w:val="21"/>
                      <w:szCs w:val="21"/>
                      <w:lang w:val="en-US" w:eastAsia="zh-CN"/>
                    </w:rPr>
                  </w:pPr>
                  <w:r>
                    <w:rPr>
                      <w:rFonts w:hint="eastAsia" w:cs="Times New Roman"/>
                      <w:b/>
                      <w:bCs/>
                      <w:color w:val="auto"/>
                      <w:spacing w:val="-6"/>
                      <w:sz w:val="21"/>
                      <w:szCs w:val="21"/>
                      <w:lang w:val="en-US" w:eastAsia="zh-CN"/>
                    </w:rPr>
                    <w:t>TN</w:t>
                  </w:r>
                </w:p>
              </w:tc>
              <w:tc>
                <w:tcPr>
                  <w:tcW w:w="366" w:type="pct"/>
                  <w:noWrap w:val="0"/>
                  <w:vAlign w:val="center"/>
                </w:tcPr>
                <w:p w14:paraId="4097BA46">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pacing w:val="-6"/>
                      <w:sz w:val="21"/>
                      <w:szCs w:val="21"/>
                      <w:lang w:val="en-US" w:eastAsia="zh-CN"/>
                    </w:rPr>
                  </w:pPr>
                  <w:r>
                    <w:rPr>
                      <w:rFonts w:hint="eastAsia" w:ascii="Times New Roman" w:hAnsi="Times New Roman" w:cs="Times New Roman"/>
                      <w:b/>
                      <w:bCs/>
                      <w:color w:val="auto"/>
                      <w:spacing w:val="-6"/>
                      <w:sz w:val="21"/>
                      <w:szCs w:val="21"/>
                      <w:lang w:val="en-US" w:eastAsia="zh-CN"/>
                    </w:rPr>
                    <w:t>动植物油</w:t>
                  </w:r>
                </w:p>
              </w:tc>
              <w:tc>
                <w:tcPr>
                  <w:tcW w:w="366" w:type="pct"/>
                  <w:noWrap w:val="0"/>
                  <w:vAlign w:val="center"/>
                </w:tcPr>
                <w:p w14:paraId="75B834A9">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pacing w:val="-6"/>
                      <w:sz w:val="21"/>
                      <w:szCs w:val="21"/>
                      <w:lang w:val="en-US" w:eastAsia="zh-CN"/>
                    </w:rPr>
                  </w:pPr>
                  <w:r>
                    <w:rPr>
                      <w:rFonts w:hint="eastAsia" w:ascii="Times New Roman" w:hAnsi="Times New Roman" w:cs="Times New Roman"/>
                      <w:b/>
                      <w:bCs/>
                      <w:color w:val="auto"/>
                      <w:spacing w:val="-6"/>
                      <w:sz w:val="21"/>
                      <w:szCs w:val="21"/>
                      <w:lang w:val="en-US" w:eastAsia="zh-CN"/>
                    </w:rPr>
                    <w:t>石油类</w:t>
                  </w:r>
                </w:p>
              </w:tc>
            </w:tr>
            <w:tr w14:paraId="1165F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68" w:type="pct"/>
                  <w:noWrap w:val="0"/>
                  <w:vAlign w:val="center"/>
                </w:tcPr>
                <w:p w14:paraId="5FD0014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《污水综合排放标准》（GB8978-1996）中的三级排放标准</w:t>
                  </w:r>
                </w:p>
              </w:tc>
              <w:tc>
                <w:tcPr>
                  <w:tcW w:w="442" w:type="pct"/>
                  <w:noWrap w:val="0"/>
                  <w:vAlign w:val="center"/>
                </w:tcPr>
                <w:p w14:paraId="7E50F7A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6～9</w:t>
                  </w:r>
                </w:p>
              </w:tc>
              <w:tc>
                <w:tcPr>
                  <w:tcW w:w="481" w:type="pct"/>
                  <w:noWrap w:val="0"/>
                  <w:vAlign w:val="center"/>
                </w:tcPr>
                <w:p w14:paraId="0CF1513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500</w:t>
                  </w:r>
                </w:p>
              </w:tc>
              <w:tc>
                <w:tcPr>
                  <w:tcW w:w="430" w:type="pct"/>
                  <w:noWrap w:val="0"/>
                  <w:vAlign w:val="center"/>
                </w:tcPr>
                <w:p w14:paraId="6A17050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300</w:t>
                  </w:r>
                </w:p>
              </w:tc>
              <w:tc>
                <w:tcPr>
                  <w:tcW w:w="304" w:type="pct"/>
                  <w:noWrap w:val="0"/>
                  <w:vAlign w:val="center"/>
                </w:tcPr>
                <w:p w14:paraId="009D6CF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400</w:t>
                  </w:r>
                </w:p>
              </w:tc>
              <w:tc>
                <w:tcPr>
                  <w:tcW w:w="333" w:type="pct"/>
                  <w:noWrap w:val="0"/>
                  <w:vAlign w:val="center"/>
                </w:tcPr>
                <w:p w14:paraId="254AF97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45</w:t>
                  </w:r>
                </w:p>
              </w:tc>
              <w:tc>
                <w:tcPr>
                  <w:tcW w:w="340" w:type="pct"/>
                  <w:noWrap w:val="0"/>
                  <w:vAlign w:val="center"/>
                </w:tcPr>
                <w:p w14:paraId="4F48F16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rPr>
                    <w:t>8</w:t>
                  </w:r>
                </w:p>
              </w:tc>
              <w:tc>
                <w:tcPr>
                  <w:tcW w:w="366" w:type="pct"/>
                  <w:noWrap w:val="0"/>
                  <w:vAlign w:val="center"/>
                </w:tcPr>
                <w:p w14:paraId="5822B91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sz w:val="21"/>
                      <w:szCs w:val="21"/>
                      <w:lang w:val="en-US" w:eastAsia="zh-CN"/>
                    </w:rPr>
                  </w:pPr>
                  <w:r>
                    <w:rPr>
                      <w:rFonts w:hint="eastAsia" w:cs="Times New Roman"/>
                      <w:color w:val="auto"/>
                      <w:spacing w:val="-6"/>
                      <w:sz w:val="21"/>
                      <w:szCs w:val="21"/>
                      <w:lang w:val="en-US" w:eastAsia="zh-CN"/>
                    </w:rPr>
                    <w:t>70</w:t>
                  </w:r>
                </w:p>
              </w:tc>
              <w:tc>
                <w:tcPr>
                  <w:tcW w:w="366" w:type="pct"/>
                  <w:noWrap w:val="0"/>
                  <w:vAlign w:val="center"/>
                </w:tcPr>
                <w:p w14:paraId="465B911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100</w:t>
                  </w:r>
                </w:p>
              </w:tc>
              <w:tc>
                <w:tcPr>
                  <w:tcW w:w="366" w:type="pct"/>
                  <w:noWrap w:val="0"/>
                  <w:vAlign w:val="center"/>
                </w:tcPr>
                <w:p w14:paraId="00A4018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sz w:val="21"/>
                      <w:szCs w:val="21"/>
                    </w:rPr>
                  </w:pPr>
                  <w:r>
                    <w:rPr>
                      <w:rFonts w:hint="eastAsia" w:cs="Times New Roman"/>
                      <w:color w:val="auto"/>
                      <w:spacing w:val="-6"/>
                      <w:sz w:val="21"/>
                      <w:szCs w:val="21"/>
                      <w:lang w:val="en-US" w:eastAsia="zh-CN"/>
                    </w:rPr>
                    <w:t>3</w:t>
                  </w:r>
                  <w:r>
                    <w:rPr>
                      <w:rFonts w:hint="default" w:ascii="Times New Roman" w:hAnsi="Times New Roman" w:cs="Times New Roman"/>
                      <w:color w:val="auto"/>
                      <w:spacing w:val="-6"/>
                      <w:sz w:val="21"/>
                      <w:szCs w:val="21"/>
                    </w:rPr>
                    <w:t>0</w:t>
                  </w:r>
                </w:p>
              </w:tc>
            </w:tr>
            <w:tr w14:paraId="5B1ED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68" w:type="pct"/>
                  <w:noWrap w:val="0"/>
                  <w:vAlign w:val="center"/>
                </w:tcPr>
                <w:p w14:paraId="1A03B4B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《城镇污水处理厂污染物排放标准》（GB18918-2002）一级A标</w:t>
                  </w:r>
                </w:p>
              </w:tc>
              <w:tc>
                <w:tcPr>
                  <w:tcW w:w="442" w:type="pct"/>
                  <w:noWrap w:val="0"/>
                  <w:vAlign w:val="center"/>
                </w:tcPr>
                <w:p w14:paraId="6024BA5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6～9</w:t>
                  </w:r>
                </w:p>
              </w:tc>
              <w:tc>
                <w:tcPr>
                  <w:tcW w:w="481" w:type="pct"/>
                  <w:noWrap w:val="0"/>
                  <w:vAlign w:val="center"/>
                </w:tcPr>
                <w:p w14:paraId="3AB3B70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50</w:t>
                  </w:r>
                </w:p>
              </w:tc>
              <w:tc>
                <w:tcPr>
                  <w:tcW w:w="430" w:type="pct"/>
                  <w:noWrap w:val="0"/>
                  <w:vAlign w:val="center"/>
                </w:tcPr>
                <w:p w14:paraId="25BF0B4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10</w:t>
                  </w:r>
                </w:p>
              </w:tc>
              <w:tc>
                <w:tcPr>
                  <w:tcW w:w="304" w:type="pct"/>
                  <w:noWrap w:val="0"/>
                  <w:vAlign w:val="center"/>
                </w:tcPr>
                <w:p w14:paraId="34C2FC7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10</w:t>
                  </w:r>
                </w:p>
              </w:tc>
              <w:tc>
                <w:tcPr>
                  <w:tcW w:w="333" w:type="pct"/>
                  <w:noWrap w:val="0"/>
                  <w:vAlign w:val="center"/>
                </w:tcPr>
                <w:p w14:paraId="61F1A35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5</w:t>
                  </w:r>
                </w:p>
              </w:tc>
              <w:tc>
                <w:tcPr>
                  <w:tcW w:w="340" w:type="pct"/>
                  <w:noWrap w:val="0"/>
                  <w:vAlign w:val="center"/>
                </w:tcPr>
                <w:p w14:paraId="337780A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rPr>
                    <w:t>0.5</w:t>
                  </w:r>
                </w:p>
              </w:tc>
              <w:tc>
                <w:tcPr>
                  <w:tcW w:w="366" w:type="pct"/>
                  <w:noWrap w:val="0"/>
                  <w:vAlign w:val="center"/>
                </w:tcPr>
                <w:p w14:paraId="6E09FD9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sz w:val="21"/>
                      <w:szCs w:val="21"/>
                      <w:lang w:val="en-US" w:eastAsia="zh-CN"/>
                    </w:rPr>
                  </w:pPr>
                  <w:r>
                    <w:rPr>
                      <w:rFonts w:hint="eastAsia" w:cs="Times New Roman"/>
                      <w:color w:val="auto"/>
                      <w:spacing w:val="-6"/>
                      <w:sz w:val="21"/>
                      <w:szCs w:val="21"/>
                      <w:lang w:val="en-US" w:eastAsia="zh-CN"/>
                    </w:rPr>
                    <w:t>15</w:t>
                  </w:r>
                </w:p>
              </w:tc>
              <w:tc>
                <w:tcPr>
                  <w:tcW w:w="366" w:type="pct"/>
                  <w:noWrap w:val="0"/>
                  <w:vAlign w:val="center"/>
                </w:tcPr>
                <w:p w14:paraId="0C66C77A">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1</w:t>
                  </w:r>
                </w:p>
              </w:tc>
              <w:tc>
                <w:tcPr>
                  <w:tcW w:w="366" w:type="pct"/>
                  <w:noWrap w:val="0"/>
                  <w:vAlign w:val="center"/>
                </w:tcPr>
                <w:p w14:paraId="064BF66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1</w:t>
                  </w:r>
                </w:p>
              </w:tc>
            </w:tr>
          </w:tbl>
          <w:p w14:paraId="0CD0923E">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宋体"/>
                <w:b/>
                <w:bCs/>
                <w:color w:val="auto"/>
                <w:kern w:val="0"/>
                <w:sz w:val="21"/>
                <w:szCs w:val="21"/>
                <w:lang w:val="en-US" w:eastAsia="zh-CN"/>
              </w:rPr>
            </w:pPr>
            <w:r>
              <w:rPr>
                <w:rFonts w:hint="eastAsia" w:cs="宋体"/>
                <w:b/>
                <w:bCs/>
                <w:color w:val="auto"/>
                <w:kern w:val="0"/>
                <w:sz w:val="21"/>
                <w:szCs w:val="21"/>
                <w:lang w:val="en-US" w:eastAsia="zh-CN"/>
              </w:rPr>
              <w:t>注：对《污水综合排放标准》（GB8978-1996）中未规定的氨氮、总氮、总磷执行《污水排入城镇下水道水质标准》（GB/T 31962-2015）中相关标准。</w:t>
            </w:r>
          </w:p>
          <w:p w14:paraId="16DEFD46">
            <w:pPr>
              <w:keepNext w:val="0"/>
              <w:keepLines w:val="0"/>
              <w:suppressLineNumbers w:val="0"/>
              <w:adjustRightInd w:val="0"/>
              <w:snapToGrid w:val="0"/>
              <w:spacing w:before="0" w:beforeAutospacing="0" w:after="0" w:afterAutospacing="0"/>
              <w:ind w:left="0" w:right="0"/>
              <w:rPr>
                <w:rFonts w:hint="eastAsia" w:ascii="Times New Roman" w:hAnsi="Times New Roman" w:cs="宋体"/>
                <w:b/>
                <w:bCs/>
                <w:color w:val="auto"/>
                <w:kern w:val="0"/>
              </w:rPr>
            </w:pPr>
            <w:r>
              <w:rPr>
                <w:rFonts w:hint="eastAsia" w:ascii="Times New Roman" w:hAnsi="Times New Roman" w:cs="宋体"/>
                <w:b/>
                <w:bCs/>
                <w:color w:val="auto"/>
                <w:kern w:val="0"/>
              </w:rPr>
              <w:t>四、固体废物排放标准</w:t>
            </w:r>
          </w:p>
          <w:p w14:paraId="54562CB5">
            <w:pPr>
              <w:keepNext w:val="0"/>
              <w:keepLines w:val="0"/>
              <w:suppressLineNumbers w:val="0"/>
              <w:adjustRightInd w:val="0"/>
              <w:snapToGrid w:val="0"/>
              <w:spacing w:before="0" w:beforeAutospacing="0" w:after="0" w:afterAutospacing="0"/>
              <w:ind w:left="0" w:right="0" w:firstLine="480"/>
              <w:rPr>
                <w:rFonts w:hint="eastAsia" w:ascii="Times New Roman" w:hAnsi="Times New Roman" w:cs="宋体"/>
                <w:b/>
                <w:bCs/>
                <w:color w:val="auto"/>
                <w:kern w:val="0"/>
              </w:rPr>
            </w:pPr>
            <w:r>
              <w:rPr>
                <w:rFonts w:hint="default" w:ascii="Times New Roman" w:hAnsi="Times New Roman" w:cs="Times New Roman"/>
                <w:color w:val="auto"/>
              </w:rPr>
              <w:t>一般固废贮存过程满足相应防渗漏、防雨淋、防扬尘等环境保护要求；危险废物执行《危险废物贮存污染控制标准》（</w:t>
            </w:r>
            <w:r>
              <w:rPr>
                <w:rFonts w:hint="eastAsia" w:ascii="Times New Roman" w:hAnsi="Times New Roman" w:cs="Times New Roman"/>
                <w:color w:val="auto"/>
              </w:rPr>
              <w:t>GB18597—2023</w:t>
            </w:r>
            <w:r>
              <w:rPr>
                <w:rFonts w:hint="default" w:ascii="Times New Roman" w:hAnsi="Times New Roman" w:cs="Times New Roman"/>
                <w:color w:val="auto"/>
              </w:rPr>
              <w:t>）。</w:t>
            </w:r>
          </w:p>
        </w:tc>
      </w:tr>
      <w:tr w14:paraId="2635E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507" w:type="dxa"/>
            <w:noWrap w:val="0"/>
            <w:vAlign w:val="center"/>
          </w:tcPr>
          <w:p w14:paraId="15D5D2BD">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kern w:val="0"/>
              </w:rPr>
            </w:pPr>
            <w:r>
              <w:rPr>
                <w:rFonts w:hint="eastAsia" w:ascii="Times New Roman" w:hAnsi="Times New Roman" w:cs="宋体"/>
                <w:color w:val="auto"/>
                <w:kern w:val="0"/>
              </w:rPr>
              <w:t>总量</w:t>
            </w:r>
          </w:p>
          <w:p w14:paraId="43235D70">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kern w:val="0"/>
              </w:rPr>
            </w:pPr>
            <w:r>
              <w:rPr>
                <w:rFonts w:hint="eastAsia" w:ascii="Times New Roman" w:hAnsi="Times New Roman" w:cs="宋体"/>
                <w:color w:val="auto"/>
                <w:kern w:val="0"/>
              </w:rPr>
              <w:t>控制</w:t>
            </w:r>
          </w:p>
          <w:p w14:paraId="01EF9A2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kern w:val="0"/>
                <w:szCs w:val="21"/>
              </w:rPr>
            </w:pPr>
            <w:r>
              <w:rPr>
                <w:rFonts w:hint="eastAsia" w:ascii="Times New Roman" w:hAnsi="Times New Roman" w:cs="宋体"/>
                <w:color w:val="auto"/>
                <w:kern w:val="0"/>
              </w:rPr>
              <w:t>指标</w:t>
            </w:r>
          </w:p>
        </w:tc>
        <w:tc>
          <w:tcPr>
            <w:tcW w:w="8554" w:type="dxa"/>
            <w:noWrap w:val="0"/>
            <w:vAlign w:val="center"/>
          </w:tcPr>
          <w:p w14:paraId="11CB2802">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根据项目的具体情况，结合国家污染物排放总量控制原则，本项目总量控制指标如下：</w:t>
            </w:r>
          </w:p>
          <w:p w14:paraId="7A19C63D">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
                <w:bCs/>
                <w:color w:val="auto"/>
              </w:rPr>
              <w:t>1、废气</w:t>
            </w:r>
            <w:r>
              <w:rPr>
                <w:rFonts w:hint="eastAsia" w:ascii="Times New Roman" w:hAnsi="Times New Roman" w:cs="Times New Roman"/>
                <w:b/>
                <w:bCs/>
                <w:color w:val="auto"/>
              </w:rPr>
              <w:t>排放</w:t>
            </w:r>
            <w:r>
              <w:rPr>
                <w:rFonts w:hint="default" w:ascii="Times New Roman" w:hAnsi="Times New Roman" w:cs="Times New Roman"/>
                <w:b/>
                <w:bCs/>
                <w:color w:val="auto"/>
              </w:rPr>
              <w:t>总量控制指标</w:t>
            </w:r>
          </w:p>
          <w:p w14:paraId="5DEA7E7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48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项目原料堆场设置于室内，</w:t>
            </w:r>
            <w:r>
              <w:rPr>
                <w:rFonts w:hint="eastAsia" w:cs="Times New Roman"/>
                <w:color w:val="auto"/>
                <w:lang w:val="en-US" w:eastAsia="zh-CN"/>
              </w:rPr>
              <w:t>破碎机破碎</w:t>
            </w:r>
            <w:r>
              <w:rPr>
                <w:rFonts w:hint="eastAsia" w:ascii="Times New Roman" w:hAnsi="Times New Roman" w:cs="Times New Roman"/>
                <w:color w:val="auto"/>
                <w:lang w:val="en-US" w:eastAsia="zh-CN"/>
              </w:rPr>
              <w:t>粉尘经布袋除尘器处理后15m高</w:t>
            </w:r>
            <w:r>
              <w:rPr>
                <w:rFonts w:hint="eastAsia" w:cs="Times New Roman"/>
                <w:color w:val="auto"/>
                <w:lang w:val="en-US" w:eastAsia="zh-CN"/>
              </w:rPr>
              <w:t>1#排气筒</w:t>
            </w:r>
            <w:r>
              <w:rPr>
                <w:rFonts w:hint="eastAsia" w:ascii="Times New Roman" w:hAnsi="Times New Roman" w:cs="Times New Roman"/>
                <w:color w:val="auto"/>
                <w:lang w:val="en-US" w:eastAsia="zh-CN"/>
              </w:rPr>
              <w:t>排放</w:t>
            </w:r>
            <w:r>
              <w:rPr>
                <w:rFonts w:hint="eastAsia" w:cs="Times New Roman"/>
                <w:color w:val="auto"/>
                <w:lang w:val="en-US" w:eastAsia="zh-CN"/>
              </w:rPr>
              <w:t>；木片</w:t>
            </w:r>
            <w:r>
              <w:rPr>
                <w:rFonts w:hint="eastAsia" w:ascii="Times New Roman" w:hAnsi="Times New Roman" w:cs="Times New Roman"/>
                <w:color w:val="auto"/>
                <w:lang w:val="en-US" w:eastAsia="zh-CN"/>
              </w:rPr>
              <w:t>采用料仓进料，密闭输送带输送，</w:t>
            </w:r>
            <w:r>
              <w:rPr>
                <w:rFonts w:hint="eastAsia" w:cs="宋体"/>
                <w:color w:val="auto"/>
                <w:sz w:val="24"/>
                <w:szCs w:val="24"/>
                <w:lang w:val="en-US" w:eastAsia="zh-CN"/>
              </w:rPr>
              <w:t>粉碎</w:t>
            </w:r>
            <w:r>
              <w:rPr>
                <w:rFonts w:hint="eastAsia" w:ascii="Times New Roman" w:hAnsi="Times New Roman" w:cs="宋体"/>
                <w:color w:val="auto"/>
                <w:sz w:val="24"/>
                <w:szCs w:val="24"/>
              </w:rPr>
              <w:t>粉尘经</w:t>
            </w:r>
            <w:r>
              <w:rPr>
                <w:rFonts w:hint="eastAsia" w:cs="宋体"/>
                <w:color w:val="auto"/>
                <w:sz w:val="24"/>
                <w:szCs w:val="24"/>
                <w:lang w:val="en-US" w:eastAsia="zh-CN"/>
              </w:rPr>
              <w:t>集气罩收集，</w:t>
            </w:r>
            <w:r>
              <w:rPr>
                <w:rFonts w:hint="eastAsia" w:ascii="Times New Roman" w:hAnsi="Times New Roman" w:cs="Times New Roman"/>
                <w:color w:val="auto"/>
                <w:lang w:val="en-US" w:eastAsia="zh-CN"/>
              </w:rPr>
              <w:t>布袋除尘器处理后15m高</w:t>
            </w:r>
            <w:r>
              <w:rPr>
                <w:rFonts w:hint="eastAsia" w:cs="Times New Roman"/>
                <w:color w:val="auto"/>
                <w:lang w:val="en-US" w:eastAsia="zh-CN"/>
              </w:rPr>
              <w:t>2#排气筒</w:t>
            </w:r>
            <w:r>
              <w:rPr>
                <w:rFonts w:hint="eastAsia" w:ascii="Times New Roman" w:hAnsi="Times New Roman" w:cs="Times New Roman"/>
                <w:color w:val="auto"/>
                <w:lang w:val="en-US" w:eastAsia="zh-CN"/>
              </w:rPr>
              <w:t>排放</w:t>
            </w:r>
            <w:r>
              <w:rPr>
                <w:rFonts w:hint="eastAsia" w:cs="Times New Roman"/>
                <w:color w:val="auto"/>
                <w:lang w:val="en-US" w:eastAsia="zh-CN"/>
              </w:rPr>
              <w:t>，</w:t>
            </w:r>
            <w:r>
              <w:rPr>
                <w:rFonts w:hint="eastAsia" w:ascii="Times New Roman" w:hAnsi="Times New Roman" w:cs="Times New Roman"/>
                <w:color w:val="auto"/>
                <w:lang w:val="en-US" w:eastAsia="zh-CN"/>
              </w:rPr>
              <w:t>生物质颗粒制粒粉尘经集气罩收集后引入布袋除尘器一并处理</w:t>
            </w:r>
            <w:r>
              <w:rPr>
                <w:rFonts w:hint="eastAsia" w:cs="Times New Roman"/>
                <w:color w:val="auto"/>
                <w:lang w:val="en-US" w:eastAsia="zh-CN"/>
              </w:rPr>
              <w:t>，集气罩收集效率90%，布袋除尘器</w:t>
            </w:r>
            <w:r>
              <w:rPr>
                <w:rFonts w:hint="eastAsia" w:ascii="Times New Roman" w:hAnsi="Times New Roman" w:cs="Times New Roman"/>
                <w:color w:val="auto"/>
                <w:lang w:val="en-US" w:eastAsia="zh-CN"/>
              </w:rPr>
              <w:t>处理效率9</w:t>
            </w:r>
            <w:r>
              <w:rPr>
                <w:rFonts w:hint="eastAsia" w:cs="Times New Roman"/>
                <w:color w:val="auto"/>
                <w:lang w:val="en-US" w:eastAsia="zh-CN"/>
              </w:rPr>
              <w:t>8</w:t>
            </w:r>
            <w:r>
              <w:rPr>
                <w:rFonts w:hint="eastAsia" w:ascii="Times New Roman" w:hAnsi="Times New Roman" w:cs="Times New Roman"/>
                <w:color w:val="auto"/>
                <w:lang w:val="en-US" w:eastAsia="zh-CN"/>
              </w:rPr>
              <w:t>%；有机废气两级活性炭吸附处理后15m高</w:t>
            </w:r>
            <w:r>
              <w:rPr>
                <w:rFonts w:hint="eastAsia" w:cs="Times New Roman"/>
                <w:color w:val="auto"/>
                <w:lang w:val="en-US" w:eastAsia="zh-CN"/>
              </w:rPr>
              <w:t>3#排气筒</w:t>
            </w:r>
            <w:r>
              <w:rPr>
                <w:rFonts w:hint="eastAsia" w:ascii="Times New Roman" w:hAnsi="Times New Roman" w:cs="Times New Roman"/>
                <w:color w:val="auto"/>
                <w:lang w:val="en-US" w:eastAsia="zh-CN"/>
              </w:rPr>
              <w:t>排放，处理效率70%；锅炉废气采用低氮燃烧，燃烧废气</w:t>
            </w:r>
            <w:r>
              <w:rPr>
                <w:rFonts w:hint="eastAsia" w:cs="Times New Roman"/>
                <w:color w:val="auto"/>
                <w:lang w:val="en-US" w:eastAsia="zh-CN"/>
              </w:rPr>
              <w:t>多管旋风+布袋除尘器</w:t>
            </w:r>
            <w:r>
              <w:rPr>
                <w:rFonts w:hint="eastAsia" w:ascii="Times New Roman" w:hAnsi="Times New Roman" w:cs="Times New Roman"/>
                <w:color w:val="auto"/>
                <w:lang w:val="en-US" w:eastAsia="zh-CN"/>
              </w:rPr>
              <w:t>处理后15m高</w:t>
            </w:r>
            <w:r>
              <w:rPr>
                <w:rFonts w:hint="eastAsia" w:cs="Times New Roman"/>
                <w:color w:val="auto"/>
                <w:lang w:val="en-US" w:eastAsia="zh-CN"/>
              </w:rPr>
              <w:t>4#排气筒</w:t>
            </w:r>
            <w:r>
              <w:rPr>
                <w:rFonts w:hint="eastAsia" w:ascii="Times New Roman" w:hAnsi="Times New Roman" w:cs="Times New Roman"/>
                <w:color w:val="auto"/>
                <w:lang w:val="en-US" w:eastAsia="zh-CN"/>
              </w:rPr>
              <w:t>排放，烟尘处理效率</w:t>
            </w:r>
            <w:r>
              <w:rPr>
                <w:rFonts w:hint="eastAsia" w:cs="Times New Roman"/>
                <w:color w:val="auto"/>
                <w:lang w:val="en-US" w:eastAsia="zh-CN"/>
              </w:rPr>
              <w:t>99.6%</w:t>
            </w:r>
            <w:r>
              <w:rPr>
                <w:rFonts w:hint="eastAsia" w:ascii="Times New Roman" w:hAnsi="Times New Roman" w:cs="Times New Roman"/>
                <w:color w:val="auto"/>
                <w:lang w:val="en-US" w:eastAsia="zh-CN"/>
              </w:rPr>
              <w:t>，NO</w:t>
            </w:r>
            <w:r>
              <w:rPr>
                <w:rFonts w:hint="eastAsia" w:ascii="Times New Roman" w:hAnsi="Times New Roman" w:cs="Times New Roman"/>
                <w:color w:val="auto"/>
                <w:vertAlign w:val="subscript"/>
                <w:lang w:val="en-US" w:eastAsia="zh-CN"/>
              </w:rPr>
              <w:t>x</w:t>
            </w:r>
            <w:r>
              <w:rPr>
                <w:rFonts w:hint="eastAsia" w:ascii="Times New Roman" w:hAnsi="Times New Roman" w:cs="Times New Roman"/>
                <w:color w:val="auto"/>
                <w:lang w:val="en-US" w:eastAsia="zh-CN"/>
              </w:rPr>
              <w:t>处理效率15%。废气总量控制指标如下：</w:t>
            </w:r>
          </w:p>
          <w:p w14:paraId="7A17DEB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48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烟粉尘：有组织0.</w:t>
            </w:r>
            <w:r>
              <w:rPr>
                <w:rFonts w:hint="eastAsia" w:cs="Times New Roman"/>
                <w:color w:val="auto"/>
                <w:lang w:val="en-US" w:eastAsia="zh-CN"/>
              </w:rPr>
              <w:t>407</w:t>
            </w:r>
            <w:r>
              <w:rPr>
                <w:rFonts w:hint="eastAsia" w:ascii="Times New Roman" w:hAnsi="Times New Roman" w:cs="Times New Roman"/>
                <w:color w:val="auto"/>
                <w:lang w:val="en-US" w:eastAsia="zh-CN"/>
              </w:rPr>
              <w:t>+无组织0.</w:t>
            </w:r>
            <w:r>
              <w:rPr>
                <w:rFonts w:hint="eastAsia" w:cs="Times New Roman"/>
                <w:color w:val="auto"/>
                <w:lang w:val="en-US" w:eastAsia="zh-CN"/>
              </w:rPr>
              <w:t>554</w:t>
            </w:r>
            <w:r>
              <w:rPr>
                <w:rFonts w:hint="eastAsia" w:ascii="Times New Roman" w:hAnsi="Times New Roman" w:cs="Times New Roman"/>
                <w:color w:val="auto"/>
                <w:lang w:val="en-US" w:eastAsia="zh-CN"/>
              </w:rPr>
              <w:t>=</w:t>
            </w:r>
            <w:r>
              <w:rPr>
                <w:rFonts w:hint="eastAsia" w:cs="Times New Roman"/>
                <w:color w:val="auto"/>
                <w:lang w:val="en-US" w:eastAsia="zh-CN"/>
              </w:rPr>
              <w:t>0.96</w:t>
            </w:r>
            <w:r>
              <w:rPr>
                <w:rFonts w:hint="eastAsia" w:ascii="Times New Roman" w:hAnsi="Times New Roman" w:cs="Times New Roman"/>
                <w:color w:val="auto"/>
                <w:lang w:val="en-US" w:eastAsia="zh-CN"/>
              </w:rPr>
              <w:t>t/a；</w:t>
            </w:r>
          </w:p>
          <w:p w14:paraId="3CDDD9F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48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SO</w:t>
            </w:r>
            <w:r>
              <w:rPr>
                <w:rFonts w:hint="eastAsia" w:ascii="Times New Roman" w:hAnsi="Times New Roman" w:cs="Times New Roman"/>
                <w:color w:val="auto"/>
                <w:vertAlign w:val="subscript"/>
                <w:lang w:val="en-US" w:eastAsia="zh-CN"/>
              </w:rPr>
              <w:t>2</w:t>
            </w:r>
            <w:r>
              <w:rPr>
                <w:rFonts w:hint="eastAsia" w:ascii="Times New Roman" w:hAnsi="Times New Roman" w:cs="Times New Roman"/>
                <w:color w:val="auto"/>
                <w:lang w:val="en-US" w:eastAsia="zh-CN"/>
              </w:rPr>
              <w:t>：</w:t>
            </w:r>
            <w:r>
              <w:rPr>
                <w:rFonts w:hint="eastAsia" w:cs="Times New Roman"/>
                <w:color w:val="auto"/>
                <w:lang w:val="en-US" w:eastAsia="zh-CN"/>
              </w:rPr>
              <w:t>0.694</w:t>
            </w:r>
            <w:r>
              <w:rPr>
                <w:rFonts w:hint="eastAsia" w:ascii="Times New Roman" w:hAnsi="Times New Roman" w:cs="Times New Roman"/>
                <w:color w:val="auto"/>
                <w:lang w:val="en-US" w:eastAsia="zh-CN"/>
              </w:rPr>
              <w:t>t/a；</w:t>
            </w:r>
          </w:p>
          <w:p w14:paraId="2BF2BDC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48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NO</w:t>
            </w:r>
            <w:r>
              <w:rPr>
                <w:rFonts w:hint="eastAsia" w:ascii="Times New Roman" w:hAnsi="Times New Roman" w:cs="Times New Roman"/>
                <w:color w:val="auto"/>
                <w:vertAlign w:val="subscript"/>
                <w:lang w:val="en-US" w:eastAsia="zh-CN"/>
              </w:rPr>
              <w:t>x</w:t>
            </w:r>
            <w:r>
              <w:rPr>
                <w:rFonts w:hint="eastAsia" w:ascii="Times New Roman" w:hAnsi="Times New Roman" w:cs="Times New Roman"/>
                <w:color w:val="auto"/>
                <w:lang w:val="en-US" w:eastAsia="zh-CN"/>
              </w:rPr>
              <w:t>：</w:t>
            </w:r>
            <w:r>
              <w:rPr>
                <w:rFonts w:hint="eastAsia" w:cs="Times New Roman"/>
                <w:color w:val="auto"/>
                <w:lang w:val="en-US" w:eastAsia="zh-CN"/>
              </w:rPr>
              <w:t>1.769</w:t>
            </w:r>
            <w:r>
              <w:rPr>
                <w:rFonts w:hint="eastAsia" w:ascii="Times New Roman" w:hAnsi="Times New Roman" w:cs="Times New Roman"/>
                <w:color w:val="auto"/>
                <w:lang w:val="en-US" w:eastAsia="zh-CN"/>
              </w:rPr>
              <w:t>t/a；</w:t>
            </w:r>
          </w:p>
          <w:p w14:paraId="346F2F0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48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VOCs：有组织0.034+无组织0.012=0.046t/a。</w:t>
            </w:r>
          </w:p>
          <w:p w14:paraId="3614AB68">
            <w:pPr>
              <w:keepNext w:val="0"/>
              <w:keepLines w:val="0"/>
              <w:suppressLineNumbers w:val="0"/>
              <w:adjustRightInd w:val="0"/>
              <w:spacing w:before="0" w:beforeAutospacing="0" w:after="0" w:afterAutospacing="0"/>
              <w:ind w:left="0" w:right="0"/>
              <w:rPr>
                <w:rFonts w:hint="default" w:ascii="Times New Roman" w:hAnsi="Times New Roman" w:cs="Times New Roman"/>
                <w:b/>
                <w:bCs/>
                <w:color w:val="auto"/>
              </w:rPr>
            </w:pPr>
            <w:r>
              <w:rPr>
                <w:rFonts w:hint="eastAsia" w:ascii="Times New Roman" w:hAnsi="Times New Roman" w:cs="Times New Roman"/>
                <w:b/>
                <w:bCs/>
                <w:color w:val="auto"/>
              </w:rPr>
              <w:t>2、</w:t>
            </w:r>
            <w:r>
              <w:rPr>
                <w:rFonts w:hint="default" w:ascii="Times New Roman" w:hAnsi="Times New Roman" w:cs="Times New Roman"/>
                <w:b/>
                <w:bCs/>
                <w:color w:val="auto"/>
              </w:rPr>
              <w:t>废水总量控制指标</w:t>
            </w:r>
          </w:p>
          <w:p w14:paraId="1012BD23">
            <w:pPr>
              <w:keepNext w:val="0"/>
              <w:keepLines w:val="0"/>
              <w:widowControl/>
              <w:suppressLineNumbers w:val="0"/>
              <w:spacing w:before="0" w:beforeAutospacing="0" w:after="0" w:afterAutospacing="0"/>
              <w:ind w:left="0" w:right="0" w:firstLine="480" w:firstLineChars="200"/>
              <w:rPr>
                <w:rFonts w:hint="eastAsia" w:ascii="Times New Roman" w:hAnsi="Times New Roman" w:eastAsia="仿宋_GB2312" w:cs="Times New Roman"/>
                <w:color w:val="auto"/>
                <w:lang w:eastAsia="zh-CN"/>
              </w:rPr>
            </w:pPr>
            <w:r>
              <w:rPr>
                <w:rFonts w:hint="default" w:ascii="Times New Roman" w:hAnsi="Times New Roman" w:cs="Times New Roman"/>
                <w:color w:val="auto"/>
                <w:kern w:val="0"/>
                <w:lang w:bidi="ar"/>
              </w:rPr>
              <w:t>本项目废水主要为员工生活</w:t>
            </w:r>
            <w:r>
              <w:rPr>
                <w:rFonts w:hint="eastAsia" w:ascii="Times New Roman" w:hAnsi="Times New Roman" w:cs="Times New Roman"/>
                <w:color w:val="auto"/>
                <w:kern w:val="0"/>
                <w:lang w:val="en-US" w:eastAsia="zh-CN" w:bidi="ar"/>
              </w:rPr>
              <w:t>污水</w:t>
            </w:r>
            <w:r>
              <w:rPr>
                <w:rFonts w:hint="eastAsia" w:ascii="Times New Roman" w:hAnsi="Times New Roman" w:cs="Times New Roman"/>
                <w:color w:val="auto"/>
                <w:kern w:val="0"/>
                <w:lang w:bidi="ar"/>
              </w:rPr>
              <w:t>、</w:t>
            </w:r>
            <w:r>
              <w:rPr>
                <w:rFonts w:hint="eastAsia" w:ascii="Times New Roman" w:hAnsi="Times New Roman" w:cs="Times New Roman"/>
                <w:color w:val="auto"/>
                <w:kern w:val="0"/>
                <w:lang w:val="en-US" w:eastAsia="zh-CN" w:bidi="ar"/>
              </w:rPr>
              <w:t>生产废水等，其中生活污水经中建节能建材公司已建预处理池处理后排入污水管网，</w:t>
            </w:r>
            <w:r>
              <w:rPr>
                <w:rFonts w:hint="eastAsia" w:cs="Times New Roman"/>
                <w:color w:val="auto"/>
                <w:kern w:val="0"/>
                <w:lang w:val="en-US" w:eastAsia="zh-CN" w:bidi="ar"/>
              </w:rPr>
              <w:t>生产废水经油水分离、厌氧处理后进入污水管网，</w:t>
            </w:r>
            <w:r>
              <w:rPr>
                <w:rFonts w:hint="eastAsia" w:ascii="Times New Roman" w:hAnsi="Times New Roman" w:cs="Times New Roman"/>
                <w:color w:val="auto"/>
                <w:kern w:val="0"/>
                <w:lang w:val="en-US" w:eastAsia="zh-CN" w:bidi="ar"/>
              </w:rPr>
              <w:t>送至蓬溪县经开区废水处理厂处理，冷却水循环使用不外排。</w:t>
            </w:r>
            <w:r>
              <w:rPr>
                <w:rFonts w:hint="eastAsia" w:ascii="Times New Roman" w:hAnsi="Times New Roman" w:cs="Times New Roman"/>
                <w:color w:val="auto"/>
              </w:rPr>
              <w:t>运营期</w:t>
            </w:r>
            <w:r>
              <w:rPr>
                <w:rFonts w:hint="eastAsia" w:ascii="Times New Roman" w:hAnsi="Times New Roman" w:cs="Times New Roman"/>
                <w:color w:val="auto"/>
                <w:lang w:val="en-US" w:eastAsia="zh-CN"/>
              </w:rPr>
              <w:t>废水产生量合计</w:t>
            </w:r>
            <w:r>
              <w:rPr>
                <w:rFonts w:hint="eastAsia" w:cs="Times New Roman"/>
                <w:color w:val="auto"/>
                <w:sz w:val="24"/>
                <w:szCs w:val="24"/>
                <w:lang w:val="en-US" w:eastAsia="zh-CN"/>
              </w:rPr>
              <w:t>9875.376</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vertAlign w:val="baseline"/>
                <w:lang w:val="en-US" w:eastAsia="zh-CN"/>
              </w:rPr>
              <w:t>/d，废水经</w:t>
            </w:r>
            <w:r>
              <w:rPr>
                <w:rFonts w:hint="eastAsia" w:cs="Times New Roman"/>
                <w:color w:val="auto"/>
                <w:vertAlign w:val="baseline"/>
                <w:lang w:val="en-US" w:eastAsia="zh-CN"/>
              </w:rPr>
              <w:t>预</w:t>
            </w:r>
            <w:r>
              <w:rPr>
                <w:rFonts w:hint="eastAsia" w:ascii="Times New Roman" w:hAnsi="Times New Roman" w:cs="Times New Roman"/>
                <w:color w:val="auto"/>
                <w:vertAlign w:val="baseline"/>
                <w:lang w:val="en-US" w:eastAsia="zh-CN"/>
              </w:rPr>
              <w:t>处理后排入</w:t>
            </w:r>
            <w:r>
              <w:rPr>
                <w:rFonts w:hint="eastAsia" w:ascii="Times New Roman" w:hAnsi="Times New Roman" w:cs="Times New Roman"/>
                <w:color w:val="auto"/>
                <w:lang w:val="en-US" w:eastAsia="zh-CN"/>
              </w:rPr>
              <w:t>蓬溪县经开区废水</w:t>
            </w:r>
            <w:r>
              <w:rPr>
                <w:rFonts w:hint="eastAsia" w:ascii="Times New Roman" w:hAnsi="Times New Roman" w:cs="Times New Roman"/>
                <w:color w:val="auto"/>
                <w:lang w:eastAsia="zh-CN"/>
              </w:rPr>
              <w:t>处理厂</w:t>
            </w:r>
            <w:r>
              <w:rPr>
                <w:rFonts w:hint="default" w:ascii="Times New Roman" w:hAnsi="Times New Roman" w:cs="Times New Roman"/>
                <w:color w:val="auto"/>
              </w:rPr>
              <w:t>。</w:t>
            </w:r>
          </w:p>
          <w:p w14:paraId="12E8C4E5">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项目</w:t>
            </w:r>
            <w:r>
              <w:rPr>
                <w:rFonts w:hint="eastAsia" w:ascii="Times New Roman" w:hAnsi="Times New Roman" w:cs="Times New Roman"/>
                <w:color w:val="auto"/>
                <w:sz w:val="24"/>
                <w:szCs w:val="24"/>
              </w:rPr>
              <w:t>排口：</w:t>
            </w:r>
          </w:p>
          <w:p w14:paraId="4605DA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rPr>
              <w:t>COD：</w:t>
            </w:r>
            <w:r>
              <w:rPr>
                <w:rFonts w:hint="eastAsia" w:cs="Times New Roman"/>
                <w:color w:val="auto"/>
                <w:sz w:val="24"/>
                <w:szCs w:val="24"/>
                <w:lang w:val="en-US" w:eastAsia="zh-CN"/>
              </w:rPr>
              <w:t>9875.376</w:t>
            </w:r>
            <w:r>
              <w:rPr>
                <w:rFonts w:hint="eastAsia" w:ascii="Times New Roman" w:hAnsi="Times New Roman" w:cs="Times New Roman"/>
                <w:color w:val="auto"/>
                <w:sz w:val="24"/>
                <w:szCs w:val="24"/>
              </w:rPr>
              <w:t>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/a×50</w:t>
            </w:r>
            <w:r>
              <w:rPr>
                <w:rFonts w:hint="eastAsia"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rPr>
              <w:t>mg/L×10</w:t>
            </w:r>
            <w:r>
              <w:rPr>
                <w:rFonts w:hint="eastAsia" w:ascii="Times New Roman" w:hAnsi="Times New Roman" w:cs="Times New Roman"/>
                <w:color w:val="auto"/>
                <w:sz w:val="24"/>
                <w:szCs w:val="24"/>
                <w:vertAlign w:val="superscript"/>
              </w:rPr>
              <w:t>-6</w:t>
            </w:r>
            <w:r>
              <w:rPr>
                <w:rFonts w:hint="eastAsia" w:ascii="Times New Roman" w:hAnsi="Times New Roman" w:cs="Times New Roman"/>
                <w:color w:val="auto"/>
                <w:sz w:val="24"/>
                <w:szCs w:val="24"/>
              </w:rPr>
              <w:t>=</w:t>
            </w:r>
            <w:r>
              <w:rPr>
                <w:rFonts w:hint="eastAsia" w:cs="Times New Roman"/>
                <w:color w:val="auto"/>
                <w:sz w:val="24"/>
                <w:szCs w:val="24"/>
                <w:lang w:val="en-US" w:eastAsia="zh-CN"/>
              </w:rPr>
              <w:t>4.938</w:t>
            </w:r>
            <w:r>
              <w:rPr>
                <w:rFonts w:hint="eastAsia" w:ascii="Times New Roman" w:hAnsi="Times New Roman" w:cs="Times New Roman"/>
                <w:color w:val="auto"/>
                <w:sz w:val="24"/>
                <w:szCs w:val="24"/>
              </w:rPr>
              <w:t>t/a；</w:t>
            </w:r>
          </w:p>
          <w:p w14:paraId="0BA588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rPr>
              <w:t>氨氮：</w:t>
            </w:r>
            <w:r>
              <w:rPr>
                <w:rFonts w:hint="eastAsia" w:cs="Times New Roman"/>
                <w:color w:val="auto"/>
                <w:sz w:val="24"/>
                <w:szCs w:val="24"/>
                <w:lang w:val="en-US" w:eastAsia="zh-CN"/>
              </w:rPr>
              <w:t>9875.376</w:t>
            </w:r>
            <w:r>
              <w:rPr>
                <w:rFonts w:hint="eastAsia" w:ascii="Times New Roman" w:hAnsi="Times New Roman" w:cs="Times New Roman"/>
                <w:color w:val="auto"/>
                <w:sz w:val="24"/>
                <w:szCs w:val="24"/>
              </w:rPr>
              <w:t>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/a×</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rPr>
              <w:t>5mg/L×10</w:t>
            </w:r>
            <w:r>
              <w:rPr>
                <w:rFonts w:hint="eastAsia" w:ascii="Times New Roman" w:hAnsi="Times New Roman" w:cs="Times New Roman"/>
                <w:color w:val="auto"/>
                <w:sz w:val="24"/>
                <w:szCs w:val="24"/>
                <w:vertAlign w:val="superscript"/>
              </w:rPr>
              <w:t>-6</w:t>
            </w:r>
            <w:r>
              <w:rPr>
                <w:rFonts w:hint="eastAsia" w:ascii="Times New Roman" w:hAnsi="Times New Roman" w:cs="Times New Roman"/>
                <w:color w:val="auto"/>
                <w:sz w:val="24"/>
                <w:szCs w:val="24"/>
              </w:rPr>
              <w:t>=0</w:t>
            </w:r>
            <w:r>
              <w:rPr>
                <w:rFonts w:hint="eastAsia" w:cs="Times New Roman"/>
                <w:color w:val="auto"/>
                <w:sz w:val="24"/>
                <w:szCs w:val="24"/>
                <w:lang w:val="en-US" w:eastAsia="zh-CN"/>
              </w:rPr>
              <w:t>.444</w:t>
            </w:r>
            <w:r>
              <w:rPr>
                <w:rFonts w:hint="eastAsia" w:ascii="Times New Roman" w:hAnsi="Times New Roman" w:cs="Times New Roman"/>
                <w:color w:val="auto"/>
                <w:sz w:val="24"/>
                <w:szCs w:val="24"/>
              </w:rPr>
              <w:t>t/a</w:t>
            </w:r>
            <w:r>
              <w:rPr>
                <w:rFonts w:hint="eastAsia" w:cs="Times New Roman"/>
                <w:color w:val="auto"/>
                <w:sz w:val="24"/>
                <w:szCs w:val="24"/>
                <w:lang w:eastAsia="zh-CN"/>
              </w:rPr>
              <w:t>；</w:t>
            </w:r>
          </w:p>
          <w:p w14:paraId="6FCED9CD">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cs="Times New Roman"/>
                <w:color w:val="auto"/>
                <w:sz w:val="24"/>
                <w:szCs w:val="24"/>
              </w:rPr>
            </w:pPr>
            <w:r>
              <w:rPr>
                <w:rFonts w:hint="eastAsia" w:ascii="Times New Roman" w:hAnsi="Times New Roman" w:cs="Times New Roman"/>
                <w:color w:val="auto"/>
                <w:sz w:val="24"/>
                <w:szCs w:val="24"/>
                <w:lang w:eastAsia="zh-CN"/>
              </w:rPr>
              <w:t>总磷：</w:t>
            </w:r>
            <w:r>
              <w:rPr>
                <w:rFonts w:hint="eastAsia" w:cs="Times New Roman"/>
                <w:color w:val="auto"/>
                <w:sz w:val="24"/>
                <w:szCs w:val="24"/>
                <w:lang w:val="en-US" w:eastAsia="zh-CN"/>
              </w:rPr>
              <w:t>9875.376</w:t>
            </w:r>
            <w:r>
              <w:rPr>
                <w:rFonts w:hint="eastAsia" w:ascii="Times New Roman" w:hAnsi="Times New Roman" w:cs="Times New Roman"/>
                <w:color w:val="auto"/>
                <w:sz w:val="24"/>
                <w:szCs w:val="24"/>
              </w:rPr>
              <w:t>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/a×</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rPr>
              <w:t>mg/L×10</w:t>
            </w:r>
            <w:r>
              <w:rPr>
                <w:rFonts w:hint="eastAsia" w:ascii="Times New Roman" w:hAnsi="Times New Roman" w:cs="Times New Roman"/>
                <w:color w:val="auto"/>
                <w:sz w:val="24"/>
                <w:szCs w:val="24"/>
                <w:vertAlign w:val="superscript"/>
              </w:rPr>
              <w:t>-6</w:t>
            </w:r>
            <w:r>
              <w:rPr>
                <w:rFonts w:hint="eastAsia" w:ascii="Times New Roman" w:hAnsi="Times New Roman" w:cs="Times New Roman"/>
                <w:color w:val="auto"/>
                <w:sz w:val="24"/>
                <w:szCs w:val="24"/>
              </w:rPr>
              <w:t>=0.0</w:t>
            </w:r>
            <w:r>
              <w:rPr>
                <w:rFonts w:hint="eastAsia" w:cs="Times New Roman"/>
                <w:color w:val="auto"/>
                <w:sz w:val="24"/>
                <w:szCs w:val="24"/>
                <w:lang w:val="en-US" w:eastAsia="zh-CN"/>
              </w:rPr>
              <w:t>49</w:t>
            </w:r>
            <w:r>
              <w:rPr>
                <w:rFonts w:hint="eastAsia" w:ascii="Times New Roman" w:hAnsi="Times New Roman" w:cs="Times New Roman"/>
                <w:color w:val="auto"/>
                <w:sz w:val="24"/>
                <w:szCs w:val="24"/>
              </w:rPr>
              <w:t>t/a。</w:t>
            </w:r>
          </w:p>
          <w:p w14:paraId="721E1295">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污水处理厂</w:t>
            </w:r>
            <w:r>
              <w:rPr>
                <w:rFonts w:hint="eastAsia" w:ascii="Times New Roman" w:hAnsi="Times New Roman" w:cs="Times New Roman"/>
                <w:color w:val="auto"/>
                <w:sz w:val="24"/>
                <w:szCs w:val="24"/>
              </w:rPr>
              <w:t>排口：</w:t>
            </w:r>
          </w:p>
          <w:p w14:paraId="56ABDA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rPr>
              <w:t>COD：</w:t>
            </w:r>
            <w:r>
              <w:rPr>
                <w:rFonts w:hint="eastAsia" w:cs="Times New Roman"/>
                <w:color w:val="auto"/>
                <w:sz w:val="24"/>
                <w:szCs w:val="24"/>
                <w:lang w:val="en-US" w:eastAsia="zh-CN"/>
              </w:rPr>
              <w:t>9875.376</w:t>
            </w:r>
            <w:r>
              <w:rPr>
                <w:rFonts w:hint="eastAsia" w:ascii="Times New Roman" w:hAnsi="Times New Roman" w:cs="Times New Roman"/>
                <w:color w:val="auto"/>
                <w:sz w:val="24"/>
                <w:szCs w:val="24"/>
              </w:rPr>
              <w:t>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/a×50mg/L×10</w:t>
            </w:r>
            <w:r>
              <w:rPr>
                <w:rFonts w:hint="eastAsia" w:ascii="Times New Roman" w:hAnsi="Times New Roman" w:cs="Times New Roman"/>
                <w:color w:val="auto"/>
                <w:sz w:val="24"/>
                <w:szCs w:val="24"/>
                <w:vertAlign w:val="superscript"/>
              </w:rPr>
              <w:t>-6</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0.</w:t>
            </w:r>
            <w:r>
              <w:rPr>
                <w:rFonts w:hint="eastAsia" w:cs="Times New Roman"/>
                <w:color w:val="auto"/>
                <w:sz w:val="24"/>
                <w:szCs w:val="24"/>
                <w:lang w:val="en-US" w:eastAsia="zh-CN"/>
              </w:rPr>
              <w:t>494</w:t>
            </w:r>
            <w:r>
              <w:rPr>
                <w:rFonts w:hint="eastAsia" w:ascii="Times New Roman" w:hAnsi="Times New Roman" w:cs="Times New Roman"/>
                <w:color w:val="auto"/>
                <w:sz w:val="24"/>
                <w:szCs w:val="24"/>
              </w:rPr>
              <w:t>t/a；</w:t>
            </w:r>
          </w:p>
          <w:p w14:paraId="1C8C82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rPr>
              <w:t>氨氮：</w:t>
            </w:r>
            <w:r>
              <w:rPr>
                <w:rFonts w:hint="eastAsia" w:cs="Times New Roman"/>
                <w:color w:val="auto"/>
                <w:sz w:val="24"/>
                <w:szCs w:val="24"/>
                <w:lang w:val="en-US" w:eastAsia="zh-CN"/>
              </w:rPr>
              <w:t>9875.376</w:t>
            </w:r>
            <w:r>
              <w:rPr>
                <w:rFonts w:hint="eastAsia" w:ascii="Times New Roman" w:hAnsi="Times New Roman" w:cs="Times New Roman"/>
                <w:color w:val="auto"/>
                <w:sz w:val="24"/>
                <w:szCs w:val="24"/>
              </w:rPr>
              <w:t>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/a×5mg/L×10</w:t>
            </w:r>
            <w:r>
              <w:rPr>
                <w:rFonts w:hint="eastAsia" w:ascii="Times New Roman" w:hAnsi="Times New Roman" w:cs="Times New Roman"/>
                <w:color w:val="auto"/>
                <w:sz w:val="24"/>
                <w:szCs w:val="24"/>
                <w:vertAlign w:val="superscript"/>
              </w:rPr>
              <w:t>-6</w:t>
            </w:r>
            <w:r>
              <w:rPr>
                <w:rFonts w:hint="eastAsia" w:ascii="Times New Roman" w:hAnsi="Times New Roman" w:cs="Times New Roman"/>
                <w:color w:val="auto"/>
                <w:sz w:val="24"/>
                <w:szCs w:val="24"/>
              </w:rPr>
              <w:t>=0.0</w:t>
            </w:r>
            <w:r>
              <w:rPr>
                <w:rFonts w:hint="eastAsia" w:cs="Times New Roman"/>
                <w:color w:val="auto"/>
                <w:sz w:val="24"/>
                <w:szCs w:val="24"/>
                <w:lang w:val="en-US" w:eastAsia="zh-CN"/>
              </w:rPr>
              <w:t>4</w:t>
            </w:r>
            <w:r>
              <w:rPr>
                <w:rFonts w:hint="eastAsia" w:ascii="Times New Roman" w:hAnsi="Times New Roman" w:cs="Times New Roman"/>
                <w:color w:val="auto"/>
                <w:sz w:val="24"/>
                <w:szCs w:val="24"/>
                <w:lang w:val="en-US" w:eastAsia="zh-CN"/>
              </w:rPr>
              <w:t>9</w:t>
            </w:r>
            <w:r>
              <w:rPr>
                <w:rFonts w:hint="eastAsia" w:ascii="Times New Roman" w:hAnsi="Times New Roman" w:cs="Times New Roman"/>
                <w:color w:val="auto"/>
                <w:sz w:val="24"/>
                <w:szCs w:val="24"/>
              </w:rPr>
              <w:t>t/a</w:t>
            </w:r>
            <w:r>
              <w:rPr>
                <w:rFonts w:hint="eastAsia" w:cs="Times New Roman"/>
                <w:color w:val="auto"/>
                <w:sz w:val="24"/>
                <w:szCs w:val="24"/>
                <w:lang w:eastAsia="zh-CN"/>
              </w:rPr>
              <w:t>；</w:t>
            </w:r>
          </w:p>
          <w:p w14:paraId="016808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lang w:eastAsia="zh-CN"/>
              </w:rPr>
              <w:t>总磷：</w:t>
            </w:r>
            <w:r>
              <w:rPr>
                <w:rFonts w:hint="eastAsia" w:cs="Times New Roman"/>
                <w:color w:val="auto"/>
                <w:sz w:val="24"/>
                <w:szCs w:val="24"/>
                <w:lang w:val="en-US" w:eastAsia="zh-CN"/>
              </w:rPr>
              <w:t>9875.376</w:t>
            </w:r>
            <w:r>
              <w:rPr>
                <w:rFonts w:hint="eastAsia" w:ascii="Times New Roman" w:hAnsi="Times New Roman" w:cs="Times New Roman"/>
                <w:color w:val="auto"/>
                <w:sz w:val="24"/>
                <w:szCs w:val="24"/>
              </w:rPr>
              <w:t>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/a×</w:t>
            </w:r>
            <w:r>
              <w:rPr>
                <w:rFonts w:hint="eastAsia"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rPr>
              <w:t>5mg/L×10</w:t>
            </w:r>
            <w:r>
              <w:rPr>
                <w:rFonts w:hint="eastAsia" w:ascii="Times New Roman" w:hAnsi="Times New Roman" w:cs="Times New Roman"/>
                <w:color w:val="auto"/>
                <w:sz w:val="24"/>
                <w:szCs w:val="24"/>
                <w:vertAlign w:val="superscript"/>
              </w:rPr>
              <w:t>-6</w:t>
            </w:r>
            <w:r>
              <w:rPr>
                <w:rFonts w:hint="eastAsia" w:ascii="Times New Roman" w:hAnsi="Times New Roman" w:cs="Times New Roman"/>
                <w:color w:val="auto"/>
                <w:sz w:val="24"/>
                <w:szCs w:val="24"/>
              </w:rPr>
              <w:t>=0.00</w:t>
            </w:r>
            <w:r>
              <w:rPr>
                <w:rFonts w:hint="eastAsia" w:cs="Times New Roman"/>
                <w:color w:val="auto"/>
                <w:sz w:val="24"/>
                <w:szCs w:val="24"/>
                <w:lang w:val="en-US" w:eastAsia="zh-CN"/>
              </w:rPr>
              <w:t>5</w:t>
            </w:r>
            <w:r>
              <w:rPr>
                <w:rFonts w:hint="eastAsia" w:ascii="Times New Roman" w:hAnsi="Times New Roman" w:cs="Times New Roman"/>
                <w:color w:val="auto"/>
                <w:sz w:val="24"/>
                <w:szCs w:val="24"/>
              </w:rPr>
              <w:t>t/a。</w:t>
            </w:r>
          </w:p>
          <w:p w14:paraId="2ED471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rPr>
            </w:pPr>
            <w:r>
              <w:rPr>
                <w:rFonts w:hint="eastAsia" w:ascii="Times New Roman" w:hAnsi="Times New Roman" w:cs="Times New Roman"/>
                <w:color w:val="auto"/>
                <w:sz w:val="24"/>
                <w:szCs w:val="24"/>
                <w:lang w:val="en-US" w:eastAsia="zh-CN"/>
              </w:rPr>
              <w:t>本项目废水总量控制指标不为新增指标，计入污水处理厂总量控制指标。</w:t>
            </w:r>
          </w:p>
        </w:tc>
      </w:tr>
    </w:tbl>
    <w:p w14:paraId="4928C7BA">
      <w:pPr>
        <w:pStyle w:val="25"/>
        <w:jc w:val="center"/>
        <w:outlineLvl w:val="0"/>
        <w:rPr>
          <w:rFonts w:ascii="Times New Roman" w:hAnsi="Times New Roman" w:eastAsia="黑体" w:cs="Times New Roman"/>
          <w:snapToGrid w:val="0"/>
          <w:color w:val="auto"/>
          <w:sz w:val="30"/>
          <w:szCs w:val="30"/>
        </w:rPr>
      </w:pPr>
      <w:r>
        <w:rPr>
          <w:rFonts w:ascii="Times New Roman" w:hAnsi="Times New Roman"/>
          <w:snapToGrid w:val="0"/>
          <w:color w:val="auto"/>
          <w:sz w:val="36"/>
          <w:szCs w:val="36"/>
        </w:rPr>
        <w:br w:type="page"/>
      </w:r>
      <w:r>
        <w:rPr>
          <w:rFonts w:hint="eastAsia" w:ascii="Times New Roman" w:hAnsi="Times New Roman" w:eastAsia="黑体" w:cs="Times New Roman"/>
          <w:snapToGrid w:val="0"/>
          <w:color w:val="auto"/>
          <w:sz w:val="30"/>
          <w:szCs w:val="30"/>
        </w:rPr>
        <w:t>四、主要环境影响和保护措施</w:t>
      </w:r>
    </w:p>
    <w:tbl>
      <w:tblPr>
        <w:tblStyle w:val="28"/>
        <w:tblW w:w="93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9"/>
        <w:gridCol w:w="8775"/>
      </w:tblGrid>
      <w:tr w14:paraId="09E8F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9" w:type="dxa"/>
            <w:noWrap w:val="0"/>
            <w:tcMar>
              <w:left w:w="28" w:type="dxa"/>
              <w:right w:w="28" w:type="dxa"/>
            </w:tcMar>
            <w:vAlign w:val="center"/>
          </w:tcPr>
          <w:p w14:paraId="711FDACC">
            <w:pPr>
              <w:pStyle w:val="2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施工</w:t>
            </w:r>
          </w:p>
          <w:p w14:paraId="02BECE71">
            <w:pPr>
              <w:pStyle w:val="2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期环</w:t>
            </w:r>
          </w:p>
          <w:p w14:paraId="383D60F6">
            <w:pPr>
              <w:pStyle w:val="2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境保</w:t>
            </w:r>
          </w:p>
          <w:p w14:paraId="4C1ED432">
            <w:pPr>
              <w:pStyle w:val="2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护措</w:t>
            </w:r>
          </w:p>
          <w:p w14:paraId="3964B2D1">
            <w:pPr>
              <w:pStyle w:val="2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Cs w:val="24"/>
              </w:rPr>
              <w:t>施</w:t>
            </w:r>
          </w:p>
        </w:tc>
        <w:tc>
          <w:tcPr>
            <w:tcW w:w="8775" w:type="dxa"/>
            <w:noWrap w:val="0"/>
            <w:vAlign w:val="top"/>
          </w:tcPr>
          <w:p w14:paraId="70A3B76C">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一、施工期主要污染物排放及治理</w:t>
            </w:r>
          </w:p>
          <w:p w14:paraId="09F5F76D">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cs="Times New Roman"/>
                <w:color w:val="auto"/>
              </w:rPr>
            </w:pPr>
            <w:r>
              <w:rPr>
                <w:rFonts w:hint="eastAsia" w:ascii="Times New Roman" w:hAnsi="Times New Roman" w:cs="Times New Roman"/>
                <w:color w:val="auto"/>
              </w:rPr>
              <w:t>本项目系利用蓬溪县赤城镇上游工业园区遂宁市中通实业集团节能建材有限公司现有</w:t>
            </w:r>
            <w:r>
              <w:rPr>
                <w:rFonts w:hint="eastAsia" w:ascii="Times New Roman" w:hAnsi="Times New Roman" w:cs="Times New Roman"/>
                <w:color w:val="auto"/>
                <w:lang w:val="en-US" w:eastAsia="zh-CN"/>
              </w:rPr>
              <w:t>生产厂房</w:t>
            </w:r>
            <w:r>
              <w:rPr>
                <w:rFonts w:hint="eastAsia" w:cs="Times New Roman"/>
                <w:color w:val="auto"/>
                <w:lang w:val="en-US" w:eastAsia="zh-CN"/>
              </w:rPr>
              <w:t>、</w:t>
            </w:r>
            <w:r>
              <w:rPr>
                <w:rFonts w:hint="eastAsia" w:ascii="Times New Roman" w:hAnsi="Times New Roman" w:cs="Times New Roman"/>
                <w:color w:val="auto"/>
                <w:lang w:val="en-US" w:eastAsia="zh-CN"/>
              </w:rPr>
              <w:t>堆料场</w:t>
            </w:r>
            <w:r>
              <w:rPr>
                <w:rFonts w:hint="eastAsia" w:cs="Times New Roman"/>
                <w:color w:val="auto"/>
                <w:lang w:val="en-US" w:eastAsia="zh-CN"/>
              </w:rPr>
              <w:t>及空地</w:t>
            </w:r>
            <w:r>
              <w:rPr>
                <w:rFonts w:hint="eastAsia" w:ascii="Times New Roman" w:hAnsi="Times New Roman" w:cs="Times New Roman"/>
                <w:color w:val="auto"/>
              </w:rPr>
              <w:t>，不涉及建筑拆除，</w:t>
            </w:r>
            <w:r>
              <w:rPr>
                <w:rFonts w:hint="eastAsia" w:ascii="Times New Roman" w:hAnsi="Times New Roman" w:cs="Times New Roman"/>
                <w:color w:val="auto"/>
                <w:lang w:val="en-US" w:eastAsia="zh-CN"/>
              </w:rPr>
              <w:t>主要为</w:t>
            </w:r>
            <w:r>
              <w:rPr>
                <w:rFonts w:hint="eastAsia" w:cs="Times New Roman"/>
                <w:color w:val="auto"/>
                <w:lang w:val="en-US" w:eastAsia="zh-CN"/>
              </w:rPr>
              <w:t>破碎间建设以及</w:t>
            </w:r>
            <w:r>
              <w:rPr>
                <w:rFonts w:hint="eastAsia" w:ascii="Times New Roman" w:hAnsi="Times New Roman" w:cs="Times New Roman"/>
                <w:color w:val="auto"/>
                <w:lang w:val="en-US" w:eastAsia="zh-CN"/>
              </w:rPr>
              <w:t>对堆料场进行封闭后设置锅炉房、车间室内装修及设备安装</w:t>
            </w:r>
            <w:r>
              <w:rPr>
                <w:rFonts w:hint="default" w:ascii="Times New Roman" w:hAnsi="Times New Roman" w:cs="Times New Roman"/>
                <w:color w:val="auto"/>
              </w:rPr>
              <w:t>。</w:t>
            </w:r>
          </w:p>
          <w:p w14:paraId="30E4E16B">
            <w:pPr>
              <w:pStyle w:val="23"/>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1、废气</w:t>
            </w:r>
            <w:r>
              <w:rPr>
                <w:rFonts w:hint="default" w:ascii="Times New Roman" w:hAnsi="Times New Roman" w:eastAsia="宋体" w:cs="Times New Roman"/>
                <w:b/>
                <w:color w:val="auto"/>
                <w:sz w:val="24"/>
                <w:szCs w:val="24"/>
              </w:rPr>
              <w:tab/>
            </w:r>
          </w:p>
          <w:p w14:paraId="6BC625CE">
            <w:pPr>
              <w:keepNext w:val="0"/>
              <w:keepLines w:val="0"/>
              <w:suppressLineNumbers w:val="0"/>
              <w:spacing w:before="0" w:beforeAutospacing="0" w:after="0" w:afterAutospacing="0" w:line="360" w:lineRule="auto"/>
              <w:ind w:left="0" w:right="0" w:firstLine="482" w:firstLineChars="200"/>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lang w:val="en-US" w:eastAsia="zh-CN"/>
              </w:rPr>
              <w:t>施工扬尘</w:t>
            </w:r>
          </w:p>
          <w:p w14:paraId="57ECBAD6">
            <w:pPr>
              <w:keepNext w:val="0"/>
              <w:keepLines w:val="0"/>
              <w:suppressLineNumbers w:val="0"/>
              <w:spacing w:before="0" w:beforeAutospacing="0" w:after="0" w:afterAutospacing="0" w:line="360" w:lineRule="auto"/>
              <w:ind w:left="0" w:right="0" w:firstLine="480" w:firstLineChars="200"/>
              <w:rPr>
                <w:rFonts w:hint="eastAsia" w:eastAsia="宋体"/>
                <w:color w:val="auto"/>
                <w:lang w:eastAsia="zh-CN"/>
              </w:rPr>
            </w:pPr>
            <w:r>
              <w:rPr>
                <w:rFonts w:hint="default"/>
                <w:color w:val="auto"/>
              </w:rPr>
              <w:t>施工扬尘污染造成大气中TSP值增高，施工扬尘的起尘量与许多因素有关，影响起尘量的因素包括：基础开挖、施工渣土堆场、进出车辆带</w:t>
            </w:r>
            <w:r>
              <w:rPr>
                <w:rFonts w:hint="eastAsia"/>
                <w:color w:val="auto"/>
                <w:lang w:eastAsia="zh-CN"/>
              </w:rPr>
              <w:t>泥沙</w:t>
            </w:r>
            <w:r>
              <w:rPr>
                <w:rFonts w:hint="default"/>
                <w:color w:val="auto"/>
              </w:rPr>
              <w:t>量、起尘高度、采取的防护措施、空气湿度、风速等</w:t>
            </w:r>
            <w:r>
              <w:rPr>
                <w:rFonts w:hint="eastAsia"/>
                <w:color w:val="auto"/>
                <w:lang w:eastAsia="zh-CN"/>
              </w:rPr>
              <w:t>。</w:t>
            </w:r>
          </w:p>
          <w:p w14:paraId="6211C58E">
            <w:pPr>
              <w:keepNext w:val="0"/>
              <w:keepLines w:val="0"/>
              <w:suppressLineNumbers w:val="0"/>
              <w:spacing w:before="0" w:beforeAutospacing="0" w:after="0" w:afterAutospacing="0"/>
              <w:ind w:left="0" w:right="0" w:firstLine="480" w:firstLineChars="200"/>
              <w:jc w:val="left"/>
              <w:rPr>
                <w:rFonts w:hint="default" w:ascii="Times New Roman" w:hAnsi="Times New Roman" w:cs="Times New Roman"/>
                <w:b/>
                <w:bCs/>
                <w:color w:val="auto"/>
              </w:rPr>
            </w:pPr>
            <w:r>
              <w:rPr>
                <w:rFonts w:hint="eastAsia" w:ascii="Times New Roman" w:hAnsi="Times New Roman" w:cs="Times New Roman"/>
                <w:b w:val="0"/>
                <w:bCs w:val="0"/>
                <w:color w:val="auto"/>
                <w:sz w:val="24"/>
                <w:szCs w:val="24"/>
                <w:lang w:val="en-US" w:eastAsia="zh-CN"/>
              </w:rPr>
              <w:t>项目应加强</w:t>
            </w:r>
            <w:r>
              <w:rPr>
                <w:rFonts w:hint="eastAsia" w:ascii="Times New Roman" w:hAnsi="Times New Roman" w:cs="Times New Roman"/>
                <w:b w:val="0"/>
                <w:bCs w:val="0"/>
                <w:color w:val="auto"/>
                <w:sz w:val="24"/>
                <w:szCs w:val="24"/>
              </w:rPr>
              <w:t>施工工地扬尘管控，建立扬尘控制责任制度，</w:t>
            </w:r>
            <w:r>
              <w:rPr>
                <w:rFonts w:hint="default" w:ascii="Times New Roman" w:hAnsi="Times New Roman" w:cs="Times New Roman"/>
                <w:b w:val="0"/>
                <w:bCs w:val="0"/>
                <w:color w:val="auto"/>
                <w:sz w:val="24"/>
                <w:szCs w:val="24"/>
              </w:rPr>
              <w:t>严格</w:t>
            </w:r>
            <w:r>
              <w:rPr>
                <w:rFonts w:hint="default" w:ascii="Times New Roman" w:hAnsi="Times New Roman" w:cs="Times New Roman"/>
                <w:bCs/>
                <w:color w:val="auto"/>
                <w:sz w:val="24"/>
                <w:szCs w:val="24"/>
              </w:rPr>
              <w:t>控制建设施工扬尘，组织制定、完善和严格执行建设施工管理制度，</w:t>
            </w:r>
            <w:r>
              <w:rPr>
                <w:rFonts w:hint="default" w:ascii="Times New Roman" w:hAnsi="Times New Roman" w:cs="Times New Roman"/>
                <w:b/>
                <w:bCs/>
                <w:color w:val="auto"/>
              </w:rPr>
              <w:t>项目施工期必须按照《四川省〈中华人民共和国大气污染防治法〉实施办法》（2018年修订）中施工工地的相关规定，即在施工现场做到以下几点：</w:t>
            </w:r>
          </w:p>
          <w:p w14:paraId="285C338F">
            <w:pPr>
              <w:keepNext w:val="0"/>
              <w:keepLines w:val="0"/>
              <w:suppressLineNumbers w:val="0"/>
              <w:spacing w:before="0" w:beforeAutospacing="0" w:after="0" w:afterAutospacing="0"/>
              <w:ind w:left="0" w:right="0" w:firstLine="480" w:firstLineChars="200"/>
              <w:jc w:val="left"/>
              <w:rPr>
                <w:rFonts w:hint="default"/>
                <w:color w:val="auto"/>
              </w:rPr>
            </w:pPr>
            <w:r>
              <w:rPr>
                <w:rFonts w:hint="default"/>
                <w:color w:val="auto"/>
              </w:rPr>
              <w:fldChar w:fldCharType="begin"/>
            </w:r>
            <w:r>
              <w:rPr>
                <w:rFonts w:hint="default"/>
                <w:color w:val="auto"/>
              </w:rPr>
              <w:instrText xml:space="preserve"> = 1 \* GB3 \* MERGEFORMAT </w:instrText>
            </w:r>
            <w:r>
              <w:rPr>
                <w:rFonts w:hint="default"/>
                <w:color w:val="auto"/>
              </w:rPr>
              <w:fldChar w:fldCharType="separate"/>
            </w:r>
            <w:r>
              <w:rPr>
                <w:rFonts w:hint="default"/>
                <w:color w:val="auto"/>
              </w:rPr>
              <w:t>①</w:t>
            </w:r>
            <w:r>
              <w:rPr>
                <w:rFonts w:hint="default"/>
                <w:color w:val="auto"/>
              </w:rPr>
              <w:fldChar w:fldCharType="end"/>
            </w:r>
            <w:r>
              <w:rPr>
                <w:rFonts w:hint="default"/>
                <w:color w:val="auto"/>
              </w:rPr>
              <w:t>在施工现场出入口公示施工负责人、扬尘污染控制措施、主管部门以及举报电话等信息，接受社会监督；</w:t>
            </w:r>
          </w:p>
          <w:p w14:paraId="354B442F">
            <w:pPr>
              <w:keepNext w:val="0"/>
              <w:keepLines w:val="0"/>
              <w:suppressLineNumbers w:val="0"/>
              <w:spacing w:before="0" w:beforeAutospacing="0" w:after="0" w:afterAutospacing="0"/>
              <w:ind w:left="0" w:right="0" w:firstLine="480" w:firstLineChars="200"/>
              <w:jc w:val="left"/>
              <w:rPr>
                <w:rFonts w:hint="default"/>
                <w:color w:val="auto"/>
              </w:rPr>
            </w:pPr>
            <w:r>
              <w:rPr>
                <w:rFonts w:hint="default"/>
                <w:color w:val="auto"/>
              </w:rPr>
              <w:fldChar w:fldCharType="begin"/>
            </w:r>
            <w:r>
              <w:rPr>
                <w:rFonts w:hint="default"/>
                <w:color w:val="auto"/>
              </w:rPr>
              <w:instrText xml:space="preserve"> = 2 \* GB3 \* MERGEFORMAT </w:instrText>
            </w:r>
            <w:r>
              <w:rPr>
                <w:rFonts w:hint="default"/>
                <w:color w:val="auto"/>
              </w:rPr>
              <w:fldChar w:fldCharType="separate"/>
            </w:r>
            <w:r>
              <w:rPr>
                <w:rFonts w:hint="default"/>
                <w:color w:val="auto"/>
              </w:rPr>
              <w:t>②</w:t>
            </w:r>
            <w:r>
              <w:rPr>
                <w:rFonts w:hint="default"/>
                <w:color w:val="auto"/>
              </w:rPr>
              <w:fldChar w:fldCharType="end"/>
            </w:r>
            <w:r>
              <w:rPr>
                <w:rFonts w:hint="default"/>
                <w:color w:val="auto"/>
              </w:rPr>
              <w:t>施工工地设置围墙或者硬质密闭围挡，并对围挡进行维护；</w:t>
            </w:r>
          </w:p>
          <w:p w14:paraId="4A8BE6C2">
            <w:pPr>
              <w:keepNext w:val="0"/>
              <w:keepLines w:val="0"/>
              <w:suppressLineNumbers w:val="0"/>
              <w:spacing w:before="0" w:beforeAutospacing="0" w:after="0" w:afterAutospacing="0"/>
              <w:ind w:left="0" w:right="0" w:firstLine="480" w:firstLineChars="200"/>
              <w:jc w:val="left"/>
              <w:rPr>
                <w:rFonts w:hint="default"/>
                <w:color w:val="auto"/>
              </w:rPr>
            </w:pPr>
            <w:r>
              <w:rPr>
                <w:rFonts w:hint="default"/>
                <w:color w:val="auto"/>
              </w:rPr>
              <w:fldChar w:fldCharType="begin"/>
            </w:r>
            <w:r>
              <w:rPr>
                <w:rFonts w:hint="default"/>
                <w:color w:val="auto"/>
              </w:rPr>
              <w:instrText xml:space="preserve"> = 3 \* GB3 \* MERGEFORMAT </w:instrText>
            </w:r>
            <w:r>
              <w:rPr>
                <w:rFonts w:hint="default"/>
                <w:color w:val="auto"/>
              </w:rPr>
              <w:fldChar w:fldCharType="separate"/>
            </w:r>
            <w:r>
              <w:rPr>
                <w:rFonts w:hint="default"/>
                <w:color w:val="auto"/>
              </w:rPr>
              <w:t>③</w:t>
            </w:r>
            <w:r>
              <w:rPr>
                <w:rFonts w:hint="default"/>
                <w:color w:val="auto"/>
              </w:rPr>
              <w:fldChar w:fldCharType="end"/>
            </w:r>
            <w:r>
              <w:rPr>
                <w:rFonts w:hint="default"/>
                <w:color w:val="auto"/>
              </w:rPr>
              <w:t>对施工现场进出口通道、场内道路，以及材料存放区、加工区等场所地坪硬化，对其他场地进行覆盖或者临时绿化，对土方集中堆放并按照规范覆盖或者固化；</w:t>
            </w:r>
          </w:p>
          <w:p w14:paraId="20FF8F2F">
            <w:pPr>
              <w:keepNext w:val="0"/>
              <w:keepLines w:val="0"/>
              <w:suppressLineNumbers w:val="0"/>
              <w:spacing w:before="0" w:beforeAutospacing="0" w:after="0" w:afterAutospacing="0"/>
              <w:ind w:left="0" w:right="0" w:firstLine="480" w:firstLineChars="200"/>
              <w:jc w:val="left"/>
              <w:rPr>
                <w:rFonts w:hint="default"/>
                <w:color w:val="auto"/>
              </w:rPr>
            </w:pPr>
            <w:r>
              <w:rPr>
                <w:rFonts w:hint="default"/>
                <w:color w:val="auto"/>
              </w:rPr>
              <w:fldChar w:fldCharType="begin"/>
            </w:r>
            <w:r>
              <w:rPr>
                <w:rFonts w:hint="default"/>
                <w:color w:val="auto"/>
              </w:rPr>
              <w:instrText xml:space="preserve"> = 4 \* GB3 \* MERGEFORMAT </w:instrText>
            </w:r>
            <w:r>
              <w:rPr>
                <w:rFonts w:hint="default"/>
                <w:color w:val="auto"/>
              </w:rPr>
              <w:fldChar w:fldCharType="separate"/>
            </w:r>
            <w:r>
              <w:rPr>
                <w:rFonts w:hint="default"/>
                <w:color w:val="auto"/>
              </w:rPr>
              <w:t>④</w:t>
            </w:r>
            <w:r>
              <w:rPr>
                <w:rFonts w:hint="default"/>
                <w:color w:val="auto"/>
              </w:rPr>
              <w:fldChar w:fldCharType="end"/>
            </w:r>
            <w:r>
              <w:rPr>
                <w:rFonts w:hint="default"/>
                <w:color w:val="auto"/>
              </w:rPr>
              <w:t>施工现场出入口应当设置车辆冲洗设施，施工及运输车辆经除泥、冲洗后方能驶出工地，不得带泥上路；</w:t>
            </w:r>
          </w:p>
          <w:p w14:paraId="7DEE037D">
            <w:pPr>
              <w:keepNext w:val="0"/>
              <w:keepLines w:val="0"/>
              <w:suppressLineNumbers w:val="0"/>
              <w:spacing w:before="0" w:beforeAutospacing="0" w:after="0" w:afterAutospacing="0"/>
              <w:ind w:left="0" w:right="0" w:firstLine="480" w:firstLineChars="200"/>
              <w:jc w:val="left"/>
              <w:rPr>
                <w:rFonts w:hint="default"/>
                <w:color w:val="auto"/>
              </w:rPr>
            </w:pPr>
            <w:r>
              <w:rPr>
                <w:rFonts w:hint="default"/>
                <w:color w:val="auto"/>
              </w:rPr>
              <w:fldChar w:fldCharType="begin"/>
            </w:r>
            <w:r>
              <w:rPr>
                <w:rFonts w:hint="default"/>
                <w:color w:val="auto"/>
              </w:rPr>
              <w:instrText xml:space="preserve"> = 5 \* GB3 \* MERGEFORMAT </w:instrText>
            </w:r>
            <w:r>
              <w:rPr>
                <w:rFonts w:hint="default"/>
                <w:color w:val="auto"/>
              </w:rPr>
              <w:fldChar w:fldCharType="separate"/>
            </w:r>
            <w:r>
              <w:rPr>
                <w:rFonts w:hint="default"/>
                <w:color w:val="auto"/>
              </w:rPr>
              <w:t>⑤</w:t>
            </w:r>
            <w:r>
              <w:rPr>
                <w:rFonts w:hint="default"/>
                <w:color w:val="auto"/>
              </w:rPr>
              <w:fldChar w:fldCharType="end"/>
            </w:r>
            <w:r>
              <w:rPr>
                <w:rFonts w:hint="default"/>
                <w:color w:val="auto"/>
              </w:rPr>
              <w:t>露天堆放的水泥、灰浆等易产生扬尘的物料以及不能及时清运的建筑垃圾，应当设置不低于堆放高度的密闭围栏，并对堆放物品予以覆盖；</w:t>
            </w:r>
          </w:p>
          <w:p w14:paraId="7C8C913F">
            <w:pPr>
              <w:keepNext w:val="0"/>
              <w:keepLines w:val="0"/>
              <w:suppressLineNumbers w:val="0"/>
              <w:spacing w:before="0" w:beforeAutospacing="0" w:after="0" w:afterAutospacing="0"/>
              <w:ind w:left="0" w:right="0" w:firstLine="480" w:firstLineChars="200"/>
              <w:rPr>
                <w:rFonts w:hint="default"/>
                <w:color w:val="auto"/>
              </w:rPr>
            </w:pPr>
            <w:r>
              <w:rPr>
                <w:rFonts w:hint="default"/>
                <w:color w:val="auto"/>
              </w:rPr>
              <w:fldChar w:fldCharType="begin"/>
            </w:r>
            <w:r>
              <w:rPr>
                <w:rFonts w:hint="default"/>
                <w:color w:val="auto"/>
              </w:rPr>
              <w:instrText xml:space="preserve"> = 6 \* GB3 \* MERGEFORMAT </w:instrText>
            </w:r>
            <w:r>
              <w:rPr>
                <w:rFonts w:hint="default"/>
                <w:color w:val="auto"/>
              </w:rPr>
              <w:fldChar w:fldCharType="separate"/>
            </w:r>
            <w:r>
              <w:rPr>
                <w:rFonts w:hint="default"/>
                <w:color w:val="auto"/>
              </w:rPr>
              <w:t>⑥</w:t>
            </w:r>
            <w:r>
              <w:rPr>
                <w:rFonts w:hint="default"/>
                <w:color w:val="auto"/>
              </w:rPr>
              <w:fldChar w:fldCharType="end"/>
            </w:r>
            <w:r>
              <w:rPr>
                <w:rFonts w:hint="default"/>
                <w:color w:val="auto"/>
              </w:rPr>
              <w:t>土方施工、主体施工、切割作业时，应当</w:t>
            </w:r>
            <w:r>
              <w:rPr>
                <w:rFonts w:hint="eastAsia"/>
                <w:color w:val="auto"/>
                <w:lang w:eastAsia="zh-CN"/>
              </w:rPr>
              <w:t>采取</w:t>
            </w:r>
            <w:r>
              <w:rPr>
                <w:rFonts w:hint="default"/>
                <w:color w:val="auto"/>
              </w:rPr>
              <w:t>洒水或者喷淋等降尘措施。</w:t>
            </w:r>
          </w:p>
          <w:p w14:paraId="07048BF1">
            <w:pPr>
              <w:keepNext w:val="0"/>
              <w:keepLines w:val="0"/>
              <w:suppressLineNumbers w:val="0"/>
              <w:spacing w:before="0" w:beforeAutospacing="0" w:after="0" w:afterAutospacing="0"/>
              <w:ind w:left="0" w:right="0" w:firstLine="482" w:firstLineChars="200"/>
              <w:rPr>
                <w:rFonts w:hint="default"/>
                <w:color w:val="auto"/>
              </w:rPr>
            </w:pPr>
            <w:r>
              <w:rPr>
                <w:rFonts w:hint="default"/>
                <w:b/>
                <w:bCs/>
                <w:color w:val="auto"/>
              </w:rPr>
              <w:t>为减轻施工期扬尘对大气环境的影响，还需采取以下扬尘防治措施：</w:t>
            </w:r>
          </w:p>
          <w:p w14:paraId="26C06A8C">
            <w:pPr>
              <w:keepNext w:val="0"/>
              <w:keepLines w:val="0"/>
              <w:suppressLineNumbers w:val="0"/>
              <w:spacing w:before="0" w:beforeAutospacing="0" w:after="0" w:afterAutospacing="0"/>
              <w:ind w:left="0" w:right="0" w:firstLine="480" w:firstLineChars="200"/>
              <w:rPr>
                <w:rFonts w:hint="default"/>
                <w:bCs/>
                <w:color w:val="auto"/>
              </w:rPr>
            </w:pPr>
            <w:r>
              <w:rPr>
                <w:rFonts w:hint="default"/>
                <w:bCs/>
                <w:color w:val="auto"/>
              </w:rPr>
              <w:fldChar w:fldCharType="begin"/>
            </w:r>
            <w:r>
              <w:rPr>
                <w:rFonts w:hint="default"/>
                <w:bCs/>
                <w:color w:val="auto"/>
              </w:rPr>
              <w:instrText xml:space="preserve"> = 1 \* GB3 \* MERGEFORMAT </w:instrText>
            </w:r>
            <w:r>
              <w:rPr>
                <w:rFonts w:hint="default"/>
                <w:bCs/>
                <w:color w:val="auto"/>
              </w:rPr>
              <w:fldChar w:fldCharType="separate"/>
            </w:r>
            <w:r>
              <w:rPr>
                <w:rFonts w:hint="default"/>
                <w:color w:val="auto"/>
              </w:rPr>
              <w:t>①</w:t>
            </w:r>
            <w:r>
              <w:rPr>
                <w:rFonts w:hint="default"/>
                <w:bCs/>
                <w:color w:val="auto"/>
              </w:rPr>
              <w:fldChar w:fldCharType="end"/>
            </w:r>
            <w:r>
              <w:rPr>
                <w:rFonts w:hint="default"/>
                <w:bCs/>
                <w:color w:val="auto"/>
              </w:rPr>
              <w:t>要求施工单位文明施工，定期对地面洒水，并对撒落在路面的渣土及时清除，清理阶段做到先洒水后清扫，避免产生扬尘对周边环境造成影响；</w:t>
            </w:r>
          </w:p>
          <w:p w14:paraId="1B1A73CC">
            <w:pPr>
              <w:keepNext w:val="0"/>
              <w:keepLines w:val="0"/>
              <w:suppressLineNumbers w:val="0"/>
              <w:spacing w:before="0" w:beforeAutospacing="0" w:after="0" w:afterAutospacing="0"/>
              <w:ind w:left="0" w:right="0" w:firstLine="480" w:firstLineChars="200"/>
              <w:rPr>
                <w:rFonts w:hint="default"/>
                <w:bCs/>
                <w:color w:val="auto"/>
              </w:rPr>
            </w:pPr>
            <w:r>
              <w:rPr>
                <w:rFonts w:hint="default"/>
                <w:color w:val="auto"/>
              </w:rPr>
              <w:fldChar w:fldCharType="begin"/>
            </w:r>
            <w:r>
              <w:rPr>
                <w:rFonts w:hint="default"/>
                <w:color w:val="auto"/>
              </w:rPr>
              <w:instrText xml:space="preserve"> = 2 \* GB3 \* MERGEFORMAT </w:instrText>
            </w:r>
            <w:r>
              <w:rPr>
                <w:rFonts w:hint="default"/>
                <w:color w:val="auto"/>
              </w:rPr>
              <w:fldChar w:fldCharType="separate"/>
            </w:r>
            <w:r>
              <w:rPr>
                <w:rFonts w:hint="default"/>
                <w:color w:val="auto"/>
              </w:rPr>
              <w:t>②</w:t>
            </w:r>
            <w:r>
              <w:rPr>
                <w:rFonts w:hint="default"/>
                <w:color w:val="auto"/>
              </w:rPr>
              <w:fldChar w:fldCharType="end"/>
            </w:r>
            <w:r>
              <w:rPr>
                <w:rFonts w:hint="default"/>
                <w:bCs/>
                <w:color w:val="auto"/>
              </w:rPr>
              <w:t>由于扬尘量与车辆的行驶速度有关，速度越快，扬尘量越大，因此，在施工场地对施工车辆必须实施限速行驶；自卸车、垃圾运输车等运输车辆不允许超载，选择对学校、居民等环境敏感点环境影响较小的运输路线，并定时对运输路线进行清扫，运输车辆出场时必须封闭，避免在运输过程中的抛洒现象；</w:t>
            </w:r>
          </w:p>
          <w:p w14:paraId="12182C1F">
            <w:pPr>
              <w:keepNext w:val="0"/>
              <w:keepLines w:val="0"/>
              <w:suppressLineNumbers w:val="0"/>
              <w:spacing w:before="0" w:beforeAutospacing="0" w:after="0" w:afterAutospacing="0"/>
              <w:ind w:left="0" w:right="0" w:firstLine="480" w:firstLineChars="200"/>
              <w:rPr>
                <w:rFonts w:hint="default"/>
                <w:bCs/>
                <w:color w:val="auto"/>
              </w:rPr>
            </w:pPr>
            <w:r>
              <w:rPr>
                <w:rFonts w:hint="default"/>
                <w:color w:val="auto"/>
              </w:rPr>
              <w:fldChar w:fldCharType="begin"/>
            </w:r>
            <w:r>
              <w:rPr>
                <w:rFonts w:hint="default"/>
                <w:color w:val="auto"/>
              </w:rPr>
              <w:instrText xml:space="preserve"> = 3 \* GB3 \* MERGEFORMAT </w:instrText>
            </w:r>
            <w:r>
              <w:rPr>
                <w:rFonts w:hint="default"/>
                <w:color w:val="auto"/>
              </w:rPr>
              <w:fldChar w:fldCharType="separate"/>
            </w:r>
            <w:r>
              <w:rPr>
                <w:rFonts w:hint="default"/>
                <w:color w:val="auto"/>
              </w:rPr>
              <w:t>③</w:t>
            </w:r>
            <w:r>
              <w:rPr>
                <w:rFonts w:hint="default"/>
                <w:color w:val="auto"/>
              </w:rPr>
              <w:fldChar w:fldCharType="end"/>
            </w:r>
            <w:r>
              <w:rPr>
                <w:rFonts w:hint="default"/>
                <w:bCs/>
                <w:color w:val="auto"/>
              </w:rPr>
              <w:t>禁止在风天进行渣土堆放作业，风速大于3m/s时应停止施工；</w:t>
            </w:r>
          </w:p>
          <w:p w14:paraId="3753B066">
            <w:pPr>
              <w:keepNext w:val="0"/>
              <w:keepLines w:val="0"/>
              <w:suppressLineNumbers w:val="0"/>
              <w:spacing w:before="0" w:beforeAutospacing="0" w:after="0" w:afterAutospacing="0"/>
              <w:ind w:left="0" w:right="0" w:firstLine="480" w:firstLineChars="200"/>
              <w:rPr>
                <w:rFonts w:hint="default"/>
                <w:color w:val="auto"/>
              </w:rPr>
            </w:pPr>
            <w:r>
              <w:rPr>
                <w:rFonts w:hint="default"/>
                <w:color w:val="auto"/>
              </w:rPr>
              <w:fldChar w:fldCharType="begin"/>
            </w:r>
            <w:r>
              <w:rPr>
                <w:rFonts w:hint="default"/>
                <w:color w:val="auto"/>
              </w:rPr>
              <w:instrText xml:space="preserve"> = 4 \* GB3 \* MERGEFORMAT </w:instrText>
            </w:r>
            <w:r>
              <w:rPr>
                <w:rFonts w:hint="default"/>
                <w:color w:val="auto"/>
              </w:rPr>
              <w:fldChar w:fldCharType="separate"/>
            </w:r>
            <w:r>
              <w:rPr>
                <w:rFonts w:hint="default"/>
                <w:color w:val="auto"/>
              </w:rPr>
              <w:t>④</w:t>
            </w:r>
            <w:r>
              <w:rPr>
                <w:rFonts w:hint="default"/>
                <w:color w:val="auto"/>
              </w:rPr>
              <w:fldChar w:fldCharType="end"/>
            </w:r>
            <w:r>
              <w:rPr>
                <w:rFonts w:hint="default"/>
                <w:color w:val="auto"/>
              </w:rPr>
              <w:t>禁止现场搅拌混凝土，渣土运输车辆全部安装密闭装置等措施。</w:t>
            </w:r>
          </w:p>
          <w:p w14:paraId="5594A76F">
            <w:pPr>
              <w:keepNext w:val="0"/>
              <w:keepLines w:val="0"/>
              <w:suppressLineNumbers w:val="0"/>
              <w:spacing w:before="0" w:beforeAutospacing="0" w:after="0" w:afterAutospacing="0" w:line="360" w:lineRule="auto"/>
              <w:ind w:left="0" w:right="0" w:firstLine="482"/>
              <w:rPr>
                <w:rFonts w:hint="default" w:ascii="Times New Roman" w:hAnsi="Times New Roman" w:cs="Times New Roman"/>
                <w:b/>
                <w:color w:val="auto"/>
              </w:rPr>
            </w:pPr>
            <w:r>
              <w:rPr>
                <w:rFonts w:hint="default" w:ascii="Times New Roman" w:hAnsi="Times New Roman" w:cs="Times New Roman"/>
                <w:b/>
                <w:color w:val="auto"/>
              </w:rPr>
              <w:t>环评要求：建设单位施工期施工扬尘必须满足《四川省施工场地扬尘排放标准》（DB51/2682-2020）中规定的各施工阶段总悬浮颗粒物排放浓度限值。</w:t>
            </w:r>
          </w:p>
          <w:p w14:paraId="32B6A6B6">
            <w:pPr>
              <w:keepNext w:val="0"/>
              <w:keepLines w:val="0"/>
              <w:suppressLineNumbers w:val="0"/>
              <w:spacing w:before="0" w:beforeAutospacing="0" w:after="0" w:afterAutospacing="0" w:line="360" w:lineRule="auto"/>
              <w:ind w:left="0" w:right="0" w:firstLine="482" w:firstLineChars="200"/>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lang w:val="en-US" w:eastAsia="zh-CN"/>
              </w:rPr>
              <w:t>施工机械废气</w:t>
            </w:r>
          </w:p>
          <w:p w14:paraId="4508C54D">
            <w:pPr>
              <w:keepNext w:val="0"/>
              <w:keepLines w:val="0"/>
              <w:suppressLineNumbers w:val="0"/>
              <w:spacing w:before="0" w:beforeAutospacing="0" w:after="0" w:afterAutospacing="0"/>
              <w:ind w:left="0" w:right="0" w:firstLine="492"/>
              <w:rPr>
                <w:rFonts w:hint="default"/>
                <w:bCs/>
                <w:color w:val="auto"/>
              </w:rPr>
            </w:pPr>
            <w:r>
              <w:rPr>
                <w:rFonts w:hint="default"/>
                <w:bCs/>
                <w:color w:val="auto"/>
              </w:rPr>
              <w:t>施工期使用机动车运送原材料、设备和建筑机械设备的运转，均会排放一定量的CO、NOx以及未完全燃烧的THC等。</w:t>
            </w:r>
          </w:p>
          <w:p w14:paraId="0F90C875">
            <w:pPr>
              <w:keepNext w:val="0"/>
              <w:keepLines w:val="0"/>
              <w:suppressLineNumbers w:val="0"/>
              <w:spacing w:before="0" w:beforeAutospacing="0" w:after="0" w:afterAutospacing="0"/>
              <w:ind w:left="0" w:right="0" w:firstLine="492"/>
              <w:rPr>
                <w:rFonts w:hint="default"/>
                <w:bCs/>
                <w:color w:val="auto"/>
              </w:rPr>
            </w:pPr>
            <w:r>
              <w:rPr>
                <w:rFonts w:hint="default"/>
                <w:bCs/>
                <w:color w:val="auto"/>
              </w:rPr>
              <w:t>评价要求建设单位使用符合国家标准的燃油、机油、润滑油，NO</w:t>
            </w:r>
            <w:r>
              <w:rPr>
                <w:rFonts w:hint="default"/>
                <w:bCs/>
                <w:color w:val="auto"/>
                <w:vertAlign w:val="subscript"/>
              </w:rPr>
              <w:t>X</w:t>
            </w:r>
            <w:r>
              <w:rPr>
                <w:rFonts w:hint="default"/>
                <w:bCs/>
                <w:color w:val="auto"/>
              </w:rPr>
              <w:t>还原剂等，确保NOx、烟尘等达标排放；在施工期内应多加注意施工设备的维护，使其能够</w:t>
            </w:r>
            <w:r>
              <w:rPr>
                <w:rFonts w:hint="eastAsia"/>
                <w:bCs/>
                <w:color w:val="auto"/>
                <w:lang w:eastAsia="zh-CN"/>
              </w:rPr>
              <w:t>正常地</w:t>
            </w:r>
            <w:r>
              <w:rPr>
                <w:rFonts w:hint="default"/>
                <w:bCs/>
                <w:color w:val="auto"/>
              </w:rPr>
              <w:t>运行，提高设备原料的利用率。其治理措施还包括以下几点：</w:t>
            </w:r>
          </w:p>
          <w:p w14:paraId="40382613">
            <w:pPr>
              <w:keepNext w:val="0"/>
              <w:keepLines w:val="0"/>
              <w:suppressLineNumbers w:val="0"/>
              <w:spacing w:before="0" w:beforeAutospacing="0" w:after="0" w:afterAutospacing="0"/>
              <w:ind w:left="0" w:right="0" w:firstLine="492"/>
              <w:rPr>
                <w:rFonts w:hint="default"/>
                <w:bCs/>
                <w:color w:val="auto"/>
              </w:rPr>
            </w:pPr>
            <w:r>
              <w:rPr>
                <w:rFonts w:hint="default"/>
                <w:bCs/>
                <w:color w:val="auto"/>
              </w:rPr>
              <w:fldChar w:fldCharType="begin"/>
            </w:r>
            <w:r>
              <w:rPr>
                <w:rFonts w:hint="default"/>
                <w:bCs/>
                <w:color w:val="auto"/>
              </w:rPr>
              <w:instrText xml:space="preserve"> = 1 \* GB3 \* MERGEFORMAT </w:instrText>
            </w:r>
            <w:r>
              <w:rPr>
                <w:rFonts w:hint="default"/>
                <w:bCs/>
                <w:color w:val="auto"/>
              </w:rPr>
              <w:fldChar w:fldCharType="separate"/>
            </w:r>
            <w:r>
              <w:rPr>
                <w:rFonts w:hint="default"/>
                <w:color w:val="auto"/>
              </w:rPr>
              <w:t>①</w:t>
            </w:r>
            <w:r>
              <w:rPr>
                <w:rFonts w:hint="default"/>
                <w:bCs/>
                <w:color w:val="auto"/>
              </w:rPr>
              <w:fldChar w:fldCharType="end"/>
            </w:r>
            <w:r>
              <w:rPr>
                <w:rFonts w:hint="default"/>
                <w:bCs/>
                <w:color w:val="auto"/>
              </w:rPr>
              <w:t>使用节能低耗的运输车辆，减少汽车尾气的产生量；</w:t>
            </w:r>
          </w:p>
          <w:p w14:paraId="1B696D14">
            <w:pPr>
              <w:keepNext w:val="0"/>
              <w:keepLines w:val="0"/>
              <w:suppressLineNumbers w:val="0"/>
              <w:spacing w:before="0" w:beforeAutospacing="0" w:after="0" w:afterAutospacing="0"/>
              <w:ind w:left="0" w:right="0" w:firstLine="492"/>
              <w:rPr>
                <w:rFonts w:hint="default"/>
                <w:bCs/>
                <w:color w:val="auto"/>
              </w:rPr>
            </w:pPr>
            <w:r>
              <w:rPr>
                <w:rFonts w:hint="default"/>
                <w:bCs/>
                <w:color w:val="auto"/>
              </w:rPr>
              <w:fldChar w:fldCharType="begin"/>
            </w:r>
            <w:r>
              <w:rPr>
                <w:rFonts w:hint="default"/>
                <w:bCs/>
                <w:color w:val="auto"/>
              </w:rPr>
              <w:instrText xml:space="preserve"> = 2 \* GB3 \* MERGEFORMAT </w:instrText>
            </w:r>
            <w:r>
              <w:rPr>
                <w:rFonts w:hint="default"/>
                <w:bCs/>
                <w:color w:val="auto"/>
              </w:rPr>
              <w:fldChar w:fldCharType="separate"/>
            </w:r>
            <w:r>
              <w:rPr>
                <w:rFonts w:hint="default"/>
                <w:color w:val="auto"/>
              </w:rPr>
              <w:t>②</w:t>
            </w:r>
            <w:r>
              <w:rPr>
                <w:rFonts w:hint="default"/>
                <w:bCs/>
                <w:color w:val="auto"/>
              </w:rPr>
              <w:fldChar w:fldCharType="end"/>
            </w:r>
            <w:r>
              <w:rPr>
                <w:rFonts w:hint="default"/>
                <w:bCs/>
                <w:color w:val="auto"/>
              </w:rPr>
              <w:t>合理安排材料运输时段，减少交通拥挤和堵塞</w:t>
            </w:r>
            <w:r>
              <w:rPr>
                <w:rFonts w:hint="eastAsia"/>
                <w:bCs/>
                <w:color w:val="auto"/>
                <w:lang w:eastAsia="zh-CN"/>
              </w:rPr>
              <w:t>概率</w:t>
            </w:r>
            <w:r>
              <w:rPr>
                <w:rFonts w:hint="default"/>
                <w:bCs/>
                <w:color w:val="auto"/>
              </w:rPr>
              <w:t>，降低汽车尾气对环境产生的污染；</w:t>
            </w:r>
          </w:p>
          <w:p w14:paraId="7D71A5A0">
            <w:pPr>
              <w:keepNext w:val="0"/>
              <w:keepLines w:val="0"/>
              <w:suppressLineNumbers w:val="0"/>
              <w:spacing w:before="0" w:beforeAutospacing="0" w:after="0" w:afterAutospacing="0"/>
              <w:ind w:left="0" w:right="0" w:firstLine="492"/>
              <w:rPr>
                <w:rFonts w:hint="default"/>
                <w:bCs/>
                <w:color w:val="auto"/>
              </w:rPr>
            </w:pPr>
            <w:r>
              <w:rPr>
                <w:rFonts w:hint="default"/>
                <w:bCs/>
                <w:color w:val="auto"/>
              </w:rPr>
              <w:fldChar w:fldCharType="begin"/>
            </w:r>
            <w:r>
              <w:rPr>
                <w:rFonts w:hint="default"/>
                <w:bCs/>
                <w:color w:val="auto"/>
              </w:rPr>
              <w:instrText xml:space="preserve"> = 3 \* GB3 \* MERGEFORMAT </w:instrText>
            </w:r>
            <w:r>
              <w:rPr>
                <w:rFonts w:hint="default"/>
                <w:bCs/>
                <w:color w:val="auto"/>
              </w:rPr>
              <w:fldChar w:fldCharType="separate"/>
            </w:r>
            <w:r>
              <w:rPr>
                <w:rFonts w:hint="default"/>
                <w:color w:val="auto"/>
              </w:rPr>
              <w:t>③</w:t>
            </w:r>
            <w:r>
              <w:rPr>
                <w:rFonts w:hint="default"/>
                <w:bCs/>
                <w:color w:val="auto"/>
              </w:rPr>
              <w:fldChar w:fldCharType="end"/>
            </w:r>
            <w:r>
              <w:rPr>
                <w:rFonts w:hint="default"/>
                <w:bCs/>
                <w:color w:val="auto"/>
              </w:rPr>
              <w:t>选用先进的施工机械，减少油耗和燃油废气污染；</w:t>
            </w:r>
          </w:p>
          <w:p w14:paraId="67300AEE">
            <w:pPr>
              <w:keepNext w:val="0"/>
              <w:keepLines w:val="0"/>
              <w:suppressLineNumbers w:val="0"/>
              <w:spacing w:before="0" w:beforeAutospacing="0" w:after="0" w:afterAutospacing="0"/>
              <w:ind w:left="0" w:right="0" w:firstLine="492"/>
              <w:rPr>
                <w:rFonts w:hint="default"/>
                <w:bCs/>
                <w:color w:val="auto"/>
              </w:rPr>
            </w:pPr>
            <w:r>
              <w:rPr>
                <w:rFonts w:hint="default"/>
                <w:bCs/>
                <w:color w:val="auto"/>
              </w:rPr>
              <w:fldChar w:fldCharType="begin"/>
            </w:r>
            <w:r>
              <w:rPr>
                <w:rFonts w:hint="default"/>
                <w:bCs/>
                <w:color w:val="auto"/>
              </w:rPr>
              <w:instrText xml:space="preserve"> = 4 \* GB3 \* MERGEFORMAT </w:instrText>
            </w:r>
            <w:r>
              <w:rPr>
                <w:rFonts w:hint="default"/>
                <w:bCs/>
                <w:color w:val="auto"/>
              </w:rPr>
              <w:fldChar w:fldCharType="separate"/>
            </w:r>
            <w:r>
              <w:rPr>
                <w:rFonts w:hint="default"/>
                <w:color w:val="auto"/>
              </w:rPr>
              <w:t>④</w:t>
            </w:r>
            <w:r>
              <w:rPr>
                <w:rFonts w:hint="default"/>
                <w:bCs/>
                <w:color w:val="auto"/>
              </w:rPr>
              <w:fldChar w:fldCharType="end"/>
            </w:r>
            <w:r>
              <w:rPr>
                <w:rFonts w:hint="default"/>
                <w:bCs/>
                <w:color w:val="auto"/>
              </w:rPr>
              <w:t>尽量使用电气化设备，少使用燃油设备；</w:t>
            </w:r>
          </w:p>
          <w:p w14:paraId="5A78EAEE">
            <w:pPr>
              <w:keepNext w:val="0"/>
              <w:keepLines w:val="0"/>
              <w:suppressLineNumbers w:val="0"/>
              <w:spacing w:before="0" w:beforeAutospacing="0" w:after="0" w:afterAutospacing="0"/>
              <w:ind w:left="0" w:right="0" w:firstLine="492"/>
              <w:rPr>
                <w:rFonts w:hint="default"/>
                <w:bCs/>
                <w:color w:val="auto"/>
              </w:rPr>
            </w:pPr>
            <w:r>
              <w:rPr>
                <w:rFonts w:hint="default"/>
                <w:bCs/>
                <w:color w:val="auto"/>
              </w:rPr>
              <w:fldChar w:fldCharType="begin"/>
            </w:r>
            <w:r>
              <w:rPr>
                <w:rFonts w:hint="default"/>
                <w:bCs/>
                <w:color w:val="auto"/>
              </w:rPr>
              <w:instrText xml:space="preserve"> = 5 \* GB3 \* MERGEFORMAT </w:instrText>
            </w:r>
            <w:r>
              <w:rPr>
                <w:rFonts w:hint="default"/>
                <w:bCs/>
                <w:color w:val="auto"/>
              </w:rPr>
              <w:fldChar w:fldCharType="separate"/>
            </w:r>
            <w:r>
              <w:rPr>
                <w:rFonts w:hint="default"/>
                <w:color w:val="auto"/>
              </w:rPr>
              <w:t>⑤</w:t>
            </w:r>
            <w:r>
              <w:rPr>
                <w:rFonts w:hint="default"/>
                <w:bCs/>
                <w:color w:val="auto"/>
              </w:rPr>
              <w:fldChar w:fldCharType="end"/>
            </w:r>
            <w:r>
              <w:rPr>
                <w:rFonts w:hint="default"/>
                <w:bCs/>
                <w:color w:val="auto"/>
              </w:rPr>
              <w:t xml:space="preserve">做好设备的维修和养护工作，使机械设备处于良好的工作状态，减少油耗，同时降低污染； </w:t>
            </w:r>
          </w:p>
          <w:p w14:paraId="2E0B82AD">
            <w:pPr>
              <w:keepNext w:val="0"/>
              <w:keepLines w:val="0"/>
              <w:suppressLineNumbers w:val="0"/>
              <w:spacing w:before="0" w:beforeAutospacing="0" w:after="0" w:afterAutospacing="0"/>
              <w:ind w:left="0" w:right="0" w:firstLine="492"/>
              <w:rPr>
                <w:rFonts w:hint="default"/>
                <w:bCs/>
                <w:color w:val="auto"/>
              </w:rPr>
            </w:pPr>
            <w:r>
              <w:rPr>
                <w:rFonts w:hint="default"/>
                <w:bCs/>
                <w:color w:val="auto"/>
              </w:rPr>
              <w:fldChar w:fldCharType="begin"/>
            </w:r>
            <w:r>
              <w:rPr>
                <w:rFonts w:hint="default"/>
                <w:bCs/>
                <w:color w:val="auto"/>
              </w:rPr>
              <w:instrText xml:space="preserve"> = 6 \* GB3 \* MERGEFORMAT </w:instrText>
            </w:r>
            <w:r>
              <w:rPr>
                <w:rFonts w:hint="default"/>
                <w:bCs/>
                <w:color w:val="auto"/>
              </w:rPr>
              <w:fldChar w:fldCharType="separate"/>
            </w:r>
            <w:r>
              <w:rPr>
                <w:rFonts w:hint="default"/>
                <w:color w:val="auto"/>
              </w:rPr>
              <w:t>⑥</w:t>
            </w:r>
            <w:r>
              <w:rPr>
                <w:rFonts w:hint="default"/>
                <w:bCs/>
                <w:color w:val="auto"/>
              </w:rPr>
              <w:fldChar w:fldCharType="end"/>
            </w:r>
            <w:r>
              <w:rPr>
                <w:rFonts w:hint="default"/>
                <w:bCs/>
                <w:color w:val="auto"/>
              </w:rPr>
              <w:t>尽量将燃油设备工作场所移至当地常年主导风下风向和场地开阔的地方，以利于污染物的扩散。</w:t>
            </w:r>
          </w:p>
          <w:p w14:paraId="44617E3A">
            <w:pPr>
              <w:keepNext w:val="0"/>
              <w:keepLines w:val="0"/>
              <w:suppressLineNumbers w:val="0"/>
              <w:spacing w:before="0" w:beforeAutospacing="0" w:after="0" w:afterAutospacing="0" w:line="360" w:lineRule="auto"/>
              <w:ind w:left="0" w:right="0" w:firstLine="482"/>
              <w:rPr>
                <w:rFonts w:hint="default" w:ascii="Times New Roman" w:hAnsi="Times New Roman" w:cs="Times New Roman"/>
                <w:b/>
                <w:color w:val="auto"/>
                <w:sz w:val="24"/>
                <w:szCs w:val="24"/>
              </w:rPr>
            </w:pPr>
            <w:r>
              <w:rPr>
                <w:rFonts w:hint="default"/>
                <w:bCs/>
                <w:color w:val="auto"/>
              </w:rPr>
              <w:t>通过采取以上废气污染防治措施后，可有效控制施工期废气对周围环境及施工现场作业人员的影响。</w:t>
            </w:r>
          </w:p>
          <w:p w14:paraId="076DCD5F">
            <w:pPr>
              <w:keepNext w:val="0"/>
              <w:keepLines w:val="0"/>
              <w:suppressLineNumbers w:val="0"/>
              <w:spacing w:before="0" w:beforeAutospacing="0" w:after="0" w:afterAutospacing="0" w:line="360" w:lineRule="auto"/>
              <w:ind w:left="0" w:right="0" w:firstLine="482"/>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2、废水</w:t>
            </w:r>
          </w:p>
          <w:p w14:paraId="094529A7">
            <w:pPr>
              <w:keepNext w:val="0"/>
              <w:keepLines w:val="0"/>
              <w:suppressLineNumbers w:val="0"/>
              <w:adjustRightInd w:val="0"/>
              <w:spacing w:before="0" w:beforeAutospacing="0" w:after="0" w:afterAutospacing="0"/>
              <w:ind w:left="0" w:right="0" w:firstLine="480" w:firstLineChars="200"/>
              <w:rPr>
                <w:rFonts w:hint="default"/>
                <w:bCs/>
                <w:color w:val="auto"/>
              </w:rPr>
            </w:pPr>
            <w:r>
              <w:rPr>
                <w:rFonts w:hint="default"/>
                <w:bCs/>
                <w:color w:val="auto"/>
              </w:rPr>
              <w:t>（1）施工期生产废水</w:t>
            </w:r>
          </w:p>
          <w:p w14:paraId="350DA49C">
            <w:pPr>
              <w:keepNext w:val="0"/>
              <w:keepLines w:val="0"/>
              <w:suppressLineNumbers w:val="0"/>
              <w:adjustRightInd w:val="0"/>
              <w:spacing w:before="0" w:beforeAutospacing="0" w:after="0" w:afterAutospacing="0"/>
              <w:ind w:left="0" w:right="0" w:firstLine="480" w:firstLineChars="200"/>
              <w:rPr>
                <w:rFonts w:hint="default"/>
                <w:bCs/>
                <w:color w:val="auto"/>
              </w:rPr>
            </w:pPr>
            <w:r>
              <w:rPr>
                <w:rFonts w:hint="default"/>
                <w:bCs/>
                <w:color w:val="auto"/>
              </w:rPr>
              <w:t>施工废水主要来源于机械和车辆冲洗、地面的冲洗、构件与建筑材料的保潮、材料的洗刷等，产生的废水量不大，根据项目特点，经类比分析，预计施工废水产生量为</w:t>
            </w:r>
            <w:r>
              <w:rPr>
                <w:rFonts w:hint="eastAsia"/>
                <w:bCs/>
                <w:color w:val="auto"/>
                <w:lang w:val="en-US" w:eastAsia="zh-CN"/>
              </w:rPr>
              <w:t>1</w:t>
            </w:r>
            <w:r>
              <w:rPr>
                <w:rFonts w:hint="default"/>
                <w:bCs/>
                <w:color w:val="auto"/>
              </w:rPr>
              <w:t>m</w:t>
            </w:r>
            <w:r>
              <w:rPr>
                <w:rFonts w:hint="default"/>
                <w:bCs/>
                <w:color w:val="auto"/>
                <w:vertAlign w:val="superscript"/>
              </w:rPr>
              <w:t>3</w:t>
            </w:r>
            <w:r>
              <w:rPr>
                <w:rFonts w:hint="default"/>
                <w:bCs/>
                <w:color w:val="auto"/>
              </w:rPr>
              <w:t>/d。但如果防治措施不当，容易造成水环境污染。</w:t>
            </w:r>
          </w:p>
          <w:p w14:paraId="5ADDF6FD">
            <w:pPr>
              <w:keepNext w:val="0"/>
              <w:keepLines w:val="0"/>
              <w:suppressLineNumbers w:val="0"/>
              <w:adjustRightInd w:val="0"/>
              <w:spacing w:before="0" w:beforeAutospacing="0" w:after="0" w:afterAutospacing="0"/>
              <w:ind w:left="0" w:right="0" w:firstLine="480" w:firstLineChars="200"/>
              <w:rPr>
                <w:rFonts w:hint="default"/>
                <w:bCs/>
                <w:color w:val="auto"/>
              </w:rPr>
            </w:pPr>
            <w:r>
              <w:rPr>
                <w:rFonts w:hint="eastAsia"/>
                <w:bCs/>
                <w:color w:val="auto"/>
                <w:lang w:val="en-US" w:eastAsia="zh-CN"/>
              </w:rPr>
              <w:t>项目</w:t>
            </w:r>
            <w:r>
              <w:rPr>
                <w:rFonts w:hint="default"/>
                <w:bCs/>
                <w:color w:val="auto"/>
              </w:rPr>
              <w:t>施工机械和车辆</w:t>
            </w:r>
            <w:r>
              <w:rPr>
                <w:rFonts w:hint="eastAsia"/>
                <w:bCs/>
                <w:color w:val="auto"/>
                <w:lang w:val="en-US" w:eastAsia="zh-CN"/>
              </w:rPr>
              <w:t>在</w:t>
            </w:r>
            <w:r>
              <w:rPr>
                <w:rFonts w:hint="default"/>
                <w:bCs/>
                <w:color w:val="auto"/>
              </w:rPr>
              <w:t>附近专门清洗点或修理点进行清洗和修理</w:t>
            </w:r>
            <w:r>
              <w:rPr>
                <w:rFonts w:hint="eastAsia"/>
                <w:bCs/>
                <w:color w:val="auto"/>
                <w:lang w:eastAsia="zh-CN"/>
              </w:rPr>
              <w:t>，</w:t>
            </w:r>
            <w:r>
              <w:rPr>
                <w:rFonts w:hint="eastAsia"/>
                <w:bCs/>
                <w:color w:val="auto"/>
                <w:lang w:val="en-US" w:eastAsia="zh-CN"/>
              </w:rPr>
              <w:t>不在场地内进行清洗</w:t>
            </w:r>
            <w:r>
              <w:rPr>
                <w:rFonts w:hint="default"/>
                <w:bCs/>
                <w:color w:val="auto"/>
              </w:rPr>
              <w:t>，</w:t>
            </w:r>
            <w:r>
              <w:rPr>
                <w:rFonts w:hint="eastAsia"/>
                <w:bCs/>
                <w:color w:val="auto"/>
                <w:lang w:val="en-US" w:eastAsia="zh-CN"/>
              </w:rPr>
              <w:t>项目仅对进出场车辆轮胎进行清洁，</w:t>
            </w:r>
            <w:r>
              <w:rPr>
                <w:rFonts w:hint="default"/>
                <w:bCs/>
                <w:color w:val="auto"/>
              </w:rPr>
              <w:t>所产生的含油</w:t>
            </w:r>
            <w:r>
              <w:rPr>
                <w:rFonts w:hint="eastAsia"/>
                <w:bCs/>
                <w:color w:val="auto"/>
                <w:lang w:val="en-US" w:eastAsia="zh-CN"/>
              </w:rPr>
              <w:t>及含泥沙</w:t>
            </w:r>
            <w:r>
              <w:rPr>
                <w:rFonts w:hint="default"/>
                <w:bCs/>
                <w:color w:val="auto"/>
              </w:rPr>
              <w:t>废水</w:t>
            </w:r>
            <w:r>
              <w:rPr>
                <w:rFonts w:hint="eastAsia"/>
                <w:bCs/>
                <w:color w:val="auto"/>
                <w:lang w:val="en-US" w:eastAsia="zh-CN"/>
              </w:rPr>
              <w:t>经隔油沉淀池处理后回用，不外排</w:t>
            </w:r>
            <w:r>
              <w:rPr>
                <w:rFonts w:hint="default"/>
                <w:bCs/>
                <w:color w:val="auto"/>
              </w:rPr>
              <w:t>。</w:t>
            </w:r>
          </w:p>
          <w:p w14:paraId="28896E6C">
            <w:pPr>
              <w:keepNext w:val="0"/>
              <w:keepLines w:val="0"/>
              <w:suppressLineNumbers w:val="0"/>
              <w:spacing w:before="0" w:beforeAutospacing="0" w:after="0" w:afterAutospacing="0"/>
              <w:ind w:left="0" w:right="0" w:firstLine="470" w:firstLineChars="196"/>
              <w:rPr>
                <w:rFonts w:hint="default"/>
                <w:color w:val="auto"/>
              </w:rPr>
            </w:pPr>
            <w:r>
              <w:rPr>
                <w:rFonts w:hint="default"/>
                <w:bCs/>
                <w:color w:val="auto"/>
              </w:rPr>
              <w:t>（2）</w:t>
            </w:r>
            <w:r>
              <w:rPr>
                <w:rFonts w:hint="default"/>
                <w:color w:val="auto"/>
              </w:rPr>
              <w:t>施工期生活污水</w:t>
            </w:r>
          </w:p>
          <w:p w14:paraId="3A277497">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施工期产生废水主要为</w:t>
            </w:r>
            <w:r>
              <w:rPr>
                <w:rFonts w:hint="eastAsia" w:ascii="Times New Roman" w:hAnsi="Times New Roman" w:cs="Times New Roman"/>
                <w:color w:val="auto"/>
                <w:sz w:val="24"/>
                <w:szCs w:val="24"/>
                <w:lang w:val="en-US" w:eastAsia="zh-CN"/>
              </w:rPr>
              <w:t>施工</w:t>
            </w:r>
            <w:r>
              <w:rPr>
                <w:rFonts w:hint="default" w:ascii="Times New Roman" w:hAnsi="Times New Roman" w:cs="Times New Roman"/>
                <w:color w:val="auto"/>
                <w:sz w:val="24"/>
                <w:szCs w:val="24"/>
              </w:rPr>
              <w:t>人员产生生活污水。</w:t>
            </w:r>
            <w:r>
              <w:rPr>
                <w:rFonts w:hint="eastAsia" w:ascii="Times New Roman" w:hAnsi="Times New Roman" w:cs="Times New Roman"/>
                <w:color w:val="auto"/>
                <w:sz w:val="24"/>
                <w:szCs w:val="24"/>
                <w:lang w:val="en-US" w:eastAsia="zh-CN"/>
              </w:rPr>
              <w:t>施工人员约10人，产生生活污水量为0.4m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/d，</w:t>
            </w:r>
            <w:r>
              <w:rPr>
                <w:rFonts w:hint="default" w:ascii="Times New Roman" w:hAnsi="Times New Roman" w:cs="Times New Roman"/>
                <w:bCs/>
                <w:color w:val="auto"/>
                <w:sz w:val="24"/>
                <w:szCs w:val="24"/>
              </w:rPr>
              <w:t>生活污水</w:t>
            </w:r>
            <w:r>
              <w:rPr>
                <w:rFonts w:hint="eastAsia" w:ascii="Times New Roman" w:hAnsi="Times New Roman" w:cs="Times New Roman"/>
                <w:bCs/>
                <w:color w:val="auto"/>
                <w:sz w:val="24"/>
                <w:szCs w:val="24"/>
                <w:lang w:val="en-US" w:eastAsia="zh-CN"/>
              </w:rPr>
              <w:t>依托</w:t>
            </w:r>
            <w:r>
              <w:rPr>
                <w:rFonts w:hint="eastAsia" w:cs="Times New Roman"/>
                <w:color w:val="auto"/>
                <w:lang w:eastAsia="zh-CN"/>
              </w:rPr>
              <w:t>中通建材公司</w:t>
            </w:r>
            <w:r>
              <w:rPr>
                <w:rFonts w:hint="eastAsia" w:ascii="Times New Roman" w:hAnsi="Times New Roman" w:cs="Times New Roman"/>
                <w:color w:val="auto"/>
                <w:lang w:val="en-US" w:eastAsia="zh-CN"/>
              </w:rPr>
              <w:t>已建预处理池处理后</w:t>
            </w:r>
            <w:r>
              <w:rPr>
                <w:rFonts w:hint="default" w:ascii="Times New Roman" w:hAnsi="Times New Roman" w:cs="Times New Roman"/>
                <w:bCs/>
                <w:color w:val="auto"/>
                <w:sz w:val="24"/>
                <w:szCs w:val="24"/>
              </w:rPr>
              <w:t>排入园区污水管网，</w:t>
            </w:r>
            <w:r>
              <w:rPr>
                <w:rFonts w:hint="default" w:ascii="Times New Roman" w:hAnsi="Times New Roman" w:cs="Times New Roman"/>
                <w:color w:val="auto"/>
                <w:kern w:val="0"/>
                <w:sz w:val="24"/>
                <w:szCs w:val="24"/>
              </w:rPr>
              <w:t>由</w:t>
            </w:r>
            <w:r>
              <w:rPr>
                <w:rFonts w:hint="eastAsia" w:ascii="Times New Roman" w:hAnsi="Times New Roman" w:cs="Times New Roman"/>
                <w:color w:val="auto"/>
                <w:sz w:val="24"/>
                <w:szCs w:val="24"/>
                <w:lang w:val="en-US" w:eastAsia="zh-CN"/>
              </w:rPr>
              <w:t>蓬溪县经开区废水处理厂</w:t>
            </w:r>
            <w:r>
              <w:rPr>
                <w:rFonts w:hint="default" w:ascii="Times New Roman" w:hAnsi="Times New Roman" w:cs="Times New Roman"/>
                <w:color w:val="auto"/>
                <w:kern w:val="0"/>
                <w:sz w:val="24"/>
                <w:szCs w:val="24"/>
              </w:rPr>
              <w:t>处理</w:t>
            </w:r>
            <w:r>
              <w:rPr>
                <w:rFonts w:hint="default" w:ascii="Times New Roman" w:hAnsi="Times New Roman" w:cs="Times New Roman"/>
                <w:color w:val="auto"/>
                <w:sz w:val="24"/>
                <w:szCs w:val="24"/>
              </w:rPr>
              <w:t>达到《城镇污水处理厂污染物排放标准》（GB18918-2002）一级A标准后</w:t>
            </w:r>
            <w:r>
              <w:rPr>
                <w:rFonts w:hint="eastAsia" w:ascii="Times New Roman" w:hAnsi="Times New Roman" w:eastAsia="宋体" w:cs="Times New Roman"/>
                <w:i w:val="0"/>
                <w:caps w:val="0"/>
                <w:color w:val="auto"/>
                <w:spacing w:val="0"/>
                <w:sz w:val="24"/>
                <w:szCs w:val="24"/>
                <w:highlight w:val="none"/>
                <w:shd w:val="clear" w:color="auto" w:fill="FFFFFF"/>
                <w:lang w:val="en-US" w:eastAsia="zh-CN"/>
              </w:rPr>
              <w:t>外排芝溪河</w:t>
            </w:r>
            <w:r>
              <w:rPr>
                <w:rFonts w:hint="default" w:ascii="Times New Roman" w:hAnsi="Times New Roman" w:cs="Times New Roman"/>
                <w:color w:val="auto"/>
                <w:sz w:val="24"/>
                <w:szCs w:val="24"/>
              </w:rPr>
              <w:t>，可以做到达标排放，不会对区域水环境造成明显不良影响。</w:t>
            </w:r>
          </w:p>
          <w:p w14:paraId="22EC0601">
            <w:pPr>
              <w:keepNext w:val="0"/>
              <w:keepLines w:val="0"/>
              <w:suppressLineNumbers w:val="0"/>
              <w:spacing w:before="0" w:beforeAutospacing="0" w:after="0" w:afterAutospacing="0" w:line="360" w:lineRule="auto"/>
              <w:ind w:left="0" w:right="0" w:firstLine="482" w:firstLineChars="200"/>
              <w:rPr>
                <w:rFonts w:hint="eastAsia" w:ascii="T" w:hAnsi="T" w:cs="Times New Roman"/>
                <w:b/>
                <w:color w:val="auto"/>
                <w:sz w:val="24"/>
                <w:szCs w:val="24"/>
              </w:rPr>
            </w:pPr>
            <w:r>
              <w:rPr>
                <w:rFonts w:hint="eastAsia" w:ascii="T" w:hAnsi="T" w:cs="Times New Roman"/>
                <w:b/>
                <w:color w:val="auto"/>
                <w:sz w:val="24"/>
                <w:szCs w:val="24"/>
              </w:rPr>
              <w:t>3、噪声</w:t>
            </w:r>
          </w:p>
          <w:p w14:paraId="22240A2B">
            <w:pPr>
              <w:keepNext w:val="0"/>
              <w:keepLines w:val="0"/>
              <w:suppressLineNumbers w:val="0"/>
              <w:spacing w:before="0" w:beforeAutospacing="0" w:after="0" w:afterAutospacing="0"/>
              <w:ind w:left="0" w:right="0" w:firstLine="492"/>
              <w:jc w:val="left"/>
              <w:rPr>
                <w:rFonts w:hint="default"/>
                <w:color w:val="auto"/>
              </w:rPr>
            </w:pPr>
            <w:r>
              <w:rPr>
                <w:rFonts w:hint="default"/>
                <w:color w:val="auto"/>
              </w:rPr>
              <w:t>施工噪声主要可分为机械噪声、施工作业噪声和施工车辆噪声。本项目使用的施工机械主要有挖土机、振捣棒等，多为点声源；施工作业噪声主要指一些零星的敲打声、装卸车辆的撞击声、吆喝声、拆卸模板的撞击声等，多为瞬时噪声；施工车辆的噪声属于交通噪声。在这些施工噪声中，对声环境影响最大的是机械噪声。施工机械的主要产噪设备声级值见表4-1。</w:t>
            </w:r>
          </w:p>
          <w:p w14:paraId="76FEB44B">
            <w:pPr>
              <w:keepNext w:val="0"/>
              <w:keepLines w:val="0"/>
              <w:suppressLineNumbers w:val="0"/>
              <w:spacing w:before="0" w:beforeAutospacing="0" w:after="0" w:afterAutospacing="0" w:line="240" w:lineRule="auto"/>
              <w:ind w:left="0" w:right="0"/>
              <w:jc w:val="center"/>
              <w:rPr>
                <w:rFonts w:hint="default"/>
                <w:b/>
                <w:color w:val="auto"/>
                <w:sz w:val="21"/>
                <w:szCs w:val="18"/>
              </w:rPr>
            </w:pPr>
            <w:r>
              <w:rPr>
                <w:rFonts w:hint="default"/>
                <w:b/>
                <w:color w:val="auto"/>
                <w:sz w:val="21"/>
                <w:szCs w:val="18"/>
              </w:rPr>
              <w:t>表4-1  施工期噪声声源强度表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25"/>
              <w:gridCol w:w="3177"/>
              <w:gridCol w:w="2754"/>
            </w:tblGrid>
            <w:tr w14:paraId="103E4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34" w:type="pct"/>
                  <w:noWrap w:val="0"/>
                  <w:vAlign w:val="center"/>
                </w:tcPr>
                <w:p w14:paraId="05B3062F">
                  <w:pPr>
                    <w:keepNext w:val="0"/>
                    <w:keepLines w:val="0"/>
                    <w:suppressLineNumbers w:val="0"/>
                    <w:spacing w:before="0" w:beforeAutospacing="0" w:after="0" w:afterAutospacing="0" w:line="240" w:lineRule="auto"/>
                    <w:ind w:left="0" w:right="0"/>
                    <w:jc w:val="center"/>
                    <w:rPr>
                      <w:rFonts w:hint="default"/>
                      <w:b/>
                      <w:bCs/>
                      <w:color w:val="auto"/>
                      <w:sz w:val="21"/>
                      <w:szCs w:val="18"/>
                    </w:rPr>
                  </w:pPr>
                  <w:r>
                    <w:rPr>
                      <w:rFonts w:hint="default"/>
                      <w:b/>
                      <w:bCs/>
                      <w:color w:val="auto"/>
                      <w:sz w:val="21"/>
                      <w:szCs w:val="18"/>
                    </w:rPr>
                    <w:t>施工阶段</w:t>
                  </w:r>
                </w:p>
              </w:tc>
              <w:tc>
                <w:tcPr>
                  <w:tcW w:w="1856" w:type="pct"/>
                  <w:noWrap w:val="0"/>
                  <w:vAlign w:val="center"/>
                </w:tcPr>
                <w:p w14:paraId="6653C5D8">
                  <w:pPr>
                    <w:keepNext w:val="0"/>
                    <w:keepLines w:val="0"/>
                    <w:suppressLineNumbers w:val="0"/>
                    <w:spacing w:before="0" w:beforeAutospacing="0" w:after="0" w:afterAutospacing="0" w:line="240" w:lineRule="auto"/>
                    <w:ind w:left="0" w:right="0"/>
                    <w:jc w:val="center"/>
                    <w:rPr>
                      <w:rFonts w:hint="eastAsia" w:eastAsia="宋体"/>
                      <w:b/>
                      <w:bCs/>
                      <w:color w:val="auto"/>
                      <w:sz w:val="21"/>
                      <w:szCs w:val="18"/>
                      <w:lang w:val="en-US" w:eastAsia="zh-CN"/>
                    </w:rPr>
                  </w:pPr>
                  <w:r>
                    <w:rPr>
                      <w:rFonts w:hint="default"/>
                      <w:b/>
                      <w:bCs/>
                      <w:color w:val="auto"/>
                      <w:sz w:val="21"/>
                      <w:szCs w:val="18"/>
                    </w:rPr>
                    <w:t>声源</w:t>
                  </w:r>
                  <w:r>
                    <w:rPr>
                      <w:rFonts w:hint="eastAsia"/>
                      <w:b/>
                      <w:bCs/>
                      <w:color w:val="auto"/>
                      <w:sz w:val="21"/>
                      <w:szCs w:val="18"/>
                      <w:lang w:val="en-US" w:eastAsia="zh-CN"/>
                    </w:rPr>
                    <w:t>设备</w:t>
                  </w:r>
                </w:p>
              </w:tc>
              <w:tc>
                <w:tcPr>
                  <w:tcW w:w="1609" w:type="pct"/>
                  <w:noWrap w:val="0"/>
                  <w:vAlign w:val="center"/>
                </w:tcPr>
                <w:p w14:paraId="3D422066">
                  <w:pPr>
                    <w:keepNext w:val="0"/>
                    <w:keepLines w:val="0"/>
                    <w:suppressLineNumbers w:val="0"/>
                    <w:spacing w:before="0" w:beforeAutospacing="0" w:after="0" w:afterAutospacing="0" w:line="240" w:lineRule="auto"/>
                    <w:ind w:left="0" w:right="0"/>
                    <w:jc w:val="center"/>
                    <w:rPr>
                      <w:rFonts w:hint="default"/>
                      <w:b/>
                      <w:bCs/>
                      <w:color w:val="auto"/>
                      <w:sz w:val="21"/>
                      <w:szCs w:val="18"/>
                    </w:rPr>
                  </w:pPr>
                  <w:r>
                    <w:rPr>
                      <w:rFonts w:hint="default"/>
                      <w:b/>
                      <w:bCs/>
                      <w:color w:val="auto"/>
                      <w:sz w:val="21"/>
                      <w:szCs w:val="18"/>
                    </w:rPr>
                    <w:t>声源强度</w:t>
                  </w:r>
                </w:p>
              </w:tc>
            </w:tr>
            <w:tr w14:paraId="4420E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534" w:type="pct"/>
                  <w:vMerge w:val="restart"/>
                  <w:noWrap w:val="0"/>
                  <w:vAlign w:val="center"/>
                </w:tcPr>
                <w:p w14:paraId="506D3DAB">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土石方阶段</w:t>
                  </w:r>
                </w:p>
              </w:tc>
              <w:tc>
                <w:tcPr>
                  <w:tcW w:w="1856" w:type="pct"/>
                  <w:noWrap w:val="0"/>
                  <w:vAlign w:val="center"/>
                </w:tcPr>
                <w:p w14:paraId="5A4F7910">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挖土机</w:t>
                  </w:r>
                </w:p>
              </w:tc>
              <w:tc>
                <w:tcPr>
                  <w:tcW w:w="1609" w:type="pct"/>
                  <w:noWrap w:val="0"/>
                  <w:vAlign w:val="center"/>
                </w:tcPr>
                <w:p w14:paraId="278A8350">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78~96</w:t>
                  </w:r>
                </w:p>
              </w:tc>
            </w:tr>
            <w:tr w14:paraId="343F3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534" w:type="pct"/>
                  <w:vMerge w:val="continue"/>
                  <w:noWrap w:val="0"/>
                  <w:vAlign w:val="center"/>
                </w:tcPr>
                <w:p w14:paraId="1EAF4F0F">
                  <w:pPr>
                    <w:keepNext w:val="0"/>
                    <w:keepLines w:val="0"/>
                    <w:suppressLineNumbers w:val="0"/>
                    <w:spacing w:before="0" w:beforeAutospacing="0" w:after="0" w:afterAutospacing="0" w:line="240" w:lineRule="auto"/>
                    <w:ind w:left="0" w:right="0"/>
                    <w:jc w:val="center"/>
                    <w:rPr>
                      <w:rFonts w:hint="default"/>
                      <w:color w:val="auto"/>
                      <w:sz w:val="21"/>
                      <w:szCs w:val="18"/>
                    </w:rPr>
                  </w:pPr>
                </w:p>
              </w:tc>
              <w:tc>
                <w:tcPr>
                  <w:tcW w:w="1856" w:type="pct"/>
                  <w:noWrap w:val="0"/>
                  <w:vAlign w:val="center"/>
                </w:tcPr>
                <w:p w14:paraId="378D306A">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空压机</w:t>
                  </w:r>
                </w:p>
              </w:tc>
              <w:tc>
                <w:tcPr>
                  <w:tcW w:w="1609" w:type="pct"/>
                  <w:noWrap w:val="0"/>
                  <w:vAlign w:val="center"/>
                </w:tcPr>
                <w:p w14:paraId="0B5F5BE9">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75~85</w:t>
                  </w:r>
                </w:p>
              </w:tc>
            </w:tr>
            <w:tr w14:paraId="3E263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534" w:type="pct"/>
                  <w:vMerge w:val="continue"/>
                  <w:noWrap w:val="0"/>
                  <w:vAlign w:val="center"/>
                </w:tcPr>
                <w:p w14:paraId="26E7D0A3">
                  <w:pPr>
                    <w:keepNext w:val="0"/>
                    <w:keepLines w:val="0"/>
                    <w:suppressLineNumbers w:val="0"/>
                    <w:spacing w:before="0" w:beforeAutospacing="0" w:after="0" w:afterAutospacing="0" w:line="240" w:lineRule="auto"/>
                    <w:ind w:left="0" w:right="0"/>
                    <w:jc w:val="center"/>
                    <w:rPr>
                      <w:rFonts w:hint="default"/>
                      <w:color w:val="auto"/>
                      <w:sz w:val="21"/>
                      <w:szCs w:val="18"/>
                    </w:rPr>
                  </w:pPr>
                </w:p>
              </w:tc>
              <w:tc>
                <w:tcPr>
                  <w:tcW w:w="1856" w:type="pct"/>
                  <w:noWrap w:val="0"/>
                  <w:vAlign w:val="center"/>
                </w:tcPr>
                <w:p w14:paraId="291F6FAF">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卷扬机</w:t>
                  </w:r>
                </w:p>
              </w:tc>
              <w:tc>
                <w:tcPr>
                  <w:tcW w:w="1609" w:type="pct"/>
                  <w:noWrap w:val="0"/>
                  <w:vAlign w:val="center"/>
                </w:tcPr>
                <w:p w14:paraId="3BD5265A">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95~105</w:t>
                  </w:r>
                </w:p>
              </w:tc>
            </w:tr>
            <w:tr w14:paraId="08ABA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534" w:type="pct"/>
                  <w:vMerge w:val="restart"/>
                  <w:noWrap w:val="0"/>
                  <w:vAlign w:val="center"/>
                </w:tcPr>
                <w:p w14:paraId="00E530D0">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底板与结构阶段</w:t>
                  </w:r>
                </w:p>
              </w:tc>
              <w:tc>
                <w:tcPr>
                  <w:tcW w:w="1856" w:type="pct"/>
                  <w:noWrap w:val="0"/>
                  <w:vAlign w:val="center"/>
                </w:tcPr>
                <w:p w14:paraId="7B83BF28">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混凝土输送泵</w:t>
                  </w:r>
                </w:p>
              </w:tc>
              <w:tc>
                <w:tcPr>
                  <w:tcW w:w="1609" w:type="pct"/>
                  <w:noWrap w:val="0"/>
                  <w:vAlign w:val="center"/>
                </w:tcPr>
                <w:p w14:paraId="6D3A9A0D">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90~100</w:t>
                  </w:r>
                </w:p>
              </w:tc>
            </w:tr>
            <w:tr w14:paraId="4D3382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534" w:type="pct"/>
                  <w:vMerge w:val="continue"/>
                  <w:noWrap w:val="0"/>
                  <w:vAlign w:val="center"/>
                </w:tcPr>
                <w:p w14:paraId="11C4DFF6">
                  <w:pPr>
                    <w:keepNext w:val="0"/>
                    <w:keepLines w:val="0"/>
                    <w:suppressLineNumbers w:val="0"/>
                    <w:spacing w:before="0" w:beforeAutospacing="0" w:after="0" w:afterAutospacing="0" w:line="240" w:lineRule="auto"/>
                    <w:ind w:left="0" w:right="0"/>
                    <w:jc w:val="center"/>
                    <w:rPr>
                      <w:rFonts w:hint="default"/>
                      <w:color w:val="auto"/>
                      <w:sz w:val="21"/>
                      <w:szCs w:val="18"/>
                    </w:rPr>
                  </w:pPr>
                </w:p>
              </w:tc>
              <w:tc>
                <w:tcPr>
                  <w:tcW w:w="1856" w:type="pct"/>
                  <w:noWrap w:val="0"/>
                  <w:vAlign w:val="center"/>
                </w:tcPr>
                <w:p w14:paraId="0D8E4294">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振捣器</w:t>
                  </w:r>
                </w:p>
              </w:tc>
              <w:tc>
                <w:tcPr>
                  <w:tcW w:w="1609" w:type="pct"/>
                  <w:noWrap w:val="0"/>
                  <w:vAlign w:val="center"/>
                </w:tcPr>
                <w:p w14:paraId="6F9916C4">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100~105</w:t>
                  </w:r>
                </w:p>
              </w:tc>
            </w:tr>
            <w:tr w14:paraId="2CB07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534" w:type="pct"/>
                  <w:vMerge w:val="continue"/>
                  <w:noWrap w:val="0"/>
                  <w:vAlign w:val="center"/>
                </w:tcPr>
                <w:p w14:paraId="5CB2DFEA">
                  <w:pPr>
                    <w:keepNext w:val="0"/>
                    <w:keepLines w:val="0"/>
                    <w:suppressLineNumbers w:val="0"/>
                    <w:spacing w:before="0" w:beforeAutospacing="0" w:after="0" w:afterAutospacing="0" w:line="240" w:lineRule="auto"/>
                    <w:ind w:left="0" w:right="0"/>
                    <w:jc w:val="center"/>
                    <w:rPr>
                      <w:rFonts w:hint="default"/>
                      <w:color w:val="auto"/>
                      <w:sz w:val="21"/>
                      <w:szCs w:val="18"/>
                    </w:rPr>
                  </w:pPr>
                </w:p>
              </w:tc>
              <w:tc>
                <w:tcPr>
                  <w:tcW w:w="1856" w:type="pct"/>
                  <w:noWrap w:val="0"/>
                  <w:vAlign w:val="center"/>
                </w:tcPr>
                <w:p w14:paraId="403BE46E">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电焊机</w:t>
                  </w:r>
                </w:p>
              </w:tc>
              <w:tc>
                <w:tcPr>
                  <w:tcW w:w="1609" w:type="pct"/>
                  <w:noWrap w:val="0"/>
                  <w:vAlign w:val="center"/>
                </w:tcPr>
                <w:p w14:paraId="5A7ABE47">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90~95</w:t>
                  </w:r>
                </w:p>
              </w:tc>
            </w:tr>
            <w:tr w14:paraId="7074C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534" w:type="pct"/>
                  <w:vMerge w:val="continue"/>
                  <w:noWrap w:val="0"/>
                  <w:vAlign w:val="center"/>
                </w:tcPr>
                <w:p w14:paraId="43DC1035">
                  <w:pPr>
                    <w:keepNext w:val="0"/>
                    <w:keepLines w:val="0"/>
                    <w:suppressLineNumbers w:val="0"/>
                    <w:spacing w:before="0" w:beforeAutospacing="0" w:after="0" w:afterAutospacing="0" w:line="240" w:lineRule="auto"/>
                    <w:ind w:left="0" w:right="0"/>
                    <w:jc w:val="center"/>
                    <w:rPr>
                      <w:rFonts w:hint="default"/>
                      <w:color w:val="auto"/>
                      <w:sz w:val="21"/>
                      <w:szCs w:val="18"/>
                    </w:rPr>
                  </w:pPr>
                </w:p>
              </w:tc>
              <w:tc>
                <w:tcPr>
                  <w:tcW w:w="1856" w:type="pct"/>
                  <w:noWrap w:val="0"/>
                  <w:vAlign w:val="center"/>
                </w:tcPr>
                <w:p w14:paraId="512FA3FE">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空压机</w:t>
                  </w:r>
                </w:p>
              </w:tc>
              <w:tc>
                <w:tcPr>
                  <w:tcW w:w="1609" w:type="pct"/>
                  <w:noWrap w:val="0"/>
                  <w:vAlign w:val="center"/>
                </w:tcPr>
                <w:p w14:paraId="61901A5C">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75~85</w:t>
                  </w:r>
                </w:p>
              </w:tc>
            </w:tr>
            <w:tr w14:paraId="3830F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534" w:type="pct"/>
                  <w:vMerge w:val="continue"/>
                  <w:noWrap w:val="0"/>
                  <w:vAlign w:val="center"/>
                </w:tcPr>
                <w:p w14:paraId="51AF0F73">
                  <w:pPr>
                    <w:keepNext w:val="0"/>
                    <w:keepLines w:val="0"/>
                    <w:suppressLineNumbers w:val="0"/>
                    <w:spacing w:before="0" w:beforeAutospacing="0" w:after="0" w:afterAutospacing="0" w:line="240" w:lineRule="auto"/>
                    <w:ind w:left="0" w:right="0"/>
                    <w:jc w:val="center"/>
                    <w:rPr>
                      <w:rFonts w:hint="default"/>
                      <w:color w:val="auto"/>
                      <w:sz w:val="21"/>
                      <w:szCs w:val="18"/>
                    </w:rPr>
                  </w:pPr>
                </w:p>
              </w:tc>
              <w:tc>
                <w:tcPr>
                  <w:tcW w:w="1856" w:type="pct"/>
                  <w:noWrap w:val="0"/>
                  <w:vAlign w:val="center"/>
                </w:tcPr>
                <w:p w14:paraId="24D6C502">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电锯</w:t>
                  </w:r>
                </w:p>
              </w:tc>
              <w:tc>
                <w:tcPr>
                  <w:tcW w:w="1609" w:type="pct"/>
                  <w:noWrap w:val="0"/>
                  <w:vAlign w:val="center"/>
                </w:tcPr>
                <w:p w14:paraId="76269BCA">
                  <w:pPr>
                    <w:keepNext w:val="0"/>
                    <w:keepLines w:val="0"/>
                    <w:suppressLineNumbers w:val="0"/>
                    <w:spacing w:before="0" w:beforeAutospacing="0" w:after="0" w:afterAutospacing="0" w:line="240" w:lineRule="auto"/>
                    <w:ind w:left="0" w:right="0"/>
                    <w:jc w:val="center"/>
                    <w:rPr>
                      <w:rFonts w:hint="default"/>
                      <w:color w:val="auto"/>
                      <w:sz w:val="21"/>
                      <w:szCs w:val="18"/>
                    </w:rPr>
                  </w:pPr>
                  <w:r>
                    <w:rPr>
                      <w:rFonts w:hint="default"/>
                      <w:color w:val="auto"/>
                      <w:sz w:val="21"/>
                      <w:szCs w:val="18"/>
                    </w:rPr>
                    <w:t>100~105</w:t>
                  </w:r>
                </w:p>
              </w:tc>
            </w:tr>
          </w:tbl>
          <w:p w14:paraId="5705CB5C">
            <w:pPr>
              <w:keepNext w:val="0"/>
              <w:keepLines w:val="0"/>
              <w:suppressLineNumbers w:val="0"/>
              <w:spacing w:before="0" w:beforeAutospacing="0" w:after="0" w:afterAutospacing="0" w:line="360" w:lineRule="auto"/>
              <w:ind w:left="0" w:right="0" w:firstLine="480" w:firstLineChars="200"/>
              <w:rPr>
                <w:rFonts w:hint="eastAsia" w:ascii="T" w:hAnsi="T" w:cs="Times New Roman"/>
                <w:color w:val="auto"/>
                <w:sz w:val="24"/>
                <w:szCs w:val="24"/>
              </w:rPr>
            </w:pPr>
            <w:r>
              <w:rPr>
                <w:rFonts w:hint="default" w:ascii="T" w:hAnsi="T" w:cs="Times New Roman"/>
                <w:color w:val="auto"/>
                <w:sz w:val="24"/>
                <w:szCs w:val="24"/>
              </w:rPr>
              <w:t>施工期噪声包括各建筑机械和运输车辆噪声，声级值一般在75~</w:t>
            </w:r>
            <w:r>
              <w:rPr>
                <w:rFonts w:hint="eastAsia" w:ascii="T" w:hAnsi="T" w:cs="Times New Roman"/>
                <w:color w:val="auto"/>
                <w:sz w:val="24"/>
                <w:szCs w:val="24"/>
              </w:rPr>
              <w:t>1</w:t>
            </w:r>
            <w:r>
              <w:rPr>
                <w:rFonts w:hint="eastAsia" w:ascii="T" w:hAnsi="T" w:cs="Times New Roman"/>
                <w:color w:val="auto"/>
                <w:sz w:val="24"/>
                <w:szCs w:val="24"/>
                <w:lang w:val="en-US" w:eastAsia="zh-CN"/>
              </w:rPr>
              <w:t>0</w:t>
            </w:r>
            <w:r>
              <w:rPr>
                <w:rFonts w:hint="eastAsia" w:ascii="T" w:hAnsi="T" w:cs="Times New Roman"/>
                <w:color w:val="auto"/>
                <w:sz w:val="24"/>
                <w:szCs w:val="24"/>
              </w:rPr>
              <w:t>5</w:t>
            </w:r>
            <w:r>
              <w:rPr>
                <w:rFonts w:hint="default" w:ascii="T" w:hAnsi="T" w:cs="Times New Roman"/>
                <w:color w:val="auto"/>
                <w:sz w:val="24"/>
                <w:szCs w:val="24"/>
              </w:rPr>
              <w:t>dB。</w:t>
            </w:r>
            <w:r>
              <w:rPr>
                <w:rFonts w:hint="eastAsia" w:ascii="T" w:hAnsi="T" w:cs="Times New Roman"/>
                <w:color w:val="auto"/>
                <w:sz w:val="24"/>
                <w:szCs w:val="24"/>
              </w:rPr>
              <w:t>本项目位于工业园区内，</w:t>
            </w:r>
            <w:r>
              <w:rPr>
                <w:rFonts w:hint="eastAsia" w:ascii="T" w:hAnsi="T" w:cs="Times New Roman"/>
                <w:color w:val="auto"/>
                <w:sz w:val="24"/>
                <w:szCs w:val="24"/>
                <w:highlight w:val="none"/>
              </w:rPr>
              <w:t>周边200m范围内</w:t>
            </w:r>
            <w:r>
              <w:rPr>
                <w:rFonts w:hint="eastAsia" w:ascii="T" w:hAnsi="T" w:cs="Times New Roman"/>
                <w:color w:val="auto"/>
                <w:sz w:val="24"/>
                <w:szCs w:val="24"/>
                <w:lang w:val="en-US" w:eastAsia="zh-CN"/>
              </w:rPr>
              <w:t>无</w:t>
            </w:r>
            <w:r>
              <w:rPr>
                <w:rFonts w:hint="eastAsia" w:ascii="T" w:hAnsi="T" w:cs="Times New Roman"/>
                <w:color w:val="auto"/>
                <w:sz w:val="24"/>
                <w:szCs w:val="24"/>
              </w:rPr>
              <w:t>噪声环境敏感点，项目将采取以下方式进行噪声防治：</w:t>
            </w:r>
          </w:p>
          <w:p w14:paraId="7A5F50DF">
            <w:pPr>
              <w:keepNext w:val="0"/>
              <w:keepLines w:val="0"/>
              <w:suppressLineNumbers w:val="0"/>
              <w:spacing w:before="0" w:beforeAutospacing="0" w:after="0" w:afterAutospacing="0"/>
              <w:ind w:left="0" w:right="0" w:firstLine="480"/>
              <w:rPr>
                <w:rFonts w:hint="default"/>
                <w:color w:val="auto"/>
              </w:rPr>
            </w:pPr>
            <w:r>
              <w:rPr>
                <w:rFonts w:hint="default"/>
                <w:color w:val="auto"/>
              </w:rPr>
              <w:fldChar w:fldCharType="begin"/>
            </w:r>
            <w:r>
              <w:rPr>
                <w:rFonts w:hint="default"/>
                <w:color w:val="auto"/>
              </w:rPr>
              <w:instrText xml:space="preserve"> = 1 \* GB3 </w:instrText>
            </w:r>
            <w:r>
              <w:rPr>
                <w:rFonts w:hint="default"/>
                <w:color w:val="auto"/>
              </w:rPr>
              <w:fldChar w:fldCharType="separate"/>
            </w:r>
            <w:r>
              <w:rPr>
                <w:rFonts w:hint="default"/>
                <w:color w:val="auto"/>
              </w:rPr>
              <w:t>①</w:t>
            </w:r>
            <w:r>
              <w:rPr>
                <w:rFonts w:hint="default"/>
                <w:color w:val="auto"/>
              </w:rPr>
              <w:fldChar w:fldCharType="end"/>
            </w:r>
            <w:r>
              <w:rPr>
                <w:rFonts w:hint="default"/>
                <w:color w:val="auto"/>
              </w:rPr>
              <w:t>合理安排施工时间：将倾倒卵石料、破碎等强噪声作业安排在白天进行，杜绝夜间（22：00～6：00）施工噪声扰民。施工期间的厂界噪声必须满足《建筑施工场界环境噪声排放标准》（GB12523-2011）噪声限值标准。</w:t>
            </w:r>
          </w:p>
          <w:p w14:paraId="37EBC599">
            <w:pPr>
              <w:keepNext w:val="0"/>
              <w:keepLines w:val="0"/>
              <w:suppressLineNumbers w:val="0"/>
              <w:spacing w:before="0" w:beforeAutospacing="0" w:after="0" w:afterAutospacing="0"/>
              <w:ind w:left="0" w:right="0" w:firstLine="480"/>
              <w:rPr>
                <w:rFonts w:hint="default"/>
                <w:color w:val="auto"/>
              </w:rPr>
            </w:pPr>
            <w:r>
              <w:rPr>
                <w:rFonts w:hint="default"/>
                <w:color w:val="auto"/>
              </w:rPr>
              <w:fldChar w:fldCharType="begin"/>
            </w:r>
            <w:r>
              <w:rPr>
                <w:rFonts w:hint="default"/>
                <w:color w:val="auto"/>
              </w:rPr>
              <w:instrText xml:space="preserve"> = 2 \* GB3 </w:instrText>
            </w:r>
            <w:r>
              <w:rPr>
                <w:rFonts w:hint="default"/>
                <w:color w:val="auto"/>
              </w:rPr>
              <w:fldChar w:fldCharType="separate"/>
            </w:r>
            <w:r>
              <w:rPr>
                <w:rFonts w:hint="default"/>
                <w:color w:val="auto"/>
              </w:rPr>
              <w:t>②</w:t>
            </w:r>
            <w:r>
              <w:rPr>
                <w:rFonts w:hint="default"/>
                <w:color w:val="auto"/>
              </w:rPr>
              <w:fldChar w:fldCharType="end"/>
            </w:r>
            <w:r>
              <w:rPr>
                <w:rFonts w:hint="default"/>
                <w:color w:val="auto"/>
              </w:rPr>
              <w:t>合理布局施工现场：为减少项目施工噪声对周边居民的影响，项目高噪声施工机械尽量布置在场地中心，同时应避免在同一地点安排大量动力机械设备，以避免局部声级过高；利用施工场区的距离衰减和建筑隔声，减少对项目区外环境敏感目标的影响。</w:t>
            </w:r>
          </w:p>
          <w:p w14:paraId="52D0F62D">
            <w:pPr>
              <w:keepNext w:val="0"/>
              <w:keepLines w:val="0"/>
              <w:suppressLineNumbers w:val="0"/>
              <w:spacing w:before="0" w:beforeAutospacing="0" w:after="0" w:afterAutospacing="0"/>
              <w:ind w:left="0" w:right="0" w:firstLine="480"/>
              <w:rPr>
                <w:rFonts w:hint="default"/>
                <w:color w:val="auto"/>
              </w:rPr>
            </w:pPr>
            <w:r>
              <w:rPr>
                <w:rFonts w:hint="default"/>
                <w:color w:val="auto"/>
              </w:rPr>
              <w:fldChar w:fldCharType="begin"/>
            </w:r>
            <w:r>
              <w:rPr>
                <w:rFonts w:hint="default"/>
                <w:color w:val="auto"/>
              </w:rPr>
              <w:instrText xml:space="preserve"> = 3 \* GB3 </w:instrText>
            </w:r>
            <w:r>
              <w:rPr>
                <w:rFonts w:hint="default"/>
                <w:color w:val="auto"/>
              </w:rPr>
              <w:fldChar w:fldCharType="separate"/>
            </w:r>
            <w:r>
              <w:rPr>
                <w:rFonts w:hint="default"/>
                <w:color w:val="auto"/>
              </w:rPr>
              <w:t>③</w:t>
            </w:r>
            <w:r>
              <w:rPr>
                <w:rFonts w:hint="default"/>
                <w:color w:val="auto"/>
              </w:rPr>
              <w:fldChar w:fldCharType="end"/>
            </w:r>
            <w:r>
              <w:rPr>
                <w:rFonts w:hint="default"/>
                <w:color w:val="auto"/>
              </w:rPr>
              <w:t>降低设备声级：设备选型上尽量采用低噪声设备。加强设备的维修和保养，保持机械润滑。</w:t>
            </w:r>
          </w:p>
          <w:p w14:paraId="05EE8E7A">
            <w:pPr>
              <w:keepNext w:val="0"/>
              <w:keepLines w:val="0"/>
              <w:suppressLineNumbers w:val="0"/>
              <w:spacing w:before="0" w:beforeAutospacing="0" w:after="0" w:afterAutospacing="0"/>
              <w:ind w:left="0" w:right="0" w:firstLine="480"/>
              <w:rPr>
                <w:rFonts w:hint="default"/>
                <w:color w:val="auto"/>
              </w:rPr>
            </w:pPr>
            <w:r>
              <w:rPr>
                <w:rFonts w:hint="default"/>
                <w:color w:val="auto"/>
              </w:rPr>
              <w:fldChar w:fldCharType="begin"/>
            </w:r>
            <w:r>
              <w:rPr>
                <w:rFonts w:hint="default"/>
                <w:color w:val="auto"/>
              </w:rPr>
              <w:instrText xml:space="preserve"> = 4 \* GB3 </w:instrText>
            </w:r>
            <w:r>
              <w:rPr>
                <w:rFonts w:hint="default"/>
                <w:color w:val="auto"/>
              </w:rPr>
              <w:fldChar w:fldCharType="separate"/>
            </w:r>
            <w:r>
              <w:rPr>
                <w:rFonts w:hint="default"/>
                <w:color w:val="auto"/>
              </w:rPr>
              <w:t>④</w:t>
            </w:r>
            <w:r>
              <w:rPr>
                <w:rFonts w:hint="default"/>
                <w:color w:val="auto"/>
              </w:rPr>
              <w:fldChar w:fldCharType="end"/>
            </w:r>
            <w:r>
              <w:rPr>
                <w:rFonts w:hint="default"/>
                <w:color w:val="auto"/>
              </w:rPr>
              <w:t>降低人为噪音：按照规定操作机械设备，在挡板、支架拆卸过程中，应遵守作业规定，减少碰撞噪音；对钢管、模板等构件装卸、搬运应该轻拿轻放，严禁抛掷。</w:t>
            </w:r>
          </w:p>
          <w:p w14:paraId="05B5C189">
            <w:pPr>
              <w:keepNext w:val="0"/>
              <w:keepLines w:val="0"/>
              <w:suppressLineNumbers w:val="0"/>
              <w:spacing w:before="0" w:beforeAutospacing="0" w:after="0" w:afterAutospacing="0"/>
              <w:ind w:left="0" w:right="0" w:firstLine="480"/>
              <w:rPr>
                <w:rFonts w:hint="default"/>
                <w:color w:val="auto"/>
              </w:rPr>
            </w:pPr>
            <w:r>
              <w:rPr>
                <w:rFonts w:hint="default"/>
                <w:color w:val="auto"/>
              </w:rPr>
              <w:fldChar w:fldCharType="begin"/>
            </w:r>
            <w:r>
              <w:rPr>
                <w:rFonts w:hint="default"/>
                <w:color w:val="auto"/>
              </w:rPr>
              <w:instrText xml:space="preserve"> = 5 \* GB3 </w:instrText>
            </w:r>
            <w:r>
              <w:rPr>
                <w:rFonts w:hint="default"/>
                <w:color w:val="auto"/>
              </w:rPr>
              <w:fldChar w:fldCharType="separate"/>
            </w:r>
            <w:r>
              <w:rPr>
                <w:rFonts w:hint="default"/>
                <w:color w:val="auto"/>
              </w:rPr>
              <w:t>⑤</w:t>
            </w:r>
            <w:r>
              <w:rPr>
                <w:rFonts w:hint="default"/>
                <w:color w:val="auto"/>
              </w:rPr>
              <w:fldChar w:fldCharType="end"/>
            </w:r>
            <w:r>
              <w:rPr>
                <w:rFonts w:hint="default"/>
                <w:color w:val="auto"/>
              </w:rPr>
              <w:t>建立临时声障：对位置相对固定的机械设备，能在棚内操作的尽量进入操作间，不能入棚的，可适当建立单面声障。</w:t>
            </w:r>
          </w:p>
          <w:p w14:paraId="7C8E4551">
            <w:pPr>
              <w:keepNext w:val="0"/>
              <w:keepLines w:val="0"/>
              <w:suppressLineNumbers w:val="0"/>
              <w:spacing w:before="0" w:beforeAutospacing="0" w:after="0" w:afterAutospacing="0"/>
              <w:ind w:left="0" w:right="0" w:firstLine="480"/>
              <w:rPr>
                <w:rFonts w:hint="default"/>
                <w:color w:val="auto"/>
              </w:rPr>
            </w:pPr>
            <w:r>
              <w:rPr>
                <w:rFonts w:hint="default"/>
                <w:color w:val="auto"/>
              </w:rPr>
              <w:fldChar w:fldCharType="begin"/>
            </w:r>
            <w:r>
              <w:rPr>
                <w:rFonts w:hint="default"/>
                <w:color w:val="auto"/>
              </w:rPr>
              <w:instrText xml:space="preserve"> = 6 \* GB3 </w:instrText>
            </w:r>
            <w:r>
              <w:rPr>
                <w:rFonts w:hint="default"/>
                <w:color w:val="auto"/>
              </w:rPr>
              <w:fldChar w:fldCharType="separate"/>
            </w:r>
            <w:r>
              <w:rPr>
                <w:rFonts w:hint="default"/>
                <w:color w:val="auto"/>
              </w:rPr>
              <w:t>⑥</w:t>
            </w:r>
            <w:r>
              <w:rPr>
                <w:rFonts w:hint="default"/>
                <w:color w:val="auto"/>
              </w:rPr>
              <w:fldChar w:fldCharType="end"/>
            </w:r>
            <w:r>
              <w:rPr>
                <w:rFonts w:hint="default"/>
                <w:color w:val="auto"/>
              </w:rPr>
              <w:t>对长期工作在强噪声工作岗位的施工人员，上岗时须佩戴耳塞等防护工具，并实行定时轮换制度。</w:t>
            </w:r>
          </w:p>
          <w:p w14:paraId="40424339">
            <w:pPr>
              <w:keepNext w:val="0"/>
              <w:keepLines w:val="0"/>
              <w:suppressLineNumbers w:val="0"/>
              <w:spacing w:before="0" w:beforeAutospacing="0" w:after="0" w:afterAutospacing="0"/>
              <w:ind w:left="0" w:right="0" w:firstLine="480"/>
              <w:rPr>
                <w:rFonts w:hint="default"/>
                <w:color w:val="auto"/>
              </w:rPr>
            </w:pPr>
            <w:r>
              <w:rPr>
                <w:rFonts w:hint="default"/>
                <w:color w:val="auto"/>
              </w:rPr>
              <w:fldChar w:fldCharType="begin"/>
            </w:r>
            <w:r>
              <w:rPr>
                <w:rFonts w:hint="default"/>
                <w:color w:val="auto"/>
              </w:rPr>
              <w:instrText xml:space="preserve"> = 7 \* GB3 </w:instrText>
            </w:r>
            <w:r>
              <w:rPr>
                <w:rFonts w:hint="default"/>
                <w:color w:val="auto"/>
              </w:rPr>
              <w:fldChar w:fldCharType="separate"/>
            </w:r>
            <w:r>
              <w:rPr>
                <w:rFonts w:hint="default"/>
                <w:color w:val="auto"/>
              </w:rPr>
              <w:t>⑦</w:t>
            </w:r>
            <w:r>
              <w:rPr>
                <w:rFonts w:hint="default"/>
                <w:color w:val="auto"/>
              </w:rPr>
              <w:fldChar w:fldCharType="end"/>
            </w:r>
            <w:r>
              <w:rPr>
                <w:rFonts w:hint="default"/>
                <w:color w:val="auto"/>
              </w:rPr>
              <w:t>应做好与居民的协调工作。施工期对周围环境带来多种不便，尤其受施工噪声的影响，抱怨较多，若处理不当，将影响社会安定。因此，业主应加强与居民的联系，及时通报施工进度，减少人为噪声污染。</w:t>
            </w:r>
          </w:p>
          <w:p w14:paraId="0E73C70A">
            <w:pPr>
              <w:keepNext w:val="0"/>
              <w:keepLines w:val="0"/>
              <w:suppressLineNumbers w:val="0"/>
              <w:spacing w:before="0" w:beforeAutospacing="0" w:after="0" w:afterAutospacing="0" w:line="360" w:lineRule="auto"/>
              <w:ind w:left="0" w:right="0" w:firstLine="480" w:firstLineChars="200"/>
              <w:rPr>
                <w:rFonts w:hint="eastAsia" w:ascii="T" w:hAnsi="T" w:cs="Times New Roman"/>
                <w:color w:val="auto"/>
                <w:sz w:val="24"/>
                <w:szCs w:val="24"/>
              </w:rPr>
            </w:pPr>
            <w:r>
              <w:rPr>
                <w:rFonts w:hint="default"/>
                <w:color w:val="auto"/>
              </w:rPr>
              <w:fldChar w:fldCharType="begin"/>
            </w:r>
            <w:r>
              <w:rPr>
                <w:rFonts w:hint="default"/>
                <w:color w:val="auto"/>
              </w:rPr>
              <w:instrText xml:space="preserve"> = 8 \* GB3 </w:instrText>
            </w:r>
            <w:r>
              <w:rPr>
                <w:rFonts w:hint="default"/>
                <w:color w:val="auto"/>
              </w:rPr>
              <w:fldChar w:fldCharType="separate"/>
            </w:r>
            <w:r>
              <w:rPr>
                <w:rFonts w:hint="default"/>
                <w:color w:val="auto"/>
              </w:rPr>
              <w:t>⑧</w:t>
            </w:r>
            <w:r>
              <w:rPr>
                <w:rFonts w:hint="default"/>
                <w:color w:val="auto"/>
              </w:rPr>
              <w:fldChar w:fldCharType="end"/>
            </w:r>
            <w:r>
              <w:rPr>
                <w:rFonts w:hint="default" w:ascii="Times New Roman" w:hAnsi="Times New Roman" w:cs="Times New Roman"/>
                <w:color w:val="auto"/>
              </w:rPr>
              <w:t>加强中、高考期间建筑工程施工的许可管理，在中、高考期间，严格执行政府相关部门规定，禁止双考期间施工作业，施工单位应主动采取措施加强施工噪声控制，双考前后，要妥善安排施工时间，防止高考和中考期间噪声污染，严格控制建筑施工等</w:t>
            </w:r>
            <w:r>
              <w:rPr>
                <w:rFonts w:hint="eastAsia" w:cs="Times New Roman"/>
                <w:color w:val="auto"/>
                <w:lang w:eastAsia="zh-CN"/>
              </w:rPr>
              <w:t>噪声</w:t>
            </w:r>
            <w:r>
              <w:rPr>
                <w:rFonts w:hint="default" w:ascii="Times New Roman" w:hAnsi="Times New Roman" w:cs="Times New Roman"/>
                <w:color w:val="auto"/>
              </w:rPr>
              <w:t>的干扰，努力为考生提供一个安静的休息和应试环境。</w:t>
            </w:r>
          </w:p>
          <w:p w14:paraId="12A51D4D">
            <w:pPr>
              <w:keepNext w:val="0"/>
              <w:keepLines w:val="0"/>
              <w:suppressLineNumbers w:val="0"/>
              <w:spacing w:before="0" w:beforeAutospacing="0" w:after="0" w:afterAutospacing="0" w:line="360" w:lineRule="auto"/>
              <w:ind w:left="0" w:right="0" w:firstLine="480" w:firstLineChars="200"/>
              <w:rPr>
                <w:rFonts w:hint="eastAsia" w:ascii="T" w:hAnsi="T" w:cs="Times New Roman"/>
                <w:color w:val="auto"/>
                <w:sz w:val="24"/>
                <w:szCs w:val="24"/>
              </w:rPr>
            </w:pPr>
            <w:r>
              <w:rPr>
                <w:rFonts w:hint="default" w:ascii="T" w:hAnsi="T" w:cs="Times New Roman"/>
                <w:color w:val="auto"/>
                <w:sz w:val="24"/>
                <w:szCs w:val="24"/>
              </w:rPr>
              <w:t>在采取</w:t>
            </w:r>
            <w:r>
              <w:rPr>
                <w:rFonts w:hint="eastAsia" w:ascii="T" w:hAnsi="T" w:cs="Times New Roman"/>
                <w:color w:val="auto"/>
                <w:sz w:val="24"/>
                <w:szCs w:val="24"/>
              </w:rPr>
              <w:t>以上</w:t>
            </w:r>
            <w:r>
              <w:rPr>
                <w:rFonts w:hint="default" w:ascii="T" w:hAnsi="T" w:cs="Times New Roman"/>
                <w:color w:val="auto"/>
                <w:sz w:val="24"/>
                <w:szCs w:val="24"/>
              </w:rPr>
              <w:t>措施</w:t>
            </w:r>
            <w:r>
              <w:rPr>
                <w:rFonts w:hint="eastAsia" w:ascii="T" w:hAnsi="T" w:cs="Times New Roman"/>
                <w:color w:val="auto"/>
                <w:sz w:val="24"/>
                <w:szCs w:val="24"/>
              </w:rPr>
              <w:t>并</w:t>
            </w:r>
            <w:r>
              <w:rPr>
                <w:rFonts w:hint="default" w:ascii="T" w:hAnsi="T" w:cs="Times New Roman"/>
                <w:color w:val="auto"/>
                <w:sz w:val="24"/>
                <w:szCs w:val="24"/>
              </w:rPr>
              <w:t>严格管理</w:t>
            </w:r>
            <w:r>
              <w:rPr>
                <w:rFonts w:hint="eastAsia" w:ascii="T" w:hAnsi="T" w:cs="Times New Roman"/>
                <w:color w:val="auto"/>
                <w:sz w:val="24"/>
                <w:szCs w:val="24"/>
              </w:rPr>
              <w:t>后</w:t>
            </w:r>
            <w:r>
              <w:rPr>
                <w:rFonts w:hint="default" w:ascii="T" w:hAnsi="T" w:cs="Times New Roman"/>
                <w:color w:val="auto"/>
                <w:sz w:val="24"/>
                <w:szCs w:val="24"/>
              </w:rPr>
              <w:t>，</w:t>
            </w:r>
            <w:r>
              <w:rPr>
                <w:rFonts w:hint="eastAsia" w:ascii="T" w:hAnsi="T" w:cs="Times New Roman"/>
                <w:color w:val="auto"/>
                <w:sz w:val="24"/>
                <w:szCs w:val="24"/>
              </w:rPr>
              <w:t>施工期场界噪声能够满足</w:t>
            </w:r>
            <w:r>
              <w:rPr>
                <w:rFonts w:hint="default" w:ascii="T" w:hAnsi="T" w:cs="Times New Roman"/>
                <w:color w:val="auto"/>
                <w:sz w:val="24"/>
                <w:szCs w:val="24"/>
              </w:rPr>
              <w:t>《建筑施工场界</w:t>
            </w:r>
            <w:r>
              <w:rPr>
                <w:rFonts w:hint="eastAsia" w:ascii="T" w:hAnsi="T" w:cs="Times New Roman"/>
                <w:color w:val="auto"/>
                <w:sz w:val="24"/>
                <w:szCs w:val="24"/>
              </w:rPr>
              <w:t>环境</w:t>
            </w:r>
            <w:r>
              <w:rPr>
                <w:rFonts w:hint="default" w:ascii="T" w:hAnsi="T" w:cs="Times New Roman"/>
                <w:color w:val="auto"/>
                <w:sz w:val="24"/>
                <w:szCs w:val="24"/>
              </w:rPr>
              <w:t>噪声</w:t>
            </w:r>
            <w:r>
              <w:rPr>
                <w:rFonts w:hint="eastAsia" w:ascii="T" w:hAnsi="T" w:cs="Times New Roman"/>
                <w:color w:val="auto"/>
                <w:sz w:val="24"/>
                <w:szCs w:val="24"/>
              </w:rPr>
              <w:t>排放标准</w:t>
            </w:r>
            <w:r>
              <w:rPr>
                <w:rFonts w:hint="default" w:ascii="T" w:hAnsi="T" w:cs="Times New Roman"/>
                <w:color w:val="auto"/>
                <w:sz w:val="24"/>
                <w:szCs w:val="24"/>
              </w:rPr>
              <w:t>》（GB12523-</w:t>
            </w:r>
            <w:r>
              <w:rPr>
                <w:rFonts w:hint="eastAsia" w:ascii="T" w:hAnsi="T" w:cs="Times New Roman"/>
                <w:color w:val="auto"/>
                <w:sz w:val="24"/>
                <w:szCs w:val="24"/>
              </w:rPr>
              <w:t>2011</w:t>
            </w:r>
            <w:r>
              <w:rPr>
                <w:rFonts w:hint="default" w:ascii="T" w:hAnsi="T" w:cs="Times New Roman"/>
                <w:color w:val="auto"/>
                <w:sz w:val="24"/>
                <w:szCs w:val="24"/>
              </w:rPr>
              <w:t>）</w:t>
            </w:r>
            <w:r>
              <w:rPr>
                <w:rFonts w:hint="eastAsia" w:ascii="T" w:hAnsi="T" w:cs="Times New Roman"/>
                <w:color w:val="auto"/>
                <w:sz w:val="24"/>
                <w:szCs w:val="24"/>
              </w:rPr>
              <w:t>中相关要求。</w:t>
            </w:r>
          </w:p>
          <w:p w14:paraId="2681127B">
            <w:pPr>
              <w:keepNext w:val="0"/>
              <w:keepLines w:val="0"/>
              <w:suppressLineNumbers w:val="0"/>
              <w:spacing w:before="0" w:beforeAutospacing="0" w:after="0" w:afterAutospacing="0" w:line="360" w:lineRule="auto"/>
              <w:ind w:left="0" w:right="0" w:firstLine="482" w:firstLineChars="200"/>
              <w:rPr>
                <w:rFonts w:hint="default" w:ascii="T" w:hAnsi="T" w:cs="Times New Roman"/>
                <w:b/>
                <w:color w:val="auto"/>
                <w:sz w:val="24"/>
                <w:szCs w:val="24"/>
              </w:rPr>
            </w:pPr>
            <w:r>
              <w:rPr>
                <w:rFonts w:hint="eastAsia" w:ascii="T" w:hAnsi="T" w:cs="Times New Roman"/>
                <w:b/>
                <w:color w:val="auto"/>
                <w:sz w:val="24"/>
                <w:szCs w:val="24"/>
              </w:rPr>
              <w:t>4、</w:t>
            </w:r>
            <w:r>
              <w:rPr>
                <w:rFonts w:hint="default" w:ascii="T" w:hAnsi="T" w:cs="Times New Roman"/>
                <w:b/>
                <w:color w:val="auto"/>
                <w:sz w:val="24"/>
                <w:szCs w:val="24"/>
              </w:rPr>
              <w:t>固体废弃物</w:t>
            </w:r>
          </w:p>
          <w:p w14:paraId="32FC2A53">
            <w:pPr>
              <w:keepNext w:val="0"/>
              <w:keepLines w:val="0"/>
              <w:suppressLineNumbers w:val="0"/>
              <w:spacing w:before="0" w:beforeAutospacing="0" w:after="0" w:afterAutospacing="0"/>
              <w:ind w:left="0" w:right="0" w:firstLine="480" w:firstLineChars="200"/>
              <w:rPr>
                <w:rFonts w:hint="default"/>
                <w:color w:val="auto"/>
              </w:rPr>
            </w:pPr>
            <w:r>
              <w:rPr>
                <w:rFonts w:hint="default"/>
                <w:color w:val="auto"/>
              </w:rPr>
              <w:t>施工期会产生建筑垃圾（弃渣）、生活垃圾等固体废物。</w:t>
            </w:r>
          </w:p>
          <w:p w14:paraId="3B17322A">
            <w:pPr>
              <w:keepNext w:val="0"/>
              <w:keepLines w:val="0"/>
              <w:suppressLineNumbers w:val="0"/>
              <w:spacing w:before="0" w:beforeAutospacing="0" w:after="0" w:afterAutospacing="0"/>
              <w:ind w:left="0" w:right="0" w:firstLine="472" w:firstLineChars="197"/>
              <w:rPr>
                <w:rFonts w:hint="default"/>
                <w:color w:val="auto"/>
              </w:rPr>
            </w:pPr>
            <w:r>
              <w:rPr>
                <w:rFonts w:hint="default"/>
                <w:color w:val="auto"/>
              </w:rPr>
              <w:t>（1）土石方</w:t>
            </w:r>
          </w:p>
          <w:p w14:paraId="7B191E86">
            <w:pPr>
              <w:keepNext w:val="0"/>
              <w:keepLines w:val="0"/>
              <w:suppressLineNumbers w:val="0"/>
              <w:spacing w:before="0" w:beforeAutospacing="0" w:after="0" w:afterAutospacing="0"/>
              <w:ind w:left="0" w:right="0" w:firstLine="472" w:firstLineChars="197"/>
              <w:rPr>
                <w:rFonts w:hint="default"/>
                <w:color w:val="auto"/>
              </w:rPr>
            </w:pPr>
            <w:r>
              <w:rPr>
                <w:rFonts w:hint="default"/>
                <w:color w:val="auto"/>
              </w:rPr>
              <w:t>本项目总体地势平坦，开挖量较小，开挖的土石方用于回填，能达到挖填平衡。为确保施工临时堆场不对外环境造成二次污染，环评提出以下要求：</w:t>
            </w:r>
          </w:p>
          <w:p w14:paraId="157B12D9">
            <w:pPr>
              <w:keepNext w:val="0"/>
              <w:keepLines w:val="0"/>
              <w:suppressLineNumbers w:val="0"/>
              <w:spacing w:before="0" w:beforeAutospacing="0" w:after="0" w:afterAutospacing="0"/>
              <w:ind w:left="0" w:right="0" w:firstLine="472" w:firstLineChars="197"/>
              <w:rPr>
                <w:rFonts w:hint="default"/>
                <w:color w:val="auto"/>
              </w:rPr>
            </w:pPr>
            <w:r>
              <w:rPr>
                <w:rFonts w:hint="default"/>
                <w:color w:val="auto"/>
              </w:rPr>
              <w:t>①临时堆场使用期间沿堆场周围应做好排水沟，需做好排水沟设施，并对堆场以毡布或油布予以覆盖，防止大风天起尘及防止雨水冲刷造成水土流失；</w:t>
            </w:r>
          </w:p>
          <w:p w14:paraId="424AAADD">
            <w:pPr>
              <w:keepNext w:val="0"/>
              <w:keepLines w:val="0"/>
              <w:suppressLineNumbers w:val="0"/>
              <w:spacing w:before="0" w:beforeAutospacing="0" w:after="0" w:afterAutospacing="0"/>
              <w:ind w:left="0" w:right="0" w:firstLine="472" w:firstLineChars="197"/>
              <w:rPr>
                <w:rFonts w:hint="default"/>
                <w:color w:val="auto"/>
              </w:rPr>
            </w:pPr>
            <w:r>
              <w:rPr>
                <w:rFonts w:hint="default"/>
                <w:color w:val="auto"/>
              </w:rPr>
              <w:t>②临时堆场应满足承载力要求的地基上，以避免地基下沉。</w:t>
            </w:r>
          </w:p>
          <w:p w14:paraId="76C04221">
            <w:pPr>
              <w:keepNext w:val="0"/>
              <w:keepLines w:val="0"/>
              <w:suppressLineNumbers w:val="0"/>
              <w:spacing w:before="0" w:beforeAutospacing="0" w:after="0" w:afterAutospacing="0"/>
              <w:ind w:left="0" w:right="0" w:firstLine="472" w:firstLineChars="197"/>
              <w:rPr>
                <w:rFonts w:hint="default"/>
                <w:color w:val="auto"/>
              </w:rPr>
            </w:pPr>
            <w:r>
              <w:rPr>
                <w:rFonts w:hint="default"/>
                <w:color w:val="auto"/>
              </w:rPr>
              <w:t>本项目施工时间不长，只要建设单位在施工期间认真落实上述固体废物防治措施，则本项目施工期固体废物不会对外环境造成二次污染。</w:t>
            </w:r>
          </w:p>
          <w:p w14:paraId="2FD3CA4B">
            <w:pPr>
              <w:keepNext w:val="0"/>
              <w:keepLines w:val="0"/>
              <w:suppressLineNumbers w:val="0"/>
              <w:spacing w:before="0" w:beforeAutospacing="0" w:after="0" w:afterAutospacing="0"/>
              <w:ind w:left="0" w:right="0" w:firstLine="480" w:firstLineChars="200"/>
              <w:rPr>
                <w:rFonts w:hint="default"/>
                <w:color w:val="auto"/>
              </w:rPr>
            </w:pPr>
            <w:r>
              <w:rPr>
                <w:rFonts w:hint="default"/>
                <w:color w:val="auto"/>
              </w:rPr>
              <w:t>（2）建筑垃圾</w:t>
            </w:r>
          </w:p>
          <w:p w14:paraId="24F9D551">
            <w:pPr>
              <w:keepNext w:val="0"/>
              <w:keepLines w:val="0"/>
              <w:suppressLineNumbers w:val="0"/>
              <w:spacing w:before="0" w:beforeAutospacing="0" w:after="0" w:afterAutospacing="0"/>
              <w:ind w:left="0" w:right="0" w:firstLine="480" w:firstLineChars="200"/>
              <w:rPr>
                <w:rFonts w:hint="default"/>
                <w:color w:val="auto"/>
              </w:rPr>
            </w:pPr>
            <w:r>
              <w:rPr>
                <w:rFonts w:hint="default"/>
                <w:bCs/>
                <w:color w:val="auto"/>
              </w:rPr>
              <w:t>项目施工过程</w:t>
            </w:r>
            <w:r>
              <w:rPr>
                <w:rFonts w:hint="default"/>
                <w:color w:val="auto"/>
              </w:rPr>
              <w:t>应设置建筑废弃物临时堆场（</w:t>
            </w:r>
            <w:r>
              <w:rPr>
                <w:rFonts w:hint="eastAsia"/>
                <w:color w:val="auto"/>
                <w:lang w:eastAsia="zh-CN"/>
              </w:rPr>
              <w:t>竖立</w:t>
            </w:r>
            <w:r>
              <w:rPr>
                <w:rFonts w:hint="default"/>
                <w:color w:val="auto"/>
              </w:rPr>
              <w:t>标示牌）并进行防雨、防泄漏处理。施工产生的废料回收利用，对钢筋、木材等</w:t>
            </w:r>
            <w:r>
              <w:rPr>
                <w:rFonts w:hint="eastAsia"/>
                <w:color w:val="auto"/>
                <w:lang w:eastAsia="zh-CN"/>
              </w:rPr>
              <w:t>下脚料</w:t>
            </w:r>
            <w:r>
              <w:rPr>
                <w:rFonts w:hint="default"/>
                <w:color w:val="auto"/>
              </w:rPr>
              <w:t>分类回收，交废物收购站处理；对不能回收的建筑垃圾，</w:t>
            </w:r>
            <w:r>
              <w:rPr>
                <w:rFonts w:hint="eastAsia"/>
                <w:color w:val="auto"/>
              </w:rPr>
              <w:t>运至政府指定的渣场堆放</w:t>
            </w:r>
            <w:r>
              <w:rPr>
                <w:rFonts w:hint="default"/>
                <w:color w:val="auto"/>
              </w:rPr>
              <w:t>。</w:t>
            </w:r>
          </w:p>
          <w:p w14:paraId="004B26C5">
            <w:pPr>
              <w:keepNext w:val="0"/>
              <w:keepLines w:val="0"/>
              <w:suppressLineNumbers w:val="0"/>
              <w:spacing w:before="0" w:beforeAutospacing="0" w:after="0" w:afterAutospacing="0" w:line="360" w:lineRule="auto"/>
              <w:ind w:left="0" w:right="0" w:firstLine="480"/>
              <w:rPr>
                <w:rFonts w:hint="default" w:ascii="T" w:hAnsi="T" w:cs="Times New Roman"/>
                <w:color w:val="auto"/>
                <w:sz w:val="24"/>
                <w:szCs w:val="24"/>
              </w:rPr>
            </w:pPr>
            <w:r>
              <w:rPr>
                <w:rFonts w:hint="default"/>
                <w:b/>
                <w:color w:val="auto"/>
              </w:rPr>
              <w:t>环评要求：建设单位必须加强管理，明确管理职责和委托管理职责，严禁就地焚烧建筑垃圾。</w:t>
            </w:r>
          </w:p>
          <w:p w14:paraId="7B8BE94A">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lang w:val="en-US" w:eastAsia="zh-CN"/>
              </w:rPr>
            </w:pPr>
            <w:r>
              <w:rPr>
                <w:rFonts w:hint="eastAsia" w:cs="Times New Roman"/>
                <w:color w:val="auto"/>
                <w:lang w:eastAsia="zh-CN"/>
              </w:rPr>
              <w:t>（</w:t>
            </w:r>
            <w:r>
              <w:rPr>
                <w:rFonts w:hint="eastAsia" w:cs="Times New Roman"/>
                <w:color w:val="auto"/>
                <w:lang w:val="en-US" w:eastAsia="zh-CN"/>
              </w:rPr>
              <w:t>3</w:t>
            </w:r>
            <w:r>
              <w:rPr>
                <w:rFonts w:hint="eastAsia" w:cs="Times New Roman"/>
                <w:color w:val="auto"/>
                <w:lang w:eastAsia="zh-CN"/>
              </w:rPr>
              <w:t>）</w:t>
            </w:r>
            <w:r>
              <w:rPr>
                <w:rFonts w:hint="eastAsia" w:cs="Times New Roman"/>
                <w:color w:val="auto"/>
                <w:lang w:val="en-US" w:eastAsia="zh-CN"/>
              </w:rPr>
              <w:t>生活垃圾</w:t>
            </w:r>
          </w:p>
          <w:p w14:paraId="2F06D344">
            <w:pPr>
              <w:keepNext w:val="0"/>
              <w:keepLines w:val="0"/>
              <w:suppressLineNumbers w:val="0"/>
              <w:spacing w:before="0" w:beforeAutospacing="0" w:after="0" w:afterAutospacing="0" w:line="360" w:lineRule="auto"/>
              <w:ind w:left="0" w:right="0" w:firstLine="480"/>
              <w:rPr>
                <w:rFonts w:hint="default" w:ascii="T" w:hAnsi="T" w:cs="Times New Roman"/>
                <w:color w:val="auto"/>
                <w:sz w:val="24"/>
                <w:szCs w:val="24"/>
              </w:rPr>
            </w:pPr>
            <w:r>
              <w:rPr>
                <w:rFonts w:hint="default" w:ascii="Times New Roman" w:hAnsi="Times New Roman" w:cs="Times New Roman"/>
                <w:color w:val="auto"/>
              </w:rPr>
              <w:t>本项目</w:t>
            </w:r>
            <w:r>
              <w:rPr>
                <w:rFonts w:hint="eastAsia" w:ascii="Times New Roman" w:hAnsi="Times New Roman" w:cs="Times New Roman"/>
                <w:color w:val="auto"/>
              </w:rPr>
              <w:t>施工人员均为当地居民，不涉及住宿</w:t>
            </w:r>
            <w:r>
              <w:rPr>
                <w:rFonts w:hint="default" w:ascii="Times New Roman" w:hAnsi="Times New Roman" w:cs="Times New Roman"/>
                <w:color w:val="auto"/>
              </w:rPr>
              <w:t>。项目施工人员及工地管理人员按最大估算约10人，按每人0.5kg/d计，则项目施工期生活垃圾产生量约5kg/d。</w:t>
            </w:r>
            <w:r>
              <w:rPr>
                <w:rFonts w:hint="default" w:ascii="T" w:hAnsi="T" w:cs="Times New Roman"/>
                <w:color w:val="auto"/>
                <w:sz w:val="24"/>
                <w:szCs w:val="24"/>
              </w:rPr>
              <w:t>生活垃圾</w:t>
            </w:r>
            <w:r>
              <w:rPr>
                <w:rFonts w:hint="eastAsia" w:ascii="T" w:hAnsi="T" w:cs="Times New Roman"/>
                <w:color w:val="auto"/>
                <w:sz w:val="24"/>
                <w:szCs w:val="24"/>
              </w:rPr>
              <w:t>袋装后交由当地环卫部门统一清运处理</w:t>
            </w:r>
            <w:r>
              <w:rPr>
                <w:rFonts w:hint="default" w:ascii="T" w:hAnsi="T" w:cs="Times New Roman"/>
                <w:color w:val="auto"/>
                <w:sz w:val="24"/>
                <w:szCs w:val="24"/>
              </w:rPr>
              <w:t>。</w:t>
            </w:r>
          </w:p>
          <w:p w14:paraId="033FFAF5">
            <w:pPr>
              <w:keepNext w:val="0"/>
              <w:keepLines w:val="0"/>
              <w:numPr>
                <w:ilvl w:val="0"/>
                <w:numId w:val="7"/>
              </w:numPr>
              <w:suppressLineNumbers w:val="0"/>
              <w:spacing w:before="0" w:beforeAutospacing="0" w:after="0" w:afterAutospacing="0" w:line="360" w:lineRule="auto"/>
              <w:ind w:left="0" w:right="0" w:firstLine="482" w:firstLineChars="200"/>
              <w:rPr>
                <w:rFonts w:hint="eastAsia" w:ascii="T" w:hAnsi="T" w:cs="Times New Roman"/>
                <w:b/>
                <w:color w:val="auto"/>
                <w:sz w:val="24"/>
                <w:szCs w:val="24"/>
                <w:lang w:val="en-US" w:eastAsia="zh-CN"/>
              </w:rPr>
            </w:pPr>
            <w:r>
              <w:rPr>
                <w:rFonts w:hint="eastAsia" w:ascii="T" w:hAnsi="T" w:cs="Times New Roman"/>
                <w:b/>
                <w:color w:val="auto"/>
                <w:sz w:val="24"/>
                <w:szCs w:val="24"/>
                <w:lang w:val="en-US" w:eastAsia="zh-CN"/>
              </w:rPr>
              <w:t>生态</w:t>
            </w:r>
          </w:p>
          <w:p w14:paraId="4582216C">
            <w:pPr>
              <w:keepNext w:val="0"/>
              <w:keepLines w:val="0"/>
              <w:suppressLineNumbers w:val="0"/>
              <w:spacing w:before="0" w:beforeAutospacing="0" w:after="0" w:afterAutospacing="0" w:line="360" w:lineRule="auto"/>
              <w:ind w:left="0" w:right="0" w:firstLine="480"/>
              <w:rPr>
                <w:rFonts w:hint="eastAsia" w:ascii="T" w:hAnsi="T" w:cs="Times New Roman"/>
                <w:color w:val="auto"/>
                <w:sz w:val="24"/>
                <w:szCs w:val="24"/>
              </w:rPr>
            </w:pPr>
            <w:r>
              <w:rPr>
                <w:rFonts w:hint="default"/>
                <w:color w:val="auto"/>
              </w:rPr>
              <w:t>项目建设施工期，由于在现有占地范围内建设，不新增用地，水土流失及生态影响较小。施工期间，施工单位应该</w:t>
            </w:r>
            <w:r>
              <w:rPr>
                <w:rFonts w:hint="eastAsia"/>
                <w:color w:val="auto"/>
                <w:lang w:eastAsia="zh-CN"/>
              </w:rPr>
              <w:t>尽可能地缩小</w:t>
            </w:r>
            <w:r>
              <w:rPr>
                <w:rFonts w:hint="default"/>
                <w:color w:val="auto"/>
              </w:rPr>
              <w:t>和控制施工范围，并将一切施工活动在施工范围内进行，避免对项目建设地周边生态环境造成影响</w:t>
            </w:r>
            <w:r>
              <w:rPr>
                <w:rFonts w:hint="eastAsia"/>
                <w:color w:val="auto"/>
                <w:lang w:eastAsia="zh-CN"/>
              </w:rPr>
              <w:t>，</w:t>
            </w:r>
            <w:r>
              <w:rPr>
                <w:rFonts w:hint="default"/>
                <w:color w:val="auto"/>
              </w:rPr>
              <w:t>施工期结束后尽快清理现场，可减小对生态环境的影响。</w:t>
            </w:r>
          </w:p>
          <w:p w14:paraId="79E410AA">
            <w:pPr>
              <w:keepNext w:val="0"/>
              <w:keepLines w:val="0"/>
              <w:suppressLineNumbers w:val="0"/>
              <w:spacing w:before="0" w:beforeAutospacing="0" w:after="0" w:afterAutospacing="0" w:line="360" w:lineRule="auto"/>
              <w:ind w:left="0" w:right="0" w:firstLine="480"/>
              <w:rPr>
                <w:rFonts w:hint="default" w:ascii="Times New Roman" w:hAnsi="Times New Roman" w:cs="Times New Roman"/>
                <w:b/>
                <w:color w:val="auto"/>
              </w:rPr>
            </w:pPr>
            <w:r>
              <w:rPr>
                <w:rFonts w:hint="eastAsia" w:ascii="T" w:hAnsi="T" w:cs="Times New Roman"/>
                <w:color w:val="auto"/>
                <w:sz w:val="24"/>
                <w:szCs w:val="24"/>
              </w:rPr>
              <w:t>综上，项目施工期较短，施工造成的影响是暂时的，将随着施工期结束而结束，</w:t>
            </w:r>
            <w:r>
              <w:rPr>
                <w:rFonts w:hint="eastAsia" w:ascii="T" w:hAnsi="T" w:cs="Times New Roman"/>
                <w:color w:val="auto"/>
                <w:sz w:val="24"/>
                <w:szCs w:val="24"/>
                <w:lang w:eastAsia="zh-CN"/>
              </w:rPr>
              <w:t>基本</w:t>
            </w:r>
            <w:r>
              <w:rPr>
                <w:rFonts w:hint="default" w:ascii="T" w:hAnsi="T" w:cs="Times New Roman"/>
                <w:color w:val="auto"/>
                <w:sz w:val="24"/>
                <w:szCs w:val="24"/>
              </w:rPr>
              <w:t>可以得到恢复。只要施工单位认真制定和严格落实工程施工期应该采取的环保对策措施，则</w:t>
            </w:r>
            <w:r>
              <w:rPr>
                <w:rFonts w:hint="eastAsia" w:ascii="T" w:hAnsi="T" w:cs="Times New Roman"/>
                <w:color w:val="auto"/>
                <w:sz w:val="24"/>
                <w:szCs w:val="24"/>
              </w:rPr>
              <w:t>施工</w:t>
            </w:r>
            <w:r>
              <w:rPr>
                <w:rFonts w:hint="default" w:ascii="T" w:hAnsi="T" w:cs="Times New Roman"/>
                <w:color w:val="auto"/>
                <w:sz w:val="24"/>
                <w:szCs w:val="24"/>
              </w:rPr>
              <w:t>对</w:t>
            </w:r>
            <w:r>
              <w:rPr>
                <w:rFonts w:hint="eastAsia" w:ascii="T" w:hAnsi="T" w:cs="Times New Roman"/>
                <w:color w:val="auto"/>
                <w:sz w:val="24"/>
                <w:szCs w:val="24"/>
              </w:rPr>
              <w:t>周围</w:t>
            </w:r>
            <w:r>
              <w:rPr>
                <w:rFonts w:hint="default" w:ascii="T" w:hAnsi="T" w:cs="Times New Roman"/>
                <w:color w:val="auto"/>
                <w:sz w:val="24"/>
                <w:szCs w:val="24"/>
              </w:rPr>
              <w:t>环境的影响可得到有效控制。</w:t>
            </w:r>
          </w:p>
        </w:tc>
      </w:tr>
      <w:tr w14:paraId="0C486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9" w:type="dxa"/>
            <w:tcBorders>
              <w:bottom w:val="single" w:color="auto" w:sz="4" w:space="0"/>
            </w:tcBorders>
            <w:noWrap w:val="0"/>
            <w:tcMar>
              <w:left w:w="28" w:type="dxa"/>
              <w:right w:w="28" w:type="dxa"/>
            </w:tcMar>
            <w:vAlign w:val="center"/>
          </w:tcPr>
          <w:p w14:paraId="3EA197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运营</w:t>
            </w:r>
          </w:p>
          <w:p w14:paraId="6F9A41A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期环</w:t>
            </w:r>
          </w:p>
          <w:p w14:paraId="01FE893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境影</w:t>
            </w:r>
          </w:p>
          <w:p w14:paraId="6251092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响和</w:t>
            </w:r>
          </w:p>
          <w:p w14:paraId="129C501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保护</w:t>
            </w:r>
          </w:p>
          <w:p w14:paraId="7E88609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rPr>
              <w:t>措施</w:t>
            </w:r>
          </w:p>
        </w:tc>
        <w:tc>
          <w:tcPr>
            <w:tcW w:w="8775" w:type="dxa"/>
            <w:tcBorders>
              <w:bottom w:val="single" w:color="auto" w:sz="4" w:space="0"/>
            </w:tcBorders>
            <w:noWrap w:val="0"/>
            <w:vAlign w:val="top"/>
          </w:tcPr>
          <w:p w14:paraId="5E47EAAC">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color w:val="auto"/>
              </w:rPr>
            </w:pPr>
            <w:r>
              <w:rPr>
                <w:rFonts w:hint="eastAsia" w:ascii="Times New Roman" w:hAnsi="Times New Roman" w:eastAsia="宋体" w:cs="Times New Roman"/>
                <w:b/>
                <w:color w:val="auto"/>
                <w:lang w:val="en-US" w:eastAsia="zh-CN"/>
              </w:rPr>
              <w:t>二、</w:t>
            </w:r>
            <w:r>
              <w:rPr>
                <w:rFonts w:hint="default" w:ascii="Times New Roman" w:hAnsi="Times New Roman" w:eastAsia="宋体" w:cs="Times New Roman"/>
                <w:b/>
                <w:color w:val="auto"/>
                <w:lang w:val="en-US" w:eastAsia="zh-CN"/>
              </w:rPr>
              <w:t>运营期污染物排放及治理措施</w:t>
            </w:r>
          </w:p>
          <w:p w14:paraId="1733371A">
            <w:pPr>
              <w:keepNext w:val="0"/>
              <w:keepLines w:val="0"/>
              <w:suppressLineNumbers w:val="0"/>
              <w:adjustRightInd w:val="0"/>
              <w:snapToGrid w:val="0"/>
              <w:spacing w:before="0" w:beforeAutospacing="0" w:after="0" w:afterAutospacing="0"/>
              <w:ind w:left="0" w:right="0" w:firstLine="482" w:firstLineChars="200"/>
              <w:rPr>
                <w:rFonts w:hint="eastAsia"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1</w:t>
            </w:r>
            <w:r>
              <w:rPr>
                <w:rFonts w:hint="eastAsia" w:ascii="Times New Roman" w:hAnsi="Times New Roman" w:cs="Times New Roman"/>
                <w:b/>
                <w:bCs/>
                <w:color w:val="auto"/>
              </w:rPr>
              <w:t>、</w:t>
            </w:r>
            <w:r>
              <w:rPr>
                <w:rFonts w:hint="default" w:ascii="Times New Roman" w:hAnsi="Times New Roman" w:cs="Times New Roman"/>
                <w:b/>
                <w:bCs/>
                <w:color w:val="auto"/>
              </w:rPr>
              <w:t>废</w:t>
            </w:r>
            <w:r>
              <w:rPr>
                <w:rFonts w:hint="eastAsia" w:ascii="Times New Roman" w:hAnsi="Times New Roman" w:cs="Times New Roman"/>
                <w:b/>
                <w:bCs/>
                <w:color w:val="auto"/>
                <w:lang w:val="en-US" w:eastAsia="zh-CN"/>
              </w:rPr>
              <w:t>水</w:t>
            </w:r>
          </w:p>
          <w:p w14:paraId="224048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 w:hAnsi="T" w:eastAsia="宋体" w:cs="Times New Roman"/>
                <w:color w:val="auto"/>
                <w:sz w:val="24"/>
                <w:szCs w:val="24"/>
              </w:rPr>
            </w:pPr>
            <w:r>
              <w:rPr>
                <w:rFonts w:hint="eastAsia" w:ascii="T" w:hAnsi="T" w:eastAsia="宋体" w:cs="Times New Roman"/>
                <w:color w:val="auto"/>
                <w:sz w:val="24"/>
                <w:szCs w:val="24"/>
                <w:lang w:val="en-US" w:eastAsia="zh-CN"/>
              </w:rPr>
              <w:t>本项目废水主要为员工的生活污水和生产废水。</w:t>
            </w:r>
          </w:p>
          <w:p w14:paraId="3F6AD1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2" w:firstLineChars="200"/>
              <w:jc w:val="left"/>
              <w:textAlignment w:val="auto"/>
              <w:rPr>
                <w:rFonts w:hint="eastAsia" w:ascii="T" w:hAnsi="T" w:eastAsia="宋体" w:cs="Times New Roman"/>
                <w:color w:val="auto"/>
                <w:sz w:val="24"/>
                <w:szCs w:val="24"/>
                <w:lang w:val="en-US" w:eastAsia="zh-CN"/>
              </w:rPr>
            </w:pPr>
            <w:r>
              <w:rPr>
                <w:rFonts w:hint="eastAsia" w:ascii="T" w:hAnsi="T" w:eastAsia="宋体" w:cs="Times New Roman"/>
                <w:b/>
                <w:bCs/>
                <w:color w:val="auto"/>
                <w:sz w:val="24"/>
                <w:szCs w:val="24"/>
                <w:lang w:val="en-US" w:eastAsia="zh-CN"/>
              </w:rPr>
              <w:t>①生活污水</w:t>
            </w:r>
          </w:p>
          <w:p w14:paraId="45D50A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 w:hAnsi="T" w:eastAsia="宋体" w:cs="Times New Roman"/>
                <w:color w:val="auto"/>
                <w:sz w:val="24"/>
                <w:szCs w:val="24"/>
                <w:lang w:val="en-US" w:eastAsia="zh-CN"/>
              </w:rPr>
            </w:pPr>
            <w:r>
              <w:rPr>
                <w:rFonts w:hint="eastAsia" w:ascii="Times New Roman" w:hAnsi="Times New Roman" w:cs="Times New Roman"/>
                <w:color w:val="auto"/>
              </w:rPr>
              <w:t>本项目</w:t>
            </w:r>
            <w:r>
              <w:rPr>
                <w:rFonts w:hint="eastAsia" w:ascii="Times New Roman" w:hAnsi="Times New Roman" w:cs="Times New Roman"/>
                <w:color w:val="auto"/>
                <w:lang w:val="en-US" w:eastAsia="zh-CN"/>
              </w:rPr>
              <w:t>不设置宿舍及</w:t>
            </w:r>
            <w:r>
              <w:rPr>
                <w:rFonts w:hint="eastAsia" w:ascii="Times New Roman" w:hAnsi="Times New Roman" w:cs="Times New Roman"/>
                <w:color w:val="auto"/>
              </w:rPr>
              <w:t>员工食堂，厂区内员工人数</w:t>
            </w:r>
            <w:r>
              <w:rPr>
                <w:rFonts w:hint="eastAsia" w:ascii="Times New Roman" w:hAnsi="Times New Roman" w:cs="Times New Roman"/>
                <w:color w:val="auto"/>
                <w:lang w:val="en-US" w:eastAsia="zh-CN"/>
              </w:rPr>
              <w:t>20</w:t>
            </w:r>
            <w:r>
              <w:rPr>
                <w:rFonts w:hint="eastAsia" w:ascii="Times New Roman" w:hAnsi="Times New Roman" w:cs="Times New Roman"/>
                <w:color w:val="auto"/>
              </w:rPr>
              <w:t>人</w:t>
            </w:r>
            <w:r>
              <w:rPr>
                <w:rFonts w:hint="default" w:ascii="Times New Roman" w:hAnsi="Times New Roman" w:cs="Times New Roman"/>
                <w:color w:val="auto"/>
              </w:rPr>
              <w:t>，生活用水量为</w:t>
            </w:r>
            <w:r>
              <w:rPr>
                <w:rFonts w:hint="eastAsia" w:ascii="Times New Roman" w:hAnsi="Times New Roman" w:cs="Times New Roman"/>
                <w:color w:val="auto"/>
                <w:lang w:val="en-US" w:eastAsia="zh-CN"/>
              </w:rPr>
              <w:t>2</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lang w:val="en-US" w:eastAsia="zh-CN"/>
              </w:rPr>
              <w:t>600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r>
              <w:rPr>
                <w:rFonts w:hint="eastAsia" w:ascii="Times New Roman" w:hAnsi="Times New Roman" w:cs="Times New Roman"/>
                <w:color w:val="auto"/>
              </w:rPr>
              <w:t>，</w:t>
            </w:r>
            <w:r>
              <w:rPr>
                <w:rFonts w:hint="eastAsia" w:cs="Times New Roman"/>
                <w:color w:val="auto"/>
                <w:lang w:eastAsia="zh-CN"/>
              </w:rPr>
              <w:t>生活污水</w:t>
            </w:r>
            <w:r>
              <w:rPr>
                <w:rFonts w:hint="eastAsia" w:ascii="Times New Roman" w:hAnsi="Times New Roman" w:cs="Times New Roman"/>
                <w:color w:val="auto"/>
              </w:rPr>
              <w:t>按排污系数按用水量的</w:t>
            </w:r>
            <w:r>
              <w:rPr>
                <w:rFonts w:hint="default" w:ascii="Times New Roman" w:hAnsi="Times New Roman" w:cs="Times New Roman"/>
                <w:color w:val="auto"/>
              </w:rPr>
              <w:t>80%</w:t>
            </w:r>
            <w:r>
              <w:rPr>
                <w:rFonts w:hint="eastAsia" w:ascii="Times New Roman" w:hAnsi="Times New Roman" w:cs="Times New Roman"/>
                <w:color w:val="auto"/>
              </w:rPr>
              <w:t>计算，</w:t>
            </w:r>
            <w:r>
              <w:rPr>
                <w:rFonts w:hint="eastAsia" w:cs="Times New Roman"/>
                <w:color w:val="auto"/>
                <w:lang w:eastAsia="zh-CN"/>
              </w:rPr>
              <w:t>生活污水</w:t>
            </w:r>
            <w:r>
              <w:rPr>
                <w:rFonts w:hint="eastAsia" w:ascii="Times New Roman" w:hAnsi="Times New Roman" w:cs="Times New Roman"/>
                <w:color w:val="auto"/>
              </w:rPr>
              <w:t>产生量为1.</w:t>
            </w:r>
            <w:r>
              <w:rPr>
                <w:rFonts w:hint="eastAsia" w:ascii="Times New Roman" w:hAnsi="Times New Roman" w:cs="Times New Roman"/>
                <w:color w:val="auto"/>
                <w:lang w:val="en-US" w:eastAsia="zh-CN"/>
              </w:rPr>
              <w:t>6</w:t>
            </w:r>
            <w:r>
              <w:rPr>
                <w:rFonts w:hint="default" w:ascii="Times New Roman" w:hAnsi="Times New Roman" w:cs="Times New Roman"/>
                <w:color w:val="auto"/>
              </w:rPr>
              <w:t>m³/d</w:t>
            </w:r>
            <w:r>
              <w:rPr>
                <w:rFonts w:hint="eastAsia" w:ascii="Times New Roman" w:hAnsi="Times New Roman" w:cs="Times New Roman"/>
                <w:color w:val="auto"/>
              </w:rPr>
              <w:t>，</w:t>
            </w:r>
            <w:r>
              <w:rPr>
                <w:rFonts w:hint="eastAsia" w:ascii="Times New Roman" w:hAnsi="Times New Roman" w:cs="Times New Roman"/>
                <w:color w:val="auto"/>
                <w:lang w:val="en-US" w:eastAsia="zh-CN"/>
              </w:rPr>
              <w:t>480</w:t>
            </w:r>
            <w:r>
              <w:rPr>
                <w:rFonts w:hint="default" w:ascii="Times New Roman" w:hAnsi="Times New Roman" w:cs="Times New Roman"/>
                <w:color w:val="auto"/>
              </w:rPr>
              <w:t>m³/a</w:t>
            </w:r>
            <w:r>
              <w:rPr>
                <w:rFonts w:hint="eastAsia" w:ascii="Times New Roman" w:hAnsi="Times New Roman" w:cs="Times New Roman"/>
                <w:color w:val="auto"/>
              </w:rPr>
              <w:t>，</w:t>
            </w:r>
            <w:r>
              <w:rPr>
                <w:rFonts w:hint="default" w:ascii="Times New Roman" w:hAnsi="Times New Roman" w:cs="Times New Roman"/>
                <w:color w:val="auto"/>
              </w:rPr>
              <w:t>主要污染物浓度分别为</w:t>
            </w:r>
            <w:r>
              <w:rPr>
                <w:rFonts w:hint="default" w:ascii="Times New Roman" w:hAnsi="Times New Roman" w:eastAsia="Times New Roman" w:cs="Times New Roman"/>
                <w:color w:val="auto"/>
              </w:rPr>
              <w:t>COD</w:t>
            </w:r>
            <w:r>
              <w:rPr>
                <w:rFonts w:hint="default" w:ascii="Times New Roman" w:hAnsi="Times New Roman" w:cs="Times New Roman"/>
                <w:color w:val="auto"/>
              </w:rPr>
              <w:t>：50</w:t>
            </w:r>
            <w:r>
              <w:rPr>
                <w:rFonts w:hint="default" w:ascii="Times New Roman" w:hAnsi="Times New Roman" w:eastAsia="Times New Roman" w:cs="Times New Roman"/>
                <w:color w:val="auto"/>
              </w:rPr>
              <w:t>0mg/L</w:t>
            </w:r>
            <w:r>
              <w:rPr>
                <w:rFonts w:hint="default" w:ascii="Times New Roman" w:hAnsi="Times New Roman" w:cs="Times New Roman"/>
                <w:color w:val="auto"/>
              </w:rPr>
              <w:t>、B</w:t>
            </w:r>
            <w:r>
              <w:rPr>
                <w:rFonts w:hint="default" w:ascii="Times New Roman" w:hAnsi="Times New Roman" w:eastAsia="Times New Roman" w:cs="Times New Roman"/>
                <w:color w:val="auto"/>
              </w:rPr>
              <w:t>OD</w:t>
            </w:r>
            <w:r>
              <w:rPr>
                <w:rFonts w:hint="default" w:ascii="Times New Roman" w:hAnsi="Times New Roman" w:cs="Times New Roman"/>
                <w:color w:val="auto"/>
                <w:vertAlign w:val="subscript"/>
              </w:rPr>
              <w:t>5</w:t>
            </w:r>
            <w:r>
              <w:rPr>
                <w:rFonts w:hint="default" w:ascii="Times New Roman" w:hAnsi="Times New Roman" w:cs="Times New Roman"/>
                <w:color w:val="auto"/>
              </w:rPr>
              <w:t>：30</w:t>
            </w:r>
            <w:r>
              <w:rPr>
                <w:rFonts w:hint="default" w:ascii="Times New Roman" w:hAnsi="Times New Roman" w:eastAsia="Times New Roman" w:cs="Times New Roman"/>
                <w:color w:val="auto"/>
              </w:rPr>
              <w:t>0mg/L</w:t>
            </w:r>
            <w:r>
              <w:rPr>
                <w:rFonts w:hint="default" w:ascii="Times New Roman" w:hAnsi="Times New Roman" w:cs="Times New Roman"/>
                <w:color w:val="auto"/>
              </w:rPr>
              <w:t>、</w:t>
            </w:r>
            <w:r>
              <w:rPr>
                <w:rFonts w:hint="default" w:ascii="Times New Roman" w:hAnsi="Times New Roman" w:eastAsia="Times New Roman" w:cs="Times New Roman"/>
                <w:color w:val="auto"/>
              </w:rPr>
              <w:t>SS</w:t>
            </w:r>
            <w:r>
              <w:rPr>
                <w:rFonts w:hint="default" w:ascii="Times New Roman" w:hAnsi="Times New Roman" w:cs="Times New Roman"/>
                <w:color w:val="auto"/>
              </w:rPr>
              <w:t>：30</w:t>
            </w:r>
            <w:r>
              <w:rPr>
                <w:rFonts w:hint="default" w:ascii="Times New Roman" w:hAnsi="Times New Roman" w:eastAsia="Times New Roman" w:cs="Times New Roman"/>
                <w:color w:val="auto"/>
              </w:rPr>
              <w:t>0mg/L</w:t>
            </w:r>
            <w:r>
              <w:rPr>
                <w:rFonts w:hint="default" w:ascii="Times New Roman" w:hAnsi="Times New Roman" w:cs="Times New Roman"/>
                <w:color w:val="auto"/>
              </w:rPr>
              <w:t>、氨氮：</w:t>
            </w:r>
            <w:r>
              <w:rPr>
                <w:rFonts w:hint="eastAsia" w:ascii="Times New Roman" w:hAnsi="Times New Roman" w:eastAsia="宋体" w:cs="Times New Roman"/>
                <w:color w:val="auto"/>
                <w:lang w:val="en-US" w:eastAsia="zh-CN"/>
              </w:rPr>
              <w:t>45</w:t>
            </w:r>
            <w:r>
              <w:rPr>
                <w:rFonts w:hint="default" w:ascii="Times New Roman" w:hAnsi="Times New Roman" w:eastAsia="Times New Roman" w:cs="Times New Roman"/>
                <w:color w:val="auto"/>
              </w:rPr>
              <w:t>mg/L</w:t>
            </w:r>
            <w:r>
              <w:rPr>
                <w:rFonts w:hint="default" w:ascii="Times New Roman" w:hAnsi="Times New Roman" w:cs="Times New Roman"/>
                <w:color w:val="auto"/>
              </w:rPr>
              <w:t>、总磷：6</w:t>
            </w:r>
            <w:r>
              <w:rPr>
                <w:rFonts w:hint="default" w:ascii="Times New Roman" w:hAnsi="Times New Roman" w:eastAsia="Times New Roman" w:cs="Times New Roman"/>
                <w:color w:val="auto"/>
              </w:rPr>
              <w:t>mg/L</w:t>
            </w:r>
            <w:r>
              <w:rPr>
                <w:rFonts w:hint="default" w:ascii="Times New Roman" w:hAnsi="Times New Roman" w:cs="Times New Roman"/>
                <w:color w:val="auto"/>
              </w:rPr>
              <w:t>。</w:t>
            </w:r>
          </w:p>
          <w:p w14:paraId="1DC30C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2"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处置措施：</w:t>
            </w:r>
            <w:r>
              <w:rPr>
                <w:rFonts w:hint="default" w:ascii="Times New Roman" w:hAnsi="Times New Roman" w:cs="Times New Roman"/>
                <w:bCs/>
                <w:color w:val="auto"/>
                <w:kern w:val="0"/>
              </w:rPr>
              <w:t>经</w:t>
            </w:r>
            <w:r>
              <w:rPr>
                <w:rFonts w:hint="eastAsia" w:cs="Times New Roman"/>
                <w:color w:val="auto"/>
                <w:kern w:val="0"/>
                <w:lang w:eastAsia="zh-CN"/>
              </w:rPr>
              <w:t>中通建材公司</w:t>
            </w:r>
            <w:r>
              <w:rPr>
                <w:rFonts w:hint="default" w:ascii="Times New Roman" w:hAnsi="Times New Roman" w:cs="Times New Roman"/>
                <w:color w:val="auto"/>
              </w:rPr>
              <w:t>厂区</w:t>
            </w:r>
            <w:r>
              <w:rPr>
                <w:rFonts w:hint="eastAsia" w:ascii="Times New Roman" w:hAnsi="Times New Roman" w:cs="Times New Roman"/>
                <w:color w:val="auto"/>
              </w:rPr>
              <w:t>已建</w:t>
            </w:r>
            <w:r>
              <w:rPr>
                <w:rFonts w:hint="default" w:ascii="Times New Roman" w:hAnsi="Times New Roman" w:cs="Times New Roman"/>
                <w:color w:val="auto"/>
              </w:rPr>
              <w:t>预处理池</w:t>
            </w:r>
            <w:r>
              <w:rPr>
                <w:rFonts w:hint="default" w:ascii="Times New Roman" w:hAnsi="Times New Roman" w:cs="Times New Roman"/>
                <w:color w:val="auto"/>
                <w:spacing w:val="-6"/>
              </w:rPr>
              <w:t>（</w:t>
            </w:r>
            <w:r>
              <w:rPr>
                <w:rFonts w:hint="eastAsia" w:cs="Times New Roman"/>
                <w:color w:val="auto"/>
                <w:spacing w:val="-6"/>
                <w:lang w:val="en-US" w:eastAsia="zh-CN"/>
              </w:rPr>
              <w:t>2</w:t>
            </w:r>
            <w:r>
              <w:rPr>
                <w:rFonts w:hint="eastAsia" w:ascii="Times New Roman" w:hAnsi="Times New Roman" w:cs="Times New Roman"/>
                <w:color w:val="auto"/>
                <w:spacing w:val="-6"/>
              </w:rPr>
              <w:t>5</w:t>
            </w:r>
            <w:r>
              <w:rPr>
                <w:rFonts w:hint="default" w:ascii="Times New Roman" w:hAnsi="Times New Roman" w:cs="Times New Roman"/>
                <w:color w:val="auto"/>
                <w:spacing w:val="-6"/>
              </w:rPr>
              <w:t>m</w:t>
            </w:r>
            <w:r>
              <w:rPr>
                <w:rFonts w:hint="default" w:ascii="Times New Roman" w:hAnsi="Times New Roman" w:cs="Times New Roman"/>
                <w:color w:val="auto"/>
                <w:spacing w:val="-6"/>
                <w:vertAlign w:val="superscript"/>
              </w:rPr>
              <w:t>3</w:t>
            </w:r>
            <w:r>
              <w:rPr>
                <w:rFonts w:hint="default" w:ascii="Times New Roman" w:hAnsi="Times New Roman" w:cs="Times New Roman"/>
                <w:color w:val="auto"/>
                <w:spacing w:val="-6"/>
              </w:rPr>
              <w:t>）</w:t>
            </w:r>
            <w:r>
              <w:rPr>
                <w:rFonts w:hint="default" w:ascii="Times New Roman" w:hAnsi="Times New Roman" w:cs="Times New Roman"/>
                <w:color w:val="auto"/>
              </w:rPr>
              <w:t>处理达《污水综合排放标准》（GB8978-1996）三级标准后，排入园区污水管网，进入</w:t>
            </w:r>
            <w:r>
              <w:rPr>
                <w:rFonts w:hint="eastAsia" w:ascii="Times New Roman" w:hAnsi="Times New Roman" w:cs="Times New Roman"/>
                <w:color w:val="auto"/>
                <w:lang w:eastAsia="zh-CN"/>
              </w:rPr>
              <w:t>蓬溪县</w:t>
            </w:r>
            <w:r>
              <w:rPr>
                <w:rFonts w:hint="eastAsia" w:ascii="Times New Roman" w:hAnsi="Times New Roman" w:cs="Times New Roman"/>
                <w:color w:val="auto"/>
              </w:rPr>
              <w:t>经济开发区废水处理厂</w:t>
            </w:r>
            <w:r>
              <w:rPr>
                <w:rFonts w:hint="default" w:ascii="Times New Roman" w:hAnsi="Times New Roman" w:cs="Times New Roman"/>
                <w:color w:val="auto"/>
              </w:rPr>
              <w:t>处理达《城镇污水处理厂污染物排放标准》（GB18918-2002）一级A标后最终排入芝溪河</w:t>
            </w:r>
            <w:r>
              <w:rPr>
                <w:rFonts w:hint="eastAsia" w:ascii="Times New Roman" w:hAnsi="Times New Roman" w:cs="Times New Roman"/>
                <w:color w:val="auto"/>
              </w:rPr>
              <w:t>。</w:t>
            </w:r>
          </w:p>
          <w:p w14:paraId="1EF0E3E6">
            <w:pPr>
              <w:pStyle w:val="85"/>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表4-</w:t>
            </w:r>
            <w:r>
              <w:rPr>
                <w:rFonts w:hint="eastAsia" w:ascii="Times New Roman" w:hAnsi="Times New Roman" w:cs="Times New Roman"/>
                <w:color w:val="auto"/>
                <w:lang w:val="en-US" w:eastAsia="zh-CN"/>
              </w:rPr>
              <w:t>1</w:t>
            </w:r>
            <w:r>
              <w:rPr>
                <w:rFonts w:hint="default" w:ascii="Times New Roman" w:hAnsi="Times New Roman" w:cs="Times New Roman"/>
                <w:color w:val="auto"/>
              </w:rPr>
              <w:t xml:space="preserve">  </w:t>
            </w:r>
            <w:r>
              <w:rPr>
                <w:rFonts w:hint="eastAsia" w:ascii="Times New Roman" w:hAnsi="Times New Roman" w:cs="Times New Roman"/>
                <w:color w:val="auto"/>
              </w:rPr>
              <w:t>厂区内生活</w:t>
            </w:r>
            <w:r>
              <w:rPr>
                <w:rFonts w:hint="eastAsia" w:ascii="Times New Roman" w:hAnsi="Times New Roman" w:cs="Times New Roman"/>
                <w:color w:val="auto"/>
                <w:lang w:val="en-US" w:eastAsia="zh-CN"/>
              </w:rPr>
              <w:t>污水</w:t>
            </w:r>
            <w:r>
              <w:rPr>
                <w:rFonts w:hint="default" w:ascii="Times New Roman" w:hAnsi="Times New Roman" w:cs="Times New Roman"/>
                <w:color w:val="auto"/>
              </w:rPr>
              <w:t>产生源强以及排放情况</w:t>
            </w:r>
          </w:p>
          <w:tbl>
            <w:tblPr>
              <w:tblStyle w:val="28"/>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41"/>
              <w:gridCol w:w="1518"/>
              <w:gridCol w:w="1046"/>
              <w:gridCol w:w="765"/>
              <w:gridCol w:w="984"/>
              <w:gridCol w:w="907"/>
              <w:gridCol w:w="844"/>
              <w:gridCol w:w="949"/>
            </w:tblGrid>
            <w:tr w14:paraId="6B55F2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7" w:type="pct"/>
                  <w:gridSpan w:val="2"/>
                  <w:noWrap w:val="0"/>
                  <w:tcMar>
                    <w:top w:w="15" w:type="dxa"/>
                    <w:left w:w="15" w:type="dxa"/>
                    <w:right w:w="15" w:type="dxa"/>
                  </w:tcMar>
                  <w:vAlign w:val="center"/>
                </w:tcPr>
                <w:p w14:paraId="15F848EC">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废水性质</w:t>
                  </w:r>
                </w:p>
              </w:tc>
              <w:tc>
                <w:tcPr>
                  <w:tcW w:w="611" w:type="pct"/>
                  <w:noWrap w:val="0"/>
                  <w:tcMar>
                    <w:top w:w="15" w:type="dxa"/>
                    <w:left w:w="15" w:type="dxa"/>
                    <w:right w:w="15" w:type="dxa"/>
                  </w:tcMar>
                  <w:vAlign w:val="center"/>
                </w:tcPr>
                <w:p w14:paraId="792C3463">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废水量（m</w:t>
                  </w:r>
                  <w:r>
                    <w:rPr>
                      <w:rStyle w:val="90"/>
                      <w:color w:val="auto"/>
                      <w:lang w:bidi="ar"/>
                    </w:rPr>
                    <w:t>3</w:t>
                  </w:r>
                  <w:r>
                    <w:rPr>
                      <w:rStyle w:val="91"/>
                      <w:color w:val="auto"/>
                      <w:lang w:bidi="ar"/>
                    </w:rPr>
                    <w:t>/a</w:t>
                  </w:r>
                  <w:r>
                    <w:rPr>
                      <w:rStyle w:val="92"/>
                      <w:color w:val="auto"/>
                      <w:vertAlign w:val="baseline"/>
                      <w:lang w:bidi="ar"/>
                    </w:rPr>
                    <w:t>）</w:t>
                  </w:r>
                </w:p>
              </w:tc>
              <w:tc>
                <w:tcPr>
                  <w:tcW w:w="447" w:type="pct"/>
                  <w:noWrap w:val="0"/>
                  <w:tcMar>
                    <w:top w:w="15" w:type="dxa"/>
                    <w:left w:w="15" w:type="dxa"/>
                    <w:right w:w="15" w:type="dxa"/>
                  </w:tcMar>
                  <w:vAlign w:val="center"/>
                </w:tcPr>
                <w:p w14:paraId="088D943F">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b/>
                      <w:color w:val="auto"/>
                      <w:kern w:val="2"/>
                      <w:sz w:val="21"/>
                      <w:szCs w:val="21"/>
                      <w:lang w:val="en-US" w:eastAsia="zh-CN" w:bidi="ar-SA"/>
                    </w:rPr>
                  </w:pPr>
                  <w:r>
                    <w:rPr>
                      <w:rFonts w:hint="default" w:ascii="Times New Roman" w:hAnsi="Times New Roman" w:cs="Times New Roman"/>
                      <w:b/>
                      <w:color w:val="auto"/>
                      <w:kern w:val="0"/>
                      <w:sz w:val="21"/>
                      <w:szCs w:val="21"/>
                      <w:lang w:bidi="ar"/>
                    </w:rPr>
                    <w:t>COD</w:t>
                  </w:r>
                </w:p>
              </w:tc>
              <w:tc>
                <w:tcPr>
                  <w:tcW w:w="575" w:type="pct"/>
                  <w:noWrap w:val="0"/>
                  <w:tcMar>
                    <w:top w:w="15" w:type="dxa"/>
                    <w:left w:w="15" w:type="dxa"/>
                    <w:right w:w="15" w:type="dxa"/>
                  </w:tcMar>
                  <w:vAlign w:val="center"/>
                </w:tcPr>
                <w:p w14:paraId="62A208C0">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b/>
                      <w:color w:val="auto"/>
                      <w:kern w:val="2"/>
                      <w:sz w:val="21"/>
                      <w:szCs w:val="21"/>
                      <w:lang w:val="en-US" w:eastAsia="zh-CN" w:bidi="ar-SA"/>
                    </w:rPr>
                  </w:pPr>
                  <w:r>
                    <w:rPr>
                      <w:rFonts w:hint="default" w:ascii="Times New Roman" w:hAnsi="Times New Roman" w:cs="Times New Roman"/>
                      <w:b/>
                      <w:color w:val="auto"/>
                      <w:kern w:val="0"/>
                      <w:sz w:val="21"/>
                      <w:szCs w:val="21"/>
                      <w:lang w:bidi="ar"/>
                    </w:rPr>
                    <w:t>BOD</w:t>
                  </w:r>
                  <w:r>
                    <w:rPr>
                      <w:rStyle w:val="93"/>
                      <w:color w:val="auto"/>
                      <w:sz w:val="21"/>
                      <w:szCs w:val="21"/>
                      <w:lang w:bidi="ar"/>
                    </w:rPr>
                    <w:t>5</w:t>
                  </w:r>
                </w:p>
              </w:tc>
              <w:tc>
                <w:tcPr>
                  <w:tcW w:w="530" w:type="pct"/>
                  <w:noWrap w:val="0"/>
                  <w:tcMar>
                    <w:top w:w="15" w:type="dxa"/>
                    <w:left w:w="15" w:type="dxa"/>
                    <w:right w:w="15" w:type="dxa"/>
                  </w:tcMar>
                  <w:vAlign w:val="center"/>
                </w:tcPr>
                <w:p w14:paraId="78D66E7F">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SS</w:t>
                  </w:r>
                </w:p>
              </w:tc>
              <w:tc>
                <w:tcPr>
                  <w:tcW w:w="493" w:type="pct"/>
                  <w:noWrap w:val="0"/>
                  <w:tcMar>
                    <w:top w:w="15" w:type="dxa"/>
                    <w:left w:w="15" w:type="dxa"/>
                    <w:right w:w="15" w:type="dxa"/>
                  </w:tcMar>
                  <w:vAlign w:val="center"/>
                </w:tcPr>
                <w:p w14:paraId="381725B9">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NH</w:t>
                  </w:r>
                  <w:r>
                    <w:rPr>
                      <w:rStyle w:val="93"/>
                      <w:color w:val="auto"/>
                      <w:sz w:val="21"/>
                      <w:szCs w:val="21"/>
                      <w:lang w:bidi="ar"/>
                    </w:rPr>
                    <w:t>3</w:t>
                  </w:r>
                  <w:r>
                    <w:rPr>
                      <w:rStyle w:val="91"/>
                      <w:color w:val="auto"/>
                      <w:lang w:bidi="ar"/>
                    </w:rPr>
                    <w:t>-N</w:t>
                  </w:r>
                </w:p>
              </w:tc>
              <w:tc>
                <w:tcPr>
                  <w:tcW w:w="554" w:type="pct"/>
                  <w:noWrap w:val="0"/>
                  <w:tcMar>
                    <w:top w:w="15" w:type="dxa"/>
                    <w:left w:w="15" w:type="dxa"/>
                    <w:right w:w="15" w:type="dxa"/>
                  </w:tcMar>
                  <w:vAlign w:val="center"/>
                </w:tcPr>
                <w:p w14:paraId="11867FAA">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TP</w:t>
                  </w:r>
                </w:p>
              </w:tc>
            </w:tr>
            <w:tr w14:paraId="748A8A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00" w:type="pct"/>
                  <w:vMerge w:val="restart"/>
                  <w:noWrap w:val="0"/>
                  <w:tcMar>
                    <w:top w:w="15" w:type="dxa"/>
                    <w:left w:w="15" w:type="dxa"/>
                    <w:right w:w="15" w:type="dxa"/>
                  </w:tcMar>
                  <w:vAlign w:val="center"/>
                </w:tcPr>
                <w:p w14:paraId="46439E49">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预处理池处理前</w:t>
                  </w:r>
                </w:p>
              </w:tc>
              <w:tc>
                <w:tcPr>
                  <w:tcW w:w="886" w:type="pct"/>
                  <w:noWrap w:val="0"/>
                  <w:tcMar>
                    <w:top w:w="15" w:type="dxa"/>
                    <w:left w:w="15" w:type="dxa"/>
                    <w:right w:w="15" w:type="dxa"/>
                  </w:tcMar>
                  <w:vAlign w:val="center"/>
                </w:tcPr>
                <w:p w14:paraId="175BF5FC">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浓度（mg/L</w:t>
                  </w:r>
                  <w:r>
                    <w:rPr>
                      <w:rStyle w:val="88"/>
                      <w:color w:val="auto"/>
                      <w:sz w:val="21"/>
                      <w:szCs w:val="21"/>
                      <w:lang w:bidi="ar"/>
                    </w:rPr>
                    <w:t>）</w:t>
                  </w:r>
                </w:p>
              </w:tc>
              <w:tc>
                <w:tcPr>
                  <w:tcW w:w="611" w:type="pct"/>
                  <w:vMerge w:val="restart"/>
                  <w:noWrap w:val="0"/>
                  <w:tcMar>
                    <w:top w:w="15" w:type="dxa"/>
                    <w:left w:w="15" w:type="dxa"/>
                    <w:right w:w="15" w:type="dxa"/>
                  </w:tcMar>
                  <w:vAlign w:val="center"/>
                </w:tcPr>
                <w:p w14:paraId="32002269">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
                    </w:rPr>
                    <w:t>480</w:t>
                  </w:r>
                </w:p>
              </w:tc>
              <w:tc>
                <w:tcPr>
                  <w:tcW w:w="757" w:type="dxa"/>
                  <w:noWrap w:val="0"/>
                  <w:tcMar>
                    <w:top w:w="15" w:type="dxa"/>
                    <w:left w:w="15" w:type="dxa"/>
                    <w:right w:w="15" w:type="dxa"/>
                  </w:tcMar>
                  <w:vAlign w:val="center"/>
                </w:tcPr>
                <w:p w14:paraId="5EC91367">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500</w:t>
                  </w:r>
                </w:p>
              </w:tc>
              <w:tc>
                <w:tcPr>
                  <w:tcW w:w="972" w:type="dxa"/>
                  <w:noWrap w:val="0"/>
                  <w:tcMar>
                    <w:top w:w="15" w:type="dxa"/>
                    <w:left w:w="15" w:type="dxa"/>
                    <w:right w:w="15" w:type="dxa"/>
                  </w:tcMar>
                  <w:vAlign w:val="center"/>
                </w:tcPr>
                <w:p w14:paraId="3ACE892A">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300</w:t>
                  </w:r>
                </w:p>
              </w:tc>
              <w:tc>
                <w:tcPr>
                  <w:tcW w:w="896" w:type="dxa"/>
                  <w:noWrap w:val="0"/>
                  <w:tcMar>
                    <w:top w:w="15" w:type="dxa"/>
                    <w:left w:w="15" w:type="dxa"/>
                    <w:right w:w="15" w:type="dxa"/>
                  </w:tcMar>
                  <w:vAlign w:val="center"/>
                </w:tcPr>
                <w:p w14:paraId="2D2B5A9F">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300</w:t>
                  </w:r>
                </w:p>
              </w:tc>
              <w:tc>
                <w:tcPr>
                  <w:tcW w:w="834" w:type="dxa"/>
                  <w:noWrap w:val="0"/>
                  <w:tcMar>
                    <w:top w:w="15" w:type="dxa"/>
                    <w:left w:w="15" w:type="dxa"/>
                    <w:right w:w="15" w:type="dxa"/>
                  </w:tcMar>
                  <w:vAlign w:val="center"/>
                </w:tcPr>
                <w:p w14:paraId="15BEF0C6">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45</w:t>
                  </w:r>
                </w:p>
              </w:tc>
              <w:tc>
                <w:tcPr>
                  <w:tcW w:w="937" w:type="dxa"/>
                  <w:noWrap w:val="0"/>
                  <w:tcMar>
                    <w:top w:w="15" w:type="dxa"/>
                    <w:left w:w="15" w:type="dxa"/>
                    <w:right w:w="15" w:type="dxa"/>
                  </w:tcMar>
                  <w:vAlign w:val="center"/>
                </w:tcPr>
                <w:p w14:paraId="6519834E">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w:t>
                  </w:r>
                </w:p>
              </w:tc>
            </w:tr>
            <w:tr w14:paraId="7A4335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00" w:type="pct"/>
                  <w:vMerge w:val="continue"/>
                  <w:noWrap w:val="0"/>
                  <w:tcMar>
                    <w:top w:w="15" w:type="dxa"/>
                    <w:left w:w="15" w:type="dxa"/>
                    <w:right w:w="15" w:type="dxa"/>
                  </w:tcMar>
                  <w:vAlign w:val="center"/>
                </w:tcPr>
                <w:p w14:paraId="7AEF09D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886" w:type="pct"/>
                  <w:noWrap w:val="0"/>
                  <w:tcMar>
                    <w:top w:w="15" w:type="dxa"/>
                    <w:left w:w="15" w:type="dxa"/>
                    <w:right w:w="15" w:type="dxa"/>
                  </w:tcMar>
                  <w:vAlign w:val="center"/>
                </w:tcPr>
                <w:p w14:paraId="00BF5993">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产生量（t/a</w:t>
                  </w:r>
                  <w:r>
                    <w:rPr>
                      <w:rStyle w:val="88"/>
                      <w:color w:val="auto"/>
                      <w:sz w:val="21"/>
                      <w:szCs w:val="21"/>
                      <w:lang w:bidi="ar"/>
                    </w:rPr>
                    <w:t>）</w:t>
                  </w:r>
                </w:p>
              </w:tc>
              <w:tc>
                <w:tcPr>
                  <w:tcW w:w="611" w:type="pct"/>
                  <w:vMerge w:val="continue"/>
                  <w:noWrap w:val="0"/>
                  <w:tcMar>
                    <w:top w:w="15" w:type="dxa"/>
                    <w:left w:w="15" w:type="dxa"/>
                    <w:right w:w="15" w:type="dxa"/>
                  </w:tcMar>
                  <w:vAlign w:val="center"/>
                </w:tcPr>
                <w:p w14:paraId="5716F75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757" w:type="dxa"/>
                  <w:noWrap w:val="0"/>
                  <w:tcMar>
                    <w:top w:w="15" w:type="dxa"/>
                    <w:left w:w="15" w:type="dxa"/>
                    <w:right w:w="15" w:type="dxa"/>
                  </w:tcMar>
                  <w:vAlign w:val="center"/>
                </w:tcPr>
                <w:p w14:paraId="63DB17B1">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0.24</w:t>
                  </w:r>
                </w:p>
              </w:tc>
              <w:tc>
                <w:tcPr>
                  <w:tcW w:w="972" w:type="dxa"/>
                  <w:noWrap w:val="0"/>
                  <w:tcMar>
                    <w:top w:w="15" w:type="dxa"/>
                    <w:left w:w="15" w:type="dxa"/>
                    <w:right w:w="15" w:type="dxa"/>
                  </w:tcMar>
                  <w:vAlign w:val="center"/>
                </w:tcPr>
                <w:p w14:paraId="133AB44B">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0.144</w:t>
                  </w:r>
                </w:p>
              </w:tc>
              <w:tc>
                <w:tcPr>
                  <w:tcW w:w="896" w:type="dxa"/>
                  <w:noWrap w:val="0"/>
                  <w:tcMar>
                    <w:top w:w="15" w:type="dxa"/>
                    <w:left w:w="15" w:type="dxa"/>
                    <w:right w:w="15" w:type="dxa"/>
                  </w:tcMar>
                  <w:vAlign w:val="center"/>
                </w:tcPr>
                <w:p w14:paraId="1315B951">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0.144</w:t>
                  </w:r>
                </w:p>
              </w:tc>
              <w:tc>
                <w:tcPr>
                  <w:tcW w:w="834" w:type="dxa"/>
                  <w:noWrap w:val="0"/>
                  <w:tcMar>
                    <w:top w:w="15" w:type="dxa"/>
                    <w:left w:w="15" w:type="dxa"/>
                    <w:right w:w="15" w:type="dxa"/>
                  </w:tcMar>
                  <w:vAlign w:val="center"/>
                </w:tcPr>
                <w:p w14:paraId="744E11E6">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0.0216</w:t>
                  </w:r>
                </w:p>
              </w:tc>
              <w:tc>
                <w:tcPr>
                  <w:tcW w:w="937" w:type="dxa"/>
                  <w:noWrap w:val="0"/>
                  <w:tcMar>
                    <w:top w:w="15" w:type="dxa"/>
                    <w:left w:w="15" w:type="dxa"/>
                    <w:right w:w="15" w:type="dxa"/>
                  </w:tcMar>
                  <w:vAlign w:val="center"/>
                </w:tcPr>
                <w:p w14:paraId="152B4011">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0.0029</w:t>
                  </w:r>
                </w:p>
              </w:tc>
            </w:tr>
            <w:tr w14:paraId="1FEA61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00" w:type="pct"/>
                  <w:vMerge w:val="restart"/>
                  <w:noWrap w:val="0"/>
                  <w:tcMar>
                    <w:top w:w="15" w:type="dxa"/>
                    <w:left w:w="15" w:type="dxa"/>
                    <w:right w:w="15" w:type="dxa"/>
                  </w:tcMar>
                  <w:vAlign w:val="center"/>
                </w:tcPr>
                <w:p w14:paraId="6C63935A">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预处理池处理后</w:t>
                  </w:r>
                </w:p>
              </w:tc>
              <w:tc>
                <w:tcPr>
                  <w:tcW w:w="886" w:type="pct"/>
                  <w:noWrap w:val="0"/>
                  <w:tcMar>
                    <w:top w:w="15" w:type="dxa"/>
                    <w:left w:w="15" w:type="dxa"/>
                    <w:right w:w="15" w:type="dxa"/>
                  </w:tcMar>
                  <w:vAlign w:val="center"/>
                </w:tcPr>
                <w:p w14:paraId="285CE8E6">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浓度（mg/L</w:t>
                  </w:r>
                  <w:r>
                    <w:rPr>
                      <w:rStyle w:val="88"/>
                      <w:color w:val="auto"/>
                      <w:sz w:val="21"/>
                      <w:szCs w:val="21"/>
                      <w:lang w:bidi="ar"/>
                    </w:rPr>
                    <w:t>）</w:t>
                  </w:r>
                </w:p>
              </w:tc>
              <w:tc>
                <w:tcPr>
                  <w:tcW w:w="611" w:type="pct"/>
                  <w:vMerge w:val="restart"/>
                  <w:noWrap w:val="0"/>
                  <w:tcMar>
                    <w:top w:w="15" w:type="dxa"/>
                    <w:left w:w="15" w:type="dxa"/>
                    <w:right w:w="15" w:type="dxa"/>
                  </w:tcMar>
                  <w:vAlign w:val="center"/>
                </w:tcPr>
                <w:p w14:paraId="05EF845F">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sz w:val="21"/>
                    </w:rPr>
                  </w:pPr>
                  <w:r>
                    <w:rPr>
                      <w:rFonts w:hint="eastAsia" w:ascii="Times New Roman" w:hAnsi="Times New Roman" w:cs="Times New Roman"/>
                      <w:color w:val="auto"/>
                      <w:kern w:val="0"/>
                      <w:sz w:val="21"/>
                      <w:szCs w:val="21"/>
                      <w:lang w:val="en-US" w:eastAsia="zh-CN" w:bidi="ar"/>
                    </w:rPr>
                    <w:t>480</w:t>
                  </w:r>
                </w:p>
              </w:tc>
              <w:tc>
                <w:tcPr>
                  <w:tcW w:w="757" w:type="dxa"/>
                  <w:noWrap w:val="0"/>
                  <w:tcMar>
                    <w:top w:w="15" w:type="dxa"/>
                    <w:left w:w="15" w:type="dxa"/>
                    <w:right w:w="15" w:type="dxa"/>
                  </w:tcMar>
                  <w:vAlign w:val="center"/>
                </w:tcPr>
                <w:p w14:paraId="768B7FBE">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350</w:t>
                  </w:r>
                </w:p>
              </w:tc>
              <w:tc>
                <w:tcPr>
                  <w:tcW w:w="972" w:type="dxa"/>
                  <w:noWrap w:val="0"/>
                  <w:tcMar>
                    <w:top w:w="15" w:type="dxa"/>
                    <w:left w:w="15" w:type="dxa"/>
                    <w:right w:w="15" w:type="dxa"/>
                  </w:tcMar>
                  <w:vAlign w:val="center"/>
                </w:tcPr>
                <w:p w14:paraId="31D52007">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220</w:t>
                  </w:r>
                </w:p>
              </w:tc>
              <w:tc>
                <w:tcPr>
                  <w:tcW w:w="896" w:type="dxa"/>
                  <w:noWrap w:val="0"/>
                  <w:tcMar>
                    <w:top w:w="15" w:type="dxa"/>
                    <w:left w:w="15" w:type="dxa"/>
                    <w:right w:w="15" w:type="dxa"/>
                  </w:tcMar>
                  <w:vAlign w:val="center"/>
                </w:tcPr>
                <w:p w14:paraId="06993371">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200</w:t>
                  </w:r>
                </w:p>
              </w:tc>
              <w:tc>
                <w:tcPr>
                  <w:tcW w:w="834" w:type="dxa"/>
                  <w:noWrap w:val="0"/>
                  <w:tcMar>
                    <w:top w:w="15" w:type="dxa"/>
                    <w:left w:w="15" w:type="dxa"/>
                    <w:right w:w="15" w:type="dxa"/>
                  </w:tcMar>
                  <w:vAlign w:val="center"/>
                </w:tcPr>
                <w:p w14:paraId="0D184914">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40</w:t>
                  </w:r>
                </w:p>
              </w:tc>
              <w:tc>
                <w:tcPr>
                  <w:tcW w:w="937" w:type="dxa"/>
                  <w:noWrap w:val="0"/>
                  <w:tcMar>
                    <w:top w:w="15" w:type="dxa"/>
                    <w:left w:w="15" w:type="dxa"/>
                    <w:right w:w="15" w:type="dxa"/>
                  </w:tcMar>
                  <w:vAlign w:val="center"/>
                </w:tcPr>
                <w:p w14:paraId="2A27F242">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w:t>
                  </w:r>
                </w:p>
              </w:tc>
            </w:tr>
            <w:tr w14:paraId="4E25B1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00" w:type="pct"/>
                  <w:vMerge w:val="continue"/>
                  <w:noWrap w:val="0"/>
                  <w:tcMar>
                    <w:top w:w="15" w:type="dxa"/>
                    <w:left w:w="15" w:type="dxa"/>
                    <w:right w:w="15" w:type="dxa"/>
                  </w:tcMar>
                  <w:vAlign w:val="center"/>
                </w:tcPr>
                <w:p w14:paraId="3322F8B7">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lang w:bidi="ar"/>
                    </w:rPr>
                  </w:pPr>
                </w:p>
              </w:tc>
              <w:tc>
                <w:tcPr>
                  <w:tcW w:w="886" w:type="pct"/>
                  <w:noWrap w:val="0"/>
                  <w:tcMar>
                    <w:top w:w="15" w:type="dxa"/>
                    <w:left w:w="15" w:type="dxa"/>
                    <w:right w:w="15" w:type="dxa"/>
                  </w:tcMar>
                  <w:vAlign w:val="center"/>
                </w:tcPr>
                <w:p w14:paraId="7D767640">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排放量（t/a</w:t>
                  </w:r>
                  <w:r>
                    <w:rPr>
                      <w:rStyle w:val="88"/>
                      <w:color w:val="auto"/>
                      <w:sz w:val="21"/>
                      <w:szCs w:val="21"/>
                      <w:lang w:bidi="ar"/>
                    </w:rPr>
                    <w:t>）</w:t>
                  </w:r>
                </w:p>
              </w:tc>
              <w:tc>
                <w:tcPr>
                  <w:tcW w:w="611" w:type="pct"/>
                  <w:vMerge w:val="continue"/>
                  <w:noWrap w:val="0"/>
                  <w:tcMar>
                    <w:top w:w="15" w:type="dxa"/>
                    <w:left w:w="15" w:type="dxa"/>
                    <w:right w:w="15" w:type="dxa"/>
                  </w:tcMar>
                  <w:vAlign w:val="center"/>
                </w:tcPr>
                <w:p w14:paraId="67D1E84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757" w:type="dxa"/>
                  <w:noWrap w:val="0"/>
                  <w:tcMar>
                    <w:top w:w="15" w:type="dxa"/>
                    <w:left w:w="15" w:type="dxa"/>
                    <w:right w:w="15" w:type="dxa"/>
                  </w:tcMar>
                  <w:vAlign w:val="center"/>
                </w:tcPr>
                <w:p w14:paraId="41B101C2">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0.168</w:t>
                  </w:r>
                </w:p>
              </w:tc>
              <w:tc>
                <w:tcPr>
                  <w:tcW w:w="972" w:type="dxa"/>
                  <w:noWrap w:val="0"/>
                  <w:tcMar>
                    <w:top w:w="15" w:type="dxa"/>
                    <w:left w:w="15" w:type="dxa"/>
                    <w:right w:w="15" w:type="dxa"/>
                  </w:tcMar>
                  <w:vAlign w:val="center"/>
                </w:tcPr>
                <w:p w14:paraId="5E4D5DE0">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0.1056</w:t>
                  </w:r>
                </w:p>
              </w:tc>
              <w:tc>
                <w:tcPr>
                  <w:tcW w:w="896" w:type="dxa"/>
                  <w:noWrap w:val="0"/>
                  <w:tcMar>
                    <w:top w:w="15" w:type="dxa"/>
                    <w:left w:w="15" w:type="dxa"/>
                    <w:right w:w="15" w:type="dxa"/>
                  </w:tcMar>
                  <w:vAlign w:val="center"/>
                </w:tcPr>
                <w:p w14:paraId="7495307C">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0.096</w:t>
                  </w:r>
                </w:p>
              </w:tc>
              <w:tc>
                <w:tcPr>
                  <w:tcW w:w="834" w:type="dxa"/>
                  <w:noWrap w:val="0"/>
                  <w:tcMar>
                    <w:top w:w="15" w:type="dxa"/>
                    <w:left w:w="15" w:type="dxa"/>
                    <w:right w:w="15" w:type="dxa"/>
                  </w:tcMar>
                  <w:vAlign w:val="center"/>
                </w:tcPr>
                <w:p w14:paraId="7BCF560D">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0.0192</w:t>
                  </w:r>
                </w:p>
              </w:tc>
              <w:tc>
                <w:tcPr>
                  <w:tcW w:w="937" w:type="dxa"/>
                  <w:noWrap w:val="0"/>
                  <w:tcMar>
                    <w:top w:w="15" w:type="dxa"/>
                    <w:left w:w="15" w:type="dxa"/>
                    <w:right w:w="15" w:type="dxa"/>
                  </w:tcMar>
                  <w:vAlign w:val="center"/>
                </w:tcPr>
                <w:p w14:paraId="5C124C30">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0.0029</w:t>
                  </w:r>
                </w:p>
              </w:tc>
            </w:tr>
            <w:tr w14:paraId="4F5F67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00" w:type="pct"/>
                  <w:vMerge w:val="restart"/>
                  <w:noWrap w:val="0"/>
                  <w:tcMar>
                    <w:top w:w="15" w:type="dxa"/>
                    <w:left w:w="15" w:type="dxa"/>
                    <w:right w:w="15" w:type="dxa"/>
                  </w:tcMar>
                  <w:vAlign w:val="center"/>
                </w:tcPr>
                <w:p w14:paraId="0DB739C9">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污水处理厂处理后</w:t>
                  </w:r>
                </w:p>
              </w:tc>
              <w:tc>
                <w:tcPr>
                  <w:tcW w:w="886" w:type="pct"/>
                  <w:noWrap w:val="0"/>
                  <w:tcMar>
                    <w:top w:w="15" w:type="dxa"/>
                    <w:left w:w="15" w:type="dxa"/>
                    <w:right w:w="15" w:type="dxa"/>
                  </w:tcMar>
                  <w:vAlign w:val="center"/>
                </w:tcPr>
                <w:p w14:paraId="788E062F">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浓度（mg/L</w:t>
                  </w:r>
                  <w:r>
                    <w:rPr>
                      <w:rStyle w:val="88"/>
                      <w:color w:val="auto"/>
                      <w:sz w:val="21"/>
                      <w:szCs w:val="21"/>
                      <w:lang w:bidi="ar"/>
                    </w:rPr>
                    <w:t>）</w:t>
                  </w:r>
                </w:p>
              </w:tc>
              <w:tc>
                <w:tcPr>
                  <w:tcW w:w="611" w:type="pct"/>
                  <w:vMerge w:val="restart"/>
                  <w:noWrap w:val="0"/>
                  <w:tcMar>
                    <w:top w:w="15" w:type="dxa"/>
                    <w:left w:w="15" w:type="dxa"/>
                    <w:right w:w="15" w:type="dxa"/>
                  </w:tcMar>
                  <w:vAlign w:val="center"/>
                </w:tcPr>
                <w:p w14:paraId="6BB63A25">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480</w:t>
                  </w:r>
                </w:p>
              </w:tc>
              <w:tc>
                <w:tcPr>
                  <w:tcW w:w="757" w:type="dxa"/>
                  <w:noWrap w:val="0"/>
                  <w:tcMar>
                    <w:top w:w="15" w:type="dxa"/>
                    <w:left w:w="15" w:type="dxa"/>
                    <w:right w:w="15" w:type="dxa"/>
                  </w:tcMar>
                  <w:vAlign w:val="center"/>
                </w:tcPr>
                <w:p w14:paraId="25E8D640">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50</w:t>
                  </w:r>
                </w:p>
              </w:tc>
              <w:tc>
                <w:tcPr>
                  <w:tcW w:w="972" w:type="dxa"/>
                  <w:noWrap w:val="0"/>
                  <w:tcMar>
                    <w:top w:w="15" w:type="dxa"/>
                    <w:left w:w="15" w:type="dxa"/>
                    <w:right w:w="15" w:type="dxa"/>
                  </w:tcMar>
                  <w:vAlign w:val="center"/>
                </w:tcPr>
                <w:p w14:paraId="2B4C7346">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w:t>
                  </w:r>
                </w:p>
              </w:tc>
              <w:tc>
                <w:tcPr>
                  <w:tcW w:w="896" w:type="dxa"/>
                  <w:noWrap w:val="0"/>
                  <w:tcMar>
                    <w:top w:w="15" w:type="dxa"/>
                    <w:left w:w="15" w:type="dxa"/>
                    <w:right w:w="15" w:type="dxa"/>
                  </w:tcMar>
                  <w:vAlign w:val="center"/>
                </w:tcPr>
                <w:p w14:paraId="7C2B96A7">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w:t>
                  </w:r>
                </w:p>
              </w:tc>
              <w:tc>
                <w:tcPr>
                  <w:tcW w:w="834" w:type="dxa"/>
                  <w:noWrap w:val="0"/>
                  <w:tcMar>
                    <w:top w:w="15" w:type="dxa"/>
                    <w:left w:w="15" w:type="dxa"/>
                    <w:right w:w="15" w:type="dxa"/>
                  </w:tcMar>
                  <w:vAlign w:val="center"/>
                </w:tcPr>
                <w:p w14:paraId="1244670C">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w:t>
                  </w:r>
                </w:p>
              </w:tc>
              <w:tc>
                <w:tcPr>
                  <w:tcW w:w="937" w:type="dxa"/>
                  <w:noWrap w:val="0"/>
                  <w:tcMar>
                    <w:top w:w="15" w:type="dxa"/>
                    <w:left w:w="15" w:type="dxa"/>
                    <w:right w:w="15" w:type="dxa"/>
                  </w:tcMar>
                  <w:vAlign w:val="center"/>
                </w:tcPr>
                <w:p w14:paraId="6CC48E14">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0.5</w:t>
                  </w:r>
                </w:p>
              </w:tc>
            </w:tr>
            <w:tr w14:paraId="73BB19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00" w:type="pct"/>
                  <w:vMerge w:val="continue"/>
                  <w:noWrap w:val="0"/>
                  <w:tcMar>
                    <w:top w:w="15" w:type="dxa"/>
                    <w:left w:w="15" w:type="dxa"/>
                    <w:right w:w="15" w:type="dxa"/>
                  </w:tcMar>
                  <w:vAlign w:val="center"/>
                </w:tcPr>
                <w:p w14:paraId="0CDA50B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886" w:type="pct"/>
                  <w:noWrap w:val="0"/>
                  <w:tcMar>
                    <w:top w:w="15" w:type="dxa"/>
                    <w:left w:w="15" w:type="dxa"/>
                    <w:right w:w="15" w:type="dxa"/>
                  </w:tcMar>
                  <w:vAlign w:val="center"/>
                </w:tcPr>
                <w:p w14:paraId="6824F408">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排放量（t/a</w:t>
                  </w:r>
                  <w:r>
                    <w:rPr>
                      <w:rStyle w:val="88"/>
                      <w:color w:val="auto"/>
                      <w:sz w:val="21"/>
                      <w:szCs w:val="21"/>
                      <w:lang w:bidi="ar"/>
                    </w:rPr>
                    <w:t>）</w:t>
                  </w:r>
                </w:p>
              </w:tc>
              <w:tc>
                <w:tcPr>
                  <w:tcW w:w="611" w:type="pct"/>
                  <w:vMerge w:val="continue"/>
                  <w:noWrap w:val="0"/>
                  <w:tcMar>
                    <w:top w:w="15" w:type="dxa"/>
                    <w:left w:w="15" w:type="dxa"/>
                    <w:right w:w="15" w:type="dxa"/>
                  </w:tcMar>
                  <w:vAlign w:val="center"/>
                </w:tcPr>
                <w:p w14:paraId="2117C15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757" w:type="dxa"/>
                  <w:noWrap w:val="0"/>
                  <w:tcMar>
                    <w:top w:w="15" w:type="dxa"/>
                    <w:left w:w="15" w:type="dxa"/>
                    <w:right w:w="15" w:type="dxa"/>
                  </w:tcMar>
                  <w:vAlign w:val="center"/>
                </w:tcPr>
                <w:p w14:paraId="3A7A7C55">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0.024</w:t>
                  </w:r>
                </w:p>
              </w:tc>
              <w:tc>
                <w:tcPr>
                  <w:tcW w:w="972" w:type="dxa"/>
                  <w:noWrap w:val="0"/>
                  <w:tcMar>
                    <w:top w:w="15" w:type="dxa"/>
                    <w:left w:w="15" w:type="dxa"/>
                    <w:right w:w="15" w:type="dxa"/>
                  </w:tcMar>
                  <w:vAlign w:val="center"/>
                </w:tcPr>
                <w:p w14:paraId="2CFFEF0F">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0.0048</w:t>
                  </w:r>
                </w:p>
              </w:tc>
              <w:tc>
                <w:tcPr>
                  <w:tcW w:w="896" w:type="dxa"/>
                  <w:noWrap w:val="0"/>
                  <w:tcMar>
                    <w:top w:w="15" w:type="dxa"/>
                    <w:left w:w="15" w:type="dxa"/>
                    <w:right w:w="15" w:type="dxa"/>
                  </w:tcMar>
                  <w:vAlign w:val="center"/>
                </w:tcPr>
                <w:p w14:paraId="5A8E0686">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0.0048</w:t>
                  </w:r>
                </w:p>
              </w:tc>
              <w:tc>
                <w:tcPr>
                  <w:tcW w:w="834" w:type="dxa"/>
                  <w:noWrap w:val="0"/>
                  <w:tcMar>
                    <w:top w:w="15" w:type="dxa"/>
                    <w:left w:w="15" w:type="dxa"/>
                    <w:right w:w="15" w:type="dxa"/>
                  </w:tcMar>
                  <w:vAlign w:val="center"/>
                </w:tcPr>
                <w:p w14:paraId="18896E64">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0.0024</w:t>
                  </w:r>
                </w:p>
              </w:tc>
              <w:tc>
                <w:tcPr>
                  <w:tcW w:w="937" w:type="dxa"/>
                  <w:noWrap w:val="0"/>
                  <w:tcMar>
                    <w:top w:w="15" w:type="dxa"/>
                    <w:left w:w="15" w:type="dxa"/>
                    <w:right w:w="15" w:type="dxa"/>
                  </w:tcMar>
                  <w:vAlign w:val="center"/>
                </w:tcPr>
                <w:p w14:paraId="7C05237C">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0.0002</w:t>
                  </w:r>
                </w:p>
              </w:tc>
            </w:tr>
            <w:tr w14:paraId="2E5A92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00" w:type="pct"/>
                  <w:noWrap w:val="0"/>
                  <w:tcMar>
                    <w:top w:w="15" w:type="dxa"/>
                    <w:left w:w="15" w:type="dxa"/>
                    <w:right w:w="15" w:type="dxa"/>
                  </w:tcMar>
                  <w:vAlign w:val="center"/>
                </w:tcPr>
                <w:p w14:paraId="0A92643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去除率</w:t>
                  </w:r>
                </w:p>
              </w:tc>
              <w:tc>
                <w:tcPr>
                  <w:tcW w:w="886" w:type="pct"/>
                  <w:noWrap w:val="0"/>
                  <w:tcMar>
                    <w:top w:w="15" w:type="dxa"/>
                    <w:left w:w="15" w:type="dxa"/>
                    <w:right w:w="15" w:type="dxa"/>
                  </w:tcMar>
                  <w:vAlign w:val="center"/>
                </w:tcPr>
                <w:p w14:paraId="5776B1E8">
                  <w:pPr>
                    <w:keepNext w:val="0"/>
                    <w:keepLines w:val="0"/>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w:t>
                  </w:r>
                </w:p>
              </w:tc>
              <w:tc>
                <w:tcPr>
                  <w:tcW w:w="611" w:type="pct"/>
                  <w:noWrap w:val="0"/>
                  <w:tcMar>
                    <w:top w:w="15" w:type="dxa"/>
                    <w:left w:w="15" w:type="dxa"/>
                    <w:right w:w="15" w:type="dxa"/>
                  </w:tcMar>
                  <w:vAlign w:val="center"/>
                </w:tcPr>
                <w:p w14:paraId="7B3EF630">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57" w:type="dxa"/>
                  <w:noWrap w:val="0"/>
                  <w:tcMar>
                    <w:top w:w="15" w:type="dxa"/>
                    <w:left w:w="15" w:type="dxa"/>
                    <w:right w:w="15" w:type="dxa"/>
                  </w:tcMar>
                  <w:vAlign w:val="center"/>
                </w:tcPr>
                <w:p w14:paraId="55405CFF">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0.30</w:t>
                  </w:r>
                </w:p>
              </w:tc>
              <w:tc>
                <w:tcPr>
                  <w:tcW w:w="972" w:type="dxa"/>
                  <w:noWrap w:val="0"/>
                  <w:tcMar>
                    <w:top w:w="15" w:type="dxa"/>
                    <w:left w:w="15" w:type="dxa"/>
                    <w:right w:w="15" w:type="dxa"/>
                  </w:tcMar>
                  <w:vAlign w:val="center"/>
                </w:tcPr>
                <w:p w14:paraId="0C8C7677">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0.27</w:t>
                  </w:r>
                </w:p>
              </w:tc>
              <w:tc>
                <w:tcPr>
                  <w:tcW w:w="896" w:type="dxa"/>
                  <w:noWrap w:val="0"/>
                  <w:tcMar>
                    <w:top w:w="15" w:type="dxa"/>
                    <w:left w:w="15" w:type="dxa"/>
                    <w:right w:w="15" w:type="dxa"/>
                  </w:tcMar>
                  <w:vAlign w:val="center"/>
                </w:tcPr>
                <w:p w14:paraId="54975392">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0.33</w:t>
                  </w:r>
                </w:p>
              </w:tc>
              <w:tc>
                <w:tcPr>
                  <w:tcW w:w="834" w:type="dxa"/>
                  <w:noWrap w:val="0"/>
                  <w:tcMar>
                    <w:top w:w="15" w:type="dxa"/>
                    <w:left w:w="15" w:type="dxa"/>
                    <w:right w:w="15" w:type="dxa"/>
                  </w:tcMar>
                  <w:vAlign w:val="center"/>
                </w:tcPr>
                <w:p w14:paraId="2FCFA881">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0.11</w:t>
                  </w:r>
                </w:p>
              </w:tc>
              <w:tc>
                <w:tcPr>
                  <w:tcW w:w="937" w:type="dxa"/>
                  <w:noWrap w:val="0"/>
                  <w:tcMar>
                    <w:top w:w="15" w:type="dxa"/>
                    <w:left w:w="15" w:type="dxa"/>
                    <w:right w:w="15" w:type="dxa"/>
                  </w:tcMar>
                  <w:vAlign w:val="center"/>
                </w:tcPr>
                <w:p w14:paraId="568112EC">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w:t>
                  </w:r>
                </w:p>
              </w:tc>
            </w:tr>
          </w:tbl>
          <w:p w14:paraId="39AC294E">
            <w:pPr>
              <w:keepNext w:val="0"/>
              <w:keepLines w:val="0"/>
              <w:suppressLineNumbers w:val="0"/>
              <w:adjustRightInd w:val="0"/>
              <w:snapToGrid w:val="0"/>
              <w:spacing w:before="0" w:beforeAutospacing="0" w:after="0" w:afterAutospacing="0"/>
              <w:ind w:left="0" w:right="0" w:firstLine="482" w:firstLineChars="200"/>
              <w:rPr>
                <w:rFonts w:hint="default"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 xml:space="preserve">2、生产废水 </w:t>
            </w:r>
          </w:p>
          <w:p w14:paraId="37AF80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项目生产废水主要为油水分离废水、锅炉软水制备反冲洗废水。</w:t>
            </w:r>
          </w:p>
          <w:p w14:paraId="4DF952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2" w:firstLineChars="200"/>
              <w:jc w:val="left"/>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（1）油水分离废水</w:t>
            </w:r>
          </w:p>
          <w:p w14:paraId="118036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项目油水分离工序会产生一定量的废水。根据前文分析，项目</w:t>
            </w:r>
            <w:r>
              <w:rPr>
                <w:rFonts w:hint="eastAsia" w:cs="Times New Roman"/>
                <w:color w:val="auto"/>
                <w:lang w:val="en-US" w:eastAsia="zh-CN"/>
              </w:rPr>
              <w:t>蒸馏釜</w:t>
            </w:r>
            <w:r>
              <w:rPr>
                <w:rFonts w:hint="eastAsia" w:ascii="Times New Roman" w:hAnsi="Times New Roman" w:eastAsia="宋体" w:cs="Times New Roman"/>
                <w:color w:val="auto"/>
                <w:lang w:val="en-US" w:eastAsia="zh-CN"/>
              </w:rPr>
              <w:t>蒸汽使用量约为5</w:t>
            </w:r>
            <w:r>
              <w:rPr>
                <w:rFonts w:hint="default" w:ascii="Times New Roman" w:hAnsi="Times New Roman" w:eastAsia="宋体" w:cs="Times New Roman"/>
                <w:color w:val="auto"/>
                <w:lang w:val="en-US" w:eastAsia="zh-CN"/>
              </w:rPr>
              <w:t>t/h</w:t>
            </w:r>
            <w:r>
              <w:rPr>
                <w:rFonts w:hint="eastAsia" w:ascii="Times New Roman" w:hAnsi="Times New Roman" w:eastAsia="宋体" w:cs="Times New Roman"/>
                <w:color w:val="auto"/>
                <w:lang w:val="en-US" w:eastAsia="zh-CN"/>
              </w:rPr>
              <w:t>，40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w:t>
            </w:r>
            <w:r>
              <w:rPr>
                <w:rFonts w:hint="eastAsia" w:ascii="Times New Roman" w:hAnsi="Times New Roman" w:eastAsia="宋体" w:cs="Times New Roman"/>
                <w:color w:val="auto"/>
                <w:lang w:val="en-US" w:eastAsia="zh-CN"/>
              </w:rPr>
              <w:t>，12000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/a</w:t>
            </w:r>
            <w:r>
              <w:rPr>
                <w:rFonts w:hint="eastAsia" w:ascii="Times New Roman" w:hAnsi="Times New Roman" w:eastAsia="宋体" w:cs="Times New Roman"/>
                <w:color w:val="auto"/>
                <w:lang w:val="en-US" w:eastAsia="zh-CN"/>
              </w:rPr>
              <w:t>。一部分水蒸气经管道损失，一部分进入产品香料油中，一部分蒸汽进入蒸馏后的枯柏树残渣中。</w:t>
            </w:r>
          </w:p>
          <w:p w14:paraId="5071FD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本项目香料油年产量</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0t/a</w:t>
            </w:r>
            <w:r>
              <w:rPr>
                <w:rFonts w:hint="eastAsia" w:ascii="Times New Roman" w:hAnsi="Times New Roman" w:eastAsia="宋体" w:cs="Times New Roman"/>
                <w:color w:val="auto"/>
                <w:lang w:val="en-US" w:eastAsia="zh-CN"/>
              </w:rPr>
              <w:t>，含水率为</w:t>
            </w:r>
            <w:r>
              <w:rPr>
                <w:rFonts w:hint="default" w:ascii="Times New Roman" w:hAnsi="Times New Roman" w:eastAsia="宋体" w:cs="Times New Roman"/>
                <w:color w:val="auto"/>
                <w:lang w:val="en-US" w:eastAsia="zh-CN"/>
              </w:rPr>
              <w:t>1.8%</w:t>
            </w:r>
            <w:r>
              <w:rPr>
                <w:rFonts w:hint="eastAsia" w:ascii="Times New Roman" w:hAnsi="Times New Roman" w:eastAsia="宋体" w:cs="Times New Roman"/>
                <w:color w:val="auto"/>
                <w:lang w:val="en-US" w:eastAsia="zh-CN"/>
              </w:rPr>
              <w:t>，其中含水量为2.7t；生物质颗粒产品含水率为</w:t>
            </w:r>
            <w:r>
              <w:rPr>
                <w:rFonts w:hint="default" w:ascii="Times New Roman" w:hAnsi="Times New Roman" w:eastAsia="宋体" w:cs="Times New Roman"/>
                <w:color w:val="auto"/>
                <w:lang w:val="en-US" w:eastAsia="zh-CN"/>
              </w:rPr>
              <w:t>8.87%</w:t>
            </w:r>
            <w:r>
              <w:rPr>
                <w:rFonts w:hint="eastAsia" w:ascii="Times New Roman" w:hAnsi="Times New Roman" w:eastAsia="宋体" w:cs="Times New Roman"/>
                <w:color w:val="auto"/>
                <w:lang w:val="en-US" w:eastAsia="zh-CN"/>
              </w:rPr>
              <w:t>，其中含水量为399.15t；原料含水率为13.36%，其中含水量为</w:t>
            </w:r>
            <w:r>
              <w:rPr>
                <w:rFonts w:hint="eastAsia" w:cs="Times New Roman"/>
                <w:color w:val="auto"/>
                <w:lang w:val="en-US" w:eastAsia="zh-CN"/>
              </w:rPr>
              <w:t>655.976</w:t>
            </w:r>
            <w:r>
              <w:rPr>
                <w:rFonts w:hint="default" w:ascii="Times New Roman" w:hAnsi="Times New Roman" w:eastAsia="宋体" w:cs="Times New Roman"/>
                <w:color w:val="auto"/>
                <w:lang w:val="en-US" w:eastAsia="zh-CN"/>
              </w:rPr>
              <w:t>t</w:t>
            </w:r>
            <w:r>
              <w:rPr>
                <w:rFonts w:hint="eastAsia" w:ascii="Times New Roman" w:hAnsi="Times New Roman" w:eastAsia="宋体" w:cs="Times New Roman"/>
                <w:color w:val="auto"/>
                <w:lang w:val="en-US" w:eastAsia="zh-CN"/>
              </w:rPr>
              <w:t>。</w:t>
            </w:r>
          </w:p>
          <w:p w14:paraId="60960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*计算说明：项目生物质颗粒产量4500t/a（含水率8.87%），因此</w:t>
            </w:r>
            <w:r>
              <w:rPr>
                <w:rFonts w:hint="eastAsia" w:cs="Times New Roman"/>
                <w:color w:val="auto"/>
                <w:lang w:val="en-US" w:eastAsia="zh-CN"/>
              </w:rPr>
              <w:t>含水量</w:t>
            </w:r>
            <w:r>
              <w:rPr>
                <w:rFonts w:hint="eastAsia" w:ascii="Times New Roman" w:hAnsi="Times New Roman" w:eastAsia="宋体" w:cs="Times New Roman"/>
                <w:color w:val="auto"/>
                <w:lang w:val="en-US" w:eastAsia="zh-CN"/>
              </w:rPr>
              <w:t>为 4500t*（1-8.87%）=4100.85t/a。</w:t>
            </w:r>
          </w:p>
          <w:p w14:paraId="0FDCD8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设刚刚经过蒸馏出来尚未自然晾干的柏树木渣含水量为X则有： </w:t>
            </w:r>
          </w:p>
          <w:p w14:paraId="5E9F18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X/（4100.85+X）=</w:t>
            </w:r>
            <w:r>
              <w:rPr>
                <w:rFonts w:hint="eastAsia" w:cs="Times New Roman"/>
                <w:color w:val="auto"/>
                <w:lang w:val="en-US" w:eastAsia="zh-CN"/>
              </w:rPr>
              <w:t>40</w:t>
            </w:r>
            <w:r>
              <w:rPr>
                <w:rFonts w:hint="eastAsia" w:ascii="Times New Roman" w:hAnsi="Times New Roman" w:eastAsia="宋体" w:cs="Times New Roman"/>
                <w:color w:val="auto"/>
                <w:lang w:val="en-US" w:eastAsia="zh-CN"/>
              </w:rPr>
              <w:t>%</w:t>
            </w:r>
          </w:p>
          <w:p w14:paraId="7241FB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根据计算刚刚经过蒸馏出来尚未自然晾干的柏树木渣含水量为</w:t>
            </w:r>
            <w:r>
              <w:rPr>
                <w:rFonts w:hint="eastAsia" w:cs="Times New Roman"/>
                <w:color w:val="auto"/>
                <w:lang w:val="en-US" w:eastAsia="zh-CN"/>
              </w:rPr>
              <w:t>2733.9</w:t>
            </w:r>
            <w:r>
              <w:rPr>
                <w:rFonts w:hint="eastAsia" w:ascii="Times New Roman" w:hAnsi="Times New Roman" w:eastAsia="宋体" w:cs="Times New Roman"/>
                <w:color w:val="auto"/>
                <w:lang w:val="en-US" w:eastAsia="zh-CN"/>
              </w:rPr>
              <w:t>t，根据项目物料及蒸汽平衡等，项目油水分离废水量共计为</w:t>
            </w:r>
            <w:r>
              <w:rPr>
                <w:rFonts w:hint="eastAsia" w:cs="Times New Roman"/>
                <w:color w:val="auto"/>
                <w:lang w:val="en-US" w:eastAsia="zh-CN"/>
              </w:rPr>
              <w:t>30.98</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w:t>
            </w:r>
            <w:r>
              <w:rPr>
                <w:rFonts w:hint="eastAsia" w:ascii="Times New Roman" w:hAnsi="Times New Roman" w:eastAsia="宋体" w:cs="Times New Roman"/>
                <w:color w:val="auto"/>
                <w:lang w:val="en-US" w:eastAsia="zh-CN"/>
              </w:rPr>
              <w:t>（</w:t>
            </w:r>
            <w:r>
              <w:rPr>
                <w:rFonts w:hint="eastAsia" w:cs="Times New Roman"/>
                <w:color w:val="auto"/>
                <w:lang w:val="en-US" w:eastAsia="zh-CN"/>
              </w:rPr>
              <w:t xml:space="preserve">9295.376 </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/a</w:t>
            </w:r>
            <w:r>
              <w:rPr>
                <w:rFonts w:hint="eastAsia" w:ascii="Times New Roman" w:hAnsi="Times New Roman" w:eastAsia="宋体" w:cs="Times New Roman"/>
                <w:color w:val="auto"/>
                <w:lang w:val="en-US" w:eastAsia="zh-CN"/>
              </w:rPr>
              <w:t>）。</w:t>
            </w:r>
          </w:p>
          <w:p w14:paraId="407B3A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2"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b/>
                <w:bCs/>
                <w:color w:val="auto"/>
                <w:lang w:val="en-US" w:eastAsia="zh-CN"/>
              </w:rPr>
              <w:t>油水分离的原理：</w:t>
            </w:r>
            <w:r>
              <w:rPr>
                <w:rFonts w:hint="eastAsia" w:ascii="Times New Roman" w:hAnsi="Times New Roman" w:eastAsia="宋体" w:cs="Times New Roman"/>
                <w:color w:val="auto"/>
                <w:lang w:val="en-US" w:eastAsia="zh-CN"/>
              </w:rPr>
              <w:t>首先香料油经进口进入集油室，粗大油滴随即上浮进入集油室顶部；含有小颗粒的油向下流动经过板式聚结器聚集成粗粉粒，形成较大油滴上浮集中到集油室；其余更小颗粒的油水混合物再经过</w:t>
            </w:r>
            <w:r>
              <w:rPr>
                <w:rFonts w:hint="eastAsia" w:cs="Times New Roman"/>
                <w:color w:val="auto"/>
                <w:lang w:val="en-US" w:eastAsia="zh-CN"/>
              </w:rPr>
              <w:t>吸油布</w:t>
            </w:r>
            <w:r>
              <w:rPr>
                <w:rFonts w:hint="eastAsia" w:ascii="Times New Roman" w:hAnsi="Times New Roman" w:eastAsia="宋体" w:cs="Times New Roman"/>
                <w:color w:val="auto"/>
                <w:lang w:val="en-US" w:eastAsia="zh-CN"/>
              </w:rPr>
              <w:t>分离出来，最后蒸馏水从分离槽底部的开孔排出，即为油水混合废水，同时分离时会挥发出一定量的</w:t>
            </w:r>
            <w:r>
              <w:rPr>
                <w:rFonts w:hint="default" w:ascii="Times New Roman" w:hAnsi="Times New Roman" w:eastAsia="宋体" w:cs="Times New Roman"/>
                <w:color w:val="auto"/>
                <w:lang w:val="en-US" w:eastAsia="zh-CN"/>
              </w:rPr>
              <w:t>VOCs</w:t>
            </w:r>
            <w:r>
              <w:rPr>
                <w:rFonts w:hint="eastAsia" w:ascii="Times New Roman" w:hAnsi="Times New Roman" w:eastAsia="宋体" w:cs="Times New Roman"/>
                <w:color w:val="auto"/>
                <w:lang w:val="en-US" w:eastAsia="zh-CN"/>
              </w:rPr>
              <w:t>。为了最大程度的收集本项目产品香料油，最后不能直接分离出来的香料油采用吸油布进行</w:t>
            </w:r>
            <w:r>
              <w:rPr>
                <w:rFonts w:hint="eastAsia" w:cs="Times New Roman"/>
                <w:color w:val="auto"/>
                <w:lang w:val="en-US" w:eastAsia="zh-CN"/>
              </w:rPr>
              <w:t>吸附</w:t>
            </w:r>
            <w:r>
              <w:rPr>
                <w:rFonts w:hint="eastAsia" w:ascii="Times New Roman" w:hAnsi="Times New Roman" w:eastAsia="宋体" w:cs="Times New Roman"/>
                <w:color w:val="auto"/>
                <w:lang w:val="en-US" w:eastAsia="zh-CN"/>
              </w:rPr>
              <w:t>，然后</w:t>
            </w:r>
            <w:r>
              <w:rPr>
                <w:rFonts w:hint="eastAsia" w:cs="Times New Roman"/>
                <w:color w:val="auto"/>
                <w:lang w:val="en-US" w:eastAsia="zh-CN"/>
              </w:rPr>
              <w:t>人工拧干</w:t>
            </w:r>
            <w:r>
              <w:rPr>
                <w:rFonts w:hint="eastAsia" w:ascii="Times New Roman" w:hAnsi="Times New Roman" w:eastAsia="宋体" w:cs="Times New Roman"/>
                <w:color w:val="auto"/>
                <w:lang w:val="en-US" w:eastAsia="zh-CN"/>
              </w:rPr>
              <w:t>将吸油布里面的香料油分离出来，分离出来的香料油再返回</w:t>
            </w:r>
            <w:r>
              <w:rPr>
                <w:rFonts w:hint="eastAsia" w:cs="Times New Roman"/>
                <w:color w:val="auto"/>
                <w:lang w:val="en-US" w:eastAsia="zh-CN"/>
              </w:rPr>
              <w:t>油水分离池</w:t>
            </w:r>
            <w:r>
              <w:rPr>
                <w:rFonts w:hint="eastAsia" w:ascii="Times New Roman" w:hAnsi="Times New Roman" w:eastAsia="宋体" w:cs="Times New Roman"/>
                <w:color w:val="auto"/>
                <w:lang w:val="en-US" w:eastAsia="zh-CN"/>
              </w:rPr>
              <w:t>第一格集油室重新进行油水分离。</w:t>
            </w:r>
          </w:p>
          <w:p w14:paraId="500938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根据以上工艺可知，项目产品香料油中含油物质大部分经</w:t>
            </w:r>
            <w:r>
              <w:rPr>
                <w:rFonts w:hint="eastAsia" w:cs="Times New Roman"/>
                <w:color w:val="auto"/>
                <w:lang w:val="en-US" w:eastAsia="zh-CN"/>
              </w:rPr>
              <w:t>油水分离池</w:t>
            </w:r>
            <w:r>
              <w:rPr>
                <w:rFonts w:hint="eastAsia" w:ascii="Times New Roman" w:hAnsi="Times New Roman" w:eastAsia="宋体" w:cs="Times New Roman"/>
                <w:color w:val="auto"/>
                <w:lang w:val="en-US" w:eastAsia="zh-CN"/>
              </w:rPr>
              <w:t>分离出去，本项目拟设置油水分离池5个（规格1.26*1.26*3m），总容积23.8m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，油水分离停留时间为0.5h，废水经</w:t>
            </w:r>
            <w:r>
              <w:rPr>
                <w:rFonts w:hint="eastAsia" w:cs="Times New Roman"/>
                <w:color w:val="auto"/>
                <w:vertAlign w:val="baseline"/>
                <w:lang w:val="en-US" w:eastAsia="zh-CN"/>
              </w:rPr>
              <w:t>油水分离、厌氧处理后</w:t>
            </w:r>
            <w:r>
              <w:rPr>
                <w:rFonts w:hint="eastAsia" w:ascii="Times New Roman" w:hAnsi="Times New Roman" w:eastAsia="宋体" w:cs="Times New Roman"/>
                <w:color w:val="auto"/>
                <w:vertAlign w:val="baseline"/>
                <w:lang w:val="en-US" w:eastAsia="zh-CN"/>
              </w:rPr>
              <w:t>排入污水管网</w:t>
            </w:r>
            <w:r>
              <w:rPr>
                <w:rFonts w:hint="eastAsia" w:ascii="Times New Roman" w:hAnsi="Times New Roman" w:eastAsia="宋体" w:cs="Times New Roman"/>
                <w:color w:val="auto"/>
                <w:lang w:val="en-US" w:eastAsia="zh-CN"/>
              </w:rPr>
              <w:t>。为了解本项目经油水分离</w:t>
            </w:r>
            <w:r>
              <w:rPr>
                <w:rFonts w:hint="eastAsia" w:cs="Times New Roman"/>
                <w:color w:val="auto"/>
                <w:lang w:val="en-US" w:eastAsia="zh-CN"/>
              </w:rPr>
              <w:t>前</w:t>
            </w:r>
            <w:r>
              <w:rPr>
                <w:rFonts w:hint="eastAsia" w:ascii="Times New Roman" w:hAnsi="Times New Roman" w:eastAsia="宋体" w:cs="Times New Roman"/>
                <w:color w:val="auto"/>
                <w:lang w:val="en-US" w:eastAsia="zh-CN"/>
              </w:rPr>
              <w:t>后的水质，</w:t>
            </w:r>
            <w:r>
              <w:rPr>
                <w:rFonts w:hint="eastAsia" w:cs="Times New Roman"/>
                <w:color w:val="auto"/>
                <w:lang w:val="en-US" w:eastAsia="zh-CN"/>
              </w:rPr>
              <w:t>项目业主委托四川中正源环保技术有限公司对与本项目</w:t>
            </w:r>
            <w:r>
              <w:rPr>
                <w:rFonts w:hint="eastAsia" w:ascii="Times New Roman" w:hAnsi="Times New Roman" w:eastAsia="宋体" w:cs="Times New Roman"/>
                <w:color w:val="auto"/>
                <w:lang w:val="en-US" w:eastAsia="zh-CN"/>
              </w:rPr>
              <w:t>生产工艺、油水分离工艺基本一致</w:t>
            </w:r>
            <w:r>
              <w:rPr>
                <w:rFonts w:hint="eastAsia" w:cs="Times New Roman"/>
                <w:color w:val="auto"/>
                <w:lang w:val="en-US" w:eastAsia="zh-CN"/>
              </w:rPr>
              <w:t>的企业生产废水进行了检测</w:t>
            </w:r>
            <w:r>
              <w:rPr>
                <w:rFonts w:hint="eastAsia" w:ascii="Times New Roman" w:hAnsi="Times New Roman" w:eastAsia="宋体" w:cs="Times New Roman"/>
                <w:color w:val="auto"/>
                <w:lang w:val="en-US" w:eastAsia="zh-CN"/>
              </w:rPr>
              <w:t>。</w:t>
            </w:r>
            <w:r>
              <w:rPr>
                <w:rFonts w:hint="eastAsia" w:cs="Times New Roman"/>
                <w:color w:val="auto"/>
                <w:lang w:val="en-US" w:eastAsia="zh-CN"/>
              </w:rPr>
              <w:t>四川中正源环保技术有限公司</w:t>
            </w:r>
            <w:r>
              <w:rPr>
                <w:rFonts w:hint="eastAsia" w:ascii="Times New Roman" w:hAnsi="Times New Roman" w:eastAsia="宋体" w:cs="Times New Roman"/>
                <w:color w:val="auto"/>
                <w:lang w:val="en-US" w:eastAsia="zh-CN"/>
              </w:rPr>
              <w:t>于</w:t>
            </w:r>
            <w:r>
              <w:rPr>
                <w:rFonts w:hint="default" w:ascii="Times New Roman" w:hAnsi="Times New Roman" w:eastAsia="宋体" w:cs="Times New Roman"/>
                <w:color w:val="auto"/>
                <w:lang w:val="en-US" w:eastAsia="zh-CN"/>
              </w:rPr>
              <w:t>202</w:t>
            </w:r>
            <w:r>
              <w:rPr>
                <w:rFonts w:hint="eastAsia" w:cs="Times New Roman"/>
                <w:color w:val="auto"/>
                <w:lang w:val="en-US" w:eastAsia="zh-CN"/>
              </w:rPr>
              <w:t>4</w:t>
            </w:r>
            <w:r>
              <w:rPr>
                <w:rFonts w:hint="eastAsia" w:ascii="Times New Roman" w:hAnsi="Times New Roman" w:eastAsia="宋体" w:cs="Times New Roman"/>
                <w:color w:val="auto"/>
                <w:lang w:val="en-US" w:eastAsia="zh-CN"/>
              </w:rPr>
              <w:t>年</w:t>
            </w:r>
            <w:r>
              <w:rPr>
                <w:rFonts w:hint="eastAsia" w:cs="Times New Roman"/>
                <w:color w:val="auto"/>
                <w:lang w:val="en-US" w:eastAsia="zh-CN"/>
              </w:rPr>
              <w:t>11</w:t>
            </w:r>
            <w:r>
              <w:rPr>
                <w:rFonts w:hint="eastAsia" w:ascii="Times New Roman" w:hAnsi="Times New Roman" w:eastAsia="宋体" w:cs="Times New Roman"/>
                <w:color w:val="auto"/>
                <w:lang w:val="en-US" w:eastAsia="zh-CN"/>
              </w:rPr>
              <w:t>月</w:t>
            </w:r>
            <w:r>
              <w:rPr>
                <w:rFonts w:hint="default" w:ascii="Times New Roman" w:hAnsi="Times New Roman" w:eastAsia="宋体" w:cs="Times New Roman"/>
                <w:color w:val="auto"/>
                <w:lang w:val="en-US" w:eastAsia="zh-CN"/>
              </w:rPr>
              <w:t>2</w:t>
            </w:r>
            <w:r>
              <w:rPr>
                <w:rFonts w:hint="eastAsia" w:cs="Times New Roman"/>
                <w:color w:val="auto"/>
                <w:lang w:val="en-US" w:eastAsia="zh-CN"/>
              </w:rPr>
              <w:t>6</w:t>
            </w:r>
            <w:r>
              <w:rPr>
                <w:rFonts w:hint="eastAsia" w:ascii="Times New Roman" w:hAnsi="Times New Roman" w:eastAsia="宋体" w:cs="Times New Roman"/>
                <w:color w:val="auto"/>
                <w:lang w:val="en-US" w:eastAsia="zh-CN"/>
              </w:rPr>
              <w:t>日对废水水质进行了检测。</w:t>
            </w:r>
          </w:p>
          <w:p w14:paraId="274395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5429250" cy="4484370"/>
                  <wp:effectExtent l="0" t="0" r="0" b="11430"/>
                  <wp:docPr id="13" name="图片 13" descr="8add2d7a54153a319e3cbd505195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add2d7a54153a319e3cbd5051952a7"/>
                          <pic:cNvPicPr>
                            <a:picLocks noChangeAspect="1"/>
                          </pic:cNvPicPr>
                        </pic:nvPicPr>
                        <pic:blipFill>
                          <a:blip r:embed="rId31"/>
                          <a:stretch>
                            <a:fillRect/>
                          </a:stretch>
                        </pic:blipFill>
                        <pic:spPr>
                          <a:xfrm>
                            <a:off x="0" y="0"/>
                            <a:ext cx="5429250" cy="4484370"/>
                          </a:xfrm>
                          <a:prstGeom prst="rect">
                            <a:avLst/>
                          </a:prstGeom>
                        </pic:spPr>
                      </pic:pic>
                    </a:graphicData>
                  </a:graphic>
                </wp:inline>
              </w:drawing>
            </w:r>
          </w:p>
          <w:p w14:paraId="0A14D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 xml:space="preserve">图4-2  </w:t>
            </w:r>
            <w:r>
              <w:rPr>
                <w:rFonts w:hint="eastAsia" w:ascii="Times New Roman" w:hAnsi="Times New Roman" w:eastAsia="宋体" w:cs="Times New Roman"/>
                <w:b/>
                <w:bCs/>
                <w:color w:val="auto"/>
                <w:sz w:val="21"/>
                <w:szCs w:val="21"/>
                <w:lang w:val="en-US" w:eastAsia="zh-CN"/>
              </w:rPr>
              <w:t>油水分离</w:t>
            </w:r>
            <w:r>
              <w:rPr>
                <w:rFonts w:hint="eastAsia" w:cs="Times New Roman"/>
                <w:b/>
                <w:bCs/>
                <w:color w:val="auto"/>
                <w:sz w:val="21"/>
                <w:szCs w:val="21"/>
                <w:lang w:val="en-US" w:eastAsia="zh-CN"/>
              </w:rPr>
              <w:t>前</w:t>
            </w:r>
            <w:r>
              <w:rPr>
                <w:rFonts w:hint="eastAsia" w:ascii="Times New Roman" w:hAnsi="Times New Roman" w:eastAsia="宋体" w:cs="Times New Roman"/>
                <w:b/>
                <w:bCs/>
                <w:color w:val="auto"/>
                <w:sz w:val="21"/>
                <w:szCs w:val="21"/>
                <w:lang w:val="en-US" w:eastAsia="zh-CN"/>
              </w:rPr>
              <w:t>后水质检测结果</w:t>
            </w:r>
          </w:p>
          <w:p w14:paraId="77B67A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eastAsia="宋体" w:cs="Times New Roman"/>
                <w:color w:val="auto"/>
                <w:vertAlign w:val="baseline"/>
                <w:lang w:val="en-US" w:eastAsia="zh-CN"/>
              </w:rPr>
            </w:pPr>
            <w:r>
              <w:rPr>
                <w:rFonts w:hint="eastAsia" w:cs="Times New Roman"/>
                <w:color w:val="auto"/>
                <w:lang w:val="en-US" w:eastAsia="zh-CN"/>
              </w:rPr>
              <w:t>根据检测结果可知，项目油水分离后废水水质BOD/COD=0.66，废水可生化性较好，除COD、BOD外其余指标均满足</w:t>
            </w:r>
            <w:r>
              <w:rPr>
                <w:rFonts w:hint="default" w:ascii="Times New Roman" w:hAnsi="Times New Roman" w:cs="Times New Roman"/>
                <w:color w:val="auto"/>
                <w:kern w:val="0"/>
              </w:rPr>
              <w:t>《</w:t>
            </w:r>
            <w:r>
              <w:rPr>
                <w:rFonts w:hint="default" w:ascii="Times New Roman" w:hAnsi="Times New Roman" w:cs="Times New Roman"/>
                <w:color w:val="auto"/>
              </w:rPr>
              <w:t>污水综合排放标准》（GB8978-1996）中的三级标准</w:t>
            </w:r>
            <w:r>
              <w:rPr>
                <w:rFonts w:hint="eastAsia" w:cs="Times New Roman"/>
                <w:color w:val="auto"/>
                <w:lang w:val="en-US" w:eastAsia="zh-CN"/>
              </w:rPr>
              <w:t>及《污水排入城镇下水道水质标准》（GB/T 31962-2015）中相关标准。因此，根据生产废水水质及《排污许可证申请与核发技术规范 专用化学产品制造工业》中可行技术要求，项目拟采取厌氧池对废水进行处理，一般来说，厌氧反应时间在10~24h，为加强厌氧池处理效果，本项目取24h，则项目拟建厌氧池容积不得小于31m</w:t>
            </w:r>
            <w:r>
              <w:rPr>
                <w:rFonts w:hint="eastAsia" w:cs="Times New Roman"/>
                <w:color w:val="auto"/>
                <w:vertAlign w:val="superscript"/>
                <w:lang w:val="en-US" w:eastAsia="zh-CN"/>
              </w:rPr>
              <w:t>3</w:t>
            </w:r>
            <w:r>
              <w:rPr>
                <w:rFonts w:hint="eastAsia" w:cs="Times New Roman"/>
                <w:color w:val="auto"/>
                <w:vertAlign w:val="baseline"/>
                <w:lang w:val="en-US" w:eastAsia="zh-CN"/>
              </w:rPr>
              <w:t>。项目废水产生及排放情况如下：</w:t>
            </w:r>
          </w:p>
          <w:p w14:paraId="4C14DD6D">
            <w:pPr>
              <w:pStyle w:val="85"/>
              <w:keepNext w:val="0"/>
              <w:keepLines w:val="0"/>
              <w:widowControl/>
              <w:suppressLineNumbers w:val="0"/>
              <w:tabs>
                <w:tab w:val="left" w:pos="4560"/>
              </w:tabs>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表4-</w:t>
            </w:r>
            <w:r>
              <w:rPr>
                <w:rFonts w:hint="eastAsia"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eastAsia" w:cs="Times New Roman"/>
                <w:color w:val="auto"/>
                <w:lang w:val="en-US" w:eastAsia="zh-CN"/>
              </w:rPr>
              <w:t>生产</w:t>
            </w:r>
            <w:r>
              <w:rPr>
                <w:rFonts w:hint="eastAsia" w:ascii="Times New Roman" w:hAnsi="Times New Roman" w:cs="Times New Roman"/>
                <w:color w:val="auto"/>
                <w:lang w:val="en-US" w:eastAsia="zh-CN"/>
              </w:rPr>
              <w:t>废水</w:t>
            </w:r>
            <w:r>
              <w:rPr>
                <w:rFonts w:hint="default" w:ascii="Times New Roman" w:hAnsi="Times New Roman" w:cs="Times New Roman"/>
                <w:color w:val="auto"/>
              </w:rPr>
              <w:t>产生源强以及排放情况</w:t>
            </w:r>
          </w:p>
          <w:tbl>
            <w:tblPr>
              <w:tblStyle w:val="28"/>
              <w:tblW w:w="492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35"/>
              <w:gridCol w:w="1369"/>
              <w:gridCol w:w="825"/>
              <w:gridCol w:w="612"/>
              <w:gridCol w:w="740"/>
              <w:gridCol w:w="782"/>
              <w:gridCol w:w="755"/>
              <w:gridCol w:w="755"/>
              <w:gridCol w:w="711"/>
              <w:gridCol w:w="1048"/>
            </w:tblGrid>
            <w:tr w14:paraId="5E63CF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06" w:type="pct"/>
                  <w:gridSpan w:val="2"/>
                  <w:noWrap w:val="0"/>
                  <w:tcMar>
                    <w:top w:w="15" w:type="dxa"/>
                    <w:left w:w="15" w:type="dxa"/>
                    <w:right w:w="15" w:type="dxa"/>
                  </w:tcMar>
                  <w:vAlign w:val="center"/>
                </w:tcPr>
                <w:p w14:paraId="054F223A">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废水性质</w:t>
                  </w:r>
                </w:p>
              </w:tc>
              <w:tc>
                <w:tcPr>
                  <w:tcW w:w="489" w:type="pct"/>
                  <w:noWrap w:val="0"/>
                  <w:tcMar>
                    <w:top w:w="15" w:type="dxa"/>
                    <w:left w:w="15" w:type="dxa"/>
                    <w:right w:w="15" w:type="dxa"/>
                  </w:tcMar>
                  <w:vAlign w:val="center"/>
                </w:tcPr>
                <w:p w14:paraId="796F771D">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废水量（m</w:t>
                  </w:r>
                  <w:r>
                    <w:rPr>
                      <w:rStyle w:val="90"/>
                      <w:color w:val="auto"/>
                      <w:lang w:bidi="ar"/>
                    </w:rPr>
                    <w:t>3</w:t>
                  </w:r>
                  <w:r>
                    <w:rPr>
                      <w:rStyle w:val="91"/>
                      <w:color w:val="auto"/>
                      <w:lang w:bidi="ar"/>
                    </w:rPr>
                    <w:t>/a</w:t>
                  </w:r>
                  <w:r>
                    <w:rPr>
                      <w:rStyle w:val="92"/>
                      <w:color w:val="auto"/>
                      <w:vertAlign w:val="baseline"/>
                      <w:lang w:bidi="ar"/>
                    </w:rPr>
                    <w:t>）</w:t>
                  </w:r>
                </w:p>
              </w:tc>
              <w:tc>
                <w:tcPr>
                  <w:tcW w:w="362" w:type="pct"/>
                  <w:noWrap w:val="0"/>
                  <w:tcMar>
                    <w:top w:w="15" w:type="dxa"/>
                    <w:left w:w="15" w:type="dxa"/>
                    <w:right w:w="15" w:type="dxa"/>
                  </w:tcMar>
                  <w:vAlign w:val="center"/>
                </w:tcPr>
                <w:p w14:paraId="4C93AB92">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b/>
                      <w:color w:val="auto"/>
                      <w:kern w:val="2"/>
                      <w:sz w:val="21"/>
                      <w:szCs w:val="21"/>
                      <w:lang w:val="en-US" w:eastAsia="zh-CN" w:bidi="ar-SA"/>
                    </w:rPr>
                  </w:pPr>
                  <w:r>
                    <w:rPr>
                      <w:rFonts w:hint="default" w:ascii="Times New Roman" w:hAnsi="Times New Roman" w:cs="Times New Roman"/>
                      <w:b/>
                      <w:color w:val="auto"/>
                      <w:kern w:val="0"/>
                      <w:sz w:val="21"/>
                      <w:szCs w:val="21"/>
                      <w:lang w:bidi="ar"/>
                    </w:rPr>
                    <w:t>COD</w:t>
                  </w:r>
                </w:p>
              </w:tc>
              <w:tc>
                <w:tcPr>
                  <w:tcW w:w="438" w:type="pct"/>
                  <w:noWrap w:val="0"/>
                  <w:tcMar>
                    <w:top w:w="15" w:type="dxa"/>
                    <w:left w:w="15" w:type="dxa"/>
                    <w:right w:w="15" w:type="dxa"/>
                  </w:tcMar>
                  <w:vAlign w:val="center"/>
                </w:tcPr>
                <w:p w14:paraId="4850E666">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b/>
                      <w:color w:val="auto"/>
                      <w:kern w:val="2"/>
                      <w:sz w:val="21"/>
                      <w:szCs w:val="21"/>
                      <w:lang w:val="en-US" w:eastAsia="zh-CN" w:bidi="ar-SA"/>
                    </w:rPr>
                  </w:pPr>
                  <w:r>
                    <w:rPr>
                      <w:rFonts w:hint="default" w:ascii="Times New Roman" w:hAnsi="Times New Roman" w:cs="Times New Roman"/>
                      <w:b/>
                      <w:color w:val="auto"/>
                      <w:kern w:val="0"/>
                      <w:sz w:val="21"/>
                      <w:szCs w:val="21"/>
                      <w:lang w:bidi="ar"/>
                    </w:rPr>
                    <w:t>BOD</w:t>
                  </w:r>
                  <w:r>
                    <w:rPr>
                      <w:rStyle w:val="93"/>
                      <w:color w:val="auto"/>
                      <w:sz w:val="21"/>
                      <w:szCs w:val="21"/>
                      <w:lang w:bidi="ar"/>
                    </w:rPr>
                    <w:t>5</w:t>
                  </w:r>
                </w:p>
              </w:tc>
              <w:tc>
                <w:tcPr>
                  <w:tcW w:w="463" w:type="pct"/>
                  <w:noWrap w:val="0"/>
                  <w:tcMar>
                    <w:top w:w="15" w:type="dxa"/>
                    <w:left w:w="15" w:type="dxa"/>
                    <w:right w:w="15" w:type="dxa"/>
                  </w:tcMar>
                  <w:vAlign w:val="center"/>
                </w:tcPr>
                <w:p w14:paraId="11750B65">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SS</w:t>
                  </w:r>
                </w:p>
              </w:tc>
              <w:tc>
                <w:tcPr>
                  <w:tcW w:w="447" w:type="pct"/>
                  <w:noWrap w:val="0"/>
                  <w:tcMar>
                    <w:top w:w="15" w:type="dxa"/>
                    <w:left w:w="15" w:type="dxa"/>
                    <w:right w:w="15" w:type="dxa"/>
                  </w:tcMar>
                  <w:vAlign w:val="center"/>
                </w:tcPr>
                <w:p w14:paraId="44F22BD7">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NH</w:t>
                  </w:r>
                  <w:r>
                    <w:rPr>
                      <w:rStyle w:val="93"/>
                      <w:color w:val="auto"/>
                      <w:sz w:val="21"/>
                      <w:szCs w:val="21"/>
                      <w:lang w:bidi="ar"/>
                    </w:rPr>
                    <w:t>3</w:t>
                  </w:r>
                  <w:r>
                    <w:rPr>
                      <w:rStyle w:val="91"/>
                      <w:color w:val="auto"/>
                      <w:lang w:bidi="ar"/>
                    </w:rPr>
                    <w:t>-N</w:t>
                  </w:r>
                </w:p>
              </w:tc>
              <w:tc>
                <w:tcPr>
                  <w:tcW w:w="447" w:type="pct"/>
                  <w:noWrap w:val="0"/>
                  <w:tcMar>
                    <w:top w:w="15" w:type="dxa"/>
                    <w:left w:w="15" w:type="dxa"/>
                    <w:right w:w="15" w:type="dxa"/>
                  </w:tcMar>
                  <w:vAlign w:val="center"/>
                </w:tcPr>
                <w:p w14:paraId="708C2136">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TP</w:t>
                  </w:r>
                </w:p>
              </w:tc>
              <w:tc>
                <w:tcPr>
                  <w:tcW w:w="421" w:type="pct"/>
                  <w:tcBorders>
                    <w:right w:val="single" w:color="auto" w:sz="4" w:space="0"/>
                  </w:tcBorders>
                  <w:noWrap w:val="0"/>
                  <w:tcMar>
                    <w:top w:w="15" w:type="dxa"/>
                    <w:left w:w="15" w:type="dxa"/>
                    <w:right w:w="15" w:type="dxa"/>
                  </w:tcMar>
                  <w:vAlign w:val="center"/>
                </w:tcPr>
                <w:p w14:paraId="0ADFCEF9">
                  <w:pPr>
                    <w:keepNext w:val="0"/>
                    <w:keepLines w:val="0"/>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b/>
                      <w:color w:val="auto"/>
                      <w:kern w:val="0"/>
                      <w:sz w:val="21"/>
                      <w:szCs w:val="21"/>
                      <w:lang w:val="en-US" w:eastAsia="zh-CN" w:bidi="ar"/>
                    </w:rPr>
                  </w:pPr>
                  <w:r>
                    <w:rPr>
                      <w:rFonts w:hint="eastAsia" w:ascii="Times New Roman" w:hAnsi="Times New Roman" w:cs="Times New Roman"/>
                      <w:b/>
                      <w:color w:val="auto"/>
                      <w:kern w:val="0"/>
                      <w:sz w:val="21"/>
                      <w:szCs w:val="21"/>
                      <w:lang w:val="en-US" w:eastAsia="zh-CN" w:bidi="ar"/>
                    </w:rPr>
                    <w:t>TN</w:t>
                  </w:r>
                </w:p>
              </w:tc>
              <w:tc>
                <w:tcPr>
                  <w:tcW w:w="621" w:type="pct"/>
                  <w:tcBorders>
                    <w:left w:val="single" w:color="auto" w:sz="4" w:space="0"/>
                  </w:tcBorders>
                  <w:noWrap w:val="0"/>
                  <w:tcMar>
                    <w:top w:w="15" w:type="dxa"/>
                    <w:left w:w="15" w:type="dxa"/>
                    <w:right w:w="15" w:type="dxa"/>
                  </w:tcMar>
                  <w:vAlign w:val="center"/>
                </w:tcPr>
                <w:p w14:paraId="7720108B">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b/>
                      <w:color w:val="auto"/>
                      <w:kern w:val="0"/>
                      <w:sz w:val="21"/>
                      <w:szCs w:val="21"/>
                      <w:lang w:val="en-US" w:eastAsia="zh-CN" w:bidi="ar"/>
                    </w:rPr>
                  </w:pPr>
                  <w:r>
                    <w:rPr>
                      <w:rFonts w:hint="eastAsia" w:ascii="Times New Roman" w:hAnsi="Times New Roman" w:cs="Times New Roman"/>
                      <w:b/>
                      <w:color w:val="auto"/>
                      <w:kern w:val="0"/>
                      <w:sz w:val="21"/>
                      <w:szCs w:val="21"/>
                      <w:lang w:val="en-US" w:eastAsia="zh-CN" w:bidi="ar"/>
                    </w:rPr>
                    <w:t>动植物油</w:t>
                  </w:r>
                </w:p>
              </w:tc>
            </w:tr>
            <w:tr w14:paraId="6DDBD4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95" w:type="pct"/>
                  <w:vMerge w:val="restart"/>
                  <w:noWrap w:val="0"/>
                  <w:tcMar>
                    <w:top w:w="15" w:type="dxa"/>
                    <w:left w:w="15" w:type="dxa"/>
                    <w:right w:w="15" w:type="dxa"/>
                  </w:tcMar>
                  <w:vAlign w:val="center"/>
                </w:tcPr>
                <w:p w14:paraId="0D397BB1">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
                    </w:rPr>
                    <w:t>油水分离处理前</w:t>
                  </w:r>
                </w:p>
              </w:tc>
              <w:tc>
                <w:tcPr>
                  <w:tcW w:w="811" w:type="pct"/>
                  <w:noWrap w:val="0"/>
                  <w:tcMar>
                    <w:top w:w="15" w:type="dxa"/>
                    <w:left w:w="15" w:type="dxa"/>
                    <w:right w:w="15" w:type="dxa"/>
                  </w:tcMar>
                  <w:vAlign w:val="center"/>
                </w:tcPr>
                <w:p w14:paraId="7421B04F">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浓度（mg/L</w:t>
                  </w:r>
                  <w:r>
                    <w:rPr>
                      <w:rStyle w:val="88"/>
                      <w:color w:val="auto"/>
                      <w:sz w:val="21"/>
                      <w:szCs w:val="21"/>
                      <w:lang w:bidi="ar"/>
                    </w:rPr>
                    <w:t>）</w:t>
                  </w:r>
                </w:p>
              </w:tc>
              <w:tc>
                <w:tcPr>
                  <w:tcW w:w="489" w:type="pct"/>
                  <w:vMerge w:val="restart"/>
                  <w:noWrap w:val="0"/>
                  <w:tcMar>
                    <w:top w:w="15" w:type="dxa"/>
                    <w:left w:w="15" w:type="dxa"/>
                    <w:right w:w="15" w:type="dxa"/>
                  </w:tcMar>
                  <w:vAlign w:val="center"/>
                </w:tcPr>
                <w:p w14:paraId="721F0DA8">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 xml:space="preserve">9295.376 </w:t>
                  </w:r>
                </w:p>
              </w:tc>
              <w:tc>
                <w:tcPr>
                  <w:tcW w:w="612" w:type="dxa"/>
                  <w:noWrap w:val="0"/>
                  <w:tcMar>
                    <w:top w:w="15" w:type="dxa"/>
                    <w:left w:w="15" w:type="dxa"/>
                    <w:right w:w="15" w:type="dxa"/>
                  </w:tcMar>
                  <w:vAlign w:val="center"/>
                </w:tcPr>
                <w:p w14:paraId="225FF81D">
                  <w:pPr>
                    <w:keepNext w:val="0"/>
                    <w:keepLines w:val="0"/>
                    <w:suppressLineNumbers w:val="0"/>
                    <w:spacing w:before="0" w:beforeAutospacing="0" w:after="0" w:afterAutospacing="0" w:line="240" w:lineRule="auto"/>
                    <w:ind w:left="0" w:leftChars="0" w:right="0" w:rightChars="0"/>
                    <w:jc w:val="center"/>
                    <w:textAlignment w:val="bottom"/>
                    <w:rPr>
                      <w:rFonts w:hint="eastAsia" w:cs="Times New Roman"/>
                      <w:color w:val="auto"/>
                      <w:sz w:val="21"/>
                      <w:szCs w:val="21"/>
                      <w:lang w:val="en-US" w:eastAsia="zh-CN"/>
                    </w:rPr>
                  </w:pPr>
                  <w:r>
                    <w:rPr>
                      <w:rFonts w:hint="default" w:cs="Times New Roman"/>
                      <w:color w:val="auto"/>
                      <w:sz w:val="21"/>
                      <w:szCs w:val="21"/>
                      <w:lang w:val="en-US" w:eastAsia="zh-CN"/>
                    </w:rPr>
                    <w:t>942</w:t>
                  </w:r>
                </w:p>
              </w:tc>
              <w:tc>
                <w:tcPr>
                  <w:tcW w:w="740" w:type="dxa"/>
                  <w:noWrap w:val="0"/>
                  <w:tcMar>
                    <w:top w:w="15" w:type="dxa"/>
                    <w:left w:w="15" w:type="dxa"/>
                    <w:right w:w="15" w:type="dxa"/>
                  </w:tcMar>
                  <w:vAlign w:val="center"/>
                </w:tcPr>
                <w:p w14:paraId="72A37A03">
                  <w:pPr>
                    <w:keepNext w:val="0"/>
                    <w:keepLines w:val="0"/>
                    <w:suppressLineNumbers w:val="0"/>
                    <w:spacing w:before="0" w:beforeAutospacing="0" w:after="0" w:afterAutospacing="0" w:line="240" w:lineRule="auto"/>
                    <w:ind w:left="0" w:leftChars="0" w:right="0" w:rightChars="0"/>
                    <w:jc w:val="center"/>
                    <w:textAlignment w:val="bottom"/>
                    <w:rPr>
                      <w:rFonts w:hint="eastAsia" w:cs="Times New Roman"/>
                      <w:color w:val="auto"/>
                      <w:sz w:val="21"/>
                      <w:szCs w:val="21"/>
                      <w:lang w:val="en-US" w:eastAsia="zh-CN"/>
                    </w:rPr>
                  </w:pPr>
                  <w:r>
                    <w:rPr>
                      <w:rFonts w:hint="default" w:cs="Times New Roman"/>
                      <w:color w:val="auto"/>
                      <w:sz w:val="21"/>
                      <w:szCs w:val="21"/>
                      <w:lang w:val="en-US" w:eastAsia="zh-CN"/>
                    </w:rPr>
                    <w:t>632</w:t>
                  </w:r>
                </w:p>
              </w:tc>
              <w:tc>
                <w:tcPr>
                  <w:tcW w:w="782" w:type="dxa"/>
                  <w:noWrap w:val="0"/>
                  <w:tcMar>
                    <w:top w:w="15" w:type="dxa"/>
                    <w:left w:w="15" w:type="dxa"/>
                    <w:right w:w="15" w:type="dxa"/>
                  </w:tcMar>
                  <w:vAlign w:val="center"/>
                </w:tcPr>
                <w:p w14:paraId="10C64718">
                  <w:pPr>
                    <w:keepNext w:val="0"/>
                    <w:keepLines w:val="0"/>
                    <w:suppressLineNumbers w:val="0"/>
                    <w:spacing w:before="0" w:beforeAutospacing="0" w:after="0" w:afterAutospacing="0" w:line="240" w:lineRule="auto"/>
                    <w:ind w:left="0" w:leftChars="0" w:right="0" w:rightChars="0"/>
                    <w:jc w:val="center"/>
                    <w:textAlignment w:val="bottom"/>
                    <w:rPr>
                      <w:rFonts w:hint="eastAsia" w:cs="Times New Roman"/>
                      <w:color w:val="auto"/>
                      <w:sz w:val="21"/>
                      <w:szCs w:val="21"/>
                      <w:lang w:val="en-US" w:eastAsia="zh-CN"/>
                    </w:rPr>
                  </w:pPr>
                  <w:r>
                    <w:rPr>
                      <w:rFonts w:hint="default" w:cs="Times New Roman"/>
                      <w:color w:val="auto"/>
                      <w:sz w:val="21"/>
                      <w:szCs w:val="21"/>
                      <w:lang w:val="en-US" w:eastAsia="zh-CN"/>
                    </w:rPr>
                    <w:t>9</w:t>
                  </w:r>
                </w:p>
              </w:tc>
              <w:tc>
                <w:tcPr>
                  <w:tcW w:w="755" w:type="dxa"/>
                  <w:noWrap w:val="0"/>
                  <w:tcMar>
                    <w:top w:w="15" w:type="dxa"/>
                    <w:left w:w="15" w:type="dxa"/>
                    <w:right w:w="15" w:type="dxa"/>
                  </w:tcMar>
                  <w:vAlign w:val="center"/>
                </w:tcPr>
                <w:p w14:paraId="3D0E7B49">
                  <w:pPr>
                    <w:keepNext w:val="0"/>
                    <w:keepLines w:val="0"/>
                    <w:suppressLineNumbers w:val="0"/>
                    <w:spacing w:before="0" w:beforeAutospacing="0" w:after="0" w:afterAutospacing="0" w:line="240" w:lineRule="auto"/>
                    <w:ind w:left="0" w:leftChars="0" w:right="0" w:rightChars="0"/>
                    <w:jc w:val="center"/>
                    <w:textAlignment w:val="bottom"/>
                    <w:rPr>
                      <w:rFonts w:hint="eastAsia" w:cs="Times New Roman"/>
                      <w:color w:val="auto"/>
                      <w:sz w:val="21"/>
                      <w:szCs w:val="21"/>
                      <w:lang w:val="en-US" w:eastAsia="zh-CN"/>
                    </w:rPr>
                  </w:pPr>
                  <w:r>
                    <w:rPr>
                      <w:rFonts w:hint="default" w:cs="Times New Roman"/>
                      <w:color w:val="auto"/>
                      <w:sz w:val="21"/>
                      <w:szCs w:val="21"/>
                      <w:lang w:val="en-US" w:eastAsia="zh-CN"/>
                    </w:rPr>
                    <w:t>17.3</w:t>
                  </w:r>
                </w:p>
              </w:tc>
              <w:tc>
                <w:tcPr>
                  <w:tcW w:w="755" w:type="dxa"/>
                  <w:noWrap w:val="0"/>
                  <w:tcMar>
                    <w:top w:w="15" w:type="dxa"/>
                    <w:left w:w="15" w:type="dxa"/>
                    <w:right w:w="15" w:type="dxa"/>
                  </w:tcMar>
                  <w:vAlign w:val="center"/>
                </w:tcPr>
                <w:p w14:paraId="46A49BF1">
                  <w:pPr>
                    <w:keepNext w:val="0"/>
                    <w:keepLines w:val="0"/>
                    <w:suppressLineNumbers w:val="0"/>
                    <w:spacing w:before="0" w:beforeAutospacing="0" w:after="0" w:afterAutospacing="0" w:line="240" w:lineRule="auto"/>
                    <w:ind w:left="0" w:leftChars="0" w:right="0" w:rightChars="0"/>
                    <w:jc w:val="center"/>
                    <w:textAlignment w:val="bottom"/>
                    <w:rPr>
                      <w:rFonts w:hint="eastAsia" w:cs="Times New Roman"/>
                      <w:color w:val="auto"/>
                      <w:sz w:val="21"/>
                      <w:szCs w:val="21"/>
                      <w:lang w:val="en-US" w:eastAsia="zh-CN"/>
                    </w:rPr>
                  </w:pPr>
                  <w:r>
                    <w:rPr>
                      <w:rFonts w:hint="default" w:cs="Times New Roman"/>
                      <w:color w:val="auto"/>
                      <w:sz w:val="21"/>
                      <w:szCs w:val="21"/>
                      <w:lang w:val="en-US" w:eastAsia="zh-CN"/>
                    </w:rPr>
                    <w:t>0.16</w:t>
                  </w:r>
                </w:p>
              </w:tc>
              <w:tc>
                <w:tcPr>
                  <w:tcW w:w="711" w:type="dxa"/>
                  <w:tcBorders>
                    <w:right w:val="single" w:color="auto" w:sz="4" w:space="0"/>
                  </w:tcBorders>
                  <w:noWrap w:val="0"/>
                  <w:tcMar>
                    <w:top w:w="15" w:type="dxa"/>
                    <w:left w:w="15" w:type="dxa"/>
                    <w:right w:w="15" w:type="dxa"/>
                  </w:tcMar>
                  <w:vAlign w:val="center"/>
                </w:tcPr>
                <w:p w14:paraId="0C256A34">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20.4</w:t>
                  </w:r>
                </w:p>
              </w:tc>
              <w:tc>
                <w:tcPr>
                  <w:tcW w:w="1048" w:type="dxa"/>
                  <w:tcBorders>
                    <w:left w:val="single" w:color="auto" w:sz="4" w:space="0"/>
                  </w:tcBorders>
                  <w:noWrap w:val="0"/>
                  <w:tcMar>
                    <w:top w:w="15" w:type="dxa"/>
                    <w:left w:w="15" w:type="dxa"/>
                    <w:right w:w="15" w:type="dxa"/>
                  </w:tcMar>
                  <w:vAlign w:val="center"/>
                </w:tcPr>
                <w:p w14:paraId="12DEEE26">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10.2</w:t>
                  </w:r>
                </w:p>
              </w:tc>
            </w:tr>
            <w:tr w14:paraId="72ACDD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95" w:type="pct"/>
                  <w:vMerge w:val="continue"/>
                  <w:noWrap w:val="0"/>
                  <w:tcMar>
                    <w:top w:w="15" w:type="dxa"/>
                    <w:left w:w="15" w:type="dxa"/>
                    <w:right w:w="15" w:type="dxa"/>
                  </w:tcMar>
                  <w:vAlign w:val="center"/>
                </w:tcPr>
                <w:p w14:paraId="78D81D6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811" w:type="pct"/>
                  <w:noWrap w:val="0"/>
                  <w:tcMar>
                    <w:top w:w="15" w:type="dxa"/>
                    <w:left w:w="15" w:type="dxa"/>
                    <w:right w:w="15" w:type="dxa"/>
                  </w:tcMar>
                  <w:vAlign w:val="center"/>
                </w:tcPr>
                <w:p w14:paraId="2645D58C">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产生量（t/a</w:t>
                  </w:r>
                  <w:r>
                    <w:rPr>
                      <w:rStyle w:val="88"/>
                      <w:color w:val="auto"/>
                      <w:sz w:val="21"/>
                      <w:szCs w:val="21"/>
                      <w:lang w:bidi="ar"/>
                    </w:rPr>
                    <w:t>）</w:t>
                  </w:r>
                </w:p>
              </w:tc>
              <w:tc>
                <w:tcPr>
                  <w:tcW w:w="489" w:type="pct"/>
                  <w:vMerge w:val="continue"/>
                  <w:noWrap w:val="0"/>
                  <w:tcMar>
                    <w:top w:w="15" w:type="dxa"/>
                    <w:left w:w="15" w:type="dxa"/>
                    <w:right w:w="15" w:type="dxa"/>
                  </w:tcMar>
                  <w:vAlign w:val="center"/>
                </w:tcPr>
                <w:p w14:paraId="6AEDEF1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12" w:type="dxa"/>
                  <w:noWrap w:val="0"/>
                  <w:tcMar>
                    <w:top w:w="15" w:type="dxa"/>
                    <w:left w:w="15" w:type="dxa"/>
                    <w:right w:w="15" w:type="dxa"/>
                  </w:tcMar>
                  <w:vAlign w:val="center"/>
                </w:tcPr>
                <w:p w14:paraId="06D9228E">
                  <w:pPr>
                    <w:keepNext w:val="0"/>
                    <w:keepLines w:val="0"/>
                    <w:suppressLineNumbers w:val="0"/>
                    <w:spacing w:before="0" w:beforeAutospacing="0" w:after="0" w:afterAutospacing="0" w:line="240" w:lineRule="auto"/>
                    <w:ind w:left="0" w:leftChars="0" w:right="0" w:rightChars="0"/>
                    <w:jc w:val="center"/>
                    <w:textAlignment w:val="bottom"/>
                    <w:rPr>
                      <w:rFonts w:hint="eastAsia" w:cs="Times New Roman"/>
                      <w:color w:val="auto"/>
                      <w:sz w:val="21"/>
                      <w:szCs w:val="21"/>
                      <w:lang w:val="en-US" w:eastAsia="zh-CN"/>
                    </w:rPr>
                  </w:pPr>
                  <w:r>
                    <w:rPr>
                      <w:rFonts w:hint="default" w:cs="Times New Roman"/>
                      <w:color w:val="auto"/>
                      <w:sz w:val="21"/>
                      <w:szCs w:val="21"/>
                      <w:lang w:val="en-US" w:eastAsia="zh-CN"/>
                    </w:rPr>
                    <w:t xml:space="preserve">8.756 </w:t>
                  </w:r>
                </w:p>
              </w:tc>
              <w:tc>
                <w:tcPr>
                  <w:tcW w:w="740" w:type="dxa"/>
                  <w:noWrap w:val="0"/>
                  <w:tcMar>
                    <w:top w:w="15" w:type="dxa"/>
                    <w:left w:w="15" w:type="dxa"/>
                    <w:right w:w="15" w:type="dxa"/>
                  </w:tcMar>
                  <w:vAlign w:val="center"/>
                </w:tcPr>
                <w:p w14:paraId="14F0025D">
                  <w:pPr>
                    <w:keepNext w:val="0"/>
                    <w:keepLines w:val="0"/>
                    <w:suppressLineNumbers w:val="0"/>
                    <w:spacing w:before="0" w:beforeAutospacing="0" w:after="0" w:afterAutospacing="0" w:line="240" w:lineRule="auto"/>
                    <w:ind w:left="0" w:leftChars="0" w:right="0" w:rightChars="0"/>
                    <w:jc w:val="center"/>
                    <w:textAlignment w:val="bottom"/>
                    <w:rPr>
                      <w:rFonts w:hint="eastAsia" w:cs="Times New Roman"/>
                      <w:color w:val="auto"/>
                      <w:sz w:val="21"/>
                      <w:szCs w:val="21"/>
                      <w:lang w:val="en-US" w:eastAsia="zh-CN"/>
                    </w:rPr>
                  </w:pPr>
                  <w:r>
                    <w:rPr>
                      <w:rFonts w:hint="default" w:cs="Times New Roman"/>
                      <w:color w:val="auto"/>
                      <w:sz w:val="21"/>
                      <w:szCs w:val="21"/>
                      <w:lang w:val="en-US" w:eastAsia="zh-CN"/>
                    </w:rPr>
                    <w:t xml:space="preserve">5.875 </w:t>
                  </w:r>
                </w:p>
              </w:tc>
              <w:tc>
                <w:tcPr>
                  <w:tcW w:w="782" w:type="dxa"/>
                  <w:noWrap w:val="0"/>
                  <w:tcMar>
                    <w:top w:w="15" w:type="dxa"/>
                    <w:left w:w="15" w:type="dxa"/>
                    <w:right w:w="15" w:type="dxa"/>
                  </w:tcMar>
                  <w:vAlign w:val="center"/>
                </w:tcPr>
                <w:p w14:paraId="1A146BBE">
                  <w:pPr>
                    <w:keepNext w:val="0"/>
                    <w:keepLines w:val="0"/>
                    <w:suppressLineNumbers w:val="0"/>
                    <w:spacing w:before="0" w:beforeAutospacing="0" w:after="0" w:afterAutospacing="0" w:line="240" w:lineRule="auto"/>
                    <w:ind w:left="0" w:leftChars="0" w:right="0" w:rightChars="0"/>
                    <w:jc w:val="center"/>
                    <w:textAlignment w:val="bottom"/>
                    <w:rPr>
                      <w:rFonts w:hint="eastAsia" w:cs="Times New Roman"/>
                      <w:color w:val="auto"/>
                      <w:sz w:val="21"/>
                      <w:szCs w:val="21"/>
                      <w:lang w:val="en-US" w:eastAsia="zh-CN"/>
                    </w:rPr>
                  </w:pPr>
                  <w:r>
                    <w:rPr>
                      <w:rFonts w:hint="default" w:cs="Times New Roman"/>
                      <w:color w:val="auto"/>
                      <w:sz w:val="21"/>
                      <w:szCs w:val="21"/>
                      <w:lang w:val="en-US" w:eastAsia="zh-CN"/>
                    </w:rPr>
                    <w:t xml:space="preserve">0.084 </w:t>
                  </w:r>
                </w:p>
              </w:tc>
              <w:tc>
                <w:tcPr>
                  <w:tcW w:w="755" w:type="dxa"/>
                  <w:noWrap w:val="0"/>
                  <w:tcMar>
                    <w:top w:w="15" w:type="dxa"/>
                    <w:left w:w="15" w:type="dxa"/>
                    <w:right w:w="15" w:type="dxa"/>
                  </w:tcMar>
                  <w:vAlign w:val="center"/>
                </w:tcPr>
                <w:p w14:paraId="6CA96BDC">
                  <w:pPr>
                    <w:keepNext w:val="0"/>
                    <w:keepLines w:val="0"/>
                    <w:suppressLineNumbers w:val="0"/>
                    <w:spacing w:before="0" w:beforeAutospacing="0" w:after="0" w:afterAutospacing="0" w:line="240" w:lineRule="auto"/>
                    <w:ind w:left="0" w:leftChars="0" w:right="0" w:rightChars="0"/>
                    <w:jc w:val="center"/>
                    <w:textAlignment w:val="bottom"/>
                    <w:rPr>
                      <w:rFonts w:hint="eastAsia" w:cs="Times New Roman"/>
                      <w:color w:val="auto"/>
                      <w:sz w:val="21"/>
                      <w:szCs w:val="21"/>
                      <w:lang w:val="en-US" w:eastAsia="zh-CN"/>
                    </w:rPr>
                  </w:pPr>
                  <w:r>
                    <w:rPr>
                      <w:rFonts w:hint="default" w:cs="Times New Roman"/>
                      <w:color w:val="auto"/>
                      <w:sz w:val="21"/>
                      <w:szCs w:val="21"/>
                      <w:lang w:val="en-US" w:eastAsia="zh-CN"/>
                    </w:rPr>
                    <w:t xml:space="preserve">0.161 </w:t>
                  </w:r>
                </w:p>
              </w:tc>
              <w:tc>
                <w:tcPr>
                  <w:tcW w:w="755" w:type="dxa"/>
                  <w:noWrap w:val="0"/>
                  <w:tcMar>
                    <w:top w:w="15" w:type="dxa"/>
                    <w:left w:w="15" w:type="dxa"/>
                    <w:right w:w="15" w:type="dxa"/>
                  </w:tcMar>
                  <w:vAlign w:val="center"/>
                </w:tcPr>
                <w:p w14:paraId="7CF5681F">
                  <w:pPr>
                    <w:keepNext w:val="0"/>
                    <w:keepLines w:val="0"/>
                    <w:suppressLineNumbers w:val="0"/>
                    <w:spacing w:before="0" w:beforeAutospacing="0" w:after="0" w:afterAutospacing="0" w:line="240" w:lineRule="auto"/>
                    <w:ind w:left="0" w:leftChars="0" w:right="0" w:rightChars="0"/>
                    <w:jc w:val="center"/>
                    <w:textAlignment w:val="bottom"/>
                    <w:rPr>
                      <w:rFonts w:hint="eastAsia" w:cs="Times New Roman"/>
                      <w:color w:val="auto"/>
                      <w:sz w:val="21"/>
                      <w:szCs w:val="21"/>
                      <w:lang w:val="en-US" w:eastAsia="zh-CN"/>
                    </w:rPr>
                  </w:pPr>
                  <w:r>
                    <w:rPr>
                      <w:rFonts w:hint="default" w:cs="Times New Roman"/>
                      <w:color w:val="auto"/>
                      <w:sz w:val="21"/>
                      <w:szCs w:val="21"/>
                      <w:lang w:val="en-US" w:eastAsia="zh-CN"/>
                    </w:rPr>
                    <w:t xml:space="preserve">0.001 </w:t>
                  </w:r>
                </w:p>
              </w:tc>
              <w:tc>
                <w:tcPr>
                  <w:tcW w:w="711" w:type="dxa"/>
                  <w:tcBorders>
                    <w:right w:val="single" w:color="auto" w:sz="4" w:space="0"/>
                  </w:tcBorders>
                  <w:noWrap w:val="0"/>
                  <w:tcMar>
                    <w:top w:w="15" w:type="dxa"/>
                    <w:left w:w="15" w:type="dxa"/>
                    <w:right w:w="15" w:type="dxa"/>
                  </w:tcMar>
                  <w:vAlign w:val="center"/>
                </w:tcPr>
                <w:p w14:paraId="3B6E679F">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0.190 </w:t>
                  </w:r>
                </w:p>
              </w:tc>
              <w:tc>
                <w:tcPr>
                  <w:tcW w:w="1048" w:type="dxa"/>
                  <w:tcBorders>
                    <w:left w:val="single" w:color="auto" w:sz="4" w:space="0"/>
                  </w:tcBorders>
                  <w:noWrap w:val="0"/>
                  <w:tcMar>
                    <w:top w:w="15" w:type="dxa"/>
                    <w:left w:w="15" w:type="dxa"/>
                    <w:right w:w="15" w:type="dxa"/>
                  </w:tcMar>
                  <w:vAlign w:val="center"/>
                </w:tcPr>
                <w:p w14:paraId="06861BA9">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0.095 </w:t>
                  </w:r>
                </w:p>
              </w:tc>
            </w:tr>
            <w:tr w14:paraId="4B8E05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495" w:type="pct"/>
                  <w:vMerge w:val="restart"/>
                  <w:noWrap w:val="0"/>
                  <w:tcMar>
                    <w:top w:w="15" w:type="dxa"/>
                    <w:left w:w="15" w:type="dxa"/>
                    <w:right w:w="15" w:type="dxa"/>
                  </w:tcMar>
                  <w:vAlign w:val="center"/>
                </w:tcPr>
                <w:p w14:paraId="1C89ED44">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油水分离处理后</w:t>
                  </w:r>
                </w:p>
              </w:tc>
              <w:tc>
                <w:tcPr>
                  <w:tcW w:w="811" w:type="pct"/>
                  <w:tcBorders>
                    <w:bottom w:val="single" w:color="auto" w:sz="4" w:space="0"/>
                  </w:tcBorders>
                  <w:noWrap w:val="0"/>
                  <w:tcMar>
                    <w:top w:w="15" w:type="dxa"/>
                    <w:left w:w="15" w:type="dxa"/>
                    <w:right w:w="15" w:type="dxa"/>
                  </w:tcMar>
                  <w:vAlign w:val="center"/>
                </w:tcPr>
                <w:p w14:paraId="1D5D6A2B">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浓度（mg/L</w:t>
                  </w:r>
                  <w:r>
                    <w:rPr>
                      <w:rStyle w:val="88"/>
                      <w:color w:val="auto"/>
                      <w:sz w:val="21"/>
                      <w:szCs w:val="21"/>
                      <w:lang w:bidi="ar"/>
                    </w:rPr>
                    <w:t>）</w:t>
                  </w:r>
                </w:p>
              </w:tc>
              <w:tc>
                <w:tcPr>
                  <w:tcW w:w="489" w:type="pct"/>
                  <w:vMerge w:val="restart"/>
                  <w:noWrap w:val="0"/>
                  <w:tcMar>
                    <w:top w:w="15" w:type="dxa"/>
                    <w:left w:w="15" w:type="dxa"/>
                    <w:right w:w="15" w:type="dxa"/>
                  </w:tcMar>
                  <w:vAlign w:val="center"/>
                </w:tcPr>
                <w:p w14:paraId="2D2D377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 xml:space="preserve">9295.376 </w:t>
                  </w:r>
                </w:p>
              </w:tc>
              <w:tc>
                <w:tcPr>
                  <w:tcW w:w="612" w:type="dxa"/>
                  <w:tcBorders>
                    <w:top w:val="single" w:color="auto" w:sz="4" w:space="0"/>
                    <w:bottom w:val="single" w:color="auto" w:sz="4" w:space="0"/>
                  </w:tcBorders>
                  <w:noWrap w:val="0"/>
                  <w:tcMar>
                    <w:top w:w="15" w:type="dxa"/>
                    <w:left w:w="15" w:type="dxa"/>
                    <w:right w:w="15" w:type="dxa"/>
                  </w:tcMar>
                  <w:vAlign w:val="center"/>
                </w:tcPr>
                <w:p w14:paraId="73FD3520">
                  <w:pPr>
                    <w:keepNext w:val="0"/>
                    <w:keepLines w:val="0"/>
                    <w:suppressLineNumbers w:val="0"/>
                    <w:spacing w:before="0" w:beforeAutospacing="0" w:after="0" w:afterAutospacing="0" w:line="240" w:lineRule="auto"/>
                    <w:ind w:left="0" w:leftChars="0" w:right="0" w:rightChars="0"/>
                    <w:jc w:val="center"/>
                    <w:textAlignment w:val="bottom"/>
                    <w:rPr>
                      <w:rFonts w:hint="eastAsia" w:cs="Times New Roman"/>
                      <w:color w:val="auto"/>
                      <w:sz w:val="21"/>
                      <w:szCs w:val="21"/>
                      <w:lang w:val="en-US" w:eastAsia="zh-CN"/>
                    </w:rPr>
                  </w:pPr>
                  <w:r>
                    <w:rPr>
                      <w:rFonts w:hint="default" w:cs="Times New Roman"/>
                      <w:color w:val="auto"/>
                      <w:sz w:val="21"/>
                      <w:szCs w:val="21"/>
                      <w:lang w:val="en-US" w:eastAsia="zh-CN"/>
                    </w:rPr>
                    <w:t>895</w:t>
                  </w:r>
                </w:p>
              </w:tc>
              <w:tc>
                <w:tcPr>
                  <w:tcW w:w="740" w:type="dxa"/>
                  <w:tcBorders>
                    <w:top w:val="single" w:color="auto" w:sz="4" w:space="0"/>
                    <w:bottom w:val="single" w:color="auto" w:sz="4" w:space="0"/>
                  </w:tcBorders>
                  <w:noWrap w:val="0"/>
                  <w:tcMar>
                    <w:top w:w="15" w:type="dxa"/>
                    <w:left w:w="15" w:type="dxa"/>
                    <w:right w:w="15" w:type="dxa"/>
                  </w:tcMar>
                  <w:vAlign w:val="center"/>
                </w:tcPr>
                <w:p w14:paraId="59B4B4E5">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588</w:t>
                  </w:r>
                </w:p>
              </w:tc>
              <w:tc>
                <w:tcPr>
                  <w:tcW w:w="782" w:type="dxa"/>
                  <w:tcBorders>
                    <w:top w:val="single" w:color="auto" w:sz="4" w:space="0"/>
                    <w:bottom w:val="single" w:color="auto" w:sz="4" w:space="0"/>
                  </w:tcBorders>
                  <w:noWrap w:val="0"/>
                  <w:tcMar>
                    <w:top w:w="15" w:type="dxa"/>
                    <w:left w:w="15" w:type="dxa"/>
                    <w:right w:w="15" w:type="dxa"/>
                  </w:tcMar>
                  <w:vAlign w:val="center"/>
                </w:tcPr>
                <w:p w14:paraId="3730FFC2">
                  <w:pPr>
                    <w:keepNext w:val="0"/>
                    <w:keepLines w:val="0"/>
                    <w:suppressLineNumbers w:val="0"/>
                    <w:spacing w:before="0" w:beforeAutospacing="0" w:after="0" w:afterAutospacing="0" w:line="240" w:lineRule="auto"/>
                    <w:ind w:left="0" w:leftChars="0" w:right="0" w:rightChars="0"/>
                    <w:jc w:val="center"/>
                    <w:textAlignment w:val="bottom"/>
                    <w:rPr>
                      <w:rFonts w:hint="eastAsia" w:cs="Times New Roman"/>
                      <w:color w:val="auto"/>
                      <w:sz w:val="21"/>
                      <w:szCs w:val="21"/>
                      <w:lang w:val="en-US" w:eastAsia="zh-CN"/>
                    </w:rPr>
                  </w:pPr>
                  <w:r>
                    <w:rPr>
                      <w:rFonts w:hint="default" w:cs="Times New Roman"/>
                      <w:color w:val="auto"/>
                      <w:sz w:val="21"/>
                      <w:szCs w:val="21"/>
                      <w:lang w:val="en-US" w:eastAsia="zh-CN"/>
                    </w:rPr>
                    <w:t>2</w:t>
                  </w:r>
                </w:p>
              </w:tc>
              <w:tc>
                <w:tcPr>
                  <w:tcW w:w="755" w:type="dxa"/>
                  <w:tcBorders>
                    <w:top w:val="single" w:color="auto" w:sz="4" w:space="0"/>
                    <w:bottom w:val="single" w:color="auto" w:sz="4" w:space="0"/>
                  </w:tcBorders>
                  <w:noWrap w:val="0"/>
                  <w:tcMar>
                    <w:top w:w="15" w:type="dxa"/>
                    <w:left w:w="15" w:type="dxa"/>
                    <w:right w:w="15" w:type="dxa"/>
                  </w:tcMar>
                  <w:vAlign w:val="center"/>
                </w:tcPr>
                <w:p w14:paraId="64F4FB76">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16.3</w:t>
                  </w:r>
                </w:p>
              </w:tc>
              <w:tc>
                <w:tcPr>
                  <w:tcW w:w="755" w:type="dxa"/>
                  <w:tcBorders>
                    <w:top w:val="single" w:color="auto" w:sz="4" w:space="0"/>
                    <w:bottom w:val="single" w:color="auto" w:sz="4" w:space="0"/>
                  </w:tcBorders>
                  <w:noWrap w:val="0"/>
                  <w:tcMar>
                    <w:top w:w="15" w:type="dxa"/>
                    <w:left w:w="15" w:type="dxa"/>
                    <w:right w:w="15" w:type="dxa"/>
                  </w:tcMar>
                  <w:vAlign w:val="center"/>
                </w:tcPr>
                <w:p w14:paraId="26C3A88E">
                  <w:pPr>
                    <w:keepNext w:val="0"/>
                    <w:keepLines w:val="0"/>
                    <w:suppressLineNumbers w:val="0"/>
                    <w:spacing w:before="0" w:beforeAutospacing="0" w:after="0" w:afterAutospacing="0" w:line="240" w:lineRule="auto"/>
                    <w:ind w:left="0" w:leftChars="0" w:right="0" w:rightChars="0"/>
                    <w:jc w:val="center"/>
                    <w:textAlignment w:val="bottom"/>
                    <w:rPr>
                      <w:rFonts w:hint="eastAsia" w:cs="Times New Roman"/>
                      <w:color w:val="auto"/>
                      <w:sz w:val="21"/>
                      <w:szCs w:val="21"/>
                      <w:lang w:val="en-US" w:eastAsia="zh-CN"/>
                    </w:rPr>
                  </w:pPr>
                  <w:r>
                    <w:rPr>
                      <w:rFonts w:hint="default" w:cs="Times New Roman"/>
                      <w:color w:val="auto"/>
                      <w:sz w:val="21"/>
                      <w:szCs w:val="21"/>
                      <w:lang w:val="en-US" w:eastAsia="zh-CN"/>
                    </w:rPr>
                    <w:t>0.06</w:t>
                  </w:r>
                </w:p>
              </w:tc>
              <w:tc>
                <w:tcPr>
                  <w:tcW w:w="711" w:type="dxa"/>
                  <w:tcBorders>
                    <w:top w:val="single" w:color="auto" w:sz="4" w:space="0"/>
                    <w:bottom w:val="single" w:color="auto" w:sz="4" w:space="0"/>
                    <w:right w:val="single" w:color="auto" w:sz="4" w:space="0"/>
                  </w:tcBorders>
                  <w:noWrap w:val="0"/>
                  <w:tcMar>
                    <w:top w:w="15" w:type="dxa"/>
                    <w:left w:w="15" w:type="dxa"/>
                    <w:right w:w="15" w:type="dxa"/>
                  </w:tcMar>
                  <w:vAlign w:val="center"/>
                </w:tcPr>
                <w:p w14:paraId="6E347C0A">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21.1</w:t>
                  </w:r>
                </w:p>
              </w:tc>
              <w:tc>
                <w:tcPr>
                  <w:tcW w:w="1048" w:type="dxa"/>
                  <w:tcBorders>
                    <w:top w:val="single" w:color="auto" w:sz="4" w:space="0"/>
                    <w:left w:val="single" w:color="auto" w:sz="4" w:space="0"/>
                    <w:bottom w:val="single" w:color="auto" w:sz="4" w:space="0"/>
                  </w:tcBorders>
                  <w:noWrap w:val="0"/>
                  <w:tcMar>
                    <w:top w:w="15" w:type="dxa"/>
                    <w:left w:w="15" w:type="dxa"/>
                    <w:right w:w="15" w:type="dxa"/>
                  </w:tcMar>
                  <w:vAlign w:val="center"/>
                </w:tcPr>
                <w:p w14:paraId="664C0B2E">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6.01</w:t>
                  </w:r>
                </w:p>
              </w:tc>
            </w:tr>
            <w:tr w14:paraId="01F1E1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2" w:hRule="atLeast"/>
                <w:jc w:val="center"/>
              </w:trPr>
              <w:tc>
                <w:tcPr>
                  <w:tcW w:w="495" w:type="pct"/>
                  <w:vMerge w:val="continue"/>
                  <w:noWrap w:val="0"/>
                  <w:tcMar>
                    <w:top w:w="15" w:type="dxa"/>
                    <w:left w:w="15" w:type="dxa"/>
                    <w:right w:w="15" w:type="dxa"/>
                  </w:tcMar>
                  <w:vAlign w:val="center"/>
                </w:tcPr>
                <w:p w14:paraId="5902F767">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lang w:bidi="ar"/>
                    </w:rPr>
                  </w:pPr>
                </w:p>
              </w:tc>
              <w:tc>
                <w:tcPr>
                  <w:tcW w:w="811" w:type="pct"/>
                  <w:tcBorders>
                    <w:top w:val="single" w:color="auto" w:sz="4" w:space="0"/>
                  </w:tcBorders>
                  <w:noWrap w:val="0"/>
                  <w:tcMar>
                    <w:top w:w="15" w:type="dxa"/>
                    <w:left w:w="15" w:type="dxa"/>
                    <w:right w:w="15" w:type="dxa"/>
                  </w:tcMar>
                  <w:vAlign w:val="center"/>
                </w:tcPr>
                <w:p w14:paraId="27CDC2BD">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产生量（t/a</w:t>
                  </w:r>
                  <w:r>
                    <w:rPr>
                      <w:rStyle w:val="88"/>
                      <w:color w:val="auto"/>
                      <w:sz w:val="21"/>
                      <w:szCs w:val="21"/>
                      <w:lang w:bidi="ar"/>
                    </w:rPr>
                    <w:t>）</w:t>
                  </w:r>
                </w:p>
              </w:tc>
              <w:tc>
                <w:tcPr>
                  <w:tcW w:w="489" w:type="pct"/>
                  <w:vMerge w:val="continue"/>
                  <w:noWrap w:val="0"/>
                  <w:tcMar>
                    <w:top w:w="15" w:type="dxa"/>
                    <w:left w:w="15" w:type="dxa"/>
                    <w:right w:w="15" w:type="dxa"/>
                  </w:tcMar>
                  <w:vAlign w:val="center"/>
                </w:tcPr>
                <w:p w14:paraId="48E1AA0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12" w:type="dxa"/>
                  <w:tcBorders>
                    <w:top w:val="single" w:color="auto" w:sz="4" w:space="0"/>
                  </w:tcBorders>
                  <w:noWrap w:val="0"/>
                  <w:tcMar>
                    <w:top w:w="15" w:type="dxa"/>
                    <w:left w:w="15" w:type="dxa"/>
                    <w:right w:w="15" w:type="dxa"/>
                  </w:tcMar>
                  <w:vAlign w:val="center"/>
                </w:tcPr>
                <w:p w14:paraId="5626A083">
                  <w:pPr>
                    <w:keepNext w:val="0"/>
                    <w:keepLines w:val="0"/>
                    <w:suppressLineNumbers w:val="0"/>
                    <w:spacing w:before="0" w:beforeAutospacing="0" w:after="0" w:afterAutospacing="0" w:line="240" w:lineRule="auto"/>
                    <w:ind w:left="0" w:leftChars="0" w:right="0" w:rightChars="0"/>
                    <w:jc w:val="center"/>
                    <w:textAlignment w:val="bottom"/>
                    <w:rPr>
                      <w:rFonts w:hint="eastAsia" w:cs="Times New Roman"/>
                      <w:color w:val="auto"/>
                      <w:sz w:val="21"/>
                      <w:szCs w:val="21"/>
                      <w:lang w:val="en-US" w:eastAsia="zh-CN"/>
                    </w:rPr>
                  </w:pPr>
                  <w:r>
                    <w:rPr>
                      <w:rFonts w:hint="default" w:cs="Times New Roman"/>
                      <w:color w:val="auto"/>
                      <w:sz w:val="21"/>
                      <w:szCs w:val="21"/>
                      <w:lang w:val="en-US" w:eastAsia="zh-CN"/>
                    </w:rPr>
                    <w:t xml:space="preserve">8.319 </w:t>
                  </w:r>
                </w:p>
              </w:tc>
              <w:tc>
                <w:tcPr>
                  <w:tcW w:w="740" w:type="dxa"/>
                  <w:tcBorders>
                    <w:top w:val="single" w:color="auto" w:sz="4" w:space="0"/>
                  </w:tcBorders>
                  <w:noWrap w:val="0"/>
                  <w:tcMar>
                    <w:top w:w="15" w:type="dxa"/>
                    <w:left w:w="15" w:type="dxa"/>
                    <w:right w:w="15" w:type="dxa"/>
                  </w:tcMar>
                  <w:vAlign w:val="center"/>
                </w:tcPr>
                <w:p w14:paraId="3FEDA307">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5.466 </w:t>
                  </w:r>
                </w:p>
              </w:tc>
              <w:tc>
                <w:tcPr>
                  <w:tcW w:w="782" w:type="dxa"/>
                  <w:tcBorders>
                    <w:top w:val="single" w:color="auto" w:sz="4" w:space="0"/>
                  </w:tcBorders>
                  <w:noWrap w:val="0"/>
                  <w:tcMar>
                    <w:top w:w="15" w:type="dxa"/>
                    <w:left w:w="15" w:type="dxa"/>
                    <w:right w:w="15" w:type="dxa"/>
                  </w:tcMar>
                  <w:vAlign w:val="center"/>
                </w:tcPr>
                <w:p w14:paraId="0D0AD92B">
                  <w:pPr>
                    <w:keepNext w:val="0"/>
                    <w:keepLines w:val="0"/>
                    <w:suppressLineNumbers w:val="0"/>
                    <w:spacing w:before="0" w:beforeAutospacing="0" w:after="0" w:afterAutospacing="0" w:line="240" w:lineRule="auto"/>
                    <w:ind w:left="0" w:leftChars="0" w:right="0" w:rightChars="0"/>
                    <w:jc w:val="center"/>
                    <w:textAlignment w:val="bottom"/>
                    <w:rPr>
                      <w:rFonts w:hint="eastAsia" w:cs="Times New Roman"/>
                      <w:color w:val="auto"/>
                      <w:sz w:val="21"/>
                      <w:szCs w:val="21"/>
                      <w:lang w:val="en-US" w:eastAsia="zh-CN"/>
                    </w:rPr>
                  </w:pPr>
                  <w:r>
                    <w:rPr>
                      <w:rFonts w:hint="default" w:cs="Times New Roman"/>
                      <w:color w:val="auto"/>
                      <w:sz w:val="21"/>
                      <w:szCs w:val="21"/>
                      <w:lang w:val="en-US" w:eastAsia="zh-CN"/>
                    </w:rPr>
                    <w:t xml:space="preserve">0.019 </w:t>
                  </w:r>
                </w:p>
              </w:tc>
              <w:tc>
                <w:tcPr>
                  <w:tcW w:w="755" w:type="dxa"/>
                  <w:tcBorders>
                    <w:top w:val="single" w:color="auto" w:sz="4" w:space="0"/>
                  </w:tcBorders>
                  <w:noWrap w:val="0"/>
                  <w:tcMar>
                    <w:top w:w="15" w:type="dxa"/>
                    <w:left w:w="15" w:type="dxa"/>
                    <w:right w:w="15" w:type="dxa"/>
                  </w:tcMar>
                  <w:vAlign w:val="center"/>
                </w:tcPr>
                <w:p w14:paraId="1109B3B3">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0.152 </w:t>
                  </w:r>
                </w:p>
              </w:tc>
              <w:tc>
                <w:tcPr>
                  <w:tcW w:w="755" w:type="dxa"/>
                  <w:tcBorders>
                    <w:top w:val="single" w:color="auto" w:sz="4" w:space="0"/>
                  </w:tcBorders>
                  <w:noWrap w:val="0"/>
                  <w:tcMar>
                    <w:top w:w="15" w:type="dxa"/>
                    <w:left w:w="15" w:type="dxa"/>
                    <w:right w:w="15" w:type="dxa"/>
                  </w:tcMar>
                  <w:vAlign w:val="center"/>
                </w:tcPr>
                <w:p w14:paraId="7AF2AFFD">
                  <w:pPr>
                    <w:keepNext w:val="0"/>
                    <w:keepLines w:val="0"/>
                    <w:suppressLineNumbers w:val="0"/>
                    <w:spacing w:before="0" w:beforeAutospacing="0" w:after="0" w:afterAutospacing="0" w:line="240" w:lineRule="auto"/>
                    <w:ind w:left="0" w:leftChars="0" w:right="0" w:rightChars="0"/>
                    <w:jc w:val="center"/>
                    <w:textAlignment w:val="bottom"/>
                    <w:rPr>
                      <w:rFonts w:hint="eastAsia" w:cs="Times New Roman"/>
                      <w:color w:val="auto"/>
                      <w:sz w:val="21"/>
                      <w:szCs w:val="21"/>
                      <w:lang w:val="en-US" w:eastAsia="zh-CN"/>
                    </w:rPr>
                  </w:pPr>
                  <w:r>
                    <w:rPr>
                      <w:rFonts w:hint="default" w:cs="Times New Roman"/>
                      <w:color w:val="auto"/>
                      <w:sz w:val="21"/>
                      <w:szCs w:val="21"/>
                      <w:lang w:val="en-US" w:eastAsia="zh-CN"/>
                    </w:rPr>
                    <w:t xml:space="preserve">0.001 </w:t>
                  </w:r>
                </w:p>
              </w:tc>
              <w:tc>
                <w:tcPr>
                  <w:tcW w:w="711" w:type="dxa"/>
                  <w:tcBorders>
                    <w:top w:val="single" w:color="auto" w:sz="4" w:space="0"/>
                    <w:right w:val="single" w:color="auto" w:sz="4" w:space="0"/>
                  </w:tcBorders>
                  <w:noWrap w:val="0"/>
                  <w:tcMar>
                    <w:top w:w="15" w:type="dxa"/>
                    <w:left w:w="15" w:type="dxa"/>
                    <w:right w:w="15" w:type="dxa"/>
                  </w:tcMar>
                  <w:vAlign w:val="center"/>
                </w:tcPr>
                <w:p w14:paraId="31FF9754">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0.196 </w:t>
                  </w:r>
                </w:p>
              </w:tc>
              <w:tc>
                <w:tcPr>
                  <w:tcW w:w="1048" w:type="dxa"/>
                  <w:tcBorders>
                    <w:top w:val="single" w:color="auto" w:sz="4" w:space="0"/>
                    <w:left w:val="single" w:color="auto" w:sz="4" w:space="0"/>
                  </w:tcBorders>
                  <w:noWrap w:val="0"/>
                  <w:tcMar>
                    <w:top w:w="15" w:type="dxa"/>
                    <w:left w:w="15" w:type="dxa"/>
                    <w:right w:w="15" w:type="dxa"/>
                  </w:tcMar>
                  <w:vAlign w:val="center"/>
                </w:tcPr>
                <w:p w14:paraId="046EAA24">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0.056 </w:t>
                  </w:r>
                </w:p>
              </w:tc>
            </w:tr>
            <w:tr w14:paraId="499DEE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2" w:hRule="atLeast"/>
                <w:jc w:val="center"/>
              </w:trPr>
              <w:tc>
                <w:tcPr>
                  <w:tcW w:w="1306" w:type="pct"/>
                  <w:gridSpan w:val="2"/>
                  <w:shd w:val="clear" w:color="auto" w:fill="auto"/>
                  <w:noWrap w:val="0"/>
                  <w:tcMar>
                    <w:top w:w="15" w:type="dxa"/>
                    <w:left w:w="15" w:type="dxa"/>
                    <w:right w:w="15" w:type="dxa"/>
                  </w:tcMar>
                  <w:vAlign w:val="center"/>
                </w:tcPr>
                <w:p w14:paraId="4D7C93D3">
                  <w:pPr>
                    <w:keepNext w:val="0"/>
                    <w:keepLines w:val="0"/>
                    <w:suppressLineNumbers w:val="0"/>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sz w:val="21"/>
                      <w:szCs w:val="21"/>
                      <w:lang w:val="en-US" w:eastAsia="zh-CN"/>
                    </w:rPr>
                    <w:t>油水分离</w:t>
                  </w:r>
                  <w:r>
                    <w:rPr>
                      <w:rFonts w:hint="eastAsia" w:ascii="Times New Roman" w:hAnsi="Times New Roman" w:cs="Times New Roman"/>
                      <w:color w:val="auto"/>
                      <w:sz w:val="21"/>
                      <w:szCs w:val="21"/>
                      <w:lang w:val="en-US" w:eastAsia="zh-CN"/>
                    </w:rPr>
                    <w:t>去除率</w:t>
                  </w:r>
                  <w:r>
                    <w:rPr>
                      <w:rFonts w:hint="eastAsia" w:cs="Times New Roman"/>
                      <w:color w:val="auto"/>
                      <w:sz w:val="21"/>
                      <w:szCs w:val="21"/>
                      <w:lang w:val="en-US" w:eastAsia="zh-CN"/>
                    </w:rPr>
                    <w:t>（%）</w:t>
                  </w:r>
                </w:p>
              </w:tc>
              <w:tc>
                <w:tcPr>
                  <w:tcW w:w="489" w:type="pct"/>
                  <w:shd w:val="clear" w:color="auto" w:fill="auto"/>
                  <w:noWrap w:val="0"/>
                  <w:tcMar>
                    <w:top w:w="15" w:type="dxa"/>
                    <w:left w:w="15" w:type="dxa"/>
                    <w:right w:w="15" w:type="dxa"/>
                  </w:tcMar>
                  <w:vAlign w:val="center"/>
                </w:tcPr>
                <w:p w14:paraId="3A4E301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362" w:type="pct"/>
                  <w:tcBorders>
                    <w:top w:val="single" w:color="auto" w:sz="4" w:space="0"/>
                  </w:tcBorders>
                  <w:shd w:val="clear" w:color="auto" w:fill="auto"/>
                  <w:noWrap w:val="0"/>
                  <w:tcMar>
                    <w:top w:w="15" w:type="dxa"/>
                    <w:left w:w="15" w:type="dxa"/>
                    <w:right w:w="15" w:type="dxa"/>
                  </w:tcMar>
                  <w:vAlign w:val="center"/>
                </w:tcPr>
                <w:p w14:paraId="0D8E3405">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5.0 </w:t>
                  </w:r>
                </w:p>
              </w:tc>
              <w:tc>
                <w:tcPr>
                  <w:tcW w:w="438" w:type="pct"/>
                  <w:tcBorders>
                    <w:top w:val="single" w:color="auto" w:sz="4" w:space="0"/>
                  </w:tcBorders>
                  <w:shd w:val="clear" w:color="auto" w:fill="auto"/>
                  <w:noWrap w:val="0"/>
                  <w:tcMar>
                    <w:top w:w="15" w:type="dxa"/>
                    <w:left w:w="15" w:type="dxa"/>
                    <w:right w:w="15" w:type="dxa"/>
                  </w:tcMar>
                  <w:vAlign w:val="center"/>
                </w:tcPr>
                <w:p w14:paraId="7D3985EC">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7.0 </w:t>
                  </w:r>
                </w:p>
              </w:tc>
              <w:tc>
                <w:tcPr>
                  <w:tcW w:w="463" w:type="pct"/>
                  <w:tcBorders>
                    <w:top w:val="single" w:color="auto" w:sz="4" w:space="0"/>
                  </w:tcBorders>
                  <w:shd w:val="clear" w:color="auto" w:fill="auto"/>
                  <w:noWrap w:val="0"/>
                  <w:tcMar>
                    <w:top w:w="15" w:type="dxa"/>
                    <w:left w:w="15" w:type="dxa"/>
                    <w:right w:w="15" w:type="dxa"/>
                  </w:tcMar>
                  <w:vAlign w:val="center"/>
                </w:tcPr>
                <w:p w14:paraId="726C6F60">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77.8 </w:t>
                  </w:r>
                </w:p>
              </w:tc>
              <w:tc>
                <w:tcPr>
                  <w:tcW w:w="447" w:type="pct"/>
                  <w:tcBorders>
                    <w:top w:val="single" w:color="auto" w:sz="4" w:space="0"/>
                  </w:tcBorders>
                  <w:shd w:val="clear" w:color="auto" w:fill="auto"/>
                  <w:noWrap w:val="0"/>
                  <w:tcMar>
                    <w:top w:w="15" w:type="dxa"/>
                    <w:left w:w="15" w:type="dxa"/>
                    <w:right w:w="15" w:type="dxa"/>
                  </w:tcMar>
                  <w:vAlign w:val="center"/>
                </w:tcPr>
                <w:p w14:paraId="04F28590">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5.8 </w:t>
                  </w:r>
                </w:p>
              </w:tc>
              <w:tc>
                <w:tcPr>
                  <w:tcW w:w="447" w:type="pct"/>
                  <w:tcBorders>
                    <w:top w:val="single" w:color="auto" w:sz="4" w:space="0"/>
                  </w:tcBorders>
                  <w:shd w:val="clear" w:color="auto" w:fill="auto"/>
                  <w:noWrap w:val="0"/>
                  <w:tcMar>
                    <w:top w:w="15" w:type="dxa"/>
                    <w:left w:w="15" w:type="dxa"/>
                    <w:right w:w="15" w:type="dxa"/>
                  </w:tcMar>
                  <w:vAlign w:val="center"/>
                </w:tcPr>
                <w:p w14:paraId="7A7336A4">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62.5 </w:t>
                  </w:r>
                </w:p>
              </w:tc>
              <w:tc>
                <w:tcPr>
                  <w:tcW w:w="421" w:type="pct"/>
                  <w:tcBorders>
                    <w:top w:val="single" w:color="auto" w:sz="4" w:space="0"/>
                    <w:right w:val="single" w:color="auto" w:sz="4" w:space="0"/>
                  </w:tcBorders>
                  <w:shd w:val="clear" w:color="auto" w:fill="auto"/>
                  <w:noWrap w:val="0"/>
                  <w:tcMar>
                    <w:top w:w="15" w:type="dxa"/>
                    <w:left w:w="15" w:type="dxa"/>
                    <w:right w:w="15" w:type="dxa"/>
                  </w:tcMar>
                  <w:vAlign w:val="center"/>
                </w:tcPr>
                <w:p w14:paraId="1D089F45">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621" w:type="pct"/>
                  <w:tcBorders>
                    <w:top w:val="single" w:color="auto" w:sz="4" w:space="0"/>
                    <w:left w:val="single" w:color="auto" w:sz="4" w:space="0"/>
                  </w:tcBorders>
                  <w:shd w:val="clear" w:color="auto" w:fill="auto"/>
                  <w:noWrap w:val="0"/>
                  <w:tcMar>
                    <w:top w:w="15" w:type="dxa"/>
                    <w:left w:w="15" w:type="dxa"/>
                    <w:right w:w="15" w:type="dxa"/>
                  </w:tcMar>
                  <w:vAlign w:val="center"/>
                </w:tcPr>
                <w:p w14:paraId="263E6906">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eastAsia" w:cs="Times New Roman"/>
                      <w:color w:val="auto"/>
                      <w:sz w:val="21"/>
                      <w:szCs w:val="21"/>
                      <w:lang w:val="en-US" w:eastAsia="zh-CN"/>
                    </w:rPr>
                    <w:t>41.1</w:t>
                  </w:r>
                </w:p>
              </w:tc>
            </w:tr>
            <w:tr w14:paraId="3BB630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95" w:type="pct"/>
                  <w:vMerge w:val="restart"/>
                  <w:noWrap w:val="0"/>
                  <w:tcMar>
                    <w:top w:w="15" w:type="dxa"/>
                    <w:left w:w="15" w:type="dxa"/>
                    <w:right w:w="15" w:type="dxa"/>
                  </w:tcMar>
                  <w:vAlign w:val="center"/>
                </w:tcPr>
                <w:p w14:paraId="63A2948A">
                  <w:pPr>
                    <w:keepNext w:val="0"/>
                    <w:keepLines w:val="0"/>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厌氧池处理后</w:t>
                  </w:r>
                </w:p>
              </w:tc>
              <w:tc>
                <w:tcPr>
                  <w:tcW w:w="811" w:type="pct"/>
                  <w:tcBorders>
                    <w:top w:val="single" w:color="auto" w:sz="4" w:space="0"/>
                    <w:bottom w:val="single" w:color="auto" w:sz="4" w:space="0"/>
                  </w:tcBorders>
                  <w:noWrap w:val="0"/>
                  <w:tcMar>
                    <w:top w:w="15" w:type="dxa"/>
                    <w:left w:w="15" w:type="dxa"/>
                    <w:right w:w="15" w:type="dxa"/>
                  </w:tcMar>
                  <w:vAlign w:val="center"/>
                </w:tcPr>
                <w:p w14:paraId="5A3ECEAC">
                  <w:pPr>
                    <w:keepNext w:val="0"/>
                    <w:keepLines w:val="0"/>
                    <w:suppressLineNumbers w:val="0"/>
                    <w:spacing w:before="0" w:beforeAutospacing="0" w:after="0" w:afterAutospacing="0" w:line="240" w:lineRule="auto"/>
                    <w:ind w:left="0" w:leftChars="0" w:right="0" w:rightChars="0"/>
                    <w:jc w:val="center"/>
                    <w:textAlignment w:val="bottom"/>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浓度（mg/L</w:t>
                  </w:r>
                  <w:r>
                    <w:rPr>
                      <w:rStyle w:val="88"/>
                      <w:color w:val="auto"/>
                      <w:sz w:val="21"/>
                      <w:szCs w:val="21"/>
                      <w:lang w:bidi="ar"/>
                    </w:rPr>
                    <w:t>）</w:t>
                  </w:r>
                </w:p>
              </w:tc>
              <w:tc>
                <w:tcPr>
                  <w:tcW w:w="489" w:type="pct"/>
                  <w:vMerge w:val="restart"/>
                  <w:noWrap w:val="0"/>
                  <w:tcMar>
                    <w:top w:w="15" w:type="dxa"/>
                    <w:left w:w="15" w:type="dxa"/>
                    <w:right w:w="15" w:type="dxa"/>
                  </w:tcMar>
                  <w:vAlign w:val="center"/>
                </w:tcPr>
                <w:p w14:paraId="204E970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9295.376</w:t>
                  </w:r>
                </w:p>
              </w:tc>
              <w:tc>
                <w:tcPr>
                  <w:tcW w:w="612" w:type="dxa"/>
                  <w:tcBorders>
                    <w:top w:val="single" w:color="auto" w:sz="4" w:space="0"/>
                    <w:bottom w:val="single" w:color="auto" w:sz="4" w:space="0"/>
                  </w:tcBorders>
                  <w:noWrap w:val="0"/>
                  <w:tcMar>
                    <w:top w:w="15" w:type="dxa"/>
                    <w:left w:w="15" w:type="dxa"/>
                    <w:right w:w="15" w:type="dxa"/>
                  </w:tcMar>
                  <w:vAlign w:val="center"/>
                </w:tcPr>
                <w:p w14:paraId="41034DB8">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492.25</w:t>
                  </w:r>
                </w:p>
              </w:tc>
              <w:tc>
                <w:tcPr>
                  <w:tcW w:w="740" w:type="dxa"/>
                  <w:tcBorders>
                    <w:top w:val="single" w:color="auto" w:sz="4" w:space="0"/>
                    <w:bottom w:val="single" w:color="auto" w:sz="4" w:space="0"/>
                  </w:tcBorders>
                  <w:noWrap w:val="0"/>
                  <w:tcMar>
                    <w:top w:w="15" w:type="dxa"/>
                    <w:left w:w="15" w:type="dxa"/>
                    <w:right w:w="15" w:type="dxa"/>
                  </w:tcMar>
                  <w:vAlign w:val="center"/>
                </w:tcPr>
                <w:p w14:paraId="3FFB0C0B">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294</w:t>
                  </w:r>
                </w:p>
              </w:tc>
              <w:tc>
                <w:tcPr>
                  <w:tcW w:w="782" w:type="dxa"/>
                  <w:tcBorders>
                    <w:top w:val="single" w:color="auto" w:sz="4" w:space="0"/>
                    <w:bottom w:val="single" w:color="auto" w:sz="4" w:space="0"/>
                  </w:tcBorders>
                  <w:noWrap w:val="0"/>
                  <w:tcMar>
                    <w:top w:w="15" w:type="dxa"/>
                    <w:left w:w="15" w:type="dxa"/>
                    <w:right w:w="15" w:type="dxa"/>
                  </w:tcMar>
                  <w:vAlign w:val="center"/>
                </w:tcPr>
                <w:p w14:paraId="794E15E1">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2</w:t>
                  </w:r>
                </w:p>
              </w:tc>
              <w:tc>
                <w:tcPr>
                  <w:tcW w:w="755" w:type="dxa"/>
                  <w:tcBorders>
                    <w:top w:val="single" w:color="auto" w:sz="4" w:space="0"/>
                    <w:bottom w:val="single" w:color="auto" w:sz="4" w:space="0"/>
                  </w:tcBorders>
                  <w:noWrap w:val="0"/>
                  <w:tcMar>
                    <w:top w:w="15" w:type="dxa"/>
                    <w:left w:w="15" w:type="dxa"/>
                    <w:right w:w="15" w:type="dxa"/>
                  </w:tcMar>
                  <w:vAlign w:val="center"/>
                </w:tcPr>
                <w:p w14:paraId="5BC72377">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16.3</w:t>
                  </w:r>
                </w:p>
              </w:tc>
              <w:tc>
                <w:tcPr>
                  <w:tcW w:w="755" w:type="dxa"/>
                  <w:tcBorders>
                    <w:top w:val="single" w:color="auto" w:sz="4" w:space="0"/>
                    <w:bottom w:val="single" w:color="auto" w:sz="4" w:space="0"/>
                  </w:tcBorders>
                  <w:noWrap w:val="0"/>
                  <w:tcMar>
                    <w:top w:w="15" w:type="dxa"/>
                    <w:left w:w="15" w:type="dxa"/>
                    <w:right w:w="15" w:type="dxa"/>
                  </w:tcMar>
                  <w:vAlign w:val="center"/>
                </w:tcPr>
                <w:p w14:paraId="593268C6">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0.057</w:t>
                  </w:r>
                </w:p>
              </w:tc>
              <w:tc>
                <w:tcPr>
                  <w:tcW w:w="711" w:type="dxa"/>
                  <w:tcBorders>
                    <w:top w:val="single" w:color="auto" w:sz="4" w:space="0"/>
                    <w:bottom w:val="single" w:color="auto" w:sz="4" w:space="0"/>
                    <w:right w:val="single" w:color="auto" w:sz="4" w:space="0"/>
                  </w:tcBorders>
                  <w:noWrap w:val="0"/>
                  <w:tcMar>
                    <w:top w:w="15" w:type="dxa"/>
                    <w:left w:w="15" w:type="dxa"/>
                    <w:right w:w="15" w:type="dxa"/>
                  </w:tcMar>
                  <w:vAlign w:val="center"/>
                </w:tcPr>
                <w:p w14:paraId="1229EF67">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21.1</w:t>
                  </w:r>
                </w:p>
              </w:tc>
              <w:tc>
                <w:tcPr>
                  <w:tcW w:w="1048" w:type="dxa"/>
                  <w:tcBorders>
                    <w:top w:val="single" w:color="auto" w:sz="4" w:space="0"/>
                    <w:left w:val="single" w:color="auto" w:sz="4" w:space="0"/>
                    <w:bottom w:val="single" w:color="auto" w:sz="4" w:space="0"/>
                  </w:tcBorders>
                  <w:noWrap w:val="0"/>
                  <w:tcMar>
                    <w:top w:w="15" w:type="dxa"/>
                    <w:left w:w="15" w:type="dxa"/>
                    <w:right w:w="15" w:type="dxa"/>
                  </w:tcMar>
                  <w:vAlign w:val="center"/>
                </w:tcPr>
                <w:p w14:paraId="05902F53">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5.409</w:t>
                  </w:r>
                </w:p>
              </w:tc>
            </w:tr>
            <w:tr w14:paraId="1C0F17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495" w:type="pct"/>
                  <w:vMerge w:val="continue"/>
                  <w:noWrap w:val="0"/>
                  <w:tcMar>
                    <w:top w:w="15" w:type="dxa"/>
                    <w:left w:w="15" w:type="dxa"/>
                    <w:right w:w="15" w:type="dxa"/>
                  </w:tcMar>
                  <w:vAlign w:val="center"/>
                </w:tcPr>
                <w:p w14:paraId="3A33BE5E">
                  <w:pPr>
                    <w:keepNext w:val="0"/>
                    <w:keepLines w:val="0"/>
                    <w:suppressLineNumbers w:val="0"/>
                    <w:spacing w:before="0" w:beforeAutospacing="0" w:after="0" w:afterAutospacing="0" w:line="240" w:lineRule="auto"/>
                    <w:ind w:left="0" w:right="0"/>
                    <w:jc w:val="center"/>
                    <w:textAlignment w:val="bottom"/>
                    <w:rPr>
                      <w:rFonts w:hint="eastAsia" w:cs="Times New Roman"/>
                      <w:color w:val="auto"/>
                      <w:kern w:val="0"/>
                      <w:sz w:val="21"/>
                      <w:szCs w:val="21"/>
                      <w:lang w:val="en-US" w:eastAsia="zh-CN" w:bidi="ar"/>
                    </w:rPr>
                  </w:pPr>
                </w:p>
              </w:tc>
              <w:tc>
                <w:tcPr>
                  <w:tcW w:w="811" w:type="pct"/>
                  <w:tcBorders>
                    <w:top w:val="single" w:color="auto" w:sz="4" w:space="0"/>
                  </w:tcBorders>
                  <w:noWrap w:val="0"/>
                  <w:tcMar>
                    <w:top w:w="15" w:type="dxa"/>
                    <w:left w:w="15" w:type="dxa"/>
                    <w:right w:w="15" w:type="dxa"/>
                  </w:tcMar>
                  <w:vAlign w:val="center"/>
                </w:tcPr>
                <w:p w14:paraId="6C6C9F4C">
                  <w:pPr>
                    <w:keepNext w:val="0"/>
                    <w:keepLines w:val="0"/>
                    <w:suppressLineNumbers w:val="0"/>
                    <w:spacing w:before="0" w:beforeAutospacing="0" w:after="0" w:afterAutospacing="0" w:line="240" w:lineRule="auto"/>
                    <w:ind w:left="0" w:leftChars="0" w:right="0" w:rightChars="0"/>
                    <w:jc w:val="center"/>
                    <w:textAlignment w:val="bottom"/>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产生量（t/a</w:t>
                  </w:r>
                  <w:r>
                    <w:rPr>
                      <w:rStyle w:val="88"/>
                      <w:color w:val="auto"/>
                      <w:sz w:val="21"/>
                      <w:szCs w:val="21"/>
                      <w:lang w:bidi="ar"/>
                    </w:rPr>
                    <w:t>）</w:t>
                  </w:r>
                </w:p>
              </w:tc>
              <w:tc>
                <w:tcPr>
                  <w:tcW w:w="489" w:type="pct"/>
                  <w:vMerge w:val="continue"/>
                  <w:noWrap w:val="0"/>
                  <w:tcMar>
                    <w:top w:w="15" w:type="dxa"/>
                    <w:left w:w="15" w:type="dxa"/>
                    <w:right w:w="15" w:type="dxa"/>
                  </w:tcMar>
                  <w:vAlign w:val="center"/>
                </w:tcPr>
                <w:p w14:paraId="740427F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12" w:type="dxa"/>
                  <w:tcBorders>
                    <w:top w:val="single" w:color="auto" w:sz="4" w:space="0"/>
                  </w:tcBorders>
                  <w:noWrap w:val="0"/>
                  <w:tcMar>
                    <w:top w:w="15" w:type="dxa"/>
                    <w:left w:w="15" w:type="dxa"/>
                    <w:right w:w="15" w:type="dxa"/>
                  </w:tcMar>
                  <w:vAlign w:val="center"/>
                </w:tcPr>
                <w:p w14:paraId="066C77EF">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4.576 </w:t>
                  </w:r>
                </w:p>
              </w:tc>
              <w:tc>
                <w:tcPr>
                  <w:tcW w:w="740" w:type="dxa"/>
                  <w:tcBorders>
                    <w:top w:val="single" w:color="auto" w:sz="4" w:space="0"/>
                  </w:tcBorders>
                  <w:noWrap w:val="0"/>
                  <w:tcMar>
                    <w:top w:w="15" w:type="dxa"/>
                    <w:left w:w="15" w:type="dxa"/>
                    <w:right w:w="15" w:type="dxa"/>
                  </w:tcMar>
                  <w:vAlign w:val="center"/>
                </w:tcPr>
                <w:p w14:paraId="752B9768">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2.733 </w:t>
                  </w:r>
                </w:p>
              </w:tc>
              <w:tc>
                <w:tcPr>
                  <w:tcW w:w="782" w:type="dxa"/>
                  <w:tcBorders>
                    <w:top w:val="single" w:color="auto" w:sz="4" w:space="0"/>
                  </w:tcBorders>
                  <w:noWrap w:val="0"/>
                  <w:tcMar>
                    <w:top w:w="15" w:type="dxa"/>
                    <w:left w:w="15" w:type="dxa"/>
                    <w:right w:w="15" w:type="dxa"/>
                  </w:tcMar>
                  <w:vAlign w:val="center"/>
                </w:tcPr>
                <w:p w14:paraId="7B78C3E3">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0.019 </w:t>
                  </w:r>
                </w:p>
              </w:tc>
              <w:tc>
                <w:tcPr>
                  <w:tcW w:w="755" w:type="dxa"/>
                  <w:tcBorders>
                    <w:top w:val="single" w:color="auto" w:sz="4" w:space="0"/>
                  </w:tcBorders>
                  <w:noWrap w:val="0"/>
                  <w:tcMar>
                    <w:top w:w="15" w:type="dxa"/>
                    <w:left w:w="15" w:type="dxa"/>
                    <w:right w:w="15" w:type="dxa"/>
                  </w:tcMar>
                  <w:vAlign w:val="center"/>
                </w:tcPr>
                <w:p w14:paraId="1538B9DE">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0.152 </w:t>
                  </w:r>
                </w:p>
              </w:tc>
              <w:tc>
                <w:tcPr>
                  <w:tcW w:w="755" w:type="dxa"/>
                  <w:tcBorders>
                    <w:top w:val="single" w:color="auto" w:sz="4" w:space="0"/>
                  </w:tcBorders>
                  <w:noWrap w:val="0"/>
                  <w:tcMar>
                    <w:top w:w="15" w:type="dxa"/>
                    <w:left w:w="15" w:type="dxa"/>
                    <w:right w:w="15" w:type="dxa"/>
                  </w:tcMar>
                  <w:vAlign w:val="center"/>
                </w:tcPr>
                <w:p w14:paraId="7C262559">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0.001 </w:t>
                  </w:r>
                </w:p>
              </w:tc>
              <w:tc>
                <w:tcPr>
                  <w:tcW w:w="711" w:type="dxa"/>
                  <w:tcBorders>
                    <w:top w:val="single" w:color="auto" w:sz="4" w:space="0"/>
                    <w:right w:val="single" w:color="auto" w:sz="4" w:space="0"/>
                  </w:tcBorders>
                  <w:noWrap w:val="0"/>
                  <w:tcMar>
                    <w:top w:w="15" w:type="dxa"/>
                    <w:left w:w="15" w:type="dxa"/>
                    <w:right w:w="15" w:type="dxa"/>
                  </w:tcMar>
                  <w:vAlign w:val="center"/>
                </w:tcPr>
                <w:p w14:paraId="480D8F23">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0.196 </w:t>
                  </w:r>
                </w:p>
              </w:tc>
              <w:tc>
                <w:tcPr>
                  <w:tcW w:w="1048" w:type="dxa"/>
                  <w:tcBorders>
                    <w:top w:val="single" w:color="auto" w:sz="4" w:space="0"/>
                    <w:left w:val="single" w:color="auto" w:sz="4" w:space="0"/>
                  </w:tcBorders>
                  <w:noWrap w:val="0"/>
                  <w:tcMar>
                    <w:top w:w="15" w:type="dxa"/>
                    <w:left w:w="15" w:type="dxa"/>
                    <w:right w:w="15" w:type="dxa"/>
                  </w:tcMar>
                  <w:vAlign w:val="center"/>
                </w:tcPr>
                <w:p w14:paraId="5A88276A">
                  <w:pPr>
                    <w:keepNext w:val="0"/>
                    <w:keepLines w:val="0"/>
                    <w:suppressLineNumbers w:val="0"/>
                    <w:spacing w:before="0" w:beforeAutospacing="0" w:after="0" w:afterAutospacing="0" w:line="240" w:lineRule="auto"/>
                    <w:ind w:left="0" w:leftChars="0" w:right="0" w:rightChars="0"/>
                    <w:jc w:val="center"/>
                    <w:textAlignment w:val="bottom"/>
                    <w:rPr>
                      <w:rFonts w:hint="default" w:cs="Times New Roman"/>
                      <w:color w:val="auto"/>
                      <w:sz w:val="21"/>
                      <w:szCs w:val="21"/>
                      <w:lang w:val="en-US" w:eastAsia="zh-CN"/>
                    </w:rPr>
                  </w:pPr>
                  <w:r>
                    <w:rPr>
                      <w:rFonts w:hint="default" w:cs="Times New Roman"/>
                      <w:color w:val="auto"/>
                      <w:sz w:val="21"/>
                      <w:szCs w:val="21"/>
                      <w:lang w:val="en-US" w:eastAsia="zh-CN"/>
                    </w:rPr>
                    <w:t xml:space="preserve">0.050 </w:t>
                  </w:r>
                </w:p>
              </w:tc>
            </w:tr>
            <w:tr w14:paraId="6B049C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06" w:type="pct"/>
                  <w:gridSpan w:val="2"/>
                  <w:noWrap w:val="0"/>
                  <w:tcMar>
                    <w:top w:w="15" w:type="dxa"/>
                    <w:left w:w="15" w:type="dxa"/>
                    <w:right w:w="15" w:type="dxa"/>
                  </w:tcMar>
                  <w:vAlign w:val="center"/>
                </w:tcPr>
                <w:p w14:paraId="2D109351">
                  <w:pPr>
                    <w:keepNext w:val="0"/>
                    <w:keepLines w:val="0"/>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0"/>
                      <w:sz w:val="21"/>
                      <w:szCs w:val="21"/>
                      <w:lang w:val="en-US" w:eastAsia="zh-CN" w:bidi="ar"/>
                    </w:rPr>
                  </w:pPr>
                  <w:r>
                    <w:rPr>
                      <w:rFonts w:hint="eastAsia" w:cs="Times New Roman"/>
                      <w:color w:val="auto"/>
                      <w:sz w:val="21"/>
                      <w:szCs w:val="21"/>
                      <w:lang w:val="en-US" w:eastAsia="zh-CN"/>
                    </w:rPr>
                    <w:t>厌氧池</w:t>
                  </w:r>
                  <w:r>
                    <w:rPr>
                      <w:rFonts w:hint="eastAsia" w:ascii="Times New Roman" w:hAnsi="Times New Roman" w:cs="Times New Roman"/>
                      <w:color w:val="auto"/>
                      <w:sz w:val="21"/>
                      <w:szCs w:val="21"/>
                      <w:lang w:val="en-US" w:eastAsia="zh-CN"/>
                    </w:rPr>
                    <w:t>去除率</w:t>
                  </w:r>
                  <w:r>
                    <w:rPr>
                      <w:rFonts w:hint="eastAsia" w:cs="Times New Roman"/>
                      <w:color w:val="auto"/>
                      <w:sz w:val="21"/>
                      <w:szCs w:val="21"/>
                      <w:lang w:val="en-US" w:eastAsia="zh-CN"/>
                    </w:rPr>
                    <w:t>（%）</w:t>
                  </w:r>
                </w:p>
              </w:tc>
              <w:tc>
                <w:tcPr>
                  <w:tcW w:w="489" w:type="pct"/>
                  <w:noWrap w:val="0"/>
                  <w:tcMar>
                    <w:top w:w="15" w:type="dxa"/>
                    <w:left w:w="15" w:type="dxa"/>
                    <w:right w:w="15" w:type="dxa"/>
                  </w:tcMar>
                  <w:vAlign w:val="center"/>
                </w:tcPr>
                <w:p w14:paraId="3AD9BF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62" w:type="pct"/>
                  <w:noWrap w:val="0"/>
                  <w:tcMar>
                    <w:top w:w="15" w:type="dxa"/>
                    <w:left w:w="15" w:type="dxa"/>
                    <w:right w:w="15" w:type="dxa"/>
                  </w:tcMar>
                  <w:vAlign w:val="center"/>
                </w:tcPr>
                <w:p w14:paraId="3854E3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c>
                <w:tcPr>
                  <w:tcW w:w="438" w:type="pct"/>
                  <w:noWrap w:val="0"/>
                  <w:tcMar>
                    <w:top w:w="15" w:type="dxa"/>
                    <w:left w:w="15" w:type="dxa"/>
                    <w:right w:w="15" w:type="dxa"/>
                  </w:tcMar>
                  <w:vAlign w:val="center"/>
                </w:tcPr>
                <w:p w14:paraId="627724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463" w:type="pct"/>
                  <w:noWrap w:val="0"/>
                  <w:tcMar>
                    <w:top w:w="15" w:type="dxa"/>
                    <w:left w:w="15" w:type="dxa"/>
                    <w:right w:w="15" w:type="dxa"/>
                  </w:tcMar>
                  <w:vAlign w:val="center"/>
                </w:tcPr>
                <w:p w14:paraId="777C2C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447" w:type="pct"/>
                  <w:noWrap w:val="0"/>
                  <w:tcMar>
                    <w:top w:w="15" w:type="dxa"/>
                    <w:left w:w="15" w:type="dxa"/>
                    <w:right w:w="15" w:type="dxa"/>
                  </w:tcMar>
                  <w:vAlign w:val="center"/>
                </w:tcPr>
                <w:p w14:paraId="792E5A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447" w:type="pct"/>
                  <w:noWrap w:val="0"/>
                  <w:tcMar>
                    <w:top w:w="15" w:type="dxa"/>
                    <w:left w:w="15" w:type="dxa"/>
                    <w:right w:w="15" w:type="dxa"/>
                  </w:tcMar>
                  <w:vAlign w:val="center"/>
                </w:tcPr>
                <w:p w14:paraId="3C5EB6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421" w:type="pct"/>
                  <w:tcBorders>
                    <w:right w:val="single" w:color="auto" w:sz="4" w:space="0"/>
                  </w:tcBorders>
                  <w:noWrap w:val="0"/>
                  <w:tcMar>
                    <w:top w:w="15" w:type="dxa"/>
                    <w:left w:w="15" w:type="dxa"/>
                    <w:right w:w="15" w:type="dxa"/>
                  </w:tcMar>
                  <w:vAlign w:val="center"/>
                </w:tcPr>
                <w:p w14:paraId="5705AF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21" w:type="pct"/>
                  <w:tcBorders>
                    <w:left w:val="single" w:color="auto" w:sz="4" w:space="0"/>
                  </w:tcBorders>
                  <w:noWrap w:val="0"/>
                  <w:tcMar>
                    <w:top w:w="15" w:type="dxa"/>
                    <w:left w:w="15" w:type="dxa"/>
                    <w:right w:w="15" w:type="dxa"/>
                  </w:tcMar>
                  <w:vAlign w:val="center"/>
                </w:tcPr>
                <w:p w14:paraId="3D33DEB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r>
            <w:tr w14:paraId="48C41C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06" w:type="pct"/>
                  <w:gridSpan w:val="2"/>
                  <w:noWrap w:val="0"/>
                  <w:tcMar>
                    <w:top w:w="15" w:type="dxa"/>
                    <w:left w:w="15" w:type="dxa"/>
                    <w:right w:w="15" w:type="dxa"/>
                  </w:tcMar>
                  <w:vAlign w:val="center"/>
                </w:tcPr>
                <w:p w14:paraId="67732EDE">
                  <w:pPr>
                    <w:keepNext w:val="0"/>
                    <w:keepLines w:val="0"/>
                    <w:suppressLineNumbers w:val="0"/>
                    <w:spacing w:before="0" w:beforeAutospacing="0" w:after="0" w:afterAutospacing="0" w:line="240" w:lineRule="auto"/>
                    <w:ind w:left="0" w:right="0"/>
                    <w:jc w:val="center"/>
                    <w:textAlignment w:val="bottom"/>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污水综合排放标准》（GB8979-1996）三级标准</w:t>
                  </w:r>
                </w:p>
              </w:tc>
              <w:tc>
                <w:tcPr>
                  <w:tcW w:w="489" w:type="pct"/>
                  <w:noWrap w:val="0"/>
                  <w:tcMar>
                    <w:top w:w="15" w:type="dxa"/>
                    <w:left w:w="15" w:type="dxa"/>
                    <w:right w:w="15" w:type="dxa"/>
                  </w:tcMar>
                  <w:vAlign w:val="center"/>
                </w:tcPr>
                <w:p w14:paraId="44D9BEF7">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362" w:type="pct"/>
                  <w:noWrap w:val="0"/>
                  <w:tcMar>
                    <w:top w:w="15" w:type="dxa"/>
                    <w:left w:w="15" w:type="dxa"/>
                    <w:right w:w="15" w:type="dxa"/>
                  </w:tcMar>
                  <w:vAlign w:val="center"/>
                </w:tcPr>
                <w:p w14:paraId="32D13BB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w:t>
                  </w:r>
                </w:p>
              </w:tc>
              <w:tc>
                <w:tcPr>
                  <w:tcW w:w="438" w:type="pct"/>
                  <w:noWrap w:val="0"/>
                  <w:tcMar>
                    <w:top w:w="15" w:type="dxa"/>
                    <w:left w:w="15" w:type="dxa"/>
                    <w:right w:w="15" w:type="dxa"/>
                  </w:tcMar>
                  <w:vAlign w:val="center"/>
                </w:tcPr>
                <w:p w14:paraId="263E3D3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p>
              </w:tc>
              <w:tc>
                <w:tcPr>
                  <w:tcW w:w="463" w:type="pct"/>
                  <w:noWrap w:val="0"/>
                  <w:tcMar>
                    <w:top w:w="15" w:type="dxa"/>
                    <w:left w:w="15" w:type="dxa"/>
                    <w:right w:w="15" w:type="dxa"/>
                  </w:tcMar>
                  <w:vAlign w:val="center"/>
                </w:tcPr>
                <w:p w14:paraId="308489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400</w:t>
                  </w:r>
                </w:p>
              </w:tc>
              <w:tc>
                <w:tcPr>
                  <w:tcW w:w="447" w:type="pct"/>
                  <w:noWrap w:val="0"/>
                  <w:tcMar>
                    <w:top w:w="15" w:type="dxa"/>
                    <w:left w:w="15" w:type="dxa"/>
                    <w:right w:w="15" w:type="dxa"/>
                  </w:tcMar>
                  <w:vAlign w:val="center"/>
                </w:tcPr>
                <w:p w14:paraId="04D384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c>
                <w:tcPr>
                  <w:tcW w:w="447" w:type="pct"/>
                  <w:noWrap w:val="0"/>
                  <w:tcMar>
                    <w:top w:w="15" w:type="dxa"/>
                    <w:left w:w="15" w:type="dxa"/>
                    <w:right w:w="15" w:type="dxa"/>
                  </w:tcMar>
                  <w:vAlign w:val="center"/>
                </w:tcPr>
                <w:p w14:paraId="654B076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421" w:type="pct"/>
                  <w:tcBorders>
                    <w:right w:val="single" w:color="auto" w:sz="4" w:space="0"/>
                  </w:tcBorders>
                  <w:noWrap w:val="0"/>
                  <w:tcMar>
                    <w:top w:w="15" w:type="dxa"/>
                    <w:left w:w="15" w:type="dxa"/>
                    <w:right w:w="15" w:type="dxa"/>
                  </w:tcMar>
                  <w:vAlign w:val="center"/>
                </w:tcPr>
                <w:p w14:paraId="5BE3C30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621" w:type="pct"/>
                  <w:tcBorders>
                    <w:left w:val="single" w:color="auto" w:sz="4" w:space="0"/>
                  </w:tcBorders>
                  <w:noWrap w:val="0"/>
                  <w:tcMar>
                    <w:top w:w="15" w:type="dxa"/>
                    <w:left w:w="15" w:type="dxa"/>
                    <w:right w:w="15" w:type="dxa"/>
                  </w:tcMar>
                  <w:vAlign w:val="center"/>
                </w:tcPr>
                <w:p w14:paraId="321F86C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r>
          </w:tbl>
          <w:p w14:paraId="03EC8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宋体" w:cs="Times New Roman"/>
                <w:color w:val="auto"/>
                <w:lang w:val="en-US" w:eastAsia="zh-CN"/>
              </w:rPr>
            </w:pPr>
            <w:r>
              <w:rPr>
                <w:rFonts w:hint="eastAsia" w:ascii="宋体" w:hAnsi="宋体" w:eastAsia="宋体" w:cs="宋体"/>
                <w:color w:val="auto"/>
                <w:kern w:val="0"/>
                <w:sz w:val="24"/>
                <w:szCs w:val="24"/>
                <w:lang w:val="en-US" w:eastAsia="zh-CN" w:bidi="ar"/>
              </w:rPr>
              <w:t>根据以上</w:t>
            </w:r>
            <w:r>
              <w:rPr>
                <w:rFonts w:hint="eastAsia" w:ascii="宋体" w:hAnsi="宋体" w:cs="宋体"/>
                <w:color w:val="auto"/>
                <w:kern w:val="0"/>
                <w:sz w:val="24"/>
                <w:szCs w:val="24"/>
                <w:lang w:val="en-US" w:eastAsia="zh-CN" w:bidi="ar"/>
              </w:rPr>
              <w:t>计算</w:t>
            </w:r>
            <w:r>
              <w:rPr>
                <w:rFonts w:hint="eastAsia" w:ascii="宋体" w:hAnsi="宋体" w:eastAsia="宋体" w:cs="宋体"/>
                <w:color w:val="auto"/>
                <w:kern w:val="0"/>
                <w:sz w:val="24"/>
                <w:szCs w:val="24"/>
                <w:lang w:val="en-US" w:eastAsia="zh-CN" w:bidi="ar"/>
              </w:rPr>
              <w:t>结果可知，</w:t>
            </w:r>
            <w:r>
              <w:rPr>
                <w:rFonts w:hint="eastAsia" w:ascii="宋体" w:hAnsi="宋体" w:cs="宋体"/>
                <w:color w:val="auto"/>
                <w:kern w:val="0"/>
                <w:sz w:val="24"/>
                <w:szCs w:val="24"/>
                <w:lang w:val="en-US" w:eastAsia="zh-CN" w:bidi="ar"/>
              </w:rPr>
              <w:t>项目废水经油水分离、厌氧处理后</w:t>
            </w:r>
            <w:r>
              <w:rPr>
                <w:rFonts w:hint="eastAsia" w:ascii="宋体" w:hAnsi="宋体" w:eastAsia="宋体" w:cs="宋体"/>
                <w:color w:val="auto"/>
                <w:kern w:val="0"/>
                <w:sz w:val="24"/>
                <w:szCs w:val="24"/>
                <w:lang w:val="en-US" w:eastAsia="zh-CN" w:bidi="ar"/>
              </w:rPr>
              <w:t>可以满足《污水综合排放标准》（</w:t>
            </w:r>
            <w:r>
              <w:rPr>
                <w:rFonts w:hint="default" w:ascii="Times New Roman" w:hAnsi="Times New Roman" w:eastAsia="宋体" w:cs="Times New Roman"/>
                <w:color w:val="auto"/>
                <w:kern w:val="0"/>
                <w:sz w:val="24"/>
                <w:szCs w:val="24"/>
                <w:lang w:val="en-US" w:eastAsia="zh-CN" w:bidi="ar"/>
              </w:rPr>
              <w:t>GB8979-1996</w:t>
            </w:r>
            <w:r>
              <w:rPr>
                <w:rFonts w:hint="eastAsia" w:ascii="宋体" w:hAnsi="宋体" w:eastAsia="宋体" w:cs="宋体"/>
                <w:color w:val="auto"/>
                <w:kern w:val="0"/>
                <w:sz w:val="24"/>
                <w:szCs w:val="24"/>
                <w:lang w:val="en-US" w:eastAsia="zh-CN" w:bidi="ar"/>
              </w:rPr>
              <w:t>）三级标准，</w:t>
            </w:r>
            <w:r>
              <w:rPr>
                <w:rFonts w:hint="default" w:ascii="Times New Roman" w:hAnsi="Times New Roman" w:cs="Times New Roman"/>
                <w:color w:val="auto"/>
              </w:rPr>
              <w:t>排入园区污水管网，</w:t>
            </w:r>
            <w:r>
              <w:rPr>
                <w:rFonts w:hint="eastAsia" w:ascii="Times New Roman" w:hAnsi="Times New Roman" w:cs="Times New Roman"/>
                <w:color w:val="auto"/>
                <w:lang w:val="en-US" w:eastAsia="zh-CN"/>
              </w:rPr>
              <w:t>送至</w:t>
            </w:r>
            <w:r>
              <w:rPr>
                <w:rFonts w:hint="eastAsia" w:ascii="Times New Roman" w:hAnsi="Times New Roman" w:cs="Times New Roman"/>
                <w:color w:val="auto"/>
                <w:lang w:eastAsia="zh-CN"/>
              </w:rPr>
              <w:t>蓬溪县</w:t>
            </w:r>
            <w:r>
              <w:rPr>
                <w:rFonts w:hint="eastAsia" w:ascii="Times New Roman" w:hAnsi="Times New Roman" w:cs="Times New Roman"/>
                <w:color w:val="auto"/>
              </w:rPr>
              <w:t>经济开发区废水处理厂</w:t>
            </w:r>
            <w:r>
              <w:rPr>
                <w:rFonts w:hint="default" w:ascii="Times New Roman" w:hAnsi="Times New Roman" w:cs="Times New Roman"/>
                <w:color w:val="auto"/>
              </w:rPr>
              <w:t>处理</w:t>
            </w:r>
            <w:r>
              <w:rPr>
                <w:rFonts w:hint="eastAsia" w:ascii="宋体" w:hAnsi="宋体" w:eastAsia="宋体" w:cs="宋体"/>
                <w:color w:val="auto"/>
                <w:kern w:val="0"/>
                <w:sz w:val="24"/>
                <w:szCs w:val="24"/>
                <w:lang w:val="en-US" w:eastAsia="zh-CN" w:bidi="ar"/>
              </w:rPr>
              <w:t>。</w:t>
            </w:r>
          </w:p>
          <w:p w14:paraId="2CB50D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2" w:firstLineChars="200"/>
              <w:jc w:val="left"/>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（2）锅炉软水制备反冲洗废水</w:t>
            </w:r>
          </w:p>
          <w:p w14:paraId="4EDB59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本项目蒸汽锅炉软水采用离子交换树脂的方式进行制备，离子交换树脂定期需要再生使用，本项目每3天进行一次反冲洗再生，反冲洗水用量1m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vertAlign w:val="baseline"/>
                <w:lang w:val="en-US" w:eastAsia="zh-CN" w:bidi="ar"/>
              </w:rPr>
              <w:t>/次，</w:t>
            </w:r>
            <w:r>
              <w:rPr>
                <w:rFonts w:hint="default" w:ascii="Times New Roman" w:hAnsi="Times New Roman" w:eastAsia="宋体" w:cs="Times New Roman"/>
                <w:color w:val="auto"/>
                <w:kern w:val="0"/>
                <w:lang w:val="en-US" w:eastAsia="zh-CN"/>
              </w:rPr>
              <w:t>反冲洗废水产生量为</w:t>
            </w:r>
            <w:r>
              <w:rPr>
                <w:rFonts w:hint="eastAsia" w:cs="Times New Roman"/>
                <w:color w:val="auto"/>
                <w:kern w:val="0"/>
                <w:lang w:val="en-US" w:eastAsia="zh-CN"/>
              </w:rPr>
              <w:t>1.0m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/d，</w:t>
            </w:r>
            <w:r>
              <w:rPr>
                <w:rFonts w:hint="eastAsia" w:cs="Times New Roman"/>
                <w:color w:val="auto"/>
                <w:kern w:val="0"/>
                <w:lang w:val="en-US" w:eastAsia="zh-CN"/>
              </w:rPr>
              <w:t>100</w:t>
            </w:r>
            <w:r>
              <w:rPr>
                <w:rFonts w:hint="default" w:ascii="Times New Roman" w:hAnsi="Times New Roman" w:eastAsia="宋体" w:cs="Times New Roman"/>
                <w:color w:val="auto"/>
                <w:kern w:val="0"/>
                <w:lang w:val="en-US" w:eastAsia="zh-CN"/>
              </w:rPr>
              <w:t>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/a，主要污染物为含盐量</w:t>
            </w:r>
            <w:r>
              <w:rPr>
                <w:rFonts w:hint="eastAsia" w:ascii="Times New Roman" w:hAnsi="Times New Roman" w:eastAsia="宋体" w:cs="Times New Roman"/>
                <w:color w:val="auto"/>
                <w:kern w:val="0"/>
                <w:lang w:val="en-US" w:eastAsia="zh-CN"/>
              </w:rPr>
              <w:t>，与生产废水混合后</w:t>
            </w:r>
            <w:r>
              <w:rPr>
                <w:rFonts w:hint="eastAsia" w:ascii="宋体" w:hAnsi="宋体" w:eastAsia="宋体" w:cs="宋体"/>
                <w:color w:val="auto"/>
                <w:kern w:val="0"/>
                <w:sz w:val="24"/>
                <w:szCs w:val="24"/>
                <w:lang w:val="en-US" w:eastAsia="zh-CN" w:bidi="ar"/>
              </w:rPr>
              <w:t>满足《污水综合排放标准》（</w:t>
            </w:r>
            <w:r>
              <w:rPr>
                <w:rFonts w:hint="default" w:ascii="Times New Roman" w:hAnsi="Times New Roman" w:eastAsia="宋体" w:cs="Times New Roman"/>
                <w:color w:val="auto"/>
                <w:kern w:val="0"/>
                <w:sz w:val="24"/>
                <w:szCs w:val="24"/>
                <w:lang w:val="en-US" w:eastAsia="zh-CN" w:bidi="ar"/>
              </w:rPr>
              <w:t>GB8979-1996</w:t>
            </w:r>
            <w:r>
              <w:rPr>
                <w:rFonts w:hint="eastAsia" w:ascii="宋体" w:hAnsi="宋体" w:eastAsia="宋体" w:cs="宋体"/>
                <w:color w:val="auto"/>
                <w:kern w:val="0"/>
                <w:sz w:val="24"/>
                <w:szCs w:val="24"/>
                <w:lang w:val="en-US" w:eastAsia="zh-CN" w:bidi="ar"/>
              </w:rPr>
              <w:t>）三级标准，</w:t>
            </w:r>
            <w:r>
              <w:rPr>
                <w:rFonts w:hint="default" w:ascii="Times New Roman" w:hAnsi="Times New Roman" w:cs="Times New Roman"/>
                <w:color w:val="auto"/>
              </w:rPr>
              <w:t>排入园区污水管网，</w:t>
            </w:r>
            <w:r>
              <w:rPr>
                <w:rFonts w:hint="eastAsia" w:ascii="Times New Roman" w:hAnsi="Times New Roman" w:cs="Times New Roman"/>
                <w:color w:val="auto"/>
                <w:lang w:val="en-US" w:eastAsia="zh-CN"/>
              </w:rPr>
              <w:t>送至</w:t>
            </w:r>
            <w:r>
              <w:rPr>
                <w:rFonts w:hint="eastAsia" w:ascii="Times New Roman" w:hAnsi="Times New Roman" w:cs="Times New Roman"/>
                <w:color w:val="auto"/>
                <w:lang w:eastAsia="zh-CN"/>
              </w:rPr>
              <w:t>蓬溪县</w:t>
            </w:r>
            <w:r>
              <w:rPr>
                <w:rFonts w:hint="eastAsia" w:ascii="Times New Roman" w:hAnsi="Times New Roman" w:cs="Times New Roman"/>
                <w:color w:val="auto"/>
              </w:rPr>
              <w:t>经济开发区废水处理厂</w:t>
            </w:r>
            <w:r>
              <w:rPr>
                <w:rFonts w:hint="default" w:ascii="Times New Roman" w:hAnsi="Times New Roman" w:cs="Times New Roman"/>
                <w:color w:val="auto"/>
              </w:rPr>
              <w:t>处理</w:t>
            </w:r>
            <w:r>
              <w:rPr>
                <w:rFonts w:hint="eastAsia" w:ascii="Times New Roman" w:hAnsi="Times New Roman" w:cs="Times New Roman"/>
                <w:color w:val="auto"/>
              </w:rPr>
              <w:t>。</w:t>
            </w:r>
          </w:p>
          <w:p w14:paraId="15CA77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2"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离子交换树脂工作原理：</w:t>
            </w:r>
            <w:r>
              <w:rPr>
                <w:rFonts w:hint="eastAsia" w:ascii="宋体" w:hAnsi="宋体" w:eastAsia="宋体" w:cs="宋体"/>
                <w:color w:val="auto"/>
                <w:kern w:val="0"/>
                <w:sz w:val="24"/>
                <w:szCs w:val="24"/>
                <w:lang w:val="en-US" w:eastAsia="zh-CN" w:bidi="ar"/>
              </w:rPr>
              <w:t>当树脂处在新生状态时，这些电荷交换位置被带正电荷的钠离子占据。树脂优先结合带较强电荷的阳离子，钙和镁离子的电荷比钠离子强，当含有钙、镁离子的水经过树脂贮槽时，钙、镁离子与树脂小珠接触，从交换位置上取代钠离子。经过离子交换后，钙、镁离子就被吸附在树脂上，流出的水就变软了。最后，所有树脂都吸附满钙、镁离子后，就不能再进行工作了，而需要再生处理。离子交换树脂工作原理见下图所示。</w:t>
            </w:r>
          </w:p>
          <w:p w14:paraId="0593FFC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262755" cy="4262755"/>
                  <wp:effectExtent l="0" t="0" r="4445" b="4445"/>
                  <wp:docPr id="1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0"/>
                          <pic:cNvPicPr>
                            <a:picLocks noChangeAspect="1"/>
                          </pic:cNvPicPr>
                        </pic:nvPicPr>
                        <pic:blipFill>
                          <a:blip r:embed="rId32"/>
                          <a:stretch>
                            <a:fillRect/>
                          </a:stretch>
                        </pic:blipFill>
                        <pic:spPr>
                          <a:xfrm>
                            <a:off x="0" y="0"/>
                            <a:ext cx="4262755" cy="4262755"/>
                          </a:xfrm>
                          <a:prstGeom prst="rect">
                            <a:avLst/>
                          </a:prstGeom>
                          <a:noFill/>
                          <a:ln>
                            <a:noFill/>
                          </a:ln>
                        </pic:spPr>
                      </pic:pic>
                    </a:graphicData>
                  </a:graphic>
                </wp:inline>
              </w:drawing>
            </w:r>
          </w:p>
          <w:p w14:paraId="19C94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图4-3</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 xml:space="preserve">离子交换树脂工作原理 </w:t>
            </w:r>
          </w:p>
          <w:p w14:paraId="3B638D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2" w:firstLineChars="200"/>
              <w:jc w:val="left"/>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（3）循环冷却水</w:t>
            </w:r>
          </w:p>
          <w:p w14:paraId="1D6B58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val="en-US" w:eastAsia="zh-CN"/>
              </w:rPr>
              <w:t>冷凝工序</w:t>
            </w:r>
            <w:r>
              <w:rPr>
                <w:rFonts w:hint="default" w:ascii="Times New Roman" w:hAnsi="Times New Roman" w:eastAsia="宋体" w:cs="Times New Roman"/>
                <w:color w:val="auto"/>
                <w:sz w:val="24"/>
                <w:szCs w:val="24"/>
              </w:rPr>
              <w:t>需使用</w:t>
            </w:r>
            <w:r>
              <w:rPr>
                <w:rFonts w:hint="eastAsia" w:ascii="Times New Roman" w:hAnsi="Times New Roman" w:eastAsia="宋体" w:cs="Times New Roman"/>
                <w:color w:val="auto"/>
                <w:sz w:val="24"/>
                <w:szCs w:val="24"/>
                <w:lang w:eastAsia="zh-CN"/>
              </w:rPr>
              <w:t>冷却水</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冷却循环水总量为</w:t>
            </w:r>
            <w:r>
              <w:rPr>
                <w:rFonts w:hint="eastAsia" w:ascii="Times New Roman" w:hAnsi="Times New Roman" w:eastAsia="宋体" w:cs="Times New Roman"/>
                <w:color w:val="auto"/>
                <w:sz w:val="24"/>
                <w:szCs w:val="24"/>
                <w:lang w:val="en-US" w:eastAsia="zh-CN"/>
              </w:rPr>
              <w:t>200m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每日新增新鲜水，循环水损耗约为</w:t>
            </w:r>
            <w:r>
              <w:rPr>
                <w:rFonts w:hint="eastAsia" w:ascii="Times New Roman" w:hAnsi="Times New Roman" w:eastAsia="宋体" w:cs="Times New Roman"/>
                <w:color w:val="auto"/>
                <w:sz w:val="24"/>
                <w:szCs w:val="24"/>
                <w:lang w:val="en-US" w:eastAsia="zh-CN"/>
              </w:rPr>
              <w:t>10%，则每日添加新鲜水用量为20</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/d</w:t>
            </w:r>
            <w:r>
              <w:rPr>
                <w:rFonts w:hint="default" w:ascii="Times New Roman" w:hAnsi="Times New Roman" w:eastAsia="宋体" w:cs="Times New Roman"/>
                <w:color w:val="auto"/>
                <w:sz w:val="24"/>
                <w:szCs w:val="24"/>
              </w:rPr>
              <w:t>，即</w:t>
            </w:r>
            <w:r>
              <w:rPr>
                <w:rFonts w:hint="eastAsia" w:ascii="Times New Roman" w:hAnsi="Times New Roman" w:eastAsia="宋体" w:cs="Times New Roman"/>
                <w:color w:val="auto"/>
                <w:sz w:val="24"/>
                <w:szCs w:val="24"/>
                <w:lang w:val="en-US" w:eastAsia="zh-CN"/>
              </w:rPr>
              <w:t>6000</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lang w:val="en-US" w:eastAsia="zh-CN"/>
              </w:rPr>
              <w:t>/a，项目冷却水循环使用不外排</w:t>
            </w:r>
            <w:r>
              <w:rPr>
                <w:rFonts w:hint="eastAsia" w:ascii="Times New Roman" w:hAnsi="Times New Roman" w:eastAsia="宋体" w:cs="Times New Roman"/>
                <w:color w:val="auto"/>
                <w:sz w:val="24"/>
                <w:szCs w:val="24"/>
                <w:lang w:eastAsia="zh-CN"/>
              </w:rPr>
              <w:t>。</w:t>
            </w:r>
          </w:p>
          <w:p w14:paraId="4F4402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 xml:space="preserve">3、废水治理措施及可行性分析 </w:t>
            </w:r>
          </w:p>
          <w:p w14:paraId="54FF04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项目废水主要为生产废水和生活污水</w:t>
            </w:r>
            <w:r>
              <w:rPr>
                <w:rFonts w:hint="default" w:ascii="Times New Roman" w:hAnsi="Times New Roman" w:cs="Times New Roman"/>
                <w:color w:val="auto"/>
                <w:kern w:val="0"/>
                <w:sz w:val="24"/>
                <w:szCs w:val="24"/>
                <w:lang w:val="en-US" w:eastAsia="zh-CN" w:bidi="ar"/>
              </w:rPr>
              <w:t>，其中生活污水产生量</w:t>
            </w:r>
            <w:r>
              <w:rPr>
                <w:rFonts w:hint="eastAsia" w:ascii="Times New Roman" w:hAnsi="Times New Roman" w:cs="Times New Roman"/>
                <w:color w:val="auto"/>
                <w:kern w:val="0"/>
                <w:sz w:val="24"/>
                <w:szCs w:val="24"/>
                <w:lang w:val="en-US" w:eastAsia="zh-CN" w:bidi="ar"/>
              </w:rPr>
              <w:t>480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/a</w:t>
            </w:r>
            <w:r>
              <w:rPr>
                <w:rFonts w:hint="eastAsia" w:cs="Times New Roman"/>
                <w:color w:val="auto"/>
                <w:vertAlign w:val="baseline"/>
                <w:lang w:val="en-US" w:eastAsia="zh-CN"/>
              </w:rPr>
              <w:t>，</w:t>
            </w:r>
            <w:r>
              <w:rPr>
                <w:rFonts w:hint="default" w:ascii="Times New Roman" w:hAnsi="Times New Roman" w:eastAsia="宋体" w:cs="Times New Roman"/>
                <w:color w:val="auto"/>
                <w:kern w:val="0"/>
                <w:sz w:val="24"/>
                <w:szCs w:val="24"/>
                <w:lang w:val="en-US" w:eastAsia="zh-CN" w:bidi="ar"/>
              </w:rPr>
              <w:t>油水分离废水</w:t>
            </w:r>
            <w:r>
              <w:rPr>
                <w:rFonts w:hint="default" w:ascii="Times New Roman" w:hAnsi="Times New Roman" w:cs="Times New Roman"/>
                <w:color w:val="auto"/>
                <w:kern w:val="0"/>
                <w:sz w:val="24"/>
                <w:szCs w:val="24"/>
                <w:lang w:val="en-US" w:eastAsia="zh-CN" w:bidi="ar"/>
              </w:rPr>
              <w:t>产生量</w:t>
            </w:r>
            <w:r>
              <w:rPr>
                <w:rFonts w:hint="eastAsia" w:cs="Times New Roman"/>
                <w:color w:val="auto"/>
                <w:kern w:val="0"/>
                <w:sz w:val="24"/>
                <w:szCs w:val="24"/>
                <w:lang w:val="en-US" w:eastAsia="zh-CN" w:bidi="ar"/>
              </w:rPr>
              <w:t xml:space="preserve">9295.376 </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/a</w:t>
            </w:r>
            <w:r>
              <w:rPr>
                <w:rFonts w:hint="eastAsia" w:ascii="Times New Roman" w:hAnsi="Times New Roman" w:cs="Times New Roman"/>
                <w:color w:val="auto"/>
                <w:vertAlign w:val="baseline"/>
                <w:lang w:val="en-US" w:eastAsia="zh-CN"/>
              </w:rPr>
              <w:t>，反冲洗废水产生量</w:t>
            </w:r>
            <w:r>
              <w:rPr>
                <w:rFonts w:hint="eastAsia" w:cs="Times New Roman"/>
                <w:color w:val="auto"/>
                <w:vertAlign w:val="baseline"/>
                <w:lang w:val="en-US" w:eastAsia="zh-CN"/>
              </w:rPr>
              <w:t>100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/a</w:t>
            </w:r>
            <w:r>
              <w:rPr>
                <w:rFonts w:hint="eastAsia" w:ascii="宋体" w:hAnsi="宋体" w:eastAsia="宋体" w:cs="宋体"/>
                <w:color w:val="auto"/>
                <w:kern w:val="0"/>
                <w:sz w:val="24"/>
                <w:szCs w:val="24"/>
                <w:lang w:val="en-US" w:eastAsia="zh-CN" w:bidi="ar"/>
              </w:rPr>
              <w:t>。</w:t>
            </w:r>
          </w:p>
          <w:p w14:paraId="7189EB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油水分离废水经</w:t>
            </w:r>
            <w:r>
              <w:rPr>
                <w:rFonts w:hint="eastAsia" w:ascii="Times New Roman" w:hAnsi="Times New Roman" w:eastAsia="宋体" w:cs="Times New Roman"/>
                <w:color w:val="auto"/>
                <w:lang w:val="en-US" w:eastAsia="zh-CN"/>
              </w:rPr>
              <w:t>油水分离池（5个，规格1.26*1.26*3m，总容积23.8m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w:t>
            </w:r>
            <w:r>
              <w:rPr>
                <w:rFonts w:hint="eastAsia" w:cs="Times New Roman"/>
                <w:color w:val="auto"/>
                <w:vertAlign w:val="baseline"/>
                <w:lang w:val="en-US" w:eastAsia="zh-CN"/>
              </w:rPr>
              <w:t>隔油沉淀后，再经厌氧池（1个，容积31m</w:t>
            </w:r>
            <w:r>
              <w:rPr>
                <w:rFonts w:hint="eastAsia" w:cs="Times New Roman"/>
                <w:color w:val="auto"/>
                <w:vertAlign w:val="superscript"/>
                <w:lang w:val="en-US" w:eastAsia="zh-CN"/>
              </w:rPr>
              <w:t>3</w:t>
            </w:r>
            <w:r>
              <w:rPr>
                <w:rFonts w:hint="eastAsia" w:cs="Times New Roman"/>
                <w:color w:val="auto"/>
                <w:vertAlign w:val="baseline"/>
                <w:lang w:val="en-US" w:eastAsia="zh-CN"/>
              </w:rPr>
              <w:t>）处理，厌氧池对COD、BOD的去除效率在40~60%，考虑废水可生化性较好，COD、BOD的去除效率分别取45%、50%，根据计算，废水可以达到</w:t>
            </w:r>
            <w:r>
              <w:rPr>
                <w:rFonts w:hint="eastAsia" w:ascii="宋体" w:hAnsi="宋体" w:eastAsia="宋体" w:cs="宋体"/>
                <w:color w:val="auto"/>
                <w:kern w:val="0"/>
                <w:sz w:val="24"/>
                <w:szCs w:val="24"/>
                <w:lang w:val="en-US" w:eastAsia="zh-CN" w:bidi="ar"/>
              </w:rPr>
              <w:t>《污水综合排放标准》（</w:t>
            </w:r>
            <w:r>
              <w:rPr>
                <w:rFonts w:hint="default" w:ascii="Times New Roman" w:hAnsi="Times New Roman" w:eastAsia="宋体" w:cs="Times New Roman"/>
                <w:color w:val="auto"/>
                <w:kern w:val="0"/>
                <w:sz w:val="24"/>
                <w:szCs w:val="24"/>
                <w:lang w:val="en-US" w:eastAsia="zh-CN" w:bidi="ar"/>
              </w:rPr>
              <w:t>GB8979-1996</w:t>
            </w:r>
            <w:r>
              <w:rPr>
                <w:rFonts w:hint="eastAsia" w:ascii="宋体" w:hAnsi="宋体" w:eastAsia="宋体" w:cs="宋体"/>
                <w:color w:val="auto"/>
                <w:kern w:val="0"/>
                <w:sz w:val="24"/>
                <w:szCs w:val="24"/>
                <w:lang w:val="en-US" w:eastAsia="zh-CN" w:bidi="ar"/>
              </w:rPr>
              <w:t>）三级标准</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生活污水经</w:t>
            </w:r>
            <w:r>
              <w:rPr>
                <w:rFonts w:hint="eastAsia" w:ascii="宋体" w:hAnsi="宋体" w:cs="宋体"/>
                <w:color w:val="auto"/>
                <w:kern w:val="0"/>
                <w:sz w:val="24"/>
                <w:szCs w:val="24"/>
                <w:lang w:val="en-US" w:eastAsia="zh-CN" w:bidi="ar"/>
              </w:rPr>
              <w:t>中通建材公司</w:t>
            </w:r>
            <w:r>
              <w:rPr>
                <w:rFonts w:hint="eastAsia" w:ascii="宋体" w:hAnsi="宋体" w:eastAsia="宋体" w:cs="宋体"/>
                <w:color w:val="auto"/>
                <w:kern w:val="0"/>
                <w:sz w:val="24"/>
                <w:szCs w:val="24"/>
                <w:lang w:val="en-US" w:eastAsia="zh-CN" w:bidi="ar"/>
              </w:rPr>
              <w:t>已建预处理池预处理</w:t>
            </w:r>
            <w:r>
              <w:rPr>
                <w:rFonts w:hint="default" w:ascii="Times New Roman" w:hAnsi="Times New Roman" w:eastAsia="宋体" w:cs="Times New Roman"/>
                <w:color w:val="auto"/>
                <w:kern w:val="0"/>
                <w:sz w:val="24"/>
                <w:szCs w:val="24"/>
                <w:lang w:val="en-US" w:eastAsia="zh-CN" w:bidi="ar"/>
              </w:rPr>
              <w:t>（容积</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5m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后进入污水管网，排入蓬溪经开区废水处理厂处理</w:t>
            </w:r>
            <w:r>
              <w:rPr>
                <w:rFonts w:hint="default" w:ascii="Times New Roman" w:hAnsi="Times New Roman" w:cs="Times New Roman"/>
                <w:color w:val="auto"/>
              </w:rPr>
              <w:t>达《城镇污水处理厂污染物排放标准》（GB18918-2002）一级A标后最终排入芝溪河</w:t>
            </w:r>
            <w:r>
              <w:rPr>
                <w:rFonts w:hint="eastAsia" w:ascii="宋体" w:hAnsi="宋体" w:eastAsia="宋体" w:cs="宋体"/>
                <w:color w:val="auto"/>
                <w:kern w:val="0"/>
                <w:sz w:val="24"/>
                <w:szCs w:val="24"/>
                <w:lang w:val="en-US" w:eastAsia="zh-CN" w:bidi="ar"/>
              </w:rPr>
              <w:t xml:space="preserve">。 </w:t>
            </w:r>
          </w:p>
          <w:p w14:paraId="66172C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根据《排污许可证申请与核发技术规范 专用化学产品制造工业》（HJ1103—2020），废水可行技术如下。</w:t>
            </w:r>
          </w:p>
          <w:p w14:paraId="062762EA">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表</w:t>
            </w:r>
            <w:r>
              <w:rPr>
                <w:rFonts w:hint="eastAsia" w:ascii="Times New Roman" w:hAnsi="Times New Roman" w:eastAsia="宋体" w:cs="Times New Roman"/>
                <w:b/>
                <w:color w:val="auto"/>
                <w:sz w:val="21"/>
                <w:szCs w:val="20"/>
                <w:lang w:val="en-US" w:eastAsia="zh-CN"/>
              </w:rPr>
              <w:t>4-3</w:t>
            </w:r>
            <w:r>
              <w:rPr>
                <w:rFonts w:hint="eastAsia" w:ascii="Times New Roman" w:hAnsi="Times New Roman" w:eastAsia="宋体" w:cs="Times New Roman"/>
                <w:b/>
                <w:color w:val="auto"/>
                <w:sz w:val="21"/>
                <w:szCs w:val="20"/>
              </w:rPr>
              <w:t xml:space="preserve"> 排污单位废水污染防治可行技术参考表</w:t>
            </w:r>
          </w:p>
          <w:tbl>
            <w:tblPr>
              <w:tblStyle w:val="28"/>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158"/>
              <w:gridCol w:w="764"/>
              <w:gridCol w:w="784"/>
              <w:gridCol w:w="1676"/>
              <w:gridCol w:w="2325"/>
              <w:gridCol w:w="825"/>
              <w:gridCol w:w="1018"/>
            </w:tblGrid>
            <w:tr w14:paraId="0BB4B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90" w:hRule="atLeast"/>
                <w:jc w:val="center"/>
              </w:trPr>
              <w:tc>
                <w:tcPr>
                  <w:tcW w:w="677" w:type="pct"/>
                  <w:tcBorders>
                    <w:tl2br w:val="nil"/>
                    <w:tr2bl w:val="nil"/>
                  </w:tcBorders>
                  <w:noWrap w:val="0"/>
                  <w:vAlign w:val="center"/>
                </w:tcPr>
                <w:p w14:paraId="3237D75A">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zh-CN" w:eastAsia="zh-CN"/>
                    </w:rPr>
                  </w:pPr>
                  <w:r>
                    <w:rPr>
                      <w:rFonts w:hint="eastAsia" w:ascii="Times New Roman" w:hAnsi="Times New Roman" w:eastAsia="宋体" w:cs="Times New Roman"/>
                      <w:color w:val="auto"/>
                      <w:kern w:val="0"/>
                      <w:sz w:val="21"/>
                      <w:szCs w:val="21"/>
                      <w:lang w:val="en-US" w:eastAsia="zh-CN"/>
                    </w:rPr>
                    <w:t>行业</w:t>
                  </w:r>
                </w:p>
              </w:tc>
              <w:tc>
                <w:tcPr>
                  <w:tcW w:w="446" w:type="pct"/>
                  <w:tcBorders>
                    <w:tl2br w:val="nil"/>
                    <w:tr2bl w:val="nil"/>
                  </w:tcBorders>
                  <w:noWrap w:val="0"/>
                  <w:vAlign w:val="center"/>
                </w:tcPr>
                <w:p w14:paraId="67427AD1">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废水类别</w:t>
                  </w:r>
                </w:p>
              </w:tc>
              <w:tc>
                <w:tcPr>
                  <w:tcW w:w="458" w:type="pct"/>
                  <w:tcBorders>
                    <w:tl2br w:val="nil"/>
                    <w:tr2bl w:val="nil"/>
                  </w:tcBorders>
                  <w:noWrap w:val="0"/>
                  <w:vAlign w:val="center"/>
                </w:tcPr>
                <w:p w14:paraId="2F5462AD">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排放口类型</w:t>
                  </w:r>
                </w:p>
              </w:tc>
              <w:tc>
                <w:tcPr>
                  <w:tcW w:w="980" w:type="pct"/>
                  <w:tcBorders>
                    <w:tl2br w:val="nil"/>
                    <w:tr2bl w:val="nil"/>
                  </w:tcBorders>
                  <w:noWrap w:val="0"/>
                  <w:vAlign w:val="center"/>
                </w:tcPr>
                <w:p w14:paraId="52D0EE86">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污染物种类</w:t>
                  </w:r>
                </w:p>
              </w:tc>
              <w:tc>
                <w:tcPr>
                  <w:tcW w:w="1359" w:type="pct"/>
                  <w:tcBorders>
                    <w:tl2br w:val="nil"/>
                    <w:tr2bl w:val="nil"/>
                  </w:tcBorders>
                  <w:noWrap w:val="0"/>
                  <w:vAlign w:val="center"/>
                </w:tcPr>
                <w:p w14:paraId="1FC242C4">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可行技术</w:t>
                  </w:r>
                </w:p>
              </w:tc>
              <w:tc>
                <w:tcPr>
                  <w:tcW w:w="482" w:type="pct"/>
                  <w:tcBorders>
                    <w:tl2br w:val="nil"/>
                    <w:tr2bl w:val="nil"/>
                  </w:tcBorders>
                  <w:noWrap w:val="0"/>
                  <w:vAlign w:val="center"/>
                </w:tcPr>
                <w:p w14:paraId="76471EFE">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本项目</w:t>
                  </w:r>
                </w:p>
              </w:tc>
              <w:tc>
                <w:tcPr>
                  <w:tcW w:w="595" w:type="pct"/>
                  <w:tcBorders>
                    <w:tl2br w:val="nil"/>
                    <w:tr2bl w:val="nil"/>
                  </w:tcBorders>
                  <w:noWrap w:val="0"/>
                  <w:vAlign w:val="center"/>
                </w:tcPr>
                <w:p w14:paraId="778E55E4">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是否属于可行技术</w:t>
                  </w:r>
                </w:p>
              </w:tc>
            </w:tr>
            <w:tr w14:paraId="57BAB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91" w:hRule="atLeast"/>
                <w:jc w:val="center"/>
              </w:trPr>
              <w:tc>
                <w:tcPr>
                  <w:tcW w:w="677" w:type="pct"/>
                  <w:vMerge w:val="restart"/>
                  <w:tcBorders>
                    <w:tl2br w:val="nil"/>
                    <w:tr2bl w:val="nil"/>
                  </w:tcBorders>
                  <w:noWrap w:val="0"/>
                  <w:vAlign w:val="center"/>
                </w:tcPr>
                <w:p w14:paraId="4B483D78">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林产香料/林产油脂</w:t>
                  </w:r>
                </w:p>
              </w:tc>
              <w:tc>
                <w:tcPr>
                  <w:tcW w:w="446" w:type="pct"/>
                  <w:tcBorders>
                    <w:tl2br w:val="nil"/>
                    <w:tr2bl w:val="nil"/>
                  </w:tcBorders>
                  <w:noWrap w:val="0"/>
                  <w:vAlign w:val="center"/>
                </w:tcPr>
                <w:p w14:paraId="3839D4F3">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en-US" w:eastAsia="zh-CN"/>
                    </w:rPr>
                    <w:t>生产</w:t>
                  </w:r>
                  <w:r>
                    <w:rPr>
                      <w:rFonts w:hint="eastAsia" w:ascii="Times New Roman" w:hAnsi="Times New Roman" w:eastAsia="宋体" w:cs="Times New Roman"/>
                      <w:color w:val="auto"/>
                      <w:kern w:val="0"/>
                      <w:sz w:val="21"/>
                      <w:szCs w:val="21"/>
                      <w:lang w:val="zh-CN"/>
                    </w:rPr>
                    <w:t>污水</w:t>
                  </w:r>
                </w:p>
              </w:tc>
              <w:tc>
                <w:tcPr>
                  <w:tcW w:w="458" w:type="pct"/>
                  <w:tcBorders>
                    <w:tl2br w:val="nil"/>
                    <w:tr2bl w:val="nil"/>
                  </w:tcBorders>
                  <w:noWrap w:val="0"/>
                  <w:vAlign w:val="center"/>
                </w:tcPr>
                <w:p w14:paraId="12BCBE7C">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一般排放口</w:t>
                  </w:r>
                </w:p>
              </w:tc>
              <w:tc>
                <w:tcPr>
                  <w:tcW w:w="980" w:type="pct"/>
                  <w:tcBorders>
                    <w:tl2br w:val="nil"/>
                    <w:tr2bl w:val="nil"/>
                  </w:tcBorders>
                  <w:noWrap w:val="0"/>
                  <w:vAlign w:val="center"/>
                </w:tcPr>
                <w:p w14:paraId="4B6082F3">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pH、COD</w:t>
                  </w:r>
                  <w:r>
                    <w:rPr>
                      <w:rFonts w:hint="eastAsia" w:ascii="Times New Roman" w:hAnsi="Times New Roman" w:eastAsia="宋体" w:cs="Times New Roman"/>
                      <w:color w:val="auto"/>
                      <w:kern w:val="0"/>
                      <w:sz w:val="21"/>
                      <w:szCs w:val="21"/>
                      <w:vertAlign w:val="subscript"/>
                      <w:lang w:val="zh-CN"/>
                    </w:rPr>
                    <w:t>Cr</w:t>
                  </w:r>
                  <w:r>
                    <w:rPr>
                      <w:rFonts w:hint="eastAsia" w:ascii="Times New Roman" w:hAnsi="Times New Roman" w:eastAsia="宋体" w:cs="Times New Roman"/>
                      <w:color w:val="auto"/>
                      <w:kern w:val="0"/>
                      <w:sz w:val="21"/>
                      <w:szCs w:val="21"/>
                      <w:lang w:val="zh-CN"/>
                    </w:rPr>
                    <w:t>、BOD</w:t>
                  </w:r>
                  <w:r>
                    <w:rPr>
                      <w:rFonts w:hint="eastAsia" w:ascii="Times New Roman" w:hAnsi="Times New Roman" w:eastAsia="宋体" w:cs="Times New Roman"/>
                      <w:color w:val="auto"/>
                      <w:kern w:val="0"/>
                      <w:sz w:val="21"/>
                      <w:szCs w:val="21"/>
                      <w:vertAlign w:val="subscript"/>
                      <w:lang w:val="zh-CN"/>
                    </w:rPr>
                    <w:t>5</w:t>
                  </w:r>
                  <w:r>
                    <w:rPr>
                      <w:rFonts w:hint="eastAsia" w:ascii="Times New Roman" w:hAnsi="Times New Roman" w:eastAsia="宋体" w:cs="Times New Roman"/>
                      <w:color w:val="auto"/>
                      <w:kern w:val="0"/>
                      <w:sz w:val="21"/>
                      <w:szCs w:val="21"/>
                      <w:lang w:val="zh-CN"/>
                    </w:rPr>
                    <w:t>、氨氮、磷酸盐（总磷）、色度、悬浮物、动植物油、其他 c</w:t>
                  </w:r>
                </w:p>
              </w:tc>
              <w:tc>
                <w:tcPr>
                  <w:tcW w:w="1359" w:type="pct"/>
                  <w:tcBorders>
                    <w:tl2br w:val="nil"/>
                    <w:tr2bl w:val="nil"/>
                  </w:tcBorders>
                  <w:noWrap w:val="0"/>
                  <w:vAlign w:val="center"/>
                </w:tcPr>
                <w:p w14:paraId="23A7DC62">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絮凝沉淀法；活性污泥法；厌氧/缺氧/好氧法；其他</w:t>
                  </w:r>
                </w:p>
              </w:tc>
              <w:tc>
                <w:tcPr>
                  <w:tcW w:w="482" w:type="pct"/>
                  <w:tcBorders>
                    <w:tl2br w:val="nil"/>
                    <w:tr2bl w:val="nil"/>
                  </w:tcBorders>
                  <w:noWrap w:val="0"/>
                  <w:vAlign w:val="center"/>
                </w:tcPr>
                <w:p w14:paraId="7B7884CF">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油水分离池、厌氧池</w:t>
                  </w:r>
                </w:p>
              </w:tc>
              <w:tc>
                <w:tcPr>
                  <w:tcW w:w="595" w:type="pct"/>
                  <w:tcBorders>
                    <w:tl2br w:val="nil"/>
                    <w:tr2bl w:val="nil"/>
                  </w:tcBorders>
                  <w:noWrap w:val="0"/>
                  <w:vAlign w:val="center"/>
                </w:tcPr>
                <w:p w14:paraId="38D937C5">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zh-CN" w:eastAsia="zh-CN"/>
                    </w:rPr>
                  </w:pPr>
                  <w:r>
                    <w:rPr>
                      <w:rFonts w:hint="eastAsia" w:ascii="Times New Roman" w:hAnsi="Times New Roman" w:eastAsia="宋体" w:cs="Times New Roman"/>
                      <w:color w:val="auto"/>
                      <w:kern w:val="0"/>
                      <w:sz w:val="21"/>
                      <w:szCs w:val="21"/>
                      <w:lang w:val="zh-CN" w:eastAsia="zh-CN"/>
                    </w:rPr>
                    <w:t>属于</w:t>
                  </w:r>
                </w:p>
              </w:tc>
            </w:tr>
            <w:tr w14:paraId="0EFD0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91" w:hRule="atLeast"/>
                <w:jc w:val="center"/>
              </w:trPr>
              <w:tc>
                <w:tcPr>
                  <w:tcW w:w="677" w:type="pct"/>
                  <w:vMerge w:val="continue"/>
                  <w:tcBorders>
                    <w:tl2br w:val="nil"/>
                    <w:tr2bl w:val="nil"/>
                  </w:tcBorders>
                  <w:noWrap w:val="0"/>
                  <w:vAlign w:val="center"/>
                </w:tcPr>
                <w:p w14:paraId="719230EB">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p>
              </w:tc>
              <w:tc>
                <w:tcPr>
                  <w:tcW w:w="446" w:type="pct"/>
                  <w:tcBorders>
                    <w:tl2br w:val="nil"/>
                    <w:tr2bl w:val="nil"/>
                  </w:tcBorders>
                  <w:noWrap w:val="0"/>
                  <w:vAlign w:val="center"/>
                </w:tcPr>
                <w:p w14:paraId="2036A24A">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生活污水</w:t>
                  </w:r>
                </w:p>
              </w:tc>
              <w:tc>
                <w:tcPr>
                  <w:tcW w:w="458" w:type="pct"/>
                  <w:tcBorders>
                    <w:tl2br w:val="nil"/>
                    <w:tr2bl w:val="nil"/>
                  </w:tcBorders>
                  <w:noWrap w:val="0"/>
                  <w:vAlign w:val="center"/>
                </w:tcPr>
                <w:p w14:paraId="50744775">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980" w:type="pct"/>
                  <w:tcBorders>
                    <w:tl2br w:val="nil"/>
                    <w:tr2bl w:val="nil"/>
                  </w:tcBorders>
                  <w:noWrap w:val="0"/>
                  <w:vAlign w:val="center"/>
                </w:tcPr>
                <w:p w14:paraId="7F20D6D5">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pH、CODCr、BOD5、氨氮、磷酸盐（总磷）、悬浮物、动植物油、其他</w:t>
                  </w:r>
                </w:p>
              </w:tc>
              <w:tc>
                <w:tcPr>
                  <w:tcW w:w="1359" w:type="pct"/>
                  <w:tcBorders>
                    <w:tl2br w:val="nil"/>
                    <w:tr2bl w:val="nil"/>
                  </w:tcBorders>
                  <w:noWrap w:val="0"/>
                  <w:vAlign w:val="center"/>
                </w:tcPr>
                <w:p w14:paraId="4AC48C42">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预处理：格栅、过滤、沉淀；生化处理：活性污泥法；改进的活性污泥法除磷处理：化学除磷、生物除磷、化学与生物组合除磷</w:t>
                  </w:r>
                </w:p>
              </w:tc>
              <w:tc>
                <w:tcPr>
                  <w:tcW w:w="482" w:type="pct"/>
                  <w:tcBorders>
                    <w:tl2br w:val="nil"/>
                    <w:tr2bl w:val="nil"/>
                  </w:tcBorders>
                  <w:noWrap w:val="0"/>
                  <w:vAlign w:val="center"/>
                </w:tcPr>
                <w:p w14:paraId="48FB919F">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预处理池</w:t>
                  </w:r>
                </w:p>
              </w:tc>
              <w:tc>
                <w:tcPr>
                  <w:tcW w:w="595" w:type="pct"/>
                  <w:tcBorders>
                    <w:tl2br w:val="nil"/>
                    <w:tr2bl w:val="nil"/>
                  </w:tcBorders>
                  <w:noWrap w:val="0"/>
                  <w:vAlign w:val="center"/>
                </w:tcPr>
                <w:p w14:paraId="1E5CD23C">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zh-CN" w:eastAsia="zh-CN"/>
                    </w:rPr>
                  </w:pPr>
                  <w:r>
                    <w:rPr>
                      <w:rFonts w:hint="eastAsia" w:ascii="Times New Roman" w:hAnsi="Times New Roman" w:eastAsia="宋体" w:cs="Times New Roman"/>
                      <w:color w:val="auto"/>
                      <w:kern w:val="0"/>
                      <w:sz w:val="21"/>
                      <w:szCs w:val="21"/>
                      <w:lang w:val="zh-CN" w:eastAsia="zh-CN"/>
                    </w:rPr>
                    <w:t>属于</w:t>
                  </w:r>
                </w:p>
              </w:tc>
            </w:tr>
          </w:tbl>
          <w:p w14:paraId="5EEAB4AA">
            <w:pPr>
              <w:keepNext w:val="0"/>
              <w:keepLines w:val="0"/>
              <w:widowControl w:val="0"/>
              <w:suppressLineNumbers w:val="0"/>
              <w:adjustRightInd/>
              <w:snapToGrid/>
              <w:spacing w:before="0" w:beforeAutospacing="0" w:after="0" w:afterAutospacing="0" w:line="360" w:lineRule="auto"/>
              <w:ind w:left="0" w:right="0" w:firstLine="482"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color w:val="auto"/>
                <w:kern w:val="0"/>
                <w:sz w:val="24"/>
                <w:szCs w:val="27"/>
                <w:lang w:val="en-US" w:eastAsia="zh-CN" w:bidi="ar-SA"/>
              </w:rPr>
              <w:t>污水处理厂依托可行性分析</w:t>
            </w:r>
          </w:p>
          <w:p w14:paraId="373797E9">
            <w:pPr>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蓬溪县经济开发区废水处理厂位于赤城镇下店子村五组（方家坪），占地</w:t>
            </w:r>
            <w:r>
              <w:rPr>
                <w:rFonts w:hint="eastAsia" w:ascii="Times New Roman" w:hAnsi="Times New Roman" w:eastAsia="宋体" w:cs="Times New Roman"/>
                <w:color w:val="auto"/>
              </w:rPr>
              <w:t>面</w:t>
            </w:r>
            <w:r>
              <w:rPr>
                <w:rFonts w:hint="default" w:ascii="Times New Roman" w:hAnsi="Times New Roman" w:eastAsia="宋体" w:cs="Times New Roman"/>
                <w:color w:val="auto"/>
              </w:rPr>
              <w:t>积为26362m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，处理工艺采用</w:t>
            </w:r>
            <w:r>
              <w:rPr>
                <w:rFonts w:hint="eastAsia" w:ascii="Times New Roman" w:hAnsi="Times New Roman" w:eastAsia="宋体" w:cs="Times New Roman"/>
                <w:color w:val="auto"/>
              </w:rPr>
              <w:t>“</w:t>
            </w:r>
            <w:r>
              <w:rPr>
                <w:rFonts w:hint="default" w:ascii="Times New Roman" w:hAnsi="Times New Roman" w:eastAsia="宋体" w:cs="Times New Roman"/>
                <w:color w:val="auto"/>
              </w:rPr>
              <w:t>预处理+改良A/O+曝气生物滤池+纤维转盘滤池+紫外线消毒</w:t>
            </w:r>
            <w:r>
              <w:rPr>
                <w:rFonts w:hint="eastAsia" w:ascii="Times New Roman" w:hAnsi="Times New Roman" w:eastAsia="宋体" w:cs="Times New Roman"/>
                <w:color w:val="auto"/>
              </w:rPr>
              <w:t>”</w:t>
            </w:r>
            <w:r>
              <w:rPr>
                <w:rFonts w:hint="default" w:ascii="Times New Roman" w:hAnsi="Times New Roman" w:eastAsia="宋体" w:cs="Times New Roman"/>
                <w:color w:val="auto"/>
              </w:rPr>
              <w:t>工艺，纳污范围为上游片区工业园区产生的生活污水和工业废水。目前该废水处理厂设计规模为2000m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/d，近期将进行扩建工程，</w:t>
            </w:r>
            <w:r>
              <w:rPr>
                <w:rFonts w:hint="eastAsia" w:ascii="Times New Roman" w:hAnsi="Times New Roman" w:eastAsia="宋体" w:cs="Times New Roman"/>
                <w:color w:val="auto"/>
                <w:lang w:val="en-US" w:eastAsia="zh-CN"/>
              </w:rPr>
              <w:t>预计</w:t>
            </w:r>
            <w:r>
              <w:rPr>
                <w:rFonts w:hint="default" w:ascii="Times New Roman" w:hAnsi="Times New Roman" w:eastAsia="宋体" w:cs="Times New Roman"/>
                <w:color w:val="auto"/>
              </w:rPr>
              <w:t>新增处理量2000m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/d，扩建完成后总设计规模为4000m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/d，尾水达《城镇污水处理厂污染物排放标准》（GB18918-2002）一级A标准后排入芝溪河，尾水排放口置于芝溪河南岸。</w:t>
            </w:r>
          </w:p>
          <w:p w14:paraId="5D4AA2BD">
            <w:pPr>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rPr>
              <w:t>全厂</w:t>
            </w:r>
            <w:r>
              <w:rPr>
                <w:rFonts w:hint="default" w:ascii="Times New Roman" w:hAnsi="Times New Roman" w:eastAsia="宋体" w:cs="Times New Roman"/>
                <w:color w:val="auto"/>
              </w:rPr>
              <w:t>外排废水量为</w:t>
            </w:r>
            <w:r>
              <w:rPr>
                <w:rFonts w:hint="eastAsia" w:cs="Times New Roman"/>
                <w:color w:val="auto"/>
                <w:lang w:val="en-US" w:eastAsia="zh-CN"/>
              </w:rPr>
              <w:t>33.58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/d，蓬溪县经济开发区废水处理厂</w:t>
            </w:r>
            <w:r>
              <w:rPr>
                <w:rFonts w:hint="eastAsia" w:ascii="Times New Roman" w:hAnsi="Times New Roman" w:eastAsia="宋体" w:cs="Times New Roman"/>
                <w:color w:val="auto"/>
              </w:rPr>
              <w:t>目前实际处理量为1</w:t>
            </w:r>
            <w:r>
              <w:rPr>
                <w:rFonts w:hint="eastAsia" w:ascii="Times New Roman" w:hAnsi="Times New Roman" w:eastAsia="宋体" w:cs="Times New Roman"/>
                <w:color w:val="auto"/>
                <w:lang w:val="en-US" w:eastAsia="zh-CN"/>
              </w:rPr>
              <w:t>6</w:t>
            </w:r>
            <w:r>
              <w:rPr>
                <w:rFonts w:hint="eastAsia" w:ascii="Times New Roman" w:hAnsi="Times New Roman" w:eastAsia="宋体" w:cs="Times New Roman"/>
                <w:color w:val="auto"/>
              </w:rPr>
              <w:t>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eastAsia" w:ascii="Times New Roman" w:hAnsi="Times New Roman" w:eastAsia="宋体" w:cs="Times New Roman"/>
                <w:color w:val="auto"/>
              </w:rPr>
              <w:t>剩余处理容量足够处理废水，</w:t>
            </w:r>
            <w:r>
              <w:rPr>
                <w:rFonts w:hint="default" w:ascii="Times New Roman" w:hAnsi="Times New Roman" w:eastAsia="宋体" w:cs="Times New Roman"/>
                <w:color w:val="auto"/>
              </w:rPr>
              <w:t>因此，污水处理厂能够满足本项目废水排放要求。</w:t>
            </w:r>
          </w:p>
          <w:p w14:paraId="548CD00B">
            <w:pPr>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同时，根据实地调查可知，本项目区域污水管网已经全部建成，且与</w:t>
            </w:r>
            <w:r>
              <w:rPr>
                <w:rFonts w:hint="eastAsia" w:ascii="Times New Roman" w:hAnsi="Times New Roman" w:eastAsia="宋体" w:cs="Times New Roman"/>
                <w:color w:val="auto"/>
              </w:rPr>
              <w:t>蓬溪县经济开发区废水处理厂</w:t>
            </w:r>
            <w:r>
              <w:rPr>
                <w:rFonts w:hint="default" w:ascii="Times New Roman" w:hAnsi="Times New Roman" w:eastAsia="宋体" w:cs="Times New Roman"/>
                <w:color w:val="auto"/>
              </w:rPr>
              <w:t>相接。本项目位于</w:t>
            </w:r>
            <w:r>
              <w:rPr>
                <w:rFonts w:hint="eastAsia" w:ascii="Times New Roman" w:hAnsi="Times New Roman" w:eastAsia="宋体" w:cs="Times New Roman"/>
                <w:color w:val="auto"/>
              </w:rPr>
              <w:t>蓬溪县经济开发区废水处理厂</w:t>
            </w:r>
            <w:r>
              <w:rPr>
                <w:rFonts w:hint="default" w:ascii="Times New Roman" w:hAnsi="Times New Roman" w:eastAsia="宋体" w:cs="Times New Roman"/>
                <w:color w:val="auto"/>
              </w:rPr>
              <w:t>的纳污范围内，厂区污水经预处理达标后，可排入</w:t>
            </w:r>
            <w:r>
              <w:rPr>
                <w:rFonts w:hint="eastAsia" w:ascii="Times New Roman" w:hAnsi="Times New Roman" w:eastAsia="宋体" w:cs="Times New Roman"/>
                <w:color w:val="auto"/>
              </w:rPr>
              <w:t>蓬溪县经济开发区废水处理厂</w:t>
            </w:r>
            <w:r>
              <w:rPr>
                <w:rFonts w:hint="default" w:ascii="Times New Roman" w:hAnsi="Times New Roman" w:eastAsia="宋体" w:cs="Times New Roman"/>
                <w:color w:val="auto"/>
              </w:rPr>
              <w:t>进行处理。因此，本项目外排废水进入</w:t>
            </w:r>
            <w:r>
              <w:rPr>
                <w:rFonts w:hint="eastAsia" w:ascii="Times New Roman" w:hAnsi="Times New Roman" w:eastAsia="宋体" w:cs="Times New Roman"/>
                <w:color w:val="auto"/>
              </w:rPr>
              <w:t>蓬溪县经济开发区废水处理厂</w:t>
            </w:r>
            <w:r>
              <w:rPr>
                <w:rFonts w:hint="default" w:ascii="Times New Roman" w:hAnsi="Times New Roman" w:eastAsia="宋体" w:cs="Times New Roman"/>
                <w:color w:val="auto"/>
              </w:rPr>
              <w:t>处理是可行的。</w:t>
            </w:r>
          </w:p>
          <w:p w14:paraId="7CEFC5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2" w:firstLineChars="200"/>
              <w:textAlignment w:val="auto"/>
              <w:rPr>
                <w:rFonts w:hint="default" w:ascii="Times New Roman" w:hAnsi="Times New Roman" w:cs="Times New Roman"/>
                <w:b/>
                <w:color w:val="auto"/>
              </w:rPr>
            </w:pPr>
            <w:r>
              <w:rPr>
                <w:rFonts w:hint="eastAsia" w:ascii="Times New Roman" w:hAnsi="Times New Roman" w:cs="Times New Roman"/>
                <w:b/>
                <w:color w:val="auto"/>
                <w:lang w:val="en-US" w:eastAsia="zh-CN"/>
              </w:rPr>
              <w:t>4</w:t>
            </w:r>
            <w:r>
              <w:rPr>
                <w:rFonts w:hint="default" w:ascii="Times New Roman" w:hAnsi="Times New Roman" w:cs="Times New Roman"/>
                <w:b/>
                <w:color w:val="auto"/>
              </w:rPr>
              <w:t>、排放口情况</w:t>
            </w:r>
          </w:p>
          <w:p w14:paraId="7E0C5781">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b/>
                <w:color w:val="auto"/>
              </w:rPr>
            </w:pPr>
            <w:r>
              <w:rPr>
                <w:rFonts w:hint="default" w:ascii="Times New Roman" w:hAnsi="Times New Roman" w:cs="Times New Roman"/>
                <w:bCs/>
                <w:color w:val="auto"/>
              </w:rPr>
              <w:t>项目排放口情况见下表。</w:t>
            </w:r>
          </w:p>
          <w:p w14:paraId="19EC8F6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1"/>
                <w:szCs w:val="18"/>
              </w:rPr>
            </w:pPr>
            <w:r>
              <w:rPr>
                <w:rFonts w:hint="default" w:ascii="Times New Roman" w:hAnsi="Times New Roman" w:cs="Times New Roman"/>
                <w:b/>
                <w:color w:val="auto"/>
                <w:sz w:val="21"/>
                <w:szCs w:val="18"/>
              </w:rPr>
              <w:t>表4-</w:t>
            </w:r>
            <w:r>
              <w:rPr>
                <w:rFonts w:hint="eastAsia" w:ascii="Times New Roman" w:hAnsi="Times New Roman" w:cs="Times New Roman"/>
                <w:b/>
                <w:color w:val="auto"/>
                <w:sz w:val="21"/>
                <w:szCs w:val="18"/>
                <w:lang w:val="en-US" w:eastAsia="zh-CN"/>
              </w:rPr>
              <w:t>4</w:t>
            </w:r>
            <w:r>
              <w:rPr>
                <w:rFonts w:hint="default" w:ascii="Times New Roman" w:hAnsi="Times New Roman" w:cs="Times New Roman"/>
                <w:b/>
                <w:color w:val="auto"/>
                <w:sz w:val="21"/>
                <w:szCs w:val="18"/>
              </w:rPr>
              <w:t xml:space="preserve">  排放口情况表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926"/>
              <w:gridCol w:w="895"/>
              <w:gridCol w:w="1704"/>
              <w:gridCol w:w="1125"/>
              <w:gridCol w:w="2618"/>
            </w:tblGrid>
            <w:tr w14:paraId="51CAA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70" w:type="pct"/>
                  <w:gridSpan w:val="5"/>
                  <w:noWrap w:val="0"/>
                  <w:vAlign w:val="center"/>
                </w:tcPr>
                <w:p w14:paraId="6BF9DD57">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排放口基本情况</w:t>
                  </w:r>
                </w:p>
              </w:tc>
              <w:tc>
                <w:tcPr>
                  <w:tcW w:w="1529" w:type="pct"/>
                  <w:vMerge w:val="restart"/>
                  <w:noWrap w:val="0"/>
                  <w:vAlign w:val="center"/>
                </w:tcPr>
                <w:p w14:paraId="181F3E13">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排放标准</w:t>
                  </w:r>
                </w:p>
              </w:tc>
            </w:tr>
            <w:tr w14:paraId="0593A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 w:type="pct"/>
                  <w:noWrap w:val="0"/>
                  <w:vAlign w:val="center"/>
                </w:tcPr>
                <w:p w14:paraId="3802070D">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排放口名称</w:t>
                  </w:r>
                </w:p>
              </w:tc>
              <w:tc>
                <w:tcPr>
                  <w:tcW w:w="541" w:type="pct"/>
                  <w:noWrap w:val="0"/>
                  <w:vAlign w:val="center"/>
                </w:tcPr>
                <w:p w14:paraId="004B3C2F">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编号</w:t>
                  </w:r>
                </w:p>
              </w:tc>
              <w:tc>
                <w:tcPr>
                  <w:tcW w:w="523" w:type="pct"/>
                  <w:noWrap w:val="0"/>
                  <w:vAlign w:val="center"/>
                </w:tcPr>
                <w:p w14:paraId="40F4518A">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类型</w:t>
                  </w:r>
                </w:p>
              </w:tc>
              <w:tc>
                <w:tcPr>
                  <w:tcW w:w="995" w:type="pct"/>
                  <w:noWrap w:val="0"/>
                  <w:vAlign w:val="center"/>
                </w:tcPr>
                <w:p w14:paraId="4BDB3EDA">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坐标</w:t>
                  </w:r>
                </w:p>
              </w:tc>
              <w:tc>
                <w:tcPr>
                  <w:tcW w:w="657" w:type="pct"/>
                  <w:noWrap w:val="0"/>
                  <w:vAlign w:val="center"/>
                </w:tcPr>
                <w:p w14:paraId="31C9F1F5">
                  <w:pPr>
                    <w:pStyle w:val="13"/>
                    <w:keepNext w:val="0"/>
                    <w:keepLines w:val="0"/>
                    <w:suppressLineNumbers w:val="0"/>
                    <w:spacing w:before="0" w:beforeAutospacing="0" w:after="0" w:afterAutospacing="0" w:line="240" w:lineRule="auto"/>
                    <w:ind w:left="0" w:right="0" w:firstLine="0"/>
                    <w:jc w:val="center"/>
                    <w:rPr>
                      <w:rFonts w:hint="eastAsia" w:ascii="Times New Roman" w:hAnsi="Times New Roman" w:cs="Times New Roman"/>
                      <w:b/>
                      <w:bCs/>
                      <w:color w:val="auto"/>
                      <w:sz w:val="21"/>
                      <w:szCs w:val="21"/>
                    </w:rPr>
                  </w:pPr>
                  <w:r>
                    <w:rPr>
                      <w:rFonts w:hint="eastAsia" w:ascii="Times New Roman" w:hAnsi="Times New Roman" w:cs="Times New Roman"/>
                      <w:b/>
                      <w:bCs/>
                      <w:color w:val="auto"/>
                      <w:sz w:val="21"/>
                      <w:szCs w:val="21"/>
                    </w:rPr>
                    <w:t>排放去向</w:t>
                  </w:r>
                </w:p>
              </w:tc>
              <w:tc>
                <w:tcPr>
                  <w:tcW w:w="1529" w:type="pct"/>
                  <w:vMerge w:val="continue"/>
                  <w:noWrap w:val="0"/>
                  <w:vAlign w:val="center"/>
                </w:tcPr>
                <w:p w14:paraId="715CB0B9">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p>
              </w:tc>
            </w:tr>
            <w:tr w14:paraId="425A5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 w:type="pct"/>
                  <w:noWrap w:val="0"/>
                  <w:vAlign w:val="center"/>
                </w:tcPr>
                <w:p w14:paraId="0D8564AE">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生产</w:t>
                  </w:r>
                  <w:r>
                    <w:rPr>
                      <w:rFonts w:hint="eastAsia" w:ascii="Times New Roman" w:hAnsi="Times New Roman" w:cs="Times New Roman"/>
                      <w:color w:val="auto"/>
                      <w:sz w:val="21"/>
                      <w:szCs w:val="21"/>
                    </w:rPr>
                    <w:t>废水</w:t>
                  </w:r>
                  <w:r>
                    <w:rPr>
                      <w:rFonts w:hint="default" w:ascii="Times New Roman" w:hAnsi="Times New Roman" w:cs="Times New Roman"/>
                      <w:color w:val="auto"/>
                      <w:sz w:val="21"/>
                      <w:szCs w:val="21"/>
                    </w:rPr>
                    <w:t>排</w:t>
                  </w:r>
                  <w:r>
                    <w:rPr>
                      <w:rFonts w:hint="eastAsia" w:ascii="Times New Roman" w:hAnsi="Times New Roman" w:cs="Times New Roman"/>
                      <w:color w:val="auto"/>
                      <w:sz w:val="21"/>
                      <w:szCs w:val="21"/>
                      <w:lang w:val="en-US" w:eastAsia="zh-CN"/>
                    </w:rPr>
                    <w:t>放</w:t>
                  </w:r>
                  <w:r>
                    <w:rPr>
                      <w:rFonts w:hint="default" w:ascii="Times New Roman" w:hAnsi="Times New Roman" w:cs="Times New Roman"/>
                      <w:color w:val="auto"/>
                      <w:sz w:val="21"/>
                      <w:szCs w:val="21"/>
                    </w:rPr>
                    <w:t>口</w:t>
                  </w:r>
                </w:p>
              </w:tc>
              <w:tc>
                <w:tcPr>
                  <w:tcW w:w="541" w:type="pct"/>
                  <w:noWrap w:val="0"/>
                  <w:vAlign w:val="center"/>
                </w:tcPr>
                <w:p w14:paraId="10AEC7EC">
                  <w:pPr>
                    <w:pStyle w:val="13"/>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DW00</w:t>
                  </w:r>
                  <w:r>
                    <w:rPr>
                      <w:rFonts w:hint="eastAsia" w:ascii="Times New Roman" w:hAnsi="Times New Roman" w:cs="Times New Roman"/>
                      <w:color w:val="auto"/>
                      <w:sz w:val="21"/>
                      <w:szCs w:val="21"/>
                      <w:lang w:val="en-US" w:eastAsia="zh-CN"/>
                    </w:rPr>
                    <w:t>1</w:t>
                  </w:r>
                </w:p>
              </w:tc>
              <w:tc>
                <w:tcPr>
                  <w:tcW w:w="523" w:type="pct"/>
                  <w:noWrap w:val="0"/>
                  <w:vAlign w:val="center"/>
                </w:tcPr>
                <w:p w14:paraId="2DBAF951">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一般排放口</w:t>
                  </w:r>
                </w:p>
              </w:tc>
              <w:tc>
                <w:tcPr>
                  <w:tcW w:w="995" w:type="pct"/>
                  <w:noWrap w:val="0"/>
                  <w:vAlign w:val="center"/>
                </w:tcPr>
                <w:p w14:paraId="351A0213">
                  <w:pPr>
                    <w:pStyle w:val="13"/>
                    <w:keepNext w:val="0"/>
                    <w:keepLines w:val="0"/>
                    <w:suppressLineNumbers w:val="0"/>
                    <w:spacing w:before="0" w:beforeAutospacing="0" w:after="0" w:afterAutospacing="0" w:line="240" w:lineRule="auto"/>
                    <w:ind w:left="0" w:right="0" w:firstLine="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经度105.687670</w:t>
                  </w:r>
                </w:p>
                <w:p w14:paraId="7C51D689">
                  <w:pPr>
                    <w:pStyle w:val="13"/>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纬度30.740250</w:t>
                  </w:r>
                </w:p>
              </w:tc>
              <w:tc>
                <w:tcPr>
                  <w:tcW w:w="657" w:type="pct"/>
                  <w:noWrap w:val="0"/>
                  <w:vAlign w:val="center"/>
                </w:tcPr>
                <w:p w14:paraId="684451F7">
                  <w:pPr>
                    <w:pStyle w:val="13"/>
                    <w:keepNext w:val="0"/>
                    <w:keepLines w:val="0"/>
                    <w:suppressLineNumbers w:val="0"/>
                    <w:spacing w:before="0" w:beforeAutospacing="0" w:after="0" w:afterAutospacing="0" w:line="240" w:lineRule="auto"/>
                    <w:ind w:left="0" w:right="0" w:firstLine="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园区污水管网</w:t>
                  </w:r>
                </w:p>
              </w:tc>
              <w:tc>
                <w:tcPr>
                  <w:tcW w:w="1529" w:type="pct"/>
                  <w:noWrap w:val="0"/>
                  <w:vAlign w:val="center"/>
                </w:tcPr>
                <w:p w14:paraId="75F1DED5">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《污水综合排放标准》（GB8978-1996）三级标准</w:t>
                  </w:r>
                </w:p>
              </w:tc>
            </w:tr>
            <w:tr w14:paraId="2F65D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 w:type="pct"/>
                  <w:noWrap w:val="0"/>
                  <w:vAlign w:val="center"/>
                </w:tcPr>
                <w:p w14:paraId="59EC9A81">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生活污水总排口</w:t>
                  </w:r>
                </w:p>
              </w:tc>
              <w:tc>
                <w:tcPr>
                  <w:tcW w:w="541" w:type="pct"/>
                  <w:noWrap w:val="0"/>
                  <w:vAlign w:val="center"/>
                </w:tcPr>
                <w:p w14:paraId="03DD135C">
                  <w:pPr>
                    <w:pStyle w:val="13"/>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523" w:type="pct"/>
                  <w:noWrap w:val="0"/>
                  <w:vAlign w:val="center"/>
                </w:tcPr>
                <w:p w14:paraId="72119FAB">
                  <w:pPr>
                    <w:pStyle w:val="13"/>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95" w:type="pct"/>
                  <w:noWrap w:val="0"/>
                  <w:vAlign w:val="center"/>
                </w:tcPr>
                <w:p w14:paraId="2FA2A96B">
                  <w:pPr>
                    <w:pStyle w:val="13"/>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657" w:type="pct"/>
                  <w:noWrap w:val="0"/>
                  <w:vAlign w:val="center"/>
                </w:tcPr>
                <w:p w14:paraId="542E113F">
                  <w:pPr>
                    <w:pStyle w:val="13"/>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园区污水管网</w:t>
                  </w:r>
                </w:p>
              </w:tc>
              <w:tc>
                <w:tcPr>
                  <w:tcW w:w="1529" w:type="pct"/>
                  <w:noWrap w:val="0"/>
                  <w:vAlign w:val="center"/>
                </w:tcPr>
                <w:p w14:paraId="539441EB">
                  <w:pPr>
                    <w:pStyle w:val="1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《污水综合排放标准》（GB8978-1996）三级标准</w:t>
                  </w:r>
                </w:p>
              </w:tc>
            </w:tr>
          </w:tbl>
          <w:p w14:paraId="4502F8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2" w:firstLineChars="200"/>
              <w:textAlignment w:val="auto"/>
              <w:rPr>
                <w:rFonts w:hint="default" w:ascii="Times New Roman" w:hAnsi="Times New Roman" w:eastAsia="宋体" w:cs="Times New Roman"/>
                <w:b/>
                <w:color w:val="auto"/>
              </w:rPr>
            </w:pPr>
            <w:r>
              <w:rPr>
                <w:rFonts w:hint="eastAsia" w:ascii="Times New Roman" w:hAnsi="Times New Roman" w:eastAsia="宋体" w:cs="Times New Roman"/>
                <w:b/>
                <w:color w:val="auto"/>
                <w:lang w:val="en-US" w:eastAsia="zh-CN"/>
              </w:rPr>
              <w:t>5</w:t>
            </w:r>
            <w:r>
              <w:rPr>
                <w:rFonts w:hint="default" w:ascii="Times New Roman" w:hAnsi="Times New Roman" w:eastAsia="宋体" w:cs="Times New Roman"/>
                <w:b/>
                <w:color w:val="auto"/>
              </w:rPr>
              <w:t>、监测计划</w:t>
            </w:r>
          </w:p>
          <w:p w14:paraId="7EE740B3">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bCs/>
                <w:color w:val="auto"/>
              </w:rPr>
              <w:t>根据</w:t>
            </w:r>
            <w:r>
              <w:rPr>
                <w:rFonts w:hint="eastAsia" w:ascii="Times New Roman" w:hAnsi="Times New Roman" w:eastAsia="宋体" w:cs="Times New Roman"/>
                <w:color w:val="auto"/>
                <w:lang w:val="en-US" w:eastAsia="zh-CN"/>
              </w:rPr>
              <w:t>《排污许可证申请与核发技术规范 专用化学产品制造工业》（HJ1103—2020）</w:t>
            </w:r>
            <w:r>
              <w:rPr>
                <w:rFonts w:hint="default" w:ascii="Times New Roman" w:hAnsi="Times New Roman" w:cs="Times New Roman"/>
                <w:color w:val="auto"/>
              </w:rPr>
              <w:t>中自行监测要求，企业应定期委托组织具有监测资质的单位开展废水监测。项目废水监测要求具体如下表所示。</w:t>
            </w:r>
          </w:p>
          <w:p w14:paraId="5464255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pacing w:val="-10"/>
                <w:sz w:val="21"/>
                <w:szCs w:val="18"/>
              </w:rPr>
            </w:pPr>
            <w:r>
              <w:rPr>
                <w:rFonts w:hint="default" w:ascii="Times New Roman" w:hAnsi="Times New Roman" w:cs="Times New Roman"/>
                <w:b/>
                <w:color w:val="auto"/>
                <w:spacing w:val="-10"/>
                <w:sz w:val="21"/>
                <w:szCs w:val="18"/>
              </w:rPr>
              <w:t>表4-</w:t>
            </w:r>
            <w:r>
              <w:rPr>
                <w:rFonts w:hint="eastAsia" w:ascii="Times New Roman" w:hAnsi="Times New Roman" w:cs="Times New Roman"/>
                <w:b/>
                <w:color w:val="auto"/>
                <w:spacing w:val="-10"/>
                <w:sz w:val="21"/>
                <w:szCs w:val="18"/>
                <w:lang w:val="en-US" w:eastAsia="zh-CN"/>
              </w:rPr>
              <w:t>5</w:t>
            </w:r>
            <w:r>
              <w:rPr>
                <w:rFonts w:hint="default" w:ascii="Times New Roman" w:hAnsi="Times New Roman" w:cs="Times New Roman"/>
                <w:b/>
                <w:color w:val="auto"/>
                <w:spacing w:val="-10"/>
                <w:sz w:val="21"/>
                <w:szCs w:val="18"/>
              </w:rPr>
              <w:t xml:space="preserve">  厂区废水监测要求表</w:t>
            </w:r>
          </w:p>
          <w:tbl>
            <w:tblPr>
              <w:tblStyle w:val="28"/>
              <w:tblW w:w="491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906"/>
              <w:gridCol w:w="1131"/>
              <w:gridCol w:w="3455"/>
              <w:gridCol w:w="1099"/>
            </w:tblGrid>
            <w:tr w14:paraId="4EC23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noWrap w:val="0"/>
                  <w:vAlign w:val="center"/>
                </w:tcPr>
                <w:p w14:paraId="681D82EF">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1133" w:type="pct"/>
                  <w:noWrap w:val="0"/>
                  <w:vAlign w:val="center"/>
                </w:tcPr>
                <w:p w14:paraId="353F6A36">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监测位置</w:t>
                  </w:r>
                </w:p>
              </w:tc>
              <w:tc>
                <w:tcPr>
                  <w:tcW w:w="672" w:type="pct"/>
                  <w:noWrap w:val="0"/>
                  <w:vAlign w:val="center"/>
                </w:tcPr>
                <w:p w14:paraId="25D1F8D1">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监测点数</w:t>
                  </w:r>
                </w:p>
              </w:tc>
              <w:tc>
                <w:tcPr>
                  <w:tcW w:w="2053" w:type="pct"/>
                  <w:noWrap w:val="0"/>
                  <w:vAlign w:val="center"/>
                </w:tcPr>
                <w:p w14:paraId="196E27C4">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c>
                <w:tcPr>
                  <w:tcW w:w="653" w:type="pct"/>
                  <w:noWrap w:val="0"/>
                  <w:vAlign w:val="center"/>
                </w:tcPr>
                <w:p w14:paraId="0244E152">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监测频率</w:t>
                  </w:r>
                </w:p>
              </w:tc>
            </w:tr>
            <w:tr w14:paraId="5EFC5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86" w:type="pct"/>
                  <w:vMerge w:val="restart"/>
                  <w:noWrap w:val="0"/>
                  <w:vAlign w:val="center"/>
                </w:tcPr>
                <w:p w14:paraId="6B090A0B">
                  <w:pPr>
                    <w:pStyle w:val="13"/>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废水</w:t>
                  </w:r>
                </w:p>
              </w:tc>
              <w:tc>
                <w:tcPr>
                  <w:tcW w:w="1133" w:type="pct"/>
                  <w:vMerge w:val="restart"/>
                  <w:noWrap w:val="0"/>
                  <w:vAlign w:val="center"/>
                </w:tcPr>
                <w:p w14:paraId="37D624EF">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生产废水排放口</w:t>
                  </w:r>
                  <w:r>
                    <w:rPr>
                      <w:rFonts w:hint="default" w:ascii="Times New Roman" w:hAnsi="Times New Roman" w:cs="Times New Roman"/>
                      <w:color w:val="auto"/>
                      <w:sz w:val="21"/>
                      <w:szCs w:val="21"/>
                    </w:rPr>
                    <w:t>（DW001）</w:t>
                  </w:r>
                </w:p>
              </w:tc>
              <w:tc>
                <w:tcPr>
                  <w:tcW w:w="672" w:type="pct"/>
                  <w:vMerge w:val="restart"/>
                  <w:noWrap w:val="0"/>
                  <w:vAlign w:val="center"/>
                </w:tcPr>
                <w:p w14:paraId="02592735">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53" w:type="pct"/>
                  <w:noWrap w:val="0"/>
                  <w:vAlign w:val="center"/>
                </w:tcPr>
                <w:p w14:paraId="7F180C5E">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pH、CODcr、BOD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、氨氮</w:t>
                  </w:r>
                </w:p>
              </w:tc>
              <w:tc>
                <w:tcPr>
                  <w:tcW w:w="653" w:type="pct"/>
                  <w:noWrap w:val="0"/>
                  <w:vAlign w:val="center"/>
                </w:tcPr>
                <w:p w14:paraId="4BA66FB7">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w:t>
                  </w:r>
                  <w:r>
                    <w:rPr>
                      <w:rFonts w:hint="eastAsia" w:ascii="Times New Roman" w:hAnsi="Times New Roman" w:cs="Times New Roman"/>
                      <w:color w:val="auto"/>
                      <w:sz w:val="21"/>
                      <w:szCs w:val="21"/>
                    </w:rPr>
                    <w:t>半</w:t>
                  </w:r>
                  <w:r>
                    <w:rPr>
                      <w:rFonts w:hint="default" w:ascii="Times New Roman" w:hAnsi="Times New Roman" w:cs="Times New Roman"/>
                      <w:color w:val="auto"/>
                      <w:sz w:val="21"/>
                      <w:szCs w:val="21"/>
                    </w:rPr>
                    <w:t>年</w:t>
                  </w:r>
                </w:p>
              </w:tc>
            </w:tr>
            <w:tr w14:paraId="0B765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486" w:type="pct"/>
                  <w:vMerge w:val="continue"/>
                  <w:noWrap w:val="0"/>
                  <w:vAlign w:val="center"/>
                </w:tcPr>
                <w:p w14:paraId="597E75B4">
                  <w:pPr>
                    <w:pStyle w:val="13"/>
                    <w:keepNext w:val="0"/>
                    <w:keepLines w:val="0"/>
                    <w:suppressLineNumbers w:val="0"/>
                    <w:spacing w:before="0" w:beforeAutospacing="0" w:after="0" w:afterAutospacing="0" w:line="240" w:lineRule="auto"/>
                    <w:ind w:left="0" w:right="0" w:firstLine="0"/>
                    <w:jc w:val="center"/>
                    <w:rPr>
                      <w:rFonts w:hint="eastAsia" w:ascii="Times New Roman" w:hAnsi="Times New Roman" w:cs="Times New Roman"/>
                      <w:color w:val="auto"/>
                      <w:sz w:val="21"/>
                      <w:szCs w:val="21"/>
                      <w:lang w:val="en-US" w:eastAsia="zh-CN"/>
                    </w:rPr>
                  </w:pPr>
                </w:p>
              </w:tc>
              <w:tc>
                <w:tcPr>
                  <w:tcW w:w="1133" w:type="pct"/>
                  <w:vMerge w:val="continue"/>
                  <w:noWrap w:val="0"/>
                  <w:vAlign w:val="center"/>
                </w:tcPr>
                <w:p w14:paraId="04F1A9AB">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rPr>
                  </w:pPr>
                </w:p>
              </w:tc>
              <w:tc>
                <w:tcPr>
                  <w:tcW w:w="672" w:type="pct"/>
                  <w:vMerge w:val="continue"/>
                  <w:noWrap w:val="0"/>
                  <w:vAlign w:val="center"/>
                </w:tcPr>
                <w:p w14:paraId="56F11DE7">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rPr>
                  </w:pPr>
                </w:p>
              </w:tc>
              <w:tc>
                <w:tcPr>
                  <w:tcW w:w="2053" w:type="pct"/>
                  <w:noWrap w:val="0"/>
                  <w:vAlign w:val="center"/>
                </w:tcPr>
                <w:p w14:paraId="38101525">
                  <w:pPr>
                    <w:pStyle w:val="13"/>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磷酸盐（总磷）、悬浮物、石油类、动植物油</w:t>
                  </w:r>
                </w:p>
              </w:tc>
              <w:tc>
                <w:tcPr>
                  <w:tcW w:w="653" w:type="pct"/>
                  <w:noWrap w:val="0"/>
                  <w:vAlign w:val="center"/>
                </w:tcPr>
                <w:p w14:paraId="11C17966">
                  <w:pPr>
                    <w:pStyle w:val="13"/>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1次/</w:t>
                  </w:r>
                  <w:r>
                    <w:rPr>
                      <w:rFonts w:hint="eastAsia" w:ascii="Times New Roman" w:hAnsi="Times New Roman" w:cs="Times New Roman"/>
                      <w:color w:val="auto"/>
                      <w:sz w:val="21"/>
                      <w:szCs w:val="21"/>
                      <w:lang w:val="en-US" w:eastAsia="zh-CN"/>
                    </w:rPr>
                    <w:t>年</w:t>
                  </w:r>
                </w:p>
              </w:tc>
            </w:tr>
          </w:tbl>
          <w:p w14:paraId="36951378">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b/>
                <w:color w:val="auto"/>
                <w:lang w:eastAsia="zh-CN"/>
              </w:rPr>
            </w:pPr>
            <w:r>
              <w:rPr>
                <w:rFonts w:hint="eastAsia" w:ascii="Times New Roman" w:hAnsi="Times New Roman" w:cs="Times New Roman"/>
                <w:b/>
                <w:color w:val="auto"/>
              </w:rPr>
              <w:t>二</w:t>
            </w:r>
            <w:r>
              <w:rPr>
                <w:rFonts w:hint="default" w:ascii="Times New Roman" w:hAnsi="Times New Roman" w:cs="Times New Roman"/>
                <w:b/>
                <w:color w:val="auto"/>
              </w:rPr>
              <w:t>、废</w:t>
            </w:r>
            <w:r>
              <w:rPr>
                <w:rFonts w:hint="eastAsia" w:ascii="Times New Roman" w:hAnsi="Times New Roman" w:cs="Times New Roman"/>
                <w:b/>
                <w:color w:val="auto"/>
                <w:lang w:val="en-US" w:eastAsia="zh-CN"/>
              </w:rPr>
              <w:t>气</w:t>
            </w:r>
          </w:p>
          <w:p w14:paraId="0D9120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cs="Times New Roman"/>
                <w:color w:val="auto"/>
                <w:lang w:eastAsia="zh-CN"/>
              </w:rPr>
            </w:pPr>
            <w:r>
              <w:rPr>
                <w:rFonts w:hint="eastAsia" w:cs="Times New Roman"/>
                <w:b w:val="0"/>
                <w:bCs/>
                <w:color w:val="auto"/>
                <w:lang w:val="en-US" w:eastAsia="zh-CN"/>
              </w:rPr>
              <w:t>本项目产生废气主要为木材破碎、粉碎及输送工序产生的粉尘</w:t>
            </w:r>
            <w:r>
              <w:rPr>
                <w:rFonts w:hint="eastAsia" w:ascii="Times New Roman" w:hAnsi="Times New Roman" w:cs="Times New Roman"/>
                <w:color w:val="auto"/>
              </w:rPr>
              <w:t>、油水分离产生的有机废气</w:t>
            </w:r>
            <w:r>
              <w:rPr>
                <w:rFonts w:hint="eastAsia" w:ascii="Times New Roman" w:hAnsi="Times New Roman" w:cs="Times New Roman"/>
                <w:color w:val="auto"/>
                <w:lang w:eastAsia="zh-CN"/>
              </w:rPr>
              <w:t>、</w:t>
            </w:r>
            <w:r>
              <w:rPr>
                <w:rFonts w:hint="eastAsia" w:cs="Times New Roman"/>
                <w:color w:val="auto"/>
                <w:lang w:val="en-US" w:eastAsia="zh-CN"/>
              </w:rPr>
              <w:t>生物质颗粒制粒粉尘、</w:t>
            </w:r>
            <w:r>
              <w:rPr>
                <w:rFonts w:hint="eastAsia" w:ascii="Times New Roman" w:hAnsi="Times New Roman" w:cs="Times New Roman"/>
                <w:color w:val="auto"/>
                <w:lang w:eastAsia="zh-CN"/>
              </w:rPr>
              <w:t>生物质锅炉</w:t>
            </w:r>
            <w:r>
              <w:rPr>
                <w:rFonts w:hint="eastAsia" w:ascii="Times New Roman" w:hAnsi="Times New Roman" w:cs="Times New Roman"/>
                <w:color w:val="auto"/>
              </w:rPr>
              <w:t>燃烧废气</w:t>
            </w:r>
            <w:r>
              <w:rPr>
                <w:rFonts w:hint="eastAsia" w:cs="Times New Roman"/>
                <w:color w:val="auto"/>
                <w:lang w:eastAsia="zh-CN"/>
              </w:rPr>
              <w:t>。</w:t>
            </w:r>
          </w:p>
          <w:p w14:paraId="46E53C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2" w:firstLineChars="200"/>
              <w:textAlignment w:val="auto"/>
              <w:rPr>
                <w:rFonts w:hint="eastAsia" w:cs="Times New Roman"/>
                <w:b/>
                <w:color w:val="auto"/>
                <w:lang w:val="en-US" w:eastAsia="zh-CN"/>
              </w:rPr>
            </w:pPr>
            <w:r>
              <w:rPr>
                <w:rFonts w:hint="eastAsia" w:ascii="Times New Roman" w:hAnsi="Times New Roman" w:eastAsia="宋体" w:cs="Times New Roman"/>
                <w:b/>
                <w:color w:val="auto"/>
                <w:lang w:val="en-US" w:eastAsia="zh-CN"/>
              </w:rPr>
              <w:t>1、</w:t>
            </w:r>
            <w:r>
              <w:rPr>
                <w:rFonts w:hint="eastAsia" w:cs="Times New Roman"/>
                <w:b/>
                <w:color w:val="auto"/>
                <w:lang w:val="en-US" w:eastAsia="zh-CN"/>
              </w:rPr>
              <w:t>破碎、粉碎以及输送工序产生的粉尘</w:t>
            </w:r>
          </w:p>
          <w:p w14:paraId="301F2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项目直接外购枯柏树蔸，进料</w:t>
            </w:r>
            <w:r>
              <w:rPr>
                <w:rFonts w:hint="eastAsia" w:cs="Times New Roman"/>
                <w:b w:val="0"/>
                <w:bCs w:val="0"/>
                <w:color w:val="auto"/>
                <w:lang w:val="en-US" w:eastAsia="zh-CN"/>
              </w:rPr>
              <w:t>人工搬运至输送带，因</w:t>
            </w:r>
            <w:r>
              <w:rPr>
                <w:rFonts w:hint="eastAsia" w:ascii="Times New Roman" w:hAnsi="Times New Roman" w:eastAsia="宋体" w:cs="Times New Roman"/>
                <w:b w:val="0"/>
                <w:bCs w:val="0"/>
                <w:color w:val="auto"/>
                <w:lang w:val="en-US" w:eastAsia="zh-CN"/>
              </w:rPr>
              <w:t>柏树蔸</w:t>
            </w:r>
            <w:r>
              <w:rPr>
                <w:rFonts w:hint="eastAsia" w:cs="Times New Roman"/>
                <w:b w:val="0"/>
                <w:bCs w:val="0"/>
                <w:color w:val="auto"/>
                <w:lang w:val="en-US" w:eastAsia="zh-CN"/>
              </w:rPr>
              <w:t>尺寸较大，基本不会产生粉尘，输送带将</w:t>
            </w:r>
            <w:r>
              <w:rPr>
                <w:rFonts w:hint="eastAsia" w:ascii="Times New Roman" w:hAnsi="Times New Roman" w:eastAsia="宋体" w:cs="Times New Roman"/>
                <w:b w:val="0"/>
                <w:bCs w:val="0"/>
                <w:color w:val="auto"/>
                <w:lang w:val="en-US" w:eastAsia="zh-CN"/>
              </w:rPr>
              <w:t>柏树蔸</w:t>
            </w:r>
            <w:r>
              <w:rPr>
                <w:rFonts w:hint="eastAsia" w:cs="Times New Roman"/>
                <w:b w:val="0"/>
                <w:bCs w:val="0"/>
                <w:color w:val="auto"/>
                <w:lang w:val="en-US" w:eastAsia="zh-CN"/>
              </w:rPr>
              <w:t>输送至破碎机，破碎机</w:t>
            </w:r>
            <w:r>
              <w:rPr>
                <w:rFonts w:hint="default" w:ascii="Times New Roman" w:hAnsi="Times New Roman" w:eastAsia="宋体" w:cs="Times New Roman"/>
                <w:color w:val="auto"/>
                <w:kern w:val="0"/>
                <w:sz w:val="24"/>
                <w:szCs w:val="24"/>
                <w:lang w:val="en-US" w:eastAsia="zh-CN" w:bidi="ar"/>
              </w:rPr>
              <w:t>在</w:t>
            </w:r>
            <w:r>
              <w:rPr>
                <w:rFonts w:hint="eastAsia" w:cs="Times New Roman"/>
                <w:color w:val="auto"/>
                <w:kern w:val="0"/>
                <w:sz w:val="24"/>
                <w:szCs w:val="24"/>
                <w:lang w:val="en-US" w:eastAsia="zh-CN" w:bidi="ar"/>
              </w:rPr>
              <w:t>破碎</w:t>
            </w:r>
            <w:r>
              <w:rPr>
                <w:rFonts w:hint="default" w:ascii="Times New Roman" w:hAnsi="Times New Roman" w:eastAsia="宋体" w:cs="Times New Roman"/>
                <w:color w:val="auto"/>
                <w:kern w:val="0"/>
                <w:sz w:val="24"/>
                <w:szCs w:val="24"/>
                <w:lang w:val="en-US" w:eastAsia="zh-CN" w:bidi="ar"/>
              </w:rPr>
              <w:t>阶段会产生一定量的粉尘，项目原料枯柏树蔸含水率约为13.36%，</w:t>
            </w:r>
            <w:r>
              <w:rPr>
                <w:rFonts w:hint="eastAsia" w:cs="Times New Roman"/>
                <w:color w:val="auto"/>
                <w:kern w:val="0"/>
                <w:sz w:val="24"/>
                <w:szCs w:val="24"/>
                <w:lang w:val="en-US" w:eastAsia="zh-CN" w:bidi="ar"/>
              </w:rPr>
              <w:t>有一定</w:t>
            </w:r>
            <w:r>
              <w:rPr>
                <w:rFonts w:hint="default" w:ascii="Times New Roman" w:hAnsi="Times New Roman" w:eastAsia="宋体" w:cs="Times New Roman"/>
                <w:color w:val="auto"/>
                <w:kern w:val="0"/>
                <w:sz w:val="24"/>
                <w:szCs w:val="24"/>
                <w:lang w:val="en-US" w:eastAsia="zh-CN" w:bidi="ar"/>
              </w:rPr>
              <w:t>含水率，</w:t>
            </w:r>
            <w:r>
              <w:rPr>
                <w:rFonts w:hint="eastAsia" w:cs="Times New Roman"/>
                <w:color w:val="auto"/>
                <w:kern w:val="0"/>
                <w:sz w:val="24"/>
                <w:szCs w:val="24"/>
                <w:lang w:val="en-US" w:eastAsia="zh-CN" w:bidi="ar"/>
              </w:rPr>
              <w:t>且破碎后木渣尺寸较大，破碎</w:t>
            </w:r>
            <w:r>
              <w:rPr>
                <w:rFonts w:hint="default" w:ascii="Times New Roman" w:hAnsi="Times New Roman" w:eastAsia="宋体" w:cs="Times New Roman"/>
                <w:color w:val="auto"/>
                <w:kern w:val="0"/>
                <w:sz w:val="24"/>
                <w:szCs w:val="24"/>
                <w:lang w:val="en-US" w:eastAsia="zh-CN" w:bidi="ar"/>
              </w:rPr>
              <w:t>时起尘率较低。</w:t>
            </w:r>
            <w:r>
              <w:rPr>
                <w:rFonts w:hint="eastAsia" w:cs="Times New Roman"/>
                <w:b w:val="0"/>
                <w:bCs w:val="0"/>
                <w:color w:val="auto"/>
                <w:lang w:val="en-US" w:eastAsia="zh-CN"/>
              </w:rPr>
              <w:t>破碎后木片经密闭周转箱送至生产车间暂存，</w:t>
            </w:r>
            <w:r>
              <w:rPr>
                <w:rFonts w:hint="eastAsia" w:ascii="Times New Roman" w:hAnsi="Times New Roman" w:eastAsia="宋体" w:cs="Times New Roman"/>
                <w:b w:val="0"/>
                <w:bCs w:val="0"/>
                <w:color w:val="auto"/>
                <w:lang w:val="en-US" w:eastAsia="zh-CN"/>
              </w:rPr>
              <w:t>经过</w:t>
            </w:r>
            <w:r>
              <w:rPr>
                <w:rFonts w:hint="eastAsia" w:cs="Times New Roman"/>
                <w:b w:val="0"/>
                <w:bCs w:val="0"/>
                <w:color w:val="auto"/>
                <w:lang w:val="en-US" w:eastAsia="zh-CN"/>
              </w:rPr>
              <w:t>中转</w:t>
            </w:r>
            <w:r>
              <w:rPr>
                <w:rFonts w:hint="eastAsia" w:ascii="Times New Roman" w:hAnsi="Times New Roman" w:eastAsia="宋体" w:cs="Times New Roman"/>
                <w:b w:val="0"/>
                <w:bCs w:val="0"/>
                <w:color w:val="auto"/>
                <w:lang w:val="en-US" w:eastAsia="zh-CN"/>
              </w:rPr>
              <w:t>仓进入粉碎机进行粉碎，粉碎机出料后再通过</w:t>
            </w:r>
            <w:r>
              <w:rPr>
                <w:rFonts w:hint="eastAsia" w:cs="Times New Roman"/>
                <w:b w:val="0"/>
                <w:bCs w:val="0"/>
                <w:color w:val="auto"/>
                <w:lang w:val="en-US" w:eastAsia="zh-CN"/>
              </w:rPr>
              <w:t>密闭</w:t>
            </w:r>
            <w:r>
              <w:rPr>
                <w:rFonts w:hint="eastAsia" w:ascii="Times New Roman" w:hAnsi="Times New Roman" w:eastAsia="宋体" w:cs="Times New Roman"/>
                <w:b w:val="0"/>
                <w:bCs w:val="0"/>
                <w:color w:val="auto"/>
                <w:lang w:val="en-US" w:eastAsia="zh-CN"/>
              </w:rPr>
              <w:t>传送带送入</w:t>
            </w:r>
            <w:r>
              <w:rPr>
                <w:rFonts w:hint="eastAsia" w:cs="Times New Roman"/>
                <w:b w:val="0"/>
                <w:bCs w:val="0"/>
                <w:color w:val="auto"/>
                <w:lang w:val="en-US" w:eastAsia="zh-CN"/>
              </w:rPr>
              <w:t>蒸馏釜</w:t>
            </w:r>
            <w:r>
              <w:rPr>
                <w:rFonts w:hint="eastAsia" w:ascii="Times New Roman" w:hAnsi="Times New Roman" w:eastAsia="宋体" w:cs="Times New Roman"/>
                <w:b w:val="0"/>
                <w:bCs w:val="0"/>
                <w:color w:val="auto"/>
                <w:lang w:val="en-US" w:eastAsia="zh-CN"/>
              </w:rPr>
              <w:t xml:space="preserve">的罐顶进行蒸馏。以上原材料在粉碎及输送过程中会产生少量粉尘。 </w:t>
            </w:r>
          </w:p>
          <w:p w14:paraId="0BAE95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因为关于枯树破碎、粉碎尚无确切的理论研究数据，因此本项目枯柏</w:t>
            </w:r>
            <w:r>
              <w:rPr>
                <w:rFonts w:hint="eastAsia" w:cs="Times New Roman"/>
                <w:color w:val="auto"/>
                <w:kern w:val="0"/>
                <w:sz w:val="24"/>
                <w:szCs w:val="24"/>
                <w:lang w:val="en-US" w:eastAsia="zh-CN" w:bidi="ar"/>
              </w:rPr>
              <w:t>树蔸</w:t>
            </w:r>
            <w:r>
              <w:rPr>
                <w:rFonts w:hint="default" w:ascii="Times New Roman" w:hAnsi="Times New Roman" w:eastAsia="宋体" w:cs="Times New Roman"/>
                <w:color w:val="auto"/>
                <w:kern w:val="0"/>
                <w:sz w:val="24"/>
                <w:szCs w:val="24"/>
                <w:lang w:val="en-US" w:eastAsia="zh-CN" w:bidi="ar"/>
              </w:rPr>
              <w:t>破碎及输送工序的产排污系数参考《产排污系数手册》中201木材加工业中的相关数据，产污系数为0.234kg/m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。枯柏树密度约为0.48g/cm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，本项目年破碎枯柏树</w:t>
            </w:r>
            <w:r>
              <w:rPr>
                <w:rFonts w:hint="eastAsia" w:cs="Times New Roman"/>
                <w:color w:val="auto"/>
                <w:kern w:val="0"/>
                <w:sz w:val="24"/>
                <w:szCs w:val="24"/>
                <w:lang w:val="en-US" w:eastAsia="zh-CN" w:bidi="ar"/>
              </w:rPr>
              <w:t>4910</w:t>
            </w:r>
            <w:r>
              <w:rPr>
                <w:rFonts w:hint="default" w:ascii="Times New Roman" w:hAnsi="Times New Roman" w:eastAsia="宋体" w:cs="Times New Roman"/>
                <w:color w:val="auto"/>
                <w:kern w:val="0"/>
                <w:sz w:val="24"/>
                <w:szCs w:val="24"/>
                <w:lang w:val="en-US" w:eastAsia="zh-CN" w:bidi="ar"/>
              </w:rPr>
              <w:t>t，因此年破碎枯柏树约102</w:t>
            </w:r>
            <w:r>
              <w:rPr>
                <w:rFonts w:hint="eastAsia" w:ascii="Times New Roman" w:hAnsi="Times New Roman" w:eastAsia="宋体" w:cs="Times New Roman"/>
                <w:color w:val="auto"/>
                <w:kern w:val="0"/>
                <w:sz w:val="24"/>
                <w:szCs w:val="24"/>
                <w:lang w:val="en-US" w:eastAsia="zh-CN" w:bidi="ar"/>
              </w:rPr>
              <w:t>29</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w:t>
            </w:r>
          </w:p>
          <w:p w14:paraId="36BAB0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本项目破碎机及粉碎机每天工作8小时，年工作300天，</w:t>
            </w:r>
            <w:r>
              <w:rPr>
                <w:rFonts w:hint="eastAsia" w:cs="Times New Roman"/>
                <w:color w:val="auto"/>
                <w:kern w:val="0"/>
                <w:sz w:val="24"/>
                <w:szCs w:val="24"/>
                <w:lang w:val="en-US" w:eastAsia="zh-CN" w:bidi="ar"/>
              </w:rPr>
              <w:t>则</w:t>
            </w:r>
            <w:r>
              <w:rPr>
                <w:rFonts w:hint="default" w:ascii="Times New Roman" w:hAnsi="Times New Roman" w:eastAsia="宋体" w:cs="Times New Roman"/>
                <w:color w:val="auto"/>
                <w:kern w:val="0"/>
                <w:sz w:val="24"/>
                <w:szCs w:val="24"/>
                <w:lang w:val="en-US" w:eastAsia="zh-CN" w:bidi="ar"/>
              </w:rPr>
              <w:t>破碎工序产生的粉尘量共计为</w:t>
            </w:r>
            <w:r>
              <w:rPr>
                <w:rFonts w:hint="eastAsia" w:ascii="Times New Roman" w:hAnsi="Times New Roman" w:eastAsia="宋体" w:cs="Times New Roman"/>
                <w:color w:val="auto"/>
                <w:kern w:val="0"/>
                <w:sz w:val="24"/>
                <w:szCs w:val="24"/>
                <w:lang w:val="en-US" w:eastAsia="zh-CN" w:bidi="ar"/>
              </w:rPr>
              <w:t>2.39</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t/a</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粉尘产生速率为</w:t>
            </w:r>
            <w:r>
              <w:rPr>
                <w:rFonts w:hint="eastAsia" w:ascii="Times New Roman" w:hAnsi="Times New Roman" w:eastAsia="宋体" w:cs="Times New Roman"/>
                <w:color w:val="auto"/>
                <w:kern w:val="0"/>
                <w:sz w:val="24"/>
                <w:szCs w:val="24"/>
                <w:lang w:val="en-US" w:eastAsia="zh-CN" w:bidi="ar"/>
              </w:rPr>
              <w:t>0.997</w:t>
            </w:r>
            <w:r>
              <w:rPr>
                <w:rFonts w:hint="default" w:ascii="Times New Roman" w:hAnsi="Times New Roman" w:eastAsia="宋体" w:cs="Times New Roman"/>
                <w:color w:val="auto"/>
                <w:kern w:val="0"/>
                <w:sz w:val="24"/>
                <w:szCs w:val="24"/>
                <w:lang w:val="en-US" w:eastAsia="zh-CN" w:bidi="ar"/>
              </w:rPr>
              <w:t>kg/h</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粉碎工序产生的粉尘量共计为</w:t>
            </w:r>
            <w:r>
              <w:rPr>
                <w:rFonts w:hint="eastAsia" w:ascii="Times New Roman" w:hAnsi="Times New Roman" w:eastAsia="宋体" w:cs="Times New Roman"/>
                <w:color w:val="auto"/>
                <w:kern w:val="0"/>
                <w:sz w:val="24"/>
                <w:szCs w:val="24"/>
                <w:lang w:val="en-US" w:eastAsia="zh-CN" w:bidi="ar"/>
              </w:rPr>
              <w:t>2.39</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t/a</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粉尘产生速率为</w:t>
            </w:r>
            <w:r>
              <w:rPr>
                <w:rFonts w:hint="eastAsia" w:ascii="Times New Roman" w:hAnsi="Times New Roman" w:eastAsia="宋体" w:cs="Times New Roman"/>
                <w:color w:val="auto"/>
                <w:kern w:val="0"/>
                <w:sz w:val="24"/>
                <w:szCs w:val="24"/>
                <w:lang w:val="en-US" w:eastAsia="zh-CN" w:bidi="ar"/>
              </w:rPr>
              <w:t>0.997</w:t>
            </w:r>
            <w:r>
              <w:rPr>
                <w:rFonts w:hint="default" w:ascii="Times New Roman" w:hAnsi="Times New Roman" w:eastAsia="宋体" w:cs="Times New Roman"/>
                <w:color w:val="auto"/>
                <w:kern w:val="0"/>
                <w:sz w:val="24"/>
                <w:szCs w:val="24"/>
                <w:lang w:val="en-US" w:eastAsia="zh-CN" w:bidi="ar"/>
              </w:rPr>
              <w:t>kg/h。</w:t>
            </w:r>
          </w:p>
          <w:p w14:paraId="3869DA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2" w:firstLineChars="200"/>
              <w:textAlignment w:val="auto"/>
              <w:rPr>
                <w:rFonts w:hint="eastAsia" w:ascii="Times New Roman" w:hAnsi="Times New Roman" w:eastAsia="宋体" w:cs="宋体"/>
                <w:color w:val="auto"/>
                <w:sz w:val="24"/>
                <w:szCs w:val="24"/>
                <w:lang w:eastAsia="zh-CN"/>
              </w:rPr>
            </w:pPr>
            <w:r>
              <w:rPr>
                <w:rFonts w:hint="default" w:ascii="Times New Roman" w:hAnsi="Times New Roman" w:eastAsia="宋体" w:cs="Times New Roman"/>
                <w:b/>
                <w:bCs/>
                <w:color w:val="auto"/>
                <w:kern w:val="0"/>
                <w:sz w:val="24"/>
                <w:szCs w:val="24"/>
                <w:lang w:val="en-US" w:eastAsia="zh-CN" w:bidi="ar"/>
              </w:rPr>
              <w:t>治理措施</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宋体"/>
                <w:color w:val="auto"/>
                <w:sz w:val="24"/>
                <w:szCs w:val="24"/>
              </w:rPr>
              <w:t>原料堆场设置于室内，破碎机上方设置集气罩，破碎粉尘经集气罩收集，布袋除尘器处理后15m高</w:t>
            </w:r>
            <w:r>
              <w:rPr>
                <w:rFonts w:hint="eastAsia" w:cs="宋体"/>
                <w:color w:val="auto"/>
                <w:sz w:val="24"/>
                <w:szCs w:val="24"/>
                <w:lang w:eastAsia="zh-CN"/>
              </w:rPr>
              <w:t>1#排气筒</w:t>
            </w:r>
            <w:r>
              <w:rPr>
                <w:rFonts w:hint="eastAsia" w:ascii="Times New Roman" w:hAnsi="Times New Roman" w:cs="宋体"/>
                <w:color w:val="auto"/>
                <w:sz w:val="24"/>
                <w:szCs w:val="24"/>
              </w:rPr>
              <w:t>排放，</w:t>
            </w:r>
            <w:r>
              <w:rPr>
                <w:rFonts w:hint="eastAsia" w:cs="宋体"/>
                <w:color w:val="auto"/>
                <w:sz w:val="24"/>
                <w:szCs w:val="24"/>
                <w:lang w:val="en-US" w:eastAsia="zh-CN"/>
              </w:rPr>
              <w:t>生物质颗粒制粒粉尘经集气罩收集后引入布袋除尘器一并处理。</w:t>
            </w:r>
            <w:r>
              <w:rPr>
                <w:rFonts w:hint="eastAsia" w:ascii="Times New Roman" w:hAnsi="Times New Roman" w:cs="宋体"/>
                <w:color w:val="auto"/>
                <w:sz w:val="24"/>
                <w:szCs w:val="24"/>
                <w:lang w:val="en-US" w:eastAsia="zh-CN"/>
              </w:rPr>
              <w:t>收集效率90%，</w:t>
            </w:r>
            <w:r>
              <w:rPr>
                <w:rFonts w:hint="eastAsia" w:ascii="Times New Roman" w:hAnsi="Times New Roman" w:cs="宋体"/>
                <w:color w:val="auto"/>
                <w:sz w:val="24"/>
                <w:szCs w:val="24"/>
              </w:rPr>
              <w:t>处理效率9</w:t>
            </w:r>
            <w:r>
              <w:rPr>
                <w:rFonts w:hint="eastAsia" w:ascii="Times New Roman" w:hAnsi="Times New Roman" w:cs="宋体"/>
                <w:color w:val="auto"/>
                <w:sz w:val="24"/>
                <w:szCs w:val="24"/>
                <w:lang w:val="en-US" w:eastAsia="zh-CN"/>
              </w:rPr>
              <w:t>8</w:t>
            </w:r>
            <w:r>
              <w:rPr>
                <w:rFonts w:hint="eastAsia" w:ascii="Times New Roman" w:hAnsi="Times New Roman" w:cs="宋体"/>
                <w:color w:val="auto"/>
                <w:sz w:val="24"/>
                <w:szCs w:val="24"/>
              </w:rPr>
              <w:t>%</w:t>
            </w:r>
            <w:r>
              <w:rPr>
                <w:rFonts w:hint="eastAsia" w:cs="宋体"/>
                <w:color w:val="auto"/>
                <w:sz w:val="24"/>
                <w:szCs w:val="24"/>
                <w:lang w:eastAsia="zh-CN"/>
              </w:rPr>
              <w:t>。</w:t>
            </w:r>
            <w:r>
              <w:rPr>
                <w:rFonts w:hint="eastAsia" w:cs="宋体"/>
                <w:color w:val="auto"/>
                <w:sz w:val="24"/>
                <w:szCs w:val="24"/>
                <w:lang w:val="en-US" w:eastAsia="zh-CN"/>
              </w:rPr>
              <w:t>木片</w:t>
            </w:r>
            <w:r>
              <w:rPr>
                <w:rFonts w:hint="eastAsia" w:ascii="Times New Roman" w:hAnsi="Times New Roman" w:cs="宋体"/>
                <w:color w:val="auto"/>
                <w:sz w:val="24"/>
                <w:szCs w:val="24"/>
              </w:rPr>
              <w:t>采用料仓进料，密闭输送带输送，破碎粉尘经布袋除尘器处理后15m高</w:t>
            </w:r>
            <w:r>
              <w:rPr>
                <w:rFonts w:hint="eastAsia" w:cs="宋体"/>
                <w:color w:val="auto"/>
                <w:sz w:val="24"/>
                <w:szCs w:val="24"/>
                <w:lang w:eastAsia="zh-CN"/>
              </w:rPr>
              <w:t>2#排气筒</w:t>
            </w:r>
            <w:r>
              <w:rPr>
                <w:rFonts w:hint="eastAsia" w:ascii="Times New Roman" w:hAnsi="Times New Roman" w:cs="宋体"/>
                <w:color w:val="auto"/>
                <w:sz w:val="24"/>
                <w:szCs w:val="24"/>
              </w:rPr>
              <w:t>排放</w:t>
            </w:r>
            <w:r>
              <w:rPr>
                <w:rFonts w:hint="eastAsia" w:cs="宋体"/>
                <w:color w:val="auto"/>
                <w:sz w:val="24"/>
                <w:szCs w:val="24"/>
                <w:lang w:eastAsia="zh-CN"/>
              </w:rPr>
              <w:t>，</w:t>
            </w:r>
            <w:r>
              <w:rPr>
                <w:rFonts w:hint="eastAsia" w:ascii="Times New Roman" w:hAnsi="Times New Roman" w:cs="宋体"/>
                <w:color w:val="auto"/>
                <w:sz w:val="24"/>
                <w:szCs w:val="24"/>
                <w:lang w:val="en-US" w:eastAsia="zh-CN"/>
              </w:rPr>
              <w:t>收集效率90%，</w:t>
            </w:r>
            <w:r>
              <w:rPr>
                <w:rFonts w:hint="eastAsia" w:ascii="Times New Roman" w:hAnsi="Times New Roman" w:cs="宋体"/>
                <w:color w:val="auto"/>
                <w:sz w:val="24"/>
                <w:szCs w:val="24"/>
              </w:rPr>
              <w:t>处理效率9</w:t>
            </w:r>
            <w:r>
              <w:rPr>
                <w:rFonts w:hint="eastAsia" w:ascii="Times New Roman" w:hAnsi="Times New Roman" w:cs="宋体"/>
                <w:color w:val="auto"/>
                <w:sz w:val="24"/>
                <w:szCs w:val="24"/>
                <w:lang w:val="en-US" w:eastAsia="zh-CN"/>
              </w:rPr>
              <w:t>8</w:t>
            </w:r>
            <w:r>
              <w:rPr>
                <w:rFonts w:hint="eastAsia" w:ascii="Times New Roman" w:hAnsi="Times New Roman" w:cs="宋体"/>
                <w:color w:val="auto"/>
                <w:sz w:val="24"/>
                <w:szCs w:val="24"/>
              </w:rPr>
              <w:t>%</w:t>
            </w:r>
            <w:r>
              <w:rPr>
                <w:rFonts w:hint="eastAsia" w:cs="宋体"/>
                <w:color w:val="auto"/>
                <w:sz w:val="24"/>
                <w:szCs w:val="24"/>
                <w:lang w:eastAsia="zh-CN"/>
              </w:rPr>
              <w:t>。</w:t>
            </w:r>
          </w:p>
          <w:p w14:paraId="2BF313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设计风量参考《废气处理工程技术手册》中集气罩设计原则，按下式计算：</w:t>
            </w:r>
          </w:p>
          <w:p w14:paraId="470E27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Q=3600×F×Vx</w:t>
            </w:r>
          </w:p>
          <w:p w14:paraId="41991A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式中：Q-------集气罩风量，m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/h；</w:t>
            </w:r>
          </w:p>
          <w:p w14:paraId="47E8C1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1200" w:firstLineChars="500"/>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F-------为罩口面积，m</w:t>
            </w:r>
            <w:r>
              <w:rPr>
                <w:rFonts w:hint="eastAsia" w:cs="Times New Roman"/>
                <w:color w:val="auto"/>
                <w:kern w:val="0"/>
                <w:sz w:val="24"/>
                <w:szCs w:val="24"/>
                <w:vertAlign w:val="superscript"/>
                <w:lang w:val="en-US" w:eastAsia="zh-CN" w:bidi="ar"/>
              </w:rPr>
              <w:t>2</w:t>
            </w:r>
            <w:r>
              <w:rPr>
                <w:rFonts w:hint="eastAsia" w:cs="Times New Roman"/>
                <w:color w:val="auto"/>
                <w:kern w:val="0"/>
                <w:sz w:val="24"/>
                <w:szCs w:val="24"/>
                <w:lang w:val="en-US" w:eastAsia="zh-CN" w:bidi="ar"/>
              </w:rPr>
              <w:t>；</w:t>
            </w:r>
          </w:p>
          <w:p w14:paraId="465EEB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 xml:space="preserve">      Vx------控制点的吸入风速，m/s。（本项目取0.5m/s）</w:t>
            </w:r>
          </w:p>
          <w:p w14:paraId="5BC819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本项目破碎机及制粒机设置集气罩面积为2.2m</w:t>
            </w:r>
            <w:r>
              <w:rPr>
                <w:rFonts w:hint="eastAsia" w:cs="Times New Roman"/>
                <w:color w:val="auto"/>
                <w:kern w:val="0"/>
                <w:sz w:val="24"/>
                <w:szCs w:val="24"/>
                <w:vertAlign w:val="superscript"/>
                <w:lang w:val="en-US" w:eastAsia="zh-CN" w:bidi="ar"/>
              </w:rPr>
              <w:t>2</w:t>
            </w:r>
            <w:r>
              <w:rPr>
                <w:rFonts w:hint="eastAsia" w:cs="Times New Roman"/>
                <w:color w:val="auto"/>
                <w:kern w:val="0"/>
                <w:sz w:val="24"/>
                <w:szCs w:val="24"/>
                <w:lang w:val="en-US" w:eastAsia="zh-CN" w:bidi="ar"/>
              </w:rPr>
              <w:t>，共2个，则设计风量为3960m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/h，粉碎机设置集气罩面积为1.6m</w:t>
            </w:r>
            <w:r>
              <w:rPr>
                <w:rFonts w:hint="eastAsia" w:cs="Times New Roman"/>
                <w:color w:val="auto"/>
                <w:kern w:val="0"/>
                <w:sz w:val="24"/>
                <w:szCs w:val="24"/>
                <w:vertAlign w:val="superscript"/>
                <w:lang w:val="en-US" w:eastAsia="zh-CN" w:bidi="ar"/>
              </w:rPr>
              <w:t>2</w:t>
            </w:r>
            <w:r>
              <w:rPr>
                <w:rFonts w:hint="eastAsia" w:cs="Times New Roman"/>
                <w:color w:val="auto"/>
                <w:kern w:val="0"/>
                <w:sz w:val="24"/>
                <w:szCs w:val="24"/>
                <w:vertAlign w:val="baseline"/>
                <w:lang w:val="en-US" w:eastAsia="zh-CN" w:bidi="ar"/>
              </w:rPr>
              <w:t>，</w:t>
            </w:r>
            <w:r>
              <w:rPr>
                <w:rFonts w:hint="eastAsia" w:cs="Times New Roman"/>
                <w:color w:val="auto"/>
                <w:kern w:val="0"/>
                <w:sz w:val="24"/>
                <w:szCs w:val="24"/>
                <w:lang w:val="en-US" w:eastAsia="zh-CN" w:bidi="ar"/>
              </w:rPr>
              <w:t>则设计风量为2880m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/h，因此，本项目破碎机制粒粉尘设计风量取4000m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/h，粉碎粉尘设计风量取3000m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/h。</w:t>
            </w:r>
          </w:p>
          <w:p w14:paraId="64D190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default" w:cs="Times New Roman"/>
                <w:b/>
                <w:color w:val="auto"/>
                <w:lang w:val="en-US" w:eastAsia="zh-CN"/>
              </w:rPr>
            </w:pPr>
            <w:r>
              <w:rPr>
                <w:rFonts w:hint="eastAsia" w:cs="Times New Roman"/>
                <w:color w:val="auto"/>
                <w:kern w:val="0"/>
                <w:sz w:val="24"/>
                <w:szCs w:val="24"/>
                <w:lang w:val="en-US" w:eastAsia="zh-CN" w:bidi="ar"/>
              </w:rPr>
              <w:t>则破碎</w:t>
            </w:r>
            <w:r>
              <w:rPr>
                <w:rFonts w:hint="default" w:ascii="Times New Roman" w:hAnsi="Times New Roman" w:eastAsia="宋体" w:cs="Times New Roman"/>
                <w:color w:val="auto"/>
                <w:kern w:val="0"/>
                <w:sz w:val="24"/>
                <w:szCs w:val="24"/>
                <w:lang w:val="en-US" w:eastAsia="zh-CN" w:bidi="ar"/>
              </w:rPr>
              <w:t>粉尘有组织排放量为0.043t/a，有组织排放速率为0.018kg/h，有组织排放浓度为</w:t>
            </w:r>
            <w:r>
              <w:rPr>
                <w:rFonts w:hint="eastAsia" w:cs="Times New Roman"/>
                <w:color w:val="auto"/>
                <w:kern w:val="0"/>
                <w:sz w:val="24"/>
                <w:szCs w:val="24"/>
                <w:lang w:val="en-US" w:eastAsia="zh-CN" w:bidi="ar"/>
              </w:rPr>
              <w:t>4.49</w:t>
            </w:r>
            <w:r>
              <w:rPr>
                <w:rFonts w:hint="eastAsia" w:ascii="Times New Roman" w:hAnsi="Times New Roman" w:eastAsia="宋体" w:cs="Times New Roman"/>
                <w:color w:val="auto"/>
                <w:kern w:val="0"/>
                <w:sz w:val="24"/>
                <w:szCs w:val="24"/>
                <w:lang w:val="en-US" w:eastAsia="zh-CN" w:bidi="ar"/>
              </w:rPr>
              <w:t>mg</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，无组织废气排放量为</w:t>
            </w:r>
            <w:r>
              <w:rPr>
                <w:rFonts w:hint="eastAsia" w:ascii="Times New Roman" w:hAnsi="Times New Roman" w:eastAsia="宋体" w:cs="Times New Roman"/>
                <w:color w:val="auto"/>
                <w:kern w:val="0"/>
                <w:sz w:val="24"/>
                <w:szCs w:val="24"/>
                <w:lang w:val="en-US" w:eastAsia="zh-CN" w:bidi="ar"/>
              </w:rPr>
              <w:t>0.239</w:t>
            </w:r>
            <w:r>
              <w:rPr>
                <w:rFonts w:hint="default" w:ascii="Times New Roman" w:hAnsi="Times New Roman" w:eastAsia="宋体" w:cs="Times New Roman"/>
                <w:color w:val="auto"/>
                <w:kern w:val="0"/>
                <w:sz w:val="24"/>
                <w:szCs w:val="24"/>
                <w:lang w:val="en-US" w:eastAsia="zh-CN" w:bidi="ar"/>
              </w:rPr>
              <w:t>t/a，排放速率0.1kg/h。</w:t>
            </w:r>
            <w:r>
              <w:rPr>
                <w:rFonts w:hint="eastAsia" w:cs="Times New Roman"/>
                <w:color w:val="auto"/>
                <w:kern w:val="0"/>
                <w:sz w:val="24"/>
                <w:szCs w:val="24"/>
                <w:lang w:val="en-US" w:eastAsia="zh-CN" w:bidi="ar"/>
              </w:rPr>
              <w:t>粉碎</w:t>
            </w:r>
            <w:r>
              <w:rPr>
                <w:rFonts w:hint="default" w:ascii="Times New Roman" w:hAnsi="Times New Roman" w:eastAsia="宋体" w:cs="Times New Roman"/>
                <w:color w:val="auto"/>
                <w:kern w:val="0"/>
                <w:sz w:val="24"/>
                <w:szCs w:val="24"/>
                <w:lang w:val="en-US" w:eastAsia="zh-CN" w:bidi="ar"/>
              </w:rPr>
              <w:t>粉尘有组织排放量为0.043t/a，有组织排放速率为0.018kg/h，有组织排放浓度为</w:t>
            </w:r>
            <w:r>
              <w:rPr>
                <w:rFonts w:hint="eastAsia" w:ascii="Times New Roman" w:hAnsi="Times New Roman" w:eastAsia="宋体" w:cs="Times New Roman"/>
                <w:color w:val="auto"/>
                <w:kern w:val="0"/>
                <w:sz w:val="24"/>
                <w:szCs w:val="24"/>
                <w:lang w:val="en-US" w:eastAsia="zh-CN" w:bidi="ar"/>
              </w:rPr>
              <w:t>5.98mg</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，无组织废气排放量为</w:t>
            </w:r>
            <w:r>
              <w:rPr>
                <w:rFonts w:hint="eastAsia" w:ascii="Times New Roman" w:hAnsi="Times New Roman" w:eastAsia="宋体" w:cs="Times New Roman"/>
                <w:color w:val="auto"/>
                <w:kern w:val="0"/>
                <w:sz w:val="24"/>
                <w:szCs w:val="24"/>
                <w:lang w:val="en-US" w:eastAsia="zh-CN" w:bidi="ar"/>
              </w:rPr>
              <w:t>0.239</w:t>
            </w:r>
            <w:r>
              <w:rPr>
                <w:rFonts w:hint="default" w:ascii="Times New Roman" w:hAnsi="Times New Roman" w:eastAsia="宋体" w:cs="Times New Roman"/>
                <w:color w:val="auto"/>
                <w:kern w:val="0"/>
                <w:sz w:val="24"/>
                <w:szCs w:val="24"/>
                <w:lang w:val="en-US" w:eastAsia="zh-CN" w:bidi="ar"/>
              </w:rPr>
              <w:t>t/a，排放速率0.1kg/h。</w:t>
            </w:r>
          </w:p>
          <w:p w14:paraId="5BBC76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2" w:firstLineChars="200"/>
              <w:textAlignment w:val="auto"/>
              <w:rPr>
                <w:rFonts w:hint="eastAsia" w:ascii="Times New Roman" w:hAnsi="Times New Roman" w:eastAsia="宋体" w:cs="Times New Roman"/>
                <w:b/>
                <w:color w:val="auto"/>
                <w:lang w:val="en-US" w:eastAsia="zh-CN"/>
              </w:rPr>
            </w:pPr>
            <w:r>
              <w:rPr>
                <w:rFonts w:hint="eastAsia" w:cs="Times New Roman"/>
                <w:b/>
                <w:color w:val="auto"/>
                <w:lang w:val="en-US" w:eastAsia="zh-CN"/>
              </w:rPr>
              <w:t>2</w:t>
            </w:r>
            <w:r>
              <w:rPr>
                <w:rFonts w:hint="eastAsia" w:ascii="Times New Roman" w:hAnsi="Times New Roman" w:eastAsia="宋体" w:cs="Times New Roman"/>
                <w:b/>
                <w:color w:val="auto"/>
                <w:lang w:val="en-US" w:eastAsia="zh-CN"/>
              </w:rPr>
              <w:t>、有机废气</w:t>
            </w:r>
          </w:p>
          <w:p w14:paraId="3A7BE0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w:t>
            </w:r>
            <w:r>
              <w:rPr>
                <w:rFonts w:hint="default" w:ascii="Times New Roman" w:hAnsi="Times New Roman" w:eastAsia="宋体" w:cs="Times New Roman"/>
                <w:color w:val="auto"/>
                <w:sz w:val="24"/>
                <w:szCs w:val="24"/>
                <w:lang w:val="en-US" w:eastAsia="zh-CN"/>
              </w:rPr>
              <w:t>物料输送进</w:t>
            </w:r>
            <w:r>
              <w:rPr>
                <w:rFonts w:hint="eastAsia" w:cs="Times New Roman"/>
                <w:color w:val="auto"/>
                <w:sz w:val="24"/>
                <w:szCs w:val="24"/>
                <w:lang w:val="en-US" w:eastAsia="zh-CN"/>
              </w:rPr>
              <w:t>蒸馏釜</w:t>
            </w:r>
            <w:r>
              <w:rPr>
                <w:rFonts w:hint="default" w:ascii="Times New Roman" w:hAnsi="Times New Roman" w:eastAsia="宋体" w:cs="Times New Roman"/>
                <w:color w:val="auto"/>
                <w:sz w:val="24"/>
                <w:szCs w:val="24"/>
                <w:lang w:val="en-US" w:eastAsia="zh-CN"/>
              </w:rPr>
              <w:t>后，关闭罐顶压力盖，然后向</w:t>
            </w:r>
            <w:r>
              <w:rPr>
                <w:rFonts w:hint="eastAsia" w:cs="Times New Roman"/>
                <w:color w:val="auto"/>
                <w:sz w:val="24"/>
                <w:szCs w:val="24"/>
                <w:lang w:val="en-US" w:eastAsia="zh-CN"/>
              </w:rPr>
              <w:t>蒸馏釜</w:t>
            </w:r>
            <w:r>
              <w:rPr>
                <w:rFonts w:hint="default" w:ascii="Times New Roman" w:hAnsi="Times New Roman" w:eastAsia="宋体" w:cs="Times New Roman"/>
                <w:color w:val="auto"/>
                <w:sz w:val="24"/>
                <w:szCs w:val="24"/>
                <w:lang w:val="en-US" w:eastAsia="zh-CN"/>
              </w:rPr>
              <w:t>内连续缓慢通入蒸汽进行蒸馏，蒸馏过程设备密闭，经过蒸馏后的油水混合物通过</w:t>
            </w:r>
            <w:r>
              <w:rPr>
                <w:rFonts w:hint="eastAsia" w:cs="Times New Roman"/>
                <w:color w:val="auto"/>
                <w:sz w:val="24"/>
                <w:szCs w:val="24"/>
                <w:lang w:val="en-US" w:eastAsia="zh-CN"/>
              </w:rPr>
              <w:t>蒸馏釜</w:t>
            </w:r>
            <w:r>
              <w:rPr>
                <w:rFonts w:hint="default" w:ascii="Times New Roman" w:hAnsi="Times New Roman" w:eastAsia="宋体" w:cs="Times New Roman"/>
                <w:color w:val="auto"/>
                <w:sz w:val="24"/>
                <w:szCs w:val="24"/>
                <w:lang w:val="en-US" w:eastAsia="zh-CN"/>
              </w:rPr>
              <w:t>顶部的冷凝管进入冷凝器中进行冷凝成液态，在油水分离池进行油水分离，此过程中将会挥发一定量的有机废气，</w:t>
            </w:r>
            <w:r>
              <w:rPr>
                <w:rFonts w:hint="default" w:ascii="Times New Roman" w:hAnsi="Times New Roman" w:eastAsia="宋体" w:cs="Times New Roman"/>
                <w:color w:val="auto"/>
                <w:kern w:val="0"/>
                <w:sz w:val="24"/>
                <w:szCs w:val="24"/>
                <w:lang w:val="en-US" w:eastAsia="zh-CN" w:bidi="ar"/>
              </w:rPr>
              <w:t>参考《工业源产排污核算方法和系数手册》中的“2663林产化学品制造行业”，得出挥发性有机物产污系数为0.826kg/吨-产品，本项目香料油的产量为150t/a，有机废气产生量约为0.124t/a，0.052kg/h。</w:t>
            </w:r>
          </w:p>
          <w:p w14:paraId="72C0586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482"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b/>
                <w:bCs/>
                <w:color w:val="auto"/>
                <w:kern w:val="0"/>
                <w:sz w:val="24"/>
                <w:szCs w:val="24"/>
                <w:lang w:val="en-US" w:eastAsia="zh-CN" w:bidi="ar"/>
              </w:rPr>
              <w:t>治理措施：</w:t>
            </w:r>
            <w:r>
              <w:rPr>
                <w:rFonts w:hint="default" w:ascii="Times New Roman" w:hAnsi="Times New Roman" w:eastAsia="宋体" w:cs="Times New Roman"/>
                <w:color w:val="auto"/>
                <w:kern w:val="0"/>
                <w:sz w:val="24"/>
                <w:szCs w:val="24"/>
                <w:lang w:val="en-US" w:eastAsia="zh-CN" w:bidi="ar"/>
              </w:rPr>
              <w:t>根据《四川省固定污染源大气挥发性有机物排放标准》（DB51/2377-2017）中“产生大气挥发性污染物的生产工艺和装置必须设立局部或整体气体收集系统和（或）净化设施，达标排放”的要求，本项目拟在油水分离区上方设置集气罩，收集的废气进入“两级活性炭”装置进行处理后通过15m</w:t>
            </w:r>
            <w:r>
              <w:rPr>
                <w:rFonts w:hint="eastAsia" w:cs="Times New Roman"/>
                <w:color w:val="auto"/>
                <w:kern w:val="0"/>
                <w:sz w:val="24"/>
                <w:szCs w:val="24"/>
                <w:lang w:val="en-US" w:eastAsia="zh-CN" w:bidi="ar"/>
              </w:rPr>
              <w:t>高2#排气筒</w:t>
            </w:r>
            <w:r>
              <w:rPr>
                <w:rFonts w:hint="default" w:ascii="Times New Roman" w:hAnsi="Times New Roman" w:eastAsia="宋体" w:cs="Times New Roman"/>
                <w:color w:val="auto"/>
                <w:kern w:val="0"/>
                <w:sz w:val="24"/>
                <w:szCs w:val="24"/>
                <w:lang w:val="en-US" w:eastAsia="zh-CN" w:bidi="ar"/>
              </w:rPr>
              <w:t>排放，</w:t>
            </w:r>
            <w:r>
              <w:rPr>
                <w:rFonts w:hint="eastAsia" w:ascii="Times New Roman" w:hAnsi="Times New Roman" w:eastAsia="宋体" w:cs="Times New Roman"/>
                <w:color w:val="auto"/>
                <w:kern w:val="0"/>
                <w:sz w:val="24"/>
                <w:szCs w:val="24"/>
                <w:lang w:val="en-US" w:eastAsia="zh-CN" w:bidi="ar"/>
              </w:rPr>
              <w:t>废气</w:t>
            </w:r>
            <w:r>
              <w:rPr>
                <w:rFonts w:hint="default" w:ascii="Times New Roman" w:hAnsi="Times New Roman" w:eastAsia="宋体" w:cs="Times New Roman"/>
                <w:color w:val="auto"/>
                <w:kern w:val="0"/>
                <w:sz w:val="24"/>
                <w:szCs w:val="24"/>
                <w:lang w:val="en-US" w:eastAsia="zh-CN" w:bidi="ar"/>
              </w:rPr>
              <w:t>收集效率90%，去除效率为</w:t>
            </w:r>
            <w:r>
              <w:rPr>
                <w:rFonts w:hint="eastAsia" w:ascii="Times New Roman" w:hAnsi="Times New Roman" w:eastAsia="宋体" w:cs="Times New Roman"/>
                <w:color w:val="auto"/>
                <w:kern w:val="0"/>
                <w:sz w:val="24"/>
                <w:szCs w:val="24"/>
                <w:lang w:val="en-US" w:eastAsia="zh-CN" w:bidi="ar"/>
              </w:rPr>
              <w:t>70</w:t>
            </w:r>
            <w:r>
              <w:rPr>
                <w:rFonts w:hint="default" w:ascii="Times New Roman" w:hAnsi="Times New Roman" w:eastAsia="宋体" w:cs="Times New Roman"/>
                <w:color w:val="auto"/>
                <w:kern w:val="0"/>
                <w:sz w:val="24"/>
                <w:szCs w:val="24"/>
                <w:lang w:val="en-US" w:eastAsia="zh-CN" w:bidi="ar"/>
              </w:rPr>
              <w:t>%。</w:t>
            </w:r>
          </w:p>
          <w:p w14:paraId="372ED0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设计风量参考《废气处理工程技术手册》中集气罩设计原则，按下式计算：</w:t>
            </w:r>
          </w:p>
          <w:p w14:paraId="73FE5B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Q=3600×F×Vx</w:t>
            </w:r>
          </w:p>
          <w:p w14:paraId="3958F3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式中：Q-------集气罩风量，m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/h；</w:t>
            </w:r>
          </w:p>
          <w:p w14:paraId="5E12C5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1200" w:firstLineChars="500"/>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F-------为罩口面积，m</w:t>
            </w:r>
            <w:r>
              <w:rPr>
                <w:rFonts w:hint="eastAsia" w:cs="Times New Roman"/>
                <w:color w:val="auto"/>
                <w:kern w:val="0"/>
                <w:sz w:val="24"/>
                <w:szCs w:val="24"/>
                <w:vertAlign w:val="superscript"/>
                <w:lang w:val="en-US" w:eastAsia="zh-CN" w:bidi="ar"/>
              </w:rPr>
              <w:t>2</w:t>
            </w:r>
            <w:r>
              <w:rPr>
                <w:rFonts w:hint="eastAsia" w:cs="Times New Roman"/>
                <w:color w:val="auto"/>
                <w:kern w:val="0"/>
                <w:sz w:val="24"/>
                <w:szCs w:val="24"/>
                <w:lang w:val="en-US" w:eastAsia="zh-CN" w:bidi="ar"/>
              </w:rPr>
              <w:t>；</w:t>
            </w:r>
          </w:p>
          <w:p w14:paraId="4B97C3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 xml:space="preserve">      Vx------控制点的吸入风速，m/s。（本项目取0.3m/s）</w:t>
            </w:r>
          </w:p>
          <w:p w14:paraId="5F67520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本项目设置集气罩面积为4.8m</w:t>
            </w:r>
            <w:r>
              <w:rPr>
                <w:rFonts w:hint="eastAsia" w:cs="Times New Roman"/>
                <w:color w:val="auto"/>
                <w:kern w:val="0"/>
                <w:sz w:val="24"/>
                <w:szCs w:val="24"/>
                <w:vertAlign w:val="superscript"/>
                <w:lang w:val="en-US" w:eastAsia="zh-CN" w:bidi="ar"/>
              </w:rPr>
              <w:t>2</w:t>
            </w:r>
            <w:r>
              <w:rPr>
                <w:rFonts w:hint="eastAsia" w:cs="Times New Roman"/>
                <w:color w:val="auto"/>
                <w:kern w:val="0"/>
                <w:sz w:val="24"/>
                <w:szCs w:val="24"/>
                <w:lang w:val="en-US" w:eastAsia="zh-CN" w:bidi="ar"/>
              </w:rPr>
              <w:t>，则设计风量为5144m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/h，本项目设计风量取5200m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/h。</w:t>
            </w:r>
          </w:p>
          <w:p w14:paraId="1FC272F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则经两级活性炭处理后废气</w:t>
            </w:r>
            <w:r>
              <w:rPr>
                <w:rFonts w:hint="default" w:ascii="Times New Roman" w:hAnsi="Times New Roman" w:eastAsia="宋体" w:cs="Times New Roman"/>
                <w:color w:val="auto"/>
                <w:kern w:val="0"/>
                <w:sz w:val="24"/>
                <w:szCs w:val="24"/>
                <w:lang w:val="en-US" w:eastAsia="zh-CN" w:bidi="ar"/>
              </w:rPr>
              <w:t>，有组织排放量为</w:t>
            </w:r>
            <w:r>
              <w:rPr>
                <w:rFonts w:hint="eastAsia" w:ascii="Times New Roman" w:hAnsi="Times New Roman" w:eastAsia="宋体" w:cs="Times New Roman"/>
                <w:color w:val="auto"/>
                <w:kern w:val="0"/>
                <w:sz w:val="24"/>
                <w:szCs w:val="24"/>
                <w:lang w:val="en-US" w:eastAsia="zh-CN" w:bidi="ar"/>
              </w:rPr>
              <w:t>0.034</w:t>
            </w:r>
            <w:r>
              <w:rPr>
                <w:rFonts w:hint="default" w:ascii="Times New Roman" w:hAnsi="Times New Roman" w:eastAsia="宋体" w:cs="Times New Roman"/>
                <w:color w:val="auto"/>
                <w:kern w:val="0"/>
                <w:sz w:val="24"/>
                <w:szCs w:val="24"/>
                <w:lang w:val="en-US" w:eastAsia="zh-CN" w:bidi="ar"/>
              </w:rPr>
              <w:t>t/a，有组织排放速率为0.0</w:t>
            </w:r>
            <w:r>
              <w:rPr>
                <w:rFonts w:hint="eastAsia" w:ascii="Times New Roman" w:hAnsi="Times New Roman" w:eastAsia="宋体" w:cs="Times New Roman"/>
                <w:color w:val="auto"/>
                <w:kern w:val="0"/>
                <w:sz w:val="24"/>
                <w:szCs w:val="24"/>
                <w:lang w:val="en-US" w:eastAsia="zh-CN" w:bidi="ar"/>
              </w:rPr>
              <w:t>14</w:t>
            </w:r>
            <w:r>
              <w:rPr>
                <w:rFonts w:hint="default" w:ascii="Times New Roman" w:hAnsi="Times New Roman" w:eastAsia="宋体" w:cs="Times New Roman"/>
                <w:color w:val="auto"/>
                <w:kern w:val="0"/>
                <w:sz w:val="24"/>
                <w:szCs w:val="24"/>
                <w:lang w:val="en-US" w:eastAsia="zh-CN" w:bidi="ar"/>
              </w:rPr>
              <w:t>kg/h，有组织排放浓度为</w:t>
            </w:r>
            <w:r>
              <w:rPr>
                <w:rFonts w:hint="eastAsia" w:cs="Times New Roman"/>
                <w:color w:val="auto"/>
                <w:kern w:val="0"/>
                <w:sz w:val="24"/>
                <w:szCs w:val="24"/>
                <w:lang w:val="en-US" w:eastAsia="zh-CN" w:bidi="ar"/>
              </w:rPr>
              <w:t>2.68</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，无组织废气排放量为0.</w:t>
            </w:r>
            <w:r>
              <w:rPr>
                <w:rFonts w:hint="eastAsia" w:ascii="Times New Roman" w:hAnsi="Times New Roman" w:eastAsia="宋体" w:cs="Times New Roman"/>
                <w:color w:val="auto"/>
                <w:kern w:val="0"/>
                <w:sz w:val="24"/>
                <w:szCs w:val="24"/>
                <w:lang w:val="en-US" w:eastAsia="zh-CN" w:bidi="ar"/>
              </w:rPr>
              <w:t>012</w:t>
            </w:r>
            <w:r>
              <w:rPr>
                <w:rFonts w:hint="default" w:ascii="Times New Roman" w:hAnsi="Times New Roman" w:eastAsia="宋体" w:cs="Times New Roman"/>
                <w:color w:val="auto"/>
                <w:kern w:val="0"/>
                <w:sz w:val="24"/>
                <w:szCs w:val="24"/>
                <w:lang w:val="en-US" w:eastAsia="zh-CN" w:bidi="ar"/>
              </w:rPr>
              <w:t>t/a，排放速率0.</w:t>
            </w:r>
            <w:r>
              <w:rPr>
                <w:rFonts w:hint="eastAsia" w:ascii="Times New Roman" w:hAnsi="Times New Roman" w:eastAsia="宋体" w:cs="Times New Roman"/>
                <w:color w:val="auto"/>
                <w:kern w:val="0"/>
                <w:sz w:val="24"/>
                <w:szCs w:val="24"/>
                <w:lang w:val="en-US" w:eastAsia="zh-CN" w:bidi="ar"/>
              </w:rPr>
              <w:t>005</w:t>
            </w:r>
            <w:r>
              <w:rPr>
                <w:rFonts w:hint="default" w:ascii="Times New Roman" w:hAnsi="Times New Roman" w:eastAsia="宋体" w:cs="Times New Roman"/>
                <w:color w:val="auto"/>
                <w:kern w:val="0"/>
                <w:sz w:val="24"/>
                <w:szCs w:val="24"/>
                <w:lang w:val="en-US" w:eastAsia="zh-CN" w:bidi="ar"/>
              </w:rPr>
              <w:t>kg/h。满足《四川省固定污染源大气挥发性有机物排放标准》（DB51/2377-2017）中的排放限值（有组织排放15m高排气筒：VOCs：60mg/m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，3.4kg/h）的要求，可以确保达标排放。</w:t>
            </w:r>
          </w:p>
          <w:p w14:paraId="6B2B94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2" w:firstLineChars="200"/>
              <w:jc w:val="left"/>
              <w:textAlignment w:val="auto"/>
              <w:rPr>
                <w:rFonts w:hint="default" w:ascii="Times New Roman" w:hAnsi="Times New Roman" w:cs="Times New Roman"/>
                <w:color w:val="auto"/>
              </w:rPr>
            </w:pPr>
            <w:r>
              <w:rPr>
                <w:rFonts w:hint="eastAsia" w:ascii="宋体" w:hAnsi="宋体" w:eastAsia="宋体" w:cs="宋体"/>
                <w:b/>
                <w:bCs/>
                <w:color w:val="auto"/>
                <w:kern w:val="0"/>
                <w:sz w:val="24"/>
                <w:szCs w:val="24"/>
                <w:lang w:val="en-US" w:eastAsia="zh-CN" w:bidi="ar"/>
              </w:rPr>
              <w:t>活性炭工作原理：</w:t>
            </w:r>
          </w:p>
          <w:p w14:paraId="5DC139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cs="Times New Roman"/>
                <w:color w:val="auto"/>
              </w:rPr>
            </w:pPr>
            <w:r>
              <w:rPr>
                <w:rFonts w:hint="eastAsia" w:ascii="宋体" w:hAnsi="宋体" w:eastAsia="宋体" w:cs="宋体"/>
                <w:color w:val="auto"/>
                <w:kern w:val="0"/>
                <w:sz w:val="24"/>
                <w:szCs w:val="24"/>
                <w:lang w:val="en-US" w:eastAsia="zh-CN" w:bidi="ar"/>
              </w:rPr>
              <w:t>废气经</w:t>
            </w:r>
            <w:r>
              <w:rPr>
                <w:rFonts w:hint="eastAsia" w:ascii="Times New Roman" w:hAnsi="Times New Roman" w:eastAsia="宋体" w:cs="Times New Roman"/>
                <w:color w:val="auto"/>
                <w:kern w:val="0"/>
                <w:sz w:val="24"/>
                <w:szCs w:val="24"/>
                <w:lang w:val="en-US" w:eastAsia="zh-CN" w:bidi="ar"/>
              </w:rPr>
              <w:t>收集后</w:t>
            </w:r>
            <w:r>
              <w:rPr>
                <w:rFonts w:hint="eastAsia" w:ascii="宋体" w:hAnsi="宋体" w:eastAsia="宋体" w:cs="宋体"/>
                <w:color w:val="auto"/>
                <w:kern w:val="0"/>
                <w:sz w:val="24"/>
                <w:szCs w:val="24"/>
                <w:lang w:val="en-US" w:eastAsia="zh-CN" w:bidi="ar"/>
              </w:rPr>
              <w:t>进入两级活性炭吸附净化箱。活性炭吸附法是利用活性炭作为吸附剂，把气体中的有害物质成分在活性炭庞大的固相表面进行吸附浓缩，从而达到净化废气目的的方法。它拥有处理效率高，投资较小等优点，尤其适用于间歇式小批量生产。活性炭净化箱分进风、活性炭过滤段和出风段组成，有机废气从进风口进入箱体，净化后的达标气体在通风机吸力下排向大气。</w:t>
            </w:r>
          </w:p>
          <w:p w14:paraId="05B403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2" w:firstLineChars="200"/>
              <w:textAlignment w:val="auto"/>
              <w:rPr>
                <w:rFonts w:hint="eastAsia" w:cs="Times New Roman"/>
                <w:b/>
                <w:color w:val="auto"/>
                <w:lang w:val="en-US" w:eastAsia="zh-CN"/>
              </w:rPr>
            </w:pPr>
            <w:r>
              <w:rPr>
                <w:rFonts w:hint="eastAsia" w:cs="Times New Roman"/>
                <w:b/>
                <w:color w:val="auto"/>
                <w:lang w:val="en-US" w:eastAsia="zh-CN"/>
              </w:rPr>
              <w:t>3</w:t>
            </w:r>
            <w:r>
              <w:rPr>
                <w:rFonts w:hint="eastAsia" w:ascii="Times New Roman" w:hAnsi="Times New Roman" w:eastAsia="宋体" w:cs="Times New Roman"/>
                <w:b/>
                <w:color w:val="auto"/>
                <w:lang w:val="en-US" w:eastAsia="zh-CN"/>
              </w:rPr>
              <w:t>、</w:t>
            </w:r>
            <w:r>
              <w:rPr>
                <w:rFonts w:hint="eastAsia" w:cs="Times New Roman"/>
                <w:b/>
                <w:color w:val="auto"/>
                <w:lang w:val="en-US" w:eastAsia="zh-CN"/>
              </w:rPr>
              <w:t>生物质颗粒制粒粉尘</w:t>
            </w:r>
          </w:p>
          <w:p w14:paraId="264018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cs="Times New Roman"/>
                <w:color w:val="auto"/>
              </w:rPr>
            </w:pPr>
            <w:r>
              <w:rPr>
                <w:rFonts w:hint="eastAsia" w:ascii="Times New Roman" w:hAnsi="Times New Roman" w:cs="Times New Roman"/>
                <w:bCs/>
                <w:color w:val="auto"/>
              </w:rPr>
              <w:t>从蒸馏器底部出料后放置在</w:t>
            </w:r>
            <w:r>
              <w:rPr>
                <w:rFonts w:hint="eastAsia" w:cs="Times New Roman"/>
                <w:bCs/>
                <w:color w:val="auto"/>
                <w:lang w:eastAsia="zh-CN"/>
              </w:rPr>
              <w:t>生物质制粒机</w:t>
            </w:r>
            <w:r>
              <w:rPr>
                <w:rFonts w:hint="eastAsia" w:ascii="Times New Roman" w:hAnsi="Times New Roman" w:cs="Times New Roman"/>
                <w:bCs/>
                <w:color w:val="auto"/>
              </w:rPr>
              <w:t>盘的托盘上，在</w:t>
            </w:r>
            <w:r>
              <w:rPr>
                <w:rFonts w:hint="eastAsia" w:cs="Times New Roman"/>
                <w:bCs/>
                <w:color w:val="auto"/>
                <w:lang w:val="en-US" w:eastAsia="zh-CN"/>
              </w:rPr>
              <w:t>木屑堆放区</w:t>
            </w:r>
            <w:r>
              <w:rPr>
                <w:rFonts w:hint="eastAsia" w:ascii="Times New Roman" w:hAnsi="Times New Roman" w:cs="Times New Roman"/>
                <w:bCs/>
                <w:color w:val="auto"/>
              </w:rPr>
              <w:t>进行冷却降温至室温，然后进入</w:t>
            </w:r>
            <w:r>
              <w:rPr>
                <w:rFonts w:hint="eastAsia" w:cs="Times New Roman"/>
                <w:bCs/>
                <w:color w:val="auto"/>
                <w:lang w:eastAsia="zh-CN"/>
              </w:rPr>
              <w:t>生物质制粒机</w:t>
            </w:r>
            <w:r>
              <w:rPr>
                <w:rFonts w:hint="eastAsia" w:ascii="Times New Roman" w:hAnsi="Times New Roman" w:cs="Times New Roman"/>
                <w:bCs/>
                <w:color w:val="auto"/>
              </w:rPr>
              <w:t>内制成生物质颗粒。</w:t>
            </w:r>
            <w:r>
              <w:rPr>
                <w:rFonts w:hint="eastAsia" w:cs="Times New Roman"/>
                <w:color w:val="auto"/>
                <w:lang w:val="en-US" w:eastAsia="zh-CN"/>
              </w:rPr>
              <w:t>项目蒸馏废渣自然晾干过程主要挥发成分为水蒸气，晾干时间较短，且物料含水率相对较高，产生粉尘量较少，在室内自然沉降，无组织排放。生物质颗粒制粒参照</w:t>
            </w:r>
            <w:r>
              <w:rPr>
                <w:rFonts w:hint="default" w:ascii="Times New Roman" w:hAnsi="Times New Roman" w:eastAsia="宋体" w:cs="Times New Roman"/>
                <w:color w:val="auto"/>
                <w:kern w:val="0"/>
                <w:sz w:val="24"/>
                <w:szCs w:val="24"/>
                <w:lang w:val="en-US" w:eastAsia="zh-CN" w:bidi="ar"/>
              </w:rPr>
              <w:t>《工业源产排污核算方法和系数手册》中的</w:t>
            </w:r>
            <w:r>
              <w:rPr>
                <w:rFonts w:hint="eastAsia" w:cs="Times New Roman"/>
                <w:color w:val="auto"/>
                <w:kern w:val="0"/>
                <w:sz w:val="24"/>
                <w:szCs w:val="24"/>
                <w:lang w:val="en-US" w:eastAsia="zh-CN" w:bidi="ar"/>
              </w:rPr>
              <w:t>“</w:t>
            </w:r>
            <w:r>
              <w:rPr>
                <w:rFonts w:hint="eastAsia" w:cs="Times New Roman"/>
                <w:color w:val="auto"/>
                <w:lang w:val="en-US" w:eastAsia="zh-CN"/>
              </w:rPr>
              <w:t>2542 生物质致密成型燃料加工行业系数表</w:t>
            </w:r>
            <w:r>
              <w:rPr>
                <w:rFonts w:hint="eastAsia" w:cs="Times New Roman"/>
                <w:color w:val="auto"/>
                <w:kern w:val="0"/>
                <w:sz w:val="24"/>
                <w:szCs w:val="24"/>
                <w:lang w:val="en-US" w:eastAsia="zh-CN" w:bidi="ar"/>
              </w:rPr>
              <w:t>”，其剪切、破碎、筛分、造粒工序颗粒物产排污系数为6.69</w:t>
            </w:r>
            <w:r>
              <w:rPr>
                <w:rFonts w:hint="eastAsia" w:ascii="Times New Roman" w:hAnsi="Times New Roman" w:cs="Times New Roman"/>
                <w:bCs/>
                <w:color w:val="auto"/>
              </w:rPr>
              <w:t>×</w:t>
            </w:r>
            <w:r>
              <w:rPr>
                <w:rFonts w:hint="eastAsia" w:cs="Times New Roman"/>
                <w:bCs/>
                <w:color w:val="auto"/>
                <w:lang w:val="en-US" w:eastAsia="zh-CN"/>
              </w:rPr>
              <w:t>10</w:t>
            </w:r>
            <w:r>
              <w:rPr>
                <w:rFonts w:hint="eastAsia" w:cs="Times New Roman"/>
                <w:bCs/>
                <w:color w:val="auto"/>
                <w:vertAlign w:val="superscript"/>
                <w:lang w:val="en-US" w:eastAsia="zh-CN"/>
              </w:rPr>
              <w:t>-4</w:t>
            </w:r>
            <w:r>
              <w:rPr>
                <w:rFonts w:hint="eastAsia" w:cs="Times New Roman"/>
                <w:bCs/>
                <w:color w:val="auto"/>
                <w:vertAlign w:val="baseline"/>
                <w:lang w:val="en-US" w:eastAsia="zh-CN"/>
              </w:rPr>
              <w:t>吨/吨-产品，本项目仅进行造粒工序，以产排污系数的25%计，则根据计算</w:t>
            </w:r>
            <w:r>
              <w:rPr>
                <w:rFonts w:hint="default" w:ascii="Times New Roman" w:hAnsi="Times New Roman" w:eastAsia="宋体" w:cs="Times New Roman"/>
                <w:color w:val="auto"/>
                <w:kern w:val="0"/>
                <w:sz w:val="24"/>
                <w:szCs w:val="24"/>
                <w:lang w:val="en-US" w:eastAsia="zh-CN" w:bidi="ar"/>
              </w:rPr>
              <w:t>粉尘</w:t>
            </w:r>
            <w:r>
              <w:rPr>
                <w:rFonts w:hint="eastAsia" w:cs="Times New Roman"/>
                <w:color w:val="auto"/>
                <w:kern w:val="0"/>
                <w:sz w:val="24"/>
                <w:szCs w:val="24"/>
                <w:lang w:val="en-US" w:eastAsia="zh-CN" w:bidi="ar"/>
              </w:rPr>
              <w:t>产生</w:t>
            </w:r>
            <w:r>
              <w:rPr>
                <w:rFonts w:hint="default" w:ascii="Times New Roman" w:hAnsi="Times New Roman" w:eastAsia="宋体" w:cs="Times New Roman"/>
                <w:color w:val="auto"/>
                <w:kern w:val="0"/>
                <w:sz w:val="24"/>
                <w:szCs w:val="24"/>
                <w:lang w:val="en-US" w:eastAsia="zh-CN" w:bidi="ar"/>
              </w:rPr>
              <w:t>量共计为</w:t>
            </w:r>
            <w:r>
              <w:rPr>
                <w:rFonts w:hint="eastAsia" w:cs="Times New Roman"/>
                <w:color w:val="auto"/>
                <w:kern w:val="0"/>
                <w:sz w:val="24"/>
                <w:szCs w:val="24"/>
                <w:lang w:val="en-US" w:eastAsia="zh-CN" w:bidi="ar"/>
              </w:rPr>
              <w:t>0.753</w:t>
            </w:r>
            <w:r>
              <w:rPr>
                <w:rFonts w:hint="default" w:ascii="Times New Roman" w:hAnsi="Times New Roman" w:eastAsia="宋体" w:cs="Times New Roman"/>
                <w:color w:val="auto"/>
                <w:kern w:val="0"/>
                <w:sz w:val="24"/>
                <w:szCs w:val="24"/>
                <w:lang w:val="en-US" w:eastAsia="zh-CN" w:bidi="ar"/>
              </w:rPr>
              <w:t>t/a</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产生速率为</w:t>
            </w:r>
            <w:r>
              <w:rPr>
                <w:rFonts w:hint="eastAsia" w:ascii="Times New Roman" w:hAnsi="Times New Roman" w:eastAsia="宋体" w:cs="Times New Roman"/>
                <w:color w:val="auto"/>
                <w:kern w:val="0"/>
                <w:sz w:val="24"/>
                <w:szCs w:val="24"/>
                <w:lang w:val="en-US" w:eastAsia="zh-CN" w:bidi="ar"/>
              </w:rPr>
              <w:t>0.</w:t>
            </w:r>
            <w:r>
              <w:rPr>
                <w:rFonts w:hint="eastAsia" w:cs="Times New Roman"/>
                <w:color w:val="auto"/>
                <w:kern w:val="0"/>
                <w:sz w:val="24"/>
                <w:szCs w:val="24"/>
                <w:lang w:val="en-US" w:eastAsia="zh-CN" w:bidi="ar"/>
              </w:rPr>
              <w:t>314</w:t>
            </w:r>
            <w:r>
              <w:rPr>
                <w:rFonts w:hint="default" w:ascii="Times New Roman" w:hAnsi="Times New Roman" w:eastAsia="宋体" w:cs="Times New Roman"/>
                <w:color w:val="auto"/>
                <w:kern w:val="0"/>
                <w:sz w:val="24"/>
                <w:szCs w:val="24"/>
                <w:lang w:val="en-US" w:eastAsia="zh-CN" w:bidi="ar"/>
              </w:rPr>
              <w:t>kg/h。</w:t>
            </w:r>
          </w:p>
          <w:p w14:paraId="4E1E5C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2" w:firstLineChars="200"/>
              <w:textAlignment w:val="auto"/>
              <w:rPr>
                <w:rFonts w:hint="default" w:eastAsia="宋体" w:cs="Times New Roman"/>
                <w:color w:val="auto"/>
                <w:vertAlign w:val="baseline"/>
                <w:lang w:val="en-US" w:eastAsia="zh-CN"/>
              </w:rPr>
            </w:pPr>
            <w:r>
              <w:rPr>
                <w:rFonts w:hint="default" w:ascii="Times New Roman" w:hAnsi="Times New Roman" w:eastAsia="宋体" w:cs="Times New Roman"/>
                <w:b/>
                <w:bCs/>
                <w:color w:val="auto"/>
                <w:kern w:val="0"/>
                <w:sz w:val="24"/>
                <w:szCs w:val="24"/>
                <w:lang w:val="en-US" w:eastAsia="zh-CN" w:bidi="ar"/>
              </w:rPr>
              <w:t>治理措施</w:t>
            </w:r>
            <w:r>
              <w:rPr>
                <w:rFonts w:hint="default" w:ascii="Times New Roman" w:hAnsi="Times New Roman" w:eastAsia="宋体" w:cs="Times New Roman"/>
                <w:color w:val="auto"/>
                <w:kern w:val="0"/>
                <w:sz w:val="24"/>
                <w:szCs w:val="24"/>
                <w:lang w:val="en-US" w:eastAsia="zh-CN" w:bidi="ar"/>
              </w:rPr>
              <w:t>：项目</w:t>
            </w:r>
            <w:r>
              <w:rPr>
                <w:rFonts w:hint="eastAsia" w:cs="Times New Roman"/>
                <w:color w:val="auto"/>
                <w:kern w:val="0"/>
                <w:sz w:val="24"/>
                <w:szCs w:val="24"/>
                <w:lang w:val="en-US" w:eastAsia="zh-CN" w:bidi="ar"/>
              </w:rPr>
              <w:t>制粒机上方设置集气罩</w:t>
            </w:r>
            <w:r>
              <w:rPr>
                <w:rFonts w:hint="default" w:ascii="Times New Roman" w:hAnsi="Times New Roman" w:eastAsia="宋体" w:cs="Times New Roman"/>
                <w:color w:val="auto"/>
                <w:kern w:val="0"/>
                <w:sz w:val="24"/>
                <w:szCs w:val="24"/>
                <w:lang w:val="en-US" w:eastAsia="zh-CN" w:bidi="ar"/>
              </w:rPr>
              <w:t>，废气经收集</w:t>
            </w:r>
            <w:r>
              <w:rPr>
                <w:rFonts w:hint="eastAsia" w:cs="Times New Roman"/>
                <w:color w:val="auto"/>
                <w:kern w:val="0"/>
                <w:sz w:val="24"/>
                <w:szCs w:val="24"/>
                <w:lang w:val="en-US" w:eastAsia="zh-CN" w:bidi="ar"/>
              </w:rPr>
              <w:t>后引入破碎机处</w:t>
            </w:r>
            <w:r>
              <w:rPr>
                <w:rFonts w:hint="default" w:ascii="Times New Roman" w:hAnsi="Times New Roman" w:eastAsia="宋体" w:cs="Times New Roman"/>
                <w:color w:val="auto"/>
                <w:kern w:val="0"/>
                <w:sz w:val="24"/>
                <w:szCs w:val="24"/>
                <w:lang w:val="en-US" w:eastAsia="zh-CN" w:bidi="ar"/>
              </w:rPr>
              <w:t>布袋除尘器处理后通过15m高</w:t>
            </w:r>
            <w:r>
              <w:rPr>
                <w:rFonts w:hint="eastAsia" w:cs="Times New Roman"/>
                <w:color w:val="auto"/>
                <w:kern w:val="0"/>
                <w:sz w:val="24"/>
                <w:szCs w:val="24"/>
                <w:lang w:val="en-US" w:eastAsia="zh-CN" w:bidi="ar"/>
              </w:rPr>
              <w:t>1#排气筒</w:t>
            </w:r>
            <w:r>
              <w:rPr>
                <w:rFonts w:hint="default" w:ascii="Times New Roman" w:hAnsi="Times New Roman" w:eastAsia="宋体" w:cs="Times New Roman"/>
                <w:color w:val="auto"/>
                <w:kern w:val="0"/>
                <w:sz w:val="24"/>
                <w:szCs w:val="24"/>
                <w:lang w:val="en-US" w:eastAsia="zh-CN" w:bidi="ar"/>
              </w:rPr>
              <w:t>排放。</w:t>
            </w:r>
            <w:r>
              <w:rPr>
                <w:rFonts w:hint="eastAsia" w:cs="Times New Roman"/>
                <w:color w:val="auto"/>
                <w:kern w:val="0"/>
                <w:sz w:val="24"/>
                <w:szCs w:val="24"/>
                <w:lang w:val="en-US" w:eastAsia="zh-CN" w:bidi="ar"/>
              </w:rPr>
              <w:t>集气罩</w:t>
            </w:r>
            <w:r>
              <w:rPr>
                <w:rFonts w:hint="default" w:ascii="Times New Roman" w:hAnsi="Times New Roman" w:eastAsia="宋体" w:cs="Times New Roman"/>
                <w:color w:val="auto"/>
                <w:kern w:val="0"/>
                <w:sz w:val="24"/>
                <w:szCs w:val="24"/>
                <w:lang w:val="en-US" w:eastAsia="zh-CN" w:bidi="ar"/>
              </w:rPr>
              <w:t>的收集效率90%，布袋除尘器去除效率为98%，风机风量为</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/h。经集气罩收集、布袋除尘器处理后粉尘有组织排放量为0.0</w:t>
            </w:r>
            <w:r>
              <w:rPr>
                <w:rFonts w:hint="eastAsia" w:cs="Times New Roman"/>
                <w:color w:val="auto"/>
                <w:kern w:val="0"/>
                <w:sz w:val="24"/>
                <w:szCs w:val="24"/>
                <w:lang w:val="en-US" w:eastAsia="zh-CN" w:bidi="ar"/>
              </w:rPr>
              <w:t>14</w:t>
            </w:r>
            <w:r>
              <w:rPr>
                <w:rFonts w:hint="default" w:ascii="Times New Roman" w:hAnsi="Times New Roman" w:eastAsia="宋体" w:cs="Times New Roman"/>
                <w:color w:val="auto"/>
                <w:kern w:val="0"/>
                <w:sz w:val="24"/>
                <w:szCs w:val="24"/>
                <w:lang w:val="en-US" w:eastAsia="zh-CN" w:bidi="ar"/>
              </w:rPr>
              <w:t>t/a，有组织排放速率为0.0</w:t>
            </w:r>
            <w:r>
              <w:rPr>
                <w:rFonts w:hint="eastAsia" w:cs="Times New Roman"/>
                <w:color w:val="auto"/>
                <w:kern w:val="0"/>
                <w:sz w:val="24"/>
                <w:szCs w:val="24"/>
                <w:lang w:val="en-US" w:eastAsia="zh-CN" w:bidi="ar"/>
              </w:rPr>
              <w:t>06</w:t>
            </w:r>
            <w:r>
              <w:rPr>
                <w:rFonts w:hint="default" w:ascii="Times New Roman" w:hAnsi="Times New Roman" w:eastAsia="宋体" w:cs="Times New Roman"/>
                <w:color w:val="auto"/>
                <w:kern w:val="0"/>
                <w:sz w:val="24"/>
                <w:szCs w:val="24"/>
                <w:lang w:val="en-US" w:eastAsia="zh-CN" w:bidi="ar"/>
              </w:rPr>
              <w:t>kg/h，有组织排放浓度为</w:t>
            </w:r>
            <w:r>
              <w:rPr>
                <w:rFonts w:hint="eastAsia" w:cs="Times New Roman"/>
                <w:color w:val="auto"/>
                <w:kern w:val="0"/>
                <w:sz w:val="24"/>
                <w:szCs w:val="24"/>
                <w:lang w:val="en-US" w:eastAsia="zh-CN" w:bidi="ar"/>
              </w:rPr>
              <w:t>1.41</w:t>
            </w:r>
            <w:r>
              <w:rPr>
                <w:rFonts w:hint="eastAsia" w:ascii="Times New Roman" w:hAnsi="Times New Roman" w:eastAsia="宋体" w:cs="Times New Roman"/>
                <w:color w:val="auto"/>
                <w:kern w:val="0"/>
                <w:sz w:val="24"/>
                <w:szCs w:val="24"/>
                <w:lang w:val="en-US" w:eastAsia="zh-CN" w:bidi="ar"/>
              </w:rPr>
              <w:t>mg</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，无组织废气排放量为</w:t>
            </w:r>
            <w:r>
              <w:rPr>
                <w:rFonts w:hint="eastAsia" w:ascii="Times New Roman" w:hAnsi="Times New Roman" w:eastAsia="宋体" w:cs="Times New Roman"/>
                <w:color w:val="auto"/>
                <w:kern w:val="0"/>
                <w:sz w:val="24"/>
                <w:szCs w:val="24"/>
                <w:lang w:val="en-US" w:eastAsia="zh-CN" w:bidi="ar"/>
              </w:rPr>
              <w:t>0.</w:t>
            </w:r>
            <w:r>
              <w:rPr>
                <w:rFonts w:hint="eastAsia" w:cs="Times New Roman"/>
                <w:color w:val="auto"/>
                <w:kern w:val="0"/>
                <w:sz w:val="24"/>
                <w:szCs w:val="24"/>
                <w:lang w:val="en-US" w:eastAsia="zh-CN" w:bidi="ar"/>
              </w:rPr>
              <w:t>075</w:t>
            </w:r>
            <w:r>
              <w:rPr>
                <w:rFonts w:hint="default" w:ascii="Times New Roman" w:hAnsi="Times New Roman" w:eastAsia="宋体" w:cs="Times New Roman"/>
                <w:color w:val="auto"/>
                <w:kern w:val="0"/>
                <w:sz w:val="24"/>
                <w:szCs w:val="24"/>
                <w:lang w:val="en-US" w:eastAsia="zh-CN" w:bidi="ar"/>
              </w:rPr>
              <w:t>t/a，排放速率0.</w:t>
            </w:r>
            <w:r>
              <w:rPr>
                <w:rFonts w:hint="eastAsia" w:cs="Times New Roman"/>
                <w:color w:val="auto"/>
                <w:kern w:val="0"/>
                <w:sz w:val="24"/>
                <w:szCs w:val="24"/>
                <w:lang w:val="en-US" w:eastAsia="zh-CN" w:bidi="ar"/>
              </w:rPr>
              <w:t>031</w:t>
            </w:r>
            <w:r>
              <w:rPr>
                <w:rFonts w:hint="default" w:ascii="Times New Roman" w:hAnsi="Times New Roman" w:eastAsia="宋体" w:cs="Times New Roman"/>
                <w:color w:val="auto"/>
                <w:kern w:val="0"/>
                <w:sz w:val="24"/>
                <w:szCs w:val="24"/>
                <w:lang w:val="en-US" w:eastAsia="zh-CN" w:bidi="ar"/>
              </w:rPr>
              <w:t>kg/h。</w:t>
            </w:r>
          </w:p>
          <w:p w14:paraId="7179C4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default" w:cs="Times New Roman"/>
                <w:color w:val="auto"/>
                <w:lang w:val="en-US" w:eastAsia="zh-CN"/>
              </w:rPr>
            </w:pPr>
            <w:r>
              <w:rPr>
                <w:rFonts w:hint="eastAsia" w:cs="Times New Roman"/>
                <w:color w:val="auto"/>
                <w:lang w:val="en-US" w:eastAsia="zh-CN"/>
              </w:rPr>
              <w:t>则破碎、制粒粉尘DA001排气筒合计</w:t>
            </w:r>
            <w:r>
              <w:rPr>
                <w:rFonts w:hint="default" w:ascii="Times New Roman" w:hAnsi="Times New Roman" w:eastAsia="宋体" w:cs="Times New Roman"/>
                <w:color w:val="auto"/>
                <w:kern w:val="0"/>
                <w:sz w:val="24"/>
                <w:szCs w:val="24"/>
                <w:lang w:val="en-US" w:eastAsia="zh-CN" w:bidi="ar"/>
              </w:rPr>
              <w:t>排放量为0.0</w:t>
            </w:r>
            <w:r>
              <w:rPr>
                <w:rFonts w:hint="eastAsia" w:cs="Times New Roman"/>
                <w:color w:val="auto"/>
                <w:kern w:val="0"/>
                <w:sz w:val="24"/>
                <w:szCs w:val="24"/>
                <w:lang w:val="en-US" w:eastAsia="zh-CN" w:bidi="ar"/>
              </w:rPr>
              <w:t>57</w:t>
            </w:r>
            <w:r>
              <w:rPr>
                <w:rFonts w:hint="default" w:ascii="Times New Roman" w:hAnsi="Times New Roman" w:eastAsia="宋体" w:cs="Times New Roman"/>
                <w:color w:val="auto"/>
                <w:kern w:val="0"/>
                <w:sz w:val="24"/>
                <w:szCs w:val="24"/>
                <w:lang w:val="en-US" w:eastAsia="zh-CN" w:bidi="ar"/>
              </w:rPr>
              <w:t>t/a，有组织排放速率为0.0</w:t>
            </w:r>
            <w:r>
              <w:rPr>
                <w:rFonts w:hint="eastAsia" w:cs="Times New Roman"/>
                <w:color w:val="auto"/>
                <w:kern w:val="0"/>
                <w:sz w:val="24"/>
                <w:szCs w:val="24"/>
                <w:lang w:val="en-US" w:eastAsia="zh-CN" w:bidi="ar"/>
              </w:rPr>
              <w:t>24</w:t>
            </w:r>
            <w:r>
              <w:rPr>
                <w:rFonts w:hint="default" w:ascii="Times New Roman" w:hAnsi="Times New Roman" w:eastAsia="宋体" w:cs="Times New Roman"/>
                <w:color w:val="auto"/>
                <w:kern w:val="0"/>
                <w:sz w:val="24"/>
                <w:szCs w:val="24"/>
                <w:lang w:val="en-US" w:eastAsia="zh-CN" w:bidi="ar"/>
              </w:rPr>
              <w:t>kg/h，有组织排放浓度为</w:t>
            </w:r>
            <w:r>
              <w:rPr>
                <w:rFonts w:hint="eastAsia" w:cs="Times New Roman"/>
                <w:color w:val="auto"/>
                <w:kern w:val="0"/>
                <w:sz w:val="24"/>
                <w:szCs w:val="24"/>
                <w:lang w:val="en-US" w:eastAsia="zh-CN" w:bidi="ar"/>
              </w:rPr>
              <w:t>5.9</w:t>
            </w:r>
            <w:r>
              <w:rPr>
                <w:rFonts w:hint="eastAsia" w:ascii="Times New Roman" w:hAnsi="Times New Roman" w:eastAsia="宋体" w:cs="Times New Roman"/>
                <w:color w:val="auto"/>
                <w:kern w:val="0"/>
                <w:sz w:val="24"/>
                <w:szCs w:val="24"/>
                <w:lang w:val="en-US" w:eastAsia="zh-CN" w:bidi="ar"/>
              </w:rPr>
              <w:t>mg</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w:t>
            </w:r>
          </w:p>
          <w:p w14:paraId="15E3FD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2" w:firstLineChars="200"/>
              <w:textAlignment w:val="auto"/>
              <w:rPr>
                <w:rFonts w:hint="default" w:ascii="Times New Roman" w:hAnsi="Times New Roman" w:eastAsia="宋体" w:cs="Times New Roman"/>
                <w:b/>
                <w:color w:val="auto"/>
              </w:rPr>
            </w:pPr>
            <w:r>
              <w:rPr>
                <w:rFonts w:hint="eastAsia" w:cs="Times New Roman"/>
                <w:b/>
                <w:color w:val="auto"/>
                <w:lang w:val="en-US" w:eastAsia="zh-CN"/>
              </w:rPr>
              <w:t>4、</w:t>
            </w:r>
            <w:r>
              <w:rPr>
                <w:rFonts w:hint="eastAsia" w:ascii="Times New Roman" w:hAnsi="Times New Roman" w:eastAsia="宋体" w:cs="Times New Roman"/>
                <w:b/>
                <w:color w:val="auto"/>
                <w:lang w:val="en-US" w:eastAsia="zh-CN"/>
              </w:rPr>
              <w:t>锅炉燃烧</w:t>
            </w:r>
            <w:r>
              <w:rPr>
                <w:rFonts w:hint="default" w:ascii="Times New Roman" w:hAnsi="Times New Roman" w:eastAsia="宋体" w:cs="Times New Roman"/>
                <w:b/>
                <w:color w:val="auto"/>
                <w:lang w:val="en-US" w:eastAsia="zh-CN"/>
              </w:rPr>
              <w:t>废气</w:t>
            </w:r>
          </w:p>
          <w:p w14:paraId="474CAE55">
            <w:pPr>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本项目设有锅炉房，设置</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台8</w:t>
            </w:r>
            <w:r>
              <w:rPr>
                <w:rFonts w:hint="default" w:ascii="Times New Roman" w:hAnsi="Times New Roman" w:eastAsia="宋体" w:cs="Times New Roman"/>
                <w:color w:val="auto"/>
                <w:lang w:val="en-US" w:eastAsia="zh-CN"/>
              </w:rPr>
              <w:t>t/h</w:t>
            </w:r>
            <w:r>
              <w:rPr>
                <w:rFonts w:hint="eastAsia" w:ascii="Times New Roman" w:hAnsi="Times New Roman" w:eastAsia="宋体" w:cs="Times New Roman"/>
                <w:color w:val="auto"/>
                <w:lang w:val="en-US" w:eastAsia="zh-CN"/>
              </w:rPr>
              <w:t>的燃生物质燃料锅炉，根据项目生产能力，锅炉不满负荷运行，所需供</w:t>
            </w:r>
            <w:r>
              <w:rPr>
                <w:rFonts w:hint="eastAsia" w:cs="Times New Roman"/>
                <w:color w:val="auto"/>
                <w:lang w:val="en-US" w:eastAsia="zh-CN"/>
              </w:rPr>
              <w:t>蒸汽</w:t>
            </w:r>
            <w:r>
              <w:rPr>
                <w:rFonts w:hint="eastAsia" w:ascii="Times New Roman" w:hAnsi="Times New Roman" w:eastAsia="宋体" w:cs="Times New Roman"/>
                <w:color w:val="auto"/>
                <w:lang w:val="en-US" w:eastAsia="zh-CN"/>
              </w:rPr>
              <w:t>规模为5t/h</w:t>
            </w:r>
            <w:r>
              <w:rPr>
                <w:rFonts w:hint="eastAsia" w:cs="Times New Roman"/>
                <w:color w:val="auto"/>
                <w:lang w:val="en-US" w:eastAsia="zh-CN"/>
              </w:rPr>
              <w:t>。本环评以最不利情况考虑，以锅炉满负荷运行计算其产排污</w:t>
            </w:r>
            <w:r>
              <w:rPr>
                <w:rFonts w:hint="eastAsia" w:ascii="Times New Roman" w:hAnsi="Times New Roman" w:eastAsia="宋体" w:cs="Times New Roman"/>
                <w:color w:val="auto"/>
                <w:lang w:val="en-US" w:eastAsia="zh-CN"/>
              </w:rPr>
              <w:t>。</w:t>
            </w:r>
          </w:p>
          <w:p w14:paraId="25FF7ADF">
            <w:pPr>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根据锅炉厂家提供资料，</w:t>
            </w:r>
            <w:r>
              <w:rPr>
                <w:rFonts w:hint="eastAsia" w:cs="Times New Roman"/>
                <w:color w:val="auto"/>
                <w:lang w:val="en-US" w:eastAsia="zh-CN"/>
              </w:rPr>
              <w:t>该供蒸汽规模下</w:t>
            </w:r>
            <w:r>
              <w:rPr>
                <w:rFonts w:hint="eastAsia" w:ascii="Times New Roman" w:hAnsi="Times New Roman" w:eastAsia="宋体" w:cs="Times New Roman"/>
                <w:color w:val="auto"/>
                <w:lang w:val="en-US" w:eastAsia="zh-CN"/>
              </w:rPr>
              <w:t>锅炉生物质</w:t>
            </w:r>
            <w:r>
              <w:rPr>
                <w:rFonts w:hint="eastAsia" w:cs="Times New Roman"/>
                <w:color w:val="auto"/>
                <w:lang w:val="en-US" w:eastAsia="zh-CN"/>
              </w:rPr>
              <w:t>燃料</w:t>
            </w:r>
            <w:r>
              <w:rPr>
                <w:rFonts w:hint="eastAsia" w:ascii="Times New Roman" w:hAnsi="Times New Roman" w:eastAsia="宋体" w:cs="Times New Roman"/>
                <w:color w:val="auto"/>
                <w:lang w:val="en-US" w:eastAsia="zh-CN"/>
              </w:rPr>
              <w:t>用量为</w:t>
            </w:r>
            <w:r>
              <w:rPr>
                <w:rFonts w:hint="eastAsia" w:cs="Times New Roman"/>
                <w:color w:val="auto"/>
                <w:lang w:val="en-US" w:eastAsia="zh-CN"/>
              </w:rPr>
              <w:t>8</w:t>
            </w:r>
            <w:r>
              <w:rPr>
                <w:rFonts w:hint="eastAsia" w:ascii="Times New Roman" w:hAnsi="Times New Roman" w:eastAsia="宋体" w:cs="Times New Roman"/>
                <w:color w:val="auto"/>
                <w:lang w:val="en-US" w:eastAsia="zh-CN"/>
              </w:rPr>
              <w:t>50kg</w:t>
            </w:r>
            <w:r>
              <w:rPr>
                <w:rFonts w:hint="eastAsia" w:cs="Times New Roman"/>
                <w:color w:val="auto"/>
                <w:lang w:val="en-US" w:eastAsia="zh-CN"/>
              </w:rPr>
              <w:t>/h</w:t>
            </w:r>
            <w:r>
              <w:rPr>
                <w:rFonts w:hint="eastAsia" w:ascii="Times New Roman" w:hAnsi="Times New Roman" w:eastAsia="宋体" w:cs="Times New Roman"/>
                <w:color w:val="auto"/>
                <w:lang w:val="en-US" w:eastAsia="zh-CN"/>
              </w:rPr>
              <w:t>，每天工作时间8h，则项目生物质锅炉燃料使用量为</w:t>
            </w:r>
            <w:r>
              <w:rPr>
                <w:rFonts w:hint="eastAsia" w:cs="Times New Roman"/>
                <w:color w:val="auto"/>
                <w:lang w:val="en-US" w:eastAsia="zh-CN"/>
              </w:rPr>
              <w:t>6.8</w:t>
            </w:r>
            <w:r>
              <w:rPr>
                <w:rFonts w:hint="eastAsia" w:ascii="Times New Roman" w:hAnsi="Times New Roman" w:eastAsia="宋体" w:cs="Times New Roman"/>
                <w:color w:val="auto"/>
                <w:lang w:val="en-US" w:eastAsia="zh-CN"/>
              </w:rPr>
              <w:t>t/d，</w:t>
            </w:r>
            <w:r>
              <w:rPr>
                <w:rFonts w:hint="eastAsia" w:cs="Times New Roman"/>
                <w:color w:val="auto"/>
                <w:lang w:val="en-US" w:eastAsia="zh-CN"/>
              </w:rPr>
              <w:t>2040</w:t>
            </w:r>
            <w:r>
              <w:rPr>
                <w:rFonts w:hint="eastAsia" w:ascii="Times New Roman" w:hAnsi="Times New Roman" w:eastAsia="宋体" w:cs="Times New Roman"/>
                <w:color w:val="auto"/>
                <w:lang w:val="en-US" w:eastAsia="zh-CN"/>
              </w:rPr>
              <w:t>t/a。</w:t>
            </w:r>
            <w:r>
              <w:rPr>
                <w:rFonts w:hint="eastAsia" w:cs="Times New Roman"/>
                <w:color w:val="auto"/>
                <w:lang w:val="en-US" w:eastAsia="zh-CN"/>
              </w:rPr>
              <w:t>锅炉外层采用保温材料，非工作时间依托炉内残留温度及保温材料进行保温。</w:t>
            </w:r>
          </w:p>
          <w:p w14:paraId="27835150">
            <w:pPr>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根据《工业源产排污核算方法和系数手册》中</w:t>
            </w:r>
            <w:r>
              <w:rPr>
                <w:rFonts w:hint="default" w:ascii="Times New Roman" w:hAnsi="Times New Roman" w:eastAsia="宋体" w:cs="Times New Roman"/>
                <w:color w:val="auto"/>
                <w:lang w:val="en-US" w:eastAsia="zh-CN"/>
              </w:rPr>
              <w:t>“4430</w:t>
            </w:r>
            <w:r>
              <w:rPr>
                <w:rFonts w:hint="eastAsia" w:ascii="Times New Roman" w:hAnsi="Times New Roman" w:eastAsia="宋体" w:cs="Times New Roman"/>
                <w:color w:val="auto"/>
                <w:lang w:val="en-US" w:eastAsia="zh-CN"/>
              </w:rPr>
              <w:t>工业锅炉（热力生产和供应行业）产排污系数表</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生物质工业锅炉</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确定，废气量取6240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吨</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原料，二氧化硫为17S</w:t>
            </w:r>
            <w:r>
              <w:rPr>
                <w:rFonts w:hint="default" w:ascii="Times New Roman" w:hAnsi="Times New Roman" w:eastAsia="宋体" w:cs="Times New Roman"/>
                <w:color w:val="auto"/>
                <w:lang w:val="en-US" w:eastAsia="zh-CN"/>
              </w:rPr>
              <w:t>kg/</w:t>
            </w:r>
            <w:r>
              <w:rPr>
                <w:rFonts w:hint="eastAsia" w:ascii="Times New Roman" w:hAnsi="Times New Roman" w:eastAsia="宋体" w:cs="Times New Roman"/>
                <w:color w:val="auto"/>
                <w:lang w:val="en-US" w:eastAsia="zh-CN"/>
              </w:rPr>
              <w:t>吨</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原料（</w:t>
            </w:r>
            <w:r>
              <w:rPr>
                <w:rFonts w:hint="default" w:ascii="Times New Roman" w:hAnsi="Times New Roman" w:eastAsia="宋体" w:cs="Times New Roman"/>
                <w:color w:val="auto"/>
                <w:lang w:val="en-US" w:eastAsia="zh-CN"/>
              </w:rPr>
              <w:t>S</w:t>
            </w:r>
            <w:r>
              <w:rPr>
                <w:rFonts w:hint="eastAsia" w:ascii="Times New Roman" w:hAnsi="Times New Roman" w:eastAsia="宋体" w:cs="Times New Roman"/>
                <w:color w:val="auto"/>
                <w:lang w:val="en-US" w:eastAsia="zh-CN"/>
              </w:rPr>
              <w:t>指含硫量，</w:t>
            </w:r>
            <w:r>
              <w:rPr>
                <w:rFonts w:hint="eastAsia" w:cs="Times New Roman"/>
                <w:color w:val="auto"/>
                <w:lang w:val="en-US" w:eastAsia="zh-CN"/>
              </w:rPr>
              <w:t>木质</w:t>
            </w:r>
            <w:r>
              <w:rPr>
                <w:rFonts w:hint="eastAsia" w:ascii="Times New Roman" w:hAnsi="Times New Roman" w:eastAsia="宋体" w:cs="Times New Roman"/>
                <w:color w:val="auto"/>
                <w:lang w:val="en-US" w:eastAsia="zh-CN"/>
              </w:rPr>
              <w:t>生物质颗粒含硫量约为0.02%），颗粒物为37.6</w:t>
            </w:r>
            <w:r>
              <w:rPr>
                <w:rFonts w:hint="default" w:ascii="Times New Roman" w:hAnsi="Times New Roman" w:eastAsia="宋体" w:cs="Times New Roman"/>
                <w:color w:val="auto"/>
                <w:lang w:val="en-US" w:eastAsia="zh-CN"/>
              </w:rPr>
              <w:t>kg/</w:t>
            </w:r>
            <w:r>
              <w:rPr>
                <w:rFonts w:hint="eastAsia" w:ascii="Times New Roman" w:hAnsi="Times New Roman" w:eastAsia="宋体" w:cs="Times New Roman"/>
                <w:color w:val="auto"/>
                <w:lang w:val="en-US" w:eastAsia="zh-CN"/>
              </w:rPr>
              <w:t>吨</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原料，氮氧化物为1.02</w:t>
            </w:r>
            <w:r>
              <w:rPr>
                <w:rFonts w:hint="default" w:ascii="Times New Roman" w:hAnsi="Times New Roman" w:eastAsia="宋体" w:cs="Times New Roman"/>
                <w:color w:val="auto"/>
                <w:lang w:val="en-US" w:eastAsia="zh-CN"/>
              </w:rPr>
              <w:t>kg/</w:t>
            </w:r>
            <w:r>
              <w:rPr>
                <w:rFonts w:hint="eastAsia" w:ascii="Times New Roman" w:hAnsi="Times New Roman" w:eastAsia="宋体" w:cs="Times New Roman"/>
                <w:color w:val="auto"/>
                <w:lang w:val="en-US" w:eastAsia="zh-CN"/>
              </w:rPr>
              <w:t>吨</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原料。</w:t>
            </w:r>
          </w:p>
          <w:p w14:paraId="2119FF30">
            <w:pPr>
              <w:keepNext w:val="0"/>
              <w:keepLines w:val="0"/>
              <w:suppressLineNumbers w:val="0"/>
              <w:spacing w:before="0" w:beforeAutospacing="0" w:after="0" w:afterAutospacing="0"/>
              <w:ind w:left="0" w:right="0" w:firstLine="482"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b/>
                <w:bCs/>
                <w:color w:val="auto"/>
                <w:lang w:val="en-US" w:eastAsia="zh-CN"/>
              </w:rPr>
              <w:t>治理措施：</w:t>
            </w:r>
            <w:r>
              <w:rPr>
                <w:rFonts w:hint="eastAsia" w:ascii="Times New Roman" w:hAnsi="Times New Roman" w:eastAsia="宋体" w:cs="Times New Roman"/>
                <w:b w:val="0"/>
                <w:bCs w:val="0"/>
                <w:color w:val="auto"/>
                <w:lang w:val="en-US" w:eastAsia="zh-CN"/>
              </w:rPr>
              <w:t>项目锅炉采用低氮燃烧，废气经</w:t>
            </w:r>
            <w:r>
              <w:rPr>
                <w:rFonts w:hint="eastAsia" w:cs="Times New Roman"/>
                <w:b w:val="0"/>
                <w:bCs w:val="0"/>
                <w:color w:val="auto"/>
                <w:lang w:val="en-US" w:eastAsia="zh-CN"/>
              </w:rPr>
              <w:t>多管旋风+布袋除尘器</w:t>
            </w:r>
            <w:r>
              <w:rPr>
                <w:rFonts w:hint="eastAsia" w:ascii="Times New Roman" w:hAnsi="Times New Roman" w:eastAsia="宋体" w:cs="Times New Roman"/>
                <w:b w:val="0"/>
                <w:bCs w:val="0"/>
                <w:color w:val="auto"/>
                <w:lang w:val="en-US" w:eastAsia="zh-CN"/>
              </w:rPr>
              <w:t>处理后15m</w:t>
            </w:r>
            <w:r>
              <w:rPr>
                <w:rFonts w:hint="eastAsia" w:cs="Times New Roman"/>
                <w:b w:val="0"/>
                <w:bCs w:val="0"/>
                <w:color w:val="auto"/>
                <w:lang w:val="en-US" w:eastAsia="zh-CN"/>
              </w:rPr>
              <w:t>高3#排气筒</w:t>
            </w:r>
            <w:r>
              <w:rPr>
                <w:rFonts w:hint="eastAsia" w:ascii="Times New Roman" w:hAnsi="Times New Roman" w:eastAsia="宋体" w:cs="Times New Roman"/>
                <w:b w:val="0"/>
                <w:bCs w:val="0"/>
                <w:color w:val="auto"/>
                <w:lang w:val="en-US" w:eastAsia="zh-CN"/>
              </w:rPr>
              <w:t>排放。烟尘处理效率99.</w:t>
            </w:r>
            <w:r>
              <w:rPr>
                <w:rFonts w:hint="eastAsia" w:cs="Times New Roman"/>
                <w:b w:val="0"/>
                <w:bCs w:val="0"/>
                <w:color w:val="auto"/>
                <w:lang w:val="en-US" w:eastAsia="zh-CN"/>
              </w:rPr>
              <w:t>6</w:t>
            </w:r>
            <w:r>
              <w:rPr>
                <w:rFonts w:hint="eastAsia" w:ascii="Times New Roman" w:hAnsi="Times New Roman" w:eastAsia="宋体" w:cs="Times New Roman"/>
                <w:b w:val="0"/>
                <w:bCs w:val="0"/>
                <w:color w:val="auto"/>
                <w:lang w:val="en-US" w:eastAsia="zh-CN"/>
              </w:rPr>
              <w:t>%，NOx处理效率15%。</w:t>
            </w:r>
            <w:r>
              <w:rPr>
                <w:rFonts w:hint="eastAsia" w:ascii="Times New Roman" w:hAnsi="Times New Roman" w:eastAsia="宋体" w:cs="Times New Roman"/>
                <w:color w:val="auto"/>
                <w:lang w:val="en-US" w:eastAsia="zh-CN"/>
              </w:rPr>
              <w:t>则本项目生物质锅炉燃烧废气污染物产生及排放情况如下。</w:t>
            </w:r>
          </w:p>
          <w:p w14:paraId="7BAA1AD6">
            <w:pPr>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color w:val="auto"/>
                <w:lang w:val="en-US" w:eastAsia="zh-CN"/>
              </w:rPr>
            </w:pPr>
          </w:p>
          <w:p w14:paraId="0266DE72">
            <w:pPr>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color w:val="auto"/>
                <w:lang w:val="en-US" w:eastAsia="zh-CN"/>
              </w:rPr>
            </w:pPr>
          </w:p>
          <w:p w14:paraId="561093FC">
            <w:pPr>
              <w:keepNext w:val="0"/>
              <w:keepLines w:val="0"/>
              <w:suppressLineNumbers w:val="0"/>
              <w:spacing w:before="0" w:beforeAutospacing="0" w:after="0" w:afterAutospacing="0" w:line="360" w:lineRule="auto"/>
              <w:ind w:left="0" w:right="0" w:firstLine="48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4-6</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eastAsia="zh-CN"/>
              </w:rPr>
              <w:t>燃烧废气</w:t>
            </w:r>
            <w:r>
              <w:rPr>
                <w:rFonts w:hint="eastAsia" w:ascii="Times New Roman" w:hAnsi="Times New Roman" w:eastAsia="宋体" w:cs="Times New Roman"/>
                <w:b/>
                <w:bCs/>
                <w:color w:val="auto"/>
                <w:sz w:val="21"/>
                <w:szCs w:val="21"/>
                <w:lang w:val="en-US" w:eastAsia="zh-CN"/>
              </w:rPr>
              <w:t>污染物产生及</w:t>
            </w:r>
            <w:r>
              <w:rPr>
                <w:rFonts w:hint="eastAsia" w:ascii="Times New Roman" w:hAnsi="Times New Roman" w:eastAsia="宋体" w:cs="Times New Roman"/>
                <w:b/>
                <w:bCs/>
                <w:color w:val="auto"/>
                <w:sz w:val="21"/>
                <w:szCs w:val="21"/>
                <w:lang w:eastAsia="zh-CN"/>
              </w:rPr>
              <w:t>排放情况</w:t>
            </w:r>
          </w:p>
          <w:tbl>
            <w:tblPr>
              <w:tblStyle w:val="28"/>
              <w:tblW w:w="86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73"/>
              <w:gridCol w:w="767"/>
              <w:gridCol w:w="799"/>
              <w:gridCol w:w="965"/>
              <w:gridCol w:w="821"/>
              <w:gridCol w:w="641"/>
              <w:gridCol w:w="769"/>
              <w:gridCol w:w="705"/>
              <w:gridCol w:w="731"/>
              <w:gridCol w:w="731"/>
              <w:gridCol w:w="731"/>
            </w:tblGrid>
            <w:tr w14:paraId="07AD1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0" w:hRule="atLeast"/>
                <w:jc w:val="center"/>
              </w:trPr>
              <w:tc>
                <w:tcPr>
                  <w:tcW w:w="973" w:type="dxa"/>
                  <w:tcBorders>
                    <w:tl2br w:val="nil"/>
                    <w:tr2bl w:val="nil"/>
                  </w:tcBorders>
                  <w:noWrap w:val="0"/>
                  <w:vAlign w:val="center"/>
                </w:tcPr>
                <w:p w14:paraId="4CE8D8C0">
                  <w:pPr>
                    <w:pStyle w:val="98"/>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生物质颗粒</w:t>
                  </w:r>
                  <w:r>
                    <w:rPr>
                      <w:rFonts w:hint="default" w:ascii="Times New Roman" w:hAnsi="Times New Roman" w:cs="Times New Roman"/>
                      <w:b w:val="0"/>
                      <w:bCs w:val="0"/>
                      <w:color w:val="auto"/>
                      <w:sz w:val="21"/>
                      <w:szCs w:val="21"/>
                      <w:lang w:eastAsia="zh-CN"/>
                    </w:rPr>
                    <w:t>用量</w:t>
                  </w:r>
                </w:p>
              </w:tc>
              <w:tc>
                <w:tcPr>
                  <w:tcW w:w="767" w:type="dxa"/>
                  <w:tcBorders>
                    <w:tl2br w:val="nil"/>
                    <w:tr2bl w:val="nil"/>
                  </w:tcBorders>
                  <w:noWrap w:val="0"/>
                  <w:vAlign w:val="center"/>
                </w:tcPr>
                <w:p w14:paraId="294DFF48">
                  <w:pPr>
                    <w:pStyle w:val="98"/>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污染物</w:t>
                  </w:r>
                </w:p>
              </w:tc>
              <w:tc>
                <w:tcPr>
                  <w:tcW w:w="799" w:type="dxa"/>
                  <w:tcBorders>
                    <w:tl2br w:val="nil"/>
                    <w:tr2bl w:val="nil"/>
                  </w:tcBorders>
                  <w:noWrap w:val="0"/>
                  <w:vAlign w:val="center"/>
                </w:tcPr>
                <w:p w14:paraId="07ECF64D">
                  <w:pPr>
                    <w:pStyle w:val="98"/>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产排污系数</w:t>
                  </w:r>
                </w:p>
              </w:tc>
              <w:tc>
                <w:tcPr>
                  <w:tcW w:w="965" w:type="dxa"/>
                  <w:tcBorders>
                    <w:tl2br w:val="nil"/>
                    <w:tr2bl w:val="nil"/>
                  </w:tcBorders>
                  <w:noWrap w:val="0"/>
                  <w:vAlign w:val="center"/>
                </w:tcPr>
                <w:p w14:paraId="5E7A03D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lang w:eastAsia="zh-CN"/>
                    </w:rPr>
                  </w:pPr>
                  <w:r>
                    <w:rPr>
                      <w:rStyle w:val="99"/>
                      <w:rFonts w:hint="default" w:ascii="Times New Roman" w:hAnsi="Times New Roman" w:cs="Times New Roman"/>
                      <w:b w:val="0"/>
                      <w:bCs w:val="0"/>
                      <w:color w:val="auto"/>
                      <w:lang w:val="en-US" w:eastAsia="zh-CN" w:bidi="ar"/>
                    </w:rPr>
                    <w:t>风量（m</w:t>
                  </w:r>
                  <w:r>
                    <w:rPr>
                      <w:rStyle w:val="99"/>
                      <w:rFonts w:hint="default" w:ascii="Times New Roman" w:hAnsi="Times New Roman" w:cs="Times New Roman"/>
                      <w:b w:val="0"/>
                      <w:bCs w:val="0"/>
                      <w:color w:val="auto"/>
                      <w:vertAlign w:val="superscript"/>
                      <w:lang w:val="en-US" w:eastAsia="zh-CN" w:bidi="ar"/>
                    </w:rPr>
                    <w:t>3</w:t>
                  </w:r>
                  <w:r>
                    <w:rPr>
                      <w:rStyle w:val="99"/>
                      <w:rFonts w:hint="default" w:ascii="Times New Roman" w:hAnsi="Times New Roman" w:cs="Times New Roman"/>
                      <w:b w:val="0"/>
                      <w:bCs w:val="0"/>
                      <w:color w:val="auto"/>
                      <w:vertAlign w:val="baseline"/>
                      <w:lang w:val="en-US" w:eastAsia="zh-CN" w:bidi="ar"/>
                    </w:rPr>
                    <w:t>/h</w:t>
                  </w:r>
                  <w:r>
                    <w:rPr>
                      <w:rStyle w:val="99"/>
                      <w:rFonts w:hint="default" w:ascii="Times New Roman" w:hAnsi="Times New Roman" w:cs="Times New Roman"/>
                      <w:b w:val="0"/>
                      <w:bCs w:val="0"/>
                      <w:color w:val="auto"/>
                      <w:lang w:val="en-US" w:eastAsia="zh-CN" w:bidi="ar"/>
                    </w:rPr>
                    <w:t>）</w:t>
                  </w:r>
                </w:p>
              </w:tc>
              <w:tc>
                <w:tcPr>
                  <w:tcW w:w="821" w:type="dxa"/>
                  <w:tcBorders>
                    <w:tl2br w:val="nil"/>
                    <w:tr2bl w:val="nil"/>
                  </w:tcBorders>
                  <w:noWrap w:val="0"/>
                  <w:vAlign w:val="center"/>
                </w:tcPr>
                <w:p w14:paraId="721AD17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lang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产生量</w:t>
                  </w:r>
                </w:p>
              </w:tc>
              <w:tc>
                <w:tcPr>
                  <w:tcW w:w="641" w:type="dxa"/>
                  <w:tcBorders>
                    <w:tl2br w:val="nil"/>
                    <w:tr2bl w:val="nil"/>
                  </w:tcBorders>
                  <w:noWrap w:val="0"/>
                  <w:vAlign w:val="center"/>
                </w:tcPr>
                <w:p w14:paraId="450DBFF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lang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产生速率</w:t>
                  </w:r>
                </w:p>
              </w:tc>
              <w:tc>
                <w:tcPr>
                  <w:tcW w:w="769" w:type="dxa"/>
                  <w:tcBorders>
                    <w:tl2br w:val="nil"/>
                    <w:tr2bl w:val="nil"/>
                  </w:tcBorders>
                  <w:noWrap w:val="0"/>
                  <w:vAlign w:val="center"/>
                </w:tcPr>
                <w:p w14:paraId="5C02EAF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产生浓度</w:t>
                  </w:r>
                </w:p>
              </w:tc>
              <w:tc>
                <w:tcPr>
                  <w:tcW w:w="705" w:type="dxa"/>
                  <w:tcBorders>
                    <w:tl2br w:val="nil"/>
                    <w:tr2bl w:val="nil"/>
                  </w:tcBorders>
                  <w:noWrap w:val="0"/>
                  <w:vAlign w:val="center"/>
                </w:tcPr>
                <w:p w14:paraId="7C4BBC7E">
                  <w:pPr>
                    <w:pStyle w:val="98"/>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处理效率</w:t>
                  </w:r>
                </w:p>
              </w:tc>
              <w:tc>
                <w:tcPr>
                  <w:tcW w:w="731" w:type="dxa"/>
                  <w:tcBorders>
                    <w:tl2br w:val="nil"/>
                    <w:tr2bl w:val="nil"/>
                  </w:tcBorders>
                  <w:noWrap w:val="0"/>
                  <w:vAlign w:val="center"/>
                </w:tcPr>
                <w:p w14:paraId="1DA8354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lang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排放量</w:t>
                  </w:r>
                </w:p>
              </w:tc>
              <w:tc>
                <w:tcPr>
                  <w:tcW w:w="731" w:type="dxa"/>
                  <w:tcBorders>
                    <w:tl2br w:val="nil"/>
                    <w:tr2bl w:val="nil"/>
                  </w:tcBorders>
                  <w:noWrap w:val="0"/>
                  <w:vAlign w:val="center"/>
                </w:tcPr>
                <w:p w14:paraId="2E74467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lang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排放速率</w:t>
                  </w:r>
                </w:p>
              </w:tc>
              <w:tc>
                <w:tcPr>
                  <w:tcW w:w="731" w:type="dxa"/>
                  <w:tcBorders>
                    <w:tl2br w:val="nil"/>
                    <w:tr2bl w:val="nil"/>
                  </w:tcBorders>
                  <w:noWrap w:val="0"/>
                  <w:vAlign w:val="center"/>
                </w:tcPr>
                <w:p w14:paraId="4CE49D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lang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排放浓度</w:t>
                  </w:r>
                </w:p>
              </w:tc>
            </w:tr>
            <w:tr w14:paraId="30467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4" w:hRule="exact"/>
                <w:jc w:val="center"/>
              </w:trPr>
              <w:tc>
                <w:tcPr>
                  <w:tcW w:w="973" w:type="dxa"/>
                  <w:vMerge w:val="restart"/>
                  <w:tcBorders>
                    <w:tl2br w:val="nil"/>
                    <w:tr2bl w:val="nil"/>
                  </w:tcBorders>
                  <w:noWrap w:val="0"/>
                  <w:vAlign w:val="center"/>
                </w:tcPr>
                <w:p w14:paraId="6316AA6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2040</w:t>
                  </w:r>
                  <w:r>
                    <w:rPr>
                      <w:rFonts w:hint="default" w:ascii="Times New Roman" w:hAnsi="Times New Roman" w:eastAsia="宋体" w:cs="Times New Roman"/>
                      <w:i w:val="0"/>
                      <w:iCs w:val="0"/>
                      <w:color w:val="auto"/>
                      <w:kern w:val="0"/>
                      <w:sz w:val="21"/>
                      <w:szCs w:val="21"/>
                      <w:u w:val="none"/>
                      <w:lang w:val="en-US" w:eastAsia="zh-CN" w:bidi="ar"/>
                    </w:rPr>
                    <w:t>t</w:t>
                  </w:r>
                </w:p>
              </w:tc>
              <w:tc>
                <w:tcPr>
                  <w:tcW w:w="767" w:type="dxa"/>
                  <w:tcBorders>
                    <w:tl2br w:val="nil"/>
                    <w:tr2bl w:val="nil"/>
                  </w:tcBorders>
                  <w:noWrap w:val="0"/>
                  <w:vAlign w:val="center"/>
                </w:tcPr>
                <w:p w14:paraId="022C696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烟尘</w:t>
                  </w:r>
                </w:p>
              </w:tc>
              <w:tc>
                <w:tcPr>
                  <w:tcW w:w="799" w:type="dxa"/>
                  <w:tcBorders>
                    <w:tl2br w:val="nil"/>
                    <w:tr2bl w:val="nil"/>
                  </w:tcBorders>
                  <w:noWrap w:val="0"/>
                  <w:vAlign w:val="center"/>
                </w:tcPr>
                <w:p w14:paraId="7E5BF7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965" w:type="dxa"/>
                  <w:tcBorders>
                    <w:tl2br w:val="nil"/>
                    <w:tr2bl w:val="nil"/>
                  </w:tcBorders>
                  <w:noWrap w:val="0"/>
                  <w:vAlign w:val="center"/>
                </w:tcPr>
                <w:p w14:paraId="539B484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3432</w:t>
                  </w:r>
                </w:p>
              </w:tc>
              <w:tc>
                <w:tcPr>
                  <w:tcW w:w="821" w:type="dxa"/>
                  <w:tcBorders>
                    <w:tl2br w:val="nil"/>
                    <w:tr2bl w:val="nil"/>
                  </w:tcBorders>
                  <w:noWrap w:val="0"/>
                  <w:vAlign w:val="center"/>
                </w:tcPr>
                <w:p w14:paraId="6B87199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76.704</w:t>
                  </w:r>
                </w:p>
              </w:tc>
              <w:tc>
                <w:tcPr>
                  <w:tcW w:w="641" w:type="dxa"/>
                  <w:tcBorders>
                    <w:tl2br w:val="nil"/>
                    <w:tr2bl w:val="nil"/>
                  </w:tcBorders>
                  <w:noWrap w:val="0"/>
                  <w:vAlign w:val="center"/>
                </w:tcPr>
                <w:p w14:paraId="104CD7C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31.96</w:t>
                  </w:r>
                </w:p>
              </w:tc>
              <w:tc>
                <w:tcPr>
                  <w:tcW w:w="769" w:type="dxa"/>
                  <w:tcBorders>
                    <w:tl2br w:val="nil"/>
                    <w:tr2bl w:val="nil"/>
                  </w:tcBorders>
                  <w:noWrap w:val="0"/>
                  <w:vAlign w:val="center"/>
                </w:tcPr>
                <w:p w14:paraId="6445E4F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6025.64 </w:t>
                  </w:r>
                </w:p>
              </w:tc>
              <w:tc>
                <w:tcPr>
                  <w:tcW w:w="705" w:type="dxa"/>
                  <w:tcBorders>
                    <w:tl2br w:val="nil"/>
                    <w:tr2bl w:val="nil"/>
                  </w:tcBorders>
                  <w:noWrap w:val="0"/>
                  <w:vAlign w:val="center"/>
                </w:tcPr>
                <w:p w14:paraId="68F00A2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0.99</w:t>
                  </w:r>
                  <w:r>
                    <w:rPr>
                      <w:rFonts w:hint="eastAsia" w:ascii="Times New Roman" w:hAnsi="Times New Roman" w:eastAsia="宋体" w:cs="Times New Roman"/>
                      <w:i w:val="0"/>
                      <w:iCs w:val="0"/>
                      <w:color w:val="auto"/>
                      <w:kern w:val="0"/>
                      <w:sz w:val="21"/>
                      <w:szCs w:val="21"/>
                      <w:u w:val="none"/>
                      <w:lang w:val="en-US" w:eastAsia="zh-CN" w:bidi="ar"/>
                    </w:rPr>
                    <w:t>6</w:t>
                  </w:r>
                </w:p>
              </w:tc>
              <w:tc>
                <w:tcPr>
                  <w:tcW w:w="731" w:type="dxa"/>
                  <w:tcBorders>
                    <w:tl2br w:val="nil"/>
                    <w:tr2bl w:val="nil"/>
                  </w:tcBorders>
                  <w:noWrap w:val="0"/>
                  <w:vAlign w:val="center"/>
                </w:tcPr>
                <w:p w14:paraId="25EEB7D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0.307 </w:t>
                  </w:r>
                </w:p>
              </w:tc>
              <w:tc>
                <w:tcPr>
                  <w:tcW w:w="731" w:type="dxa"/>
                  <w:tcBorders>
                    <w:tl2br w:val="nil"/>
                    <w:tr2bl w:val="nil"/>
                  </w:tcBorders>
                  <w:noWrap w:val="0"/>
                  <w:vAlign w:val="center"/>
                </w:tcPr>
                <w:p w14:paraId="6AE1C2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0.128 </w:t>
                  </w:r>
                </w:p>
              </w:tc>
              <w:tc>
                <w:tcPr>
                  <w:tcW w:w="731" w:type="dxa"/>
                  <w:tcBorders>
                    <w:tl2br w:val="nil"/>
                    <w:tr2bl w:val="nil"/>
                  </w:tcBorders>
                  <w:noWrap w:val="0"/>
                  <w:vAlign w:val="center"/>
                </w:tcPr>
                <w:p w14:paraId="245A531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24.10</w:t>
                  </w:r>
                </w:p>
              </w:tc>
            </w:tr>
            <w:tr w14:paraId="39D87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4" w:hRule="exact"/>
                <w:jc w:val="center"/>
              </w:trPr>
              <w:tc>
                <w:tcPr>
                  <w:tcW w:w="973" w:type="dxa"/>
                  <w:vMerge w:val="continue"/>
                  <w:tcBorders>
                    <w:tl2br w:val="nil"/>
                    <w:tr2bl w:val="nil"/>
                  </w:tcBorders>
                  <w:noWrap w:val="0"/>
                  <w:vAlign w:val="center"/>
                </w:tcPr>
                <w:p w14:paraId="6167E6D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67" w:type="dxa"/>
                  <w:tcBorders>
                    <w:tl2br w:val="nil"/>
                    <w:tr2bl w:val="nil"/>
                  </w:tcBorders>
                  <w:noWrap w:val="0"/>
                  <w:vAlign w:val="center"/>
                </w:tcPr>
                <w:p w14:paraId="28FC734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SO2</w:t>
                  </w:r>
                </w:p>
              </w:tc>
              <w:tc>
                <w:tcPr>
                  <w:tcW w:w="799" w:type="dxa"/>
                  <w:tcBorders>
                    <w:tl2br w:val="nil"/>
                    <w:tr2bl w:val="nil"/>
                  </w:tcBorders>
                  <w:noWrap w:val="0"/>
                  <w:vAlign w:val="center"/>
                </w:tcPr>
                <w:p w14:paraId="2D0BC8A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17S</w:t>
                  </w:r>
                </w:p>
              </w:tc>
              <w:tc>
                <w:tcPr>
                  <w:tcW w:w="965" w:type="dxa"/>
                  <w:tcBorders>
                    <w:tl2br w:val="nil"/>
                    <w:tr2bl w:val="nil"/>
                  </w:tcBorders>
                  <w:noWrap w:val="0"/>
                  <w:vAlign w:val="center"/>
                </w:tcPr>
                <w:p w14:paraId="3F9667A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3432</w:t>
                  </w:r>
                </w:p>
              </w:tc>
              <w:tc>
                <w:tcPr>
                  <w:tcW w:w="821" w:type="dxa"/>
                  <w:tcBorders>
                    <w:tl2br w:val="nil"/>
                    <w:tr2bl w:val="nil"/>
                  </w:tcBorders>
                  <w:noWrap w:val="0"/>
                  <w:vAlign w:val="center"/>
                </w:tcPr>
                <w:p w14:paraId="427CB15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0.6936</w:t>
                  </w:r>
                </w:p>
              </w:tc>
              <w:tc>
                <w:tcPr>
                  <w:tcW w:w="641" w:type="dxa"/>
                  <w:tcBorders>
                    <w:tl2br w:val="nil"/>
                    <w:tr2bl w:val="nil"/>
                  </w:tcBorders>
                  <w:noWrap w:val="0"/>
                  <w:vAlign w:val="center"/>
                </w:tcPr>
                <w:p w14:paraId="5CA9CEE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0.289</w:t>
                  </w:r>
                </w:p>
              </w:tc>
              <w:tc>
                <w:tcPr>
                  <w:tcW w:w="769" w:type="dxa"/>
                  <w:tcBorders>
                    <w:tl2br w:val="nil"/>
                    <w:tr2bl w:val="nil"/>
                  </w:tcBorders>
                  <w:noWrap w:val="0"/>
                  <w:vAlign w:val="center"/>
                </w:tcPr>
                <w:p w14:paraId="4CB7474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54.49 </w:t>
                  </w:r>
                </w:p>
              </w:tc>
              <w:tc>
                <w:tcPr>
                  <w:tcW w:w="705" w:type="dxa"/>
                  <w:tcBorders>
                    <w:tl2br w:val="nil"/>
                    <w:tr2bl w:val="nil"/>
                  </w:tcBorders>
                  <w:noWrap w:val="0"/>
                  <w:vAlign w:val="center"/>
                </w:tcPr>
                <w:p w14:paraId="500E808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731" w:type="dxa"/>
                  <w:tcBorders>
                    <w:tl2br w:val="nil"/>
                    <w:tr2bl w:val="nil"/>
                  </w:tcBorders>
                  <w:noWrap w:val="0"/>
                  <w:vAlign w:val="center"/>
                </w:tcPr>
                <w:p w14:paraId="1F0DEC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0.694 </w:t>
                  </w:r>
                </w:p>
              </w:tc>
              <w:tc>
                <w:tcPr>
                  <w:tcW w:w="731" w:type="dxa"/>
                  <w:tcBorders>
                    <w:tl2br w:val="nil"/>
                    <w:tr2bl w:val="nil"/>
                  </w:tcBorders>
                  <w:noWrap w:val="0"/>
                  <w:vAlign w:val="center"/>
                </w:tcPr>
                <w:p w14:paraId="066C62E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0.289 </w:t>
                  </w:r>
                </w:p>
              </w:tc>
              <w:tc>
                <w:tcPr>
                  <w:tcW w:w="731" w:type="dxa"/>
                  <w:tcBorders>
                    <w:tl2br w:val="nil"/>
                    <w:tr2bl w:val="nil"/>
                  </w:tcBorders>
                  <w:noWrap w:val="0"/>
                  <w:vAlign w:val="center"/>
                </w:tcPr>
                <w:p w14:paraId="204FBF3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54.49 </w:t>
                  </w:r>
                </w:p>
              </w:tc>
            </w:tr>
            <w:tr w14:paraId="39D1A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4" w:hRule="exact"/>
                <w:jc w:val="center"/>
              </w:trPr>
              <w:tc>
                <w:tcPr>
                  <w:tcW w:w="973" w:type="dxa"/>
                  <w:vMerge w:val="continue"/>
                  <w:tcBorders>
                    <w:tl2br w:val="nil"/>
                    <w:tr2bl w:val="nil"/>
                  </w:tcBorders>
                  <w:noWrap w:val="0"/>
                  <w:vAlign w:val="center"/>
                </w:tcPr>
                <w:p w14:paraId="589FCF7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67" w:type="dxa"/>
                  <w:tcBorders>
                    <w:tl2br w:val="nil"/>
                    <w:tr2bl w:val="nil"/>
                  </w:tcBorders>
                  <w:noWrap w:val="0"/>
                  <w:vAlign w:val="center"/>
                </w:tcPr>
                <w:p w14:paraId="405651C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NOx</w:t>
                  </w:r>
                </w:p>
              </w:tc>
              <w:tc>
                <w:tcPr>
                  <w:tcW w:w="799" w:type="dxa"/>
                  <w:tcBorders>
                    <w:tl2br w:val="nil"/>
                    <w:tr2bl w:val="nil"/>
                  </w:tcBorders>
                  <w:noWrap w:val="0"/>
                  <w:vAlign w:val="center"/>
                </w:tcPr>
                <w:p w14:paraId="723468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1.02</w:t>
                  </w:r>
                </w:p>
              </w:tc>
              <w:tc>
                <w:tcPr>
                  <w:tcW w:w="965" w:type="dxa"/>
                  <w:tcBorders>
                    <w:tl2br w:val="nil"/>
                    <w:tr2bl w:val="nil"/>
                  </w:tcBorders>
                  <w:noWrap w:val="0"/>
                  <w:vAlign w:val="center"/>
                </w:tcPr>
                <w:p w14:paraId="6A2387C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3432</w:t>
                  </w:r>
                </w:p>
              </w:tc>
              <w:tc>
                <w:tcPr>
                  <w:tcW w:w="821" w:type="dxa"/>
                  <w:tcBorders>
                    <w:tl2br w:val="nil"/>
                    <w:tr2bl w:val="nil"/>
                  </w:tcBorders>
                  <w:noWrap w:val="0"/>
                  <w:vAlign w:val="center"/>
                </w:tcPr>
                <w:p w14:paraId="3D46511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2.0808</w:t>
                  </w:r>
                </w:p>
              </w:tc>
              <w:tc>
                <w:tcPr>
                  <w:tcW w:w="641" w:type="dxa"/>
                  <w:tcBorders>
                    <w:tl2br w:val="nil"/>
                    <w:tr2bl w:val="nil"/>
                  </w:tcBorders>
                  <w:noWrap w:val="0"/>
                  <w:vAlign w:val="center"/>
                </w:tcPr>
                <w:p w14:paraId="00689EA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0.867</w:t>
                  </w:r>
                </w:p>
              </w:tc>
              <w:tc>
                <w:tcPr>
                  <w:tcW w:w="769" w:type="dxa"/>
                  <w:tcBorders>
                    <w:tl2br w:val="nil"/>
                    <w:tr2bl w:val="nil"/>
                  </w:tcBorders>
                  <w:noWrap w:val="0"/>
                  <w:vAlign w:val="center"/>
                </w:tcPr>
                <w:p w14:paraId="0D295C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163.46 </w:t>
                  </w:r>
                </w:p>
              </w:tc>
              <w:tc>
                <w:tcPr>
                  <w:tcW w:w="705" w:type="dxa"/>
                  <w:tcBorders>
                    <w:tl2br w:val="nil"/>
                    <w:tr2bl w:val="nil"/>
                  </w:tcBorders>
                  <w:noWrap w:val="0"/>
                  <w:vAlign w:val="center"/>
                </w:tcPr>
                <w:p w14:paraId="4590BF7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731" w:type="dxa"/>
                  <w:tcBorders>
                    <w:tl2br w:val="nil"/>
                    <w:tr2bl w:val="nil"/>
                  </w:tcBorders>
                  <w:noWrap w:val="0"/>
                  <w:vAlign w:val="center"/>
                </w:tcPr>
                <w:p w14:paraId="0B88E96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1.769 </w:t>
                  </w:r>
                </w:p>
              </w:tc>
              <w:tc>
                <w:tcPr>
                  <w:tcW w:w="731" w:type="dxa"/>
                  <w:tcBorders>
                    <w:tl2br w:val="nil"/>
                    <w:tr2bl w:val="nil"/>
                  </w:tcBorders>
                  <w:noWrap w:val="0"/>
                  <w:vAlign w:val="center"/>
                </w:tcPr>
                <w:p w14:paraId="1927F20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0.737 </w:t>
                  </w:r>
                </w:p>
              </w:tc>
              <w:tc>
                <w:tcPr>
                  <w:tcW w:w="731" w:type="dxa"/>
                  <w:tcBorders>
                    <w:tl2br w:val="nil"/>
                    <w:tr2bl w:val="nil"/>
                  </w:tcBorders>
                  <w:noWrap w:val="0"/>
                  <w:vAlign w:val="center"/>
                </w:tcPr>
                <w:p w14:paraId="049A3D6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138.94</w:t>
                  </w:r>
                </w:p>
              </w:tc>
            </w:tr>
          </w:tbl>
          <w:p w14:paraId="4916BF9F">
            <w:pPr>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综上，本项目废气产生及排放情况如下：</w:t>
            </w:r>
          </w:p>
          <w:p w14:paraId="3FE8CEAD">
            <w:pPr>
              <w:keepNext w:val="0"/>
              <w:keepLines w:val="0"/>
              <w:suppressLineNumbers w:val="0"/>
              <w:spacing w:before="0" w:beforeAutospacing="0" w:after="0" w:afterAutospacing="0" w:line="360" w:lineRule="auto"/>
              <w:ind w:left="0" w:right="0" w:firstLine="48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4-7</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eastAsia="zh-CN"/>
              </w:rPr>
              <w:t>废气</w:t>
            </w:r>
            <w:r>
              <w:rPr>
                <w:rFonts w:hint="eastAsia" w:ascii="Times New Roman" w:hAnsi="Times New Roman" w:eastAsia="宋体" w:cs="Times New Roman"/>
                <w:b/>
                <w:bCs/>
                <w:color w:val="auto"/>
                <w:sz w:val="21"/>
                <w:szCs w:val="21"/>
                <w:lang w:val="en-US" w:eastAsia="zh-CN"/>
              </w:rPr>
              <w:t>污染物产生及</w:t>
            </w:r>
            <w:r>
              <w:rPr>
                <w:rFonts w:hint="eastAsia" w:ascii="Times New Roman" w:hAnsi="Times New Roman" w:eastAsia="宋体" w:cs="Times New Roman"/>
                <w:b/>
                <w:bCs/>
                <w:color w:val="auto"/>
                <w:sz w:val="21"/>
                <w:szCs w:val="21"/>
                <w:lang w:eastAsia="zh-CN"/>
              </w:rPr>
              <w:t>排放情况</w:t>
            </w:r>
          </w:p>
          <w:tbl>
            <w:tblPr>
              <w:tblStyle w:val="28"/>
              <w:tblW w:w="503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98"/>
              <w:gridCol w:w="865"/>
              <w:gridCol w:w="925"/>
              <w:gridCol w:w="724"/>
              <w:gridCol w:w="867"/>
              <w:gridCol w:w="796"/>
              <w:gridCol w:w="796"/>
              <w:gridCol w:w="824"/>
              <w:gridCol w:w="824"/>
              <w:gridCol w:w="904"/>
            </w:tblGrid>
            <w:tr w14:paraId="379B9A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0" w:hRule="atLeast"/>
                <w:jc w:val="center"/>
              </w:trPr>
              <w:tc>
                <w:tcPr>
                  <w:tcW w:w="636" w:type="pct"/>
                  <w:tcBorders>
                    <w:tl2br w:val="nil"/>
                    <w:tr2bl w:val="nil"/>
                  </w:tcBorders>
                  <w:noWrap w:val="0"/>
                  <w:vAlign w:val="center"/>
                </w:tcPr>
                <w:p w14:paraId="33A5A09A">
                  <w:pPr>
                    <w:pStyle w:val="98"/>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污染源</w:t>
                  </w:r>
                </w:p>
              </w:tc>
              <w:tc>
                <w:tcPr>
                  <w:tcW w:w="501" w:type="pct"/>
                  <w:tcBorders>
                    <w:tl2br w:val="nil"/>
                    <w:tr2bl w:val="nil"/>
                  </w:tcBorders>
                  <w:noWrap w:val="0"/>
                  <w:vAlign w:val="center"/>
                </w:tcPr>
                <w:p w14:paraId="3816CC5A">
                  <w:pPr>
                    <w:pStyle w:val="9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污染物</w:t>
                  </w:r>
                </w:p>
              </w:tc>
              <w:tc>
                <w:tcPr>
                  <w:tcW w:w="536" w:type="pct"/>
                  <w:tcBorders>
                    <w:tl2br w:val="nil"/>
                    <w:tr2bl w:val="nil"/>
                  </w:tcBorders>
                  <w:noWrap w:val="0"/>
                  <w:vAlign w:val="center"/>
                </w:tcPr>
                <w:p w14:paraId="243A3EF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产生量</w:t>
                  </w:r>
                </w:p>
                <w:p w14:paraId="26BE96A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t/a</w:t>
                  </w:r>
                </w:p>
              </w:tc>
              <w:tc>
                <w:tcPr>
                  <w:tcW w:w="419" w:type="pct"/>
                  <w:tcBorders>
                    <w:tl2br w:val="nil"/>
                    <w:tr2bl w:val="nil"/>
                  </w:tcBorders>
                  <w:noWrap w:val="0"/>
                  <w:vAlign w:val="center"/>
                </w:tcPr>
                <w:p w14:paraId="659CA73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产生速率</w:t>
                  </w:r>
                  <w:r>
                    <w:rPr>
                      <w:rFonts w:hint="eastAsia" w:ascii="Times New Roman" w:hAnsi="Times New Roman" w:eastAsia="宋体" w:cs="Times New Roman"/>
                      <w:b w:val="0"/>
                      <w:bCs w:val="0"/>
                      <w:i w:val="0"/>
                      <w:iCs w:val="0"/>
                      <w:color w:val="auto"/>
                      <w:kern w:val="0"/>
                      <w:sz w:val="21"/>
                      <w:szCs w:val="21"/>
                      <w:u w:val="none"/>
                      <w:lang w:val="en-US" w:eastAsia="zh-CN" w:bidi="ar"/>
                    </w:rPr>
                    <w:t>kg/h</w:t>
                  </w:r>
                </w:p>
              </w:tc>
              <w:tc>
                <w:tcPr>
                  <w:tcW w:w="502" w:type="pct"/>
                  <w:tcBorders>
                    <w:tl2br w:val="nil"/>
                    <w:tr2bl w:val="nil"/>
                  </w:tcBorders>
                  <w:noWrap w:val="0"/>
                  <w:vAlign w:val="center"/>
                </w:tcPr>
                <w:p w14:paraId="4507851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产生浓度</w:t>
                  </w:r>
                  <w:r>
                    <w:rPr>
                      <w:rFonts w:hint="default" w:ascii="Times New Roman" w:hAnsi="Times New Roman" w:eastAsia="宋体" w:cs="Times New Roman"/>
                      <w:color w:val="auto"/>
                      <w:kern w:val="0"/>
                      <w:sz w:val="21"/>
                      <w:szCs w:val="21"/>
                      <w:lang w:val="en-US" w:eastAsia="zh-CN" w:bidi="ar"/>
                    </w:rPr>
                    <w:t>mg/m</w:t>
                  </w:r>
                  <w:r>
                    <w:rPr>
                      <w:rFonts w:hint="default" w:ascii="Times New Roman" w:hAnsi="Times New Roman" w:eastAsia="宋体" w:cs="Times New Roman"/>
                      <w:color w:val="auto"/>
                      <w:kern w:val="0"/>
                      <w:sz w:val="21"/>
                      <w:szCs w:val="21"/>
                      <w:vertAlign w:val="superscript"/>
                      <w:lang w:val="en-US" w:eastAsia="zh-CN" w:bidi="ar"/>
                    </w:rPr>
                    <w:t>3</w:t>
                  </w:r>
                </w:p>
              </w:tc>
              <w:tc>
                <w:tcPr>
                  <w:tcW w:w="461" w:type="pct"/>
                  <w:tcBorders>
                    <w:tl2br w:val="nil"/>
                    <w:tr2bl w:val="nil"/>
                  </w:tcBorders>
                  <w:noWrap w:val="0"/>
                  <w:vAlign w:val="center"/>
                </w:tcPr>
                <w:p w14:paraId="165BC635">
                  <w:pPr>
                    <w:pStyle w:val="9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收集效率</w:t>
                  </w:r>
                  <w:r>
                    <w:rPr>
                      <w:rFonts w:hint="eastAsia" w:cs="Times New Roman"/>
                      <w:b w:val="0"/>
                      <w:bCs w:val="0"/>
                      <w:color w:val="auto"/>
                      <w:sz w:val="21"/>
                      <w:szCs w:val="21"/>
                      <w:lang w:val="en-US" w:eastAsia="zh-CN"/>
                    </w:rPr>
                    <w:t>%</w:t>
                  </w:r>
                </w:p>
              </w:tc>
              <w:tc>
                <w:tcPr>
                  <w:tcW w:w="461" w:type="pct"/>
                  <w:tcBorders>
                    <w:tl2br w:val="nil"/>
                    <w:tr2bl w:val="nil"/>
                  </w:tcBorders>
                  <w:noWrap w:val="0"/>
                  <w:vAlign w:val="center"/>
                </w:tcPr>
                <w:p w14:paraId="5792C448">
                  <w:pPr>
                    <w:pStyle w:val="9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处理效率</w:t>
                  </w:r>
                  <w:r>
                    <w:rPr>
                      <w:rFonts w:hint="eastAsia" w:cs="Times New Roman"/>
                      <w:b w:val="0"/>
                      <w:bCs w:val="0"/>
                      <w:color w:val="auto"/>
                      <w:sz w:val="21"/>
                      <w:szCs w:val="21"/>
                      <w:lang w:val="en-US" w:eastAsia="zh-CN"/>
                    </w:rPr>
                    <w:t>%</w:t>
                  </w:r>
                </w:p>
              </w:tc>
              <w:tc>
                <w:tcPr>
                  <w:tcW w:w="477" w:type="pct"/>
                  <w:tcBorders>
                    <w:tl2br w:val="nil"/>
                    <w:tr2bl w:val="nil"/>
                  </w:tcBorders>
                  <w:noWrap w:val="0"/>
                  <w:vAlign w:val="center"/>
                </w:tcPr>
                <w:p w14:paraId="141572C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排放量</w:t>
                  </w:r>
                  <w:r>
                    <w:rPr>
                      <w:rFonts w:hint="eastAsia" w:ascii="Times New Roman" w:hAnsi="Times New Roman" w:eastAsia="宋体" w:cs="Times New Roman"/>
                      <w:b w:val="0"/>
                      <w:bCs w:val="0"/>
                      <w:i w:val="0"/>
                      <w:iCs w:val="0"/>
                      <w:color w:val="auto"/>
                      <w:kern w:val="0"/>
                      <w:sz w:val="21"/>
                      <w:szCs w:val="21"/>
                      <w:u w:val="none"/>
                      <w:lang w:val="en-US" w:eastAsia="zh-CN" w:bidi="ar"/>
                    </w:rPr>
                    <w:t>t/a</w:t>
                  </w:r>
                </w:p>
              </w:tc>
              <w:tc>
                <w:tcPr>
                  <w:tcW w:w="477" w:type="pct"/>
                  <w:tcBorders>
                    <w:tl2br w:val="nil"/>
                    <w:tr2bl w:val="nil"/>
                  </w:tcBorders>
                  <w:noWrap w:val="0"/>
                  <w:vAlign w:val="center"/>
                </w:tcPr>
                <w:p w14:paraId="6D69F1B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排放速率</w:t>
                  </w:r>
                  <w:r>
                    <w:rPr>
                      <w:rFonts w:hint="eastAsia" w:ascii="Times New Roman" w:hAnsi="Times New Roman" w:eastAsia="宋体" w:cs="Times New Roman"/>
                      <w:b w:val="0"/>
                      <w:bCs w:val="0"/>
                      <w:i w:val="0"/>
                      <w:iCs w:val="0"/>
                      <w:color w:val="auto"/>
                      <w:kern w:val="0"/>
                      <w:sz w:val="21"/>
                      <w:szCs w:val="21"/>
                      <w:u w:val="none"/>
                      <w:lang w:val="en-US" w:eastAsia="zh-CN" w:bidi="ar"/>
                    </w:rPr>
                    <w:t>kg/h</w:t>
                  </w:r>
                </w:p>
              </w:tc>
              <w:tc>
                <w:tcPr>
                  <w:tcW w:w="524" w:type="pct"/>
                  <w:tcBorders>
                    <w:tl2br w:val="nil"/>
                    <w:tr2bl w:val="nil"/>
                  </w:tcBorders>
                  <w:noWrap w:val="0"/>
                  <w:vAlign w:val="center"/>
                </w:tcPr>
                <w:p w14:paraId="654BA92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val="0"/>
                      <w:bCs w:val="0"/>
                      <w:color w:val="auto"/>
                      <w:sz w:val="21"/>
                      <w:szCs w:val="21"/>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排放浓度</w:t>
                  </w:r>
                  <w:r>
                    <w:rPr>
                      <w:rFonts w:hint="default" w:ascii="Times New Roman" w:hAnsi="Times New Roman" w:eastAsia="宋体" w:cs="Times New Roman"/>
                      <w:color w:val="auto"/>
                      <w:kern w:val="0"/>
                      <w:sz w:val="21"/>
                      <w:szCs w:val="21"/>
                      <w:lang w:val="en-US" w:eastAsia="zh-CN" w:bidi="ar"/>
                    </w:rPr>
                    <w:t>mg/m</w:t>
                  </w:r>
                  <w:r>
                    <w:rPr>
                      <w:rFonts w:hint="default" w:ascii="Times New Roman" w:hAnsi="Times New Roman" w:eastAsia="宋体" w:cs="Times New Roman"/>
                      <w:color w:val="auto"/>
                      <w:kern w:val="0"/>
                      <w:sz w:val="21"/>
                      <w:szCs w:val="21"/>
                      <w:vertAlign w:val="superscript"/>
                      <w:lang w:val="en-US" w:eastAsia="zh-CN" w:bidi="ar"/>
                    </w:rPr>
                    <w:t>3</w:t>
                  </w:r>
                </w:p>
              </w:tc>
            </w:tr>
            <w:tr w14:paraId="157F8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0" w:hRule="atLeast"/>
                <w:jc w:val="center"/>
              </w:trPr>
              <w:tc>
                <w:tcPr>
                  <w:tcW w:w="636" w:type="pct"/>
                  <w:vMerge w:val="restart"/>
                  <w:tcBorders>
                    <w:tl2br w:val="nil"/>
                    <w:tr2bl w:val="nil"/>
                  </w:tcBorders>
                  <w:noWrap w:val="0"/>
                  <w:vAlign w:val="center"/>
                </w:tcPr>
                <w:p w14:paraId="6C02844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破碎、制粒工序</w:t>
                  </w:r>
                </w:p>
              </w:tc>
              <w:tc>
                <w:tcPr>
                  <w:tcW w:w="501" w:type="pct"/>
                  <w:vMerge w:val="restart"/>
                  <w:tcBorders>
                    <w:tl2br w:val="nil"/>
                    <w:tr2bl w:val="nil"/>
                  </w:tcBorders>
                  <w:noWrap w:val="0"/>
                  <w:vAlign w:val="center"/>
                </w:tcPr>
                <w:p w14:paraId="1050980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粉尘</w:t>
                  </w:r>
                </w:p>
              </w:tc>
              <w:tc>
                <w:tcPr>
                  <w:tcW w:w="536" w:type="pct"/>
                  <w:vMerge w:val="restart"/>
                  <w:tcBorders>
                    <w:tl2br w:val="nil"/>
                    <w:tr2bl w:val="nil"/>
                  </w:tcBorders>
                  <w:noWrap w:val="0"/>
                  <w:vAlign w:val="center"/>
                </w:tcPr>
                <w:p w14:paraId="3D7D7736">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3.146 </w:t>
                  </w:r>
                </w:p>
              </w:tc>
              <w:tc>
                <w:tcPr>
                  <w:tcW w:w="419" w:type="pct"/>
                  <w:vMerge w:val="restart"/>
                  <w:tcBorders>
                    <w:tl2br w:val="nil"/>
                    <w:tr2bl w:val="nil"/>
                  </w:tcBorders>
                  <w:noWrap w:val="0"/>
                  <w:vAlign w:val="center"/>
                </w:tcPr>
                <w:p w14:paraId="7F6C947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1.311 </w:t>
                  </w:r>
                </w:p>
              </w:tc>
              <w:tc>
                <w:tcPr>
                  <w:tcW w:w="502" w:type="pct"/>
                  <w:vMerge w:val="restart"/>
                  <w:tcBorders>
                    <w:tl2br w:val="nil"/>
                    <w:tr2bl w:val="nil"/>
                  </w:tcBorders>
                  <w:shd w:val="clear" w:color="auto" w:fill="auto"/>
                  <w:noWrap w:val="0"/>
                  <w:vAlign w:val="center"/>
                </w:tcPr>
                <w:p w14:paraId="7264799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327.73 </w:t>
                  </w:r>
                </w:p>
              </w:tc>
              <w:tc>
                <w:tcPr>
                  <w:tcW w:w="461" w:type="pct"/>
                  <w:vMerge w:val="restart"/>
                  <w:tcBorders>
                    <w:tl2br w:val="nil"/>
                    <w:tr2bl w:val="nil"/>
                  </w:tcBorders>
                  <w:noWrap w:val="0"/>
                  <w:vAlign w:val="center"/>
                </w:tcPr>
                <w:p w14:paraId="3AD5154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w:t>
                  </w:r>
                </w:p>
              </w:tc>
              <w:tc>
                <w:tcPr>
                  <w:tcW w:w="461" w:type="pct"/>
                  <w:vMerge w:val="restart"/>
                  <w:tcBorders>
                    <w:tl2br w:val="nil"/>
                    <w:tr2bl w:val="nil"/>
                  </w:tcBorders>
                  <w:noWrap w:val="0"/>
                  <w:vAlign w:val="center"/>
                </w:tcPr>
                <w:p w14:paraId="3857D7D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0.98</w:t>
                  </w:r>
                </w:p>
              </w:tc>
              <w:tc>
                <w:tcPr>
                  <w:tcW w:w="477" w:type="pct"/>
                  <w:tcBorders>
                    <w:tl2br w:val="nil"/>
                    <w:tr2bl w:val="nil"/>
                  </w:tcBorders>
                  <w:noWrap w:val="0"/>
                  <w:vAlign w:val="center"/>
                </w:tcPr>
                <w:p w14:paraId="242FBF5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0.057 </w:t>
                  </w:r>
                </w:p>
              </w:tc>
              <w:tc>
                <w:tcPr>
                  <w:tcW w:w="477" w:type="pct"/>
                  <w:tcBorders>
                    <w:tl2br w:val="nil"/>
                    <w:tr2bl w:val="nil"/>
                  </w:tcBorders>
                  <w:noWrap w:val="0"/>
                  <w:vAlign w:val="center"/>
                </w:tcPr>
                <w:p w14:paraId="43C578E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0.024 </w:t>
                  </w:r>
                </w:p>
              </w:tc>
              <w:tc>
                <w:tcPr>
                  <w:tcW w:w="524" w:type="pct"/>
                  <w:tcBorders>
                    <w:tl2br w:val="nil"/>
                    <w:tr2bl w:val="nil"/>
                  </w:tcBorders>
                  <w:noWrap w:val="0"/>
                  <w:vAlign w:val="center"/>
                </w:tcPr>
                <w:p w14:paraId="67C8FDB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5.9</w:t>
                  </w:r>
                </w:p>
              </w:tc>
            </w:tr>
            <w:tr w14:paraId="2CCEA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80" w:hRule="atLeast"/>
                <w:jc w:val="center"/>
              </w:trPr>
              <w:tc>
                <w:tcPr>
                  <w:tcW w:w="636" w:type="pct"/>
                  <w:vMerge w:val="continue"/>
                  <w:tcBorders>
                    <w:tl2br w:val="nil"/>
                    <w:tr2bl w:val="nil"/>
                  </w:tcBorders>
                  <w:noWrap w:val="0"/>
                  <w:vAlign w:val="center"/>
                </w:tcPr>
                <w:p w14:paraId="45B72A27">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501" w:type="pct"/>
                  <w:vMerge w:val="continue"/>
                  <w:tcBorders>
                    <w:tl2br w:val="nil"/>
                    <w:tr2bl w:val="nil"/>
                  </w:tcBorders>
                  <w:noWrap w:val="0"/>
                  <w:vAlign w:val="center"/>
                </w:tcPr>
                <w:p w14:paraId="47F0E20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36" w:type="pct"/>
                  <w:vMerge w:val="continue"/>
                  <w:tcBorders>
                    <w:tl2br w:val="nil"/>
                    <w:tr2bl w:val="nil"/>
                  </w:tcBorders>
                  <w:noWrap w:val="0"/>
                  <w:vAlign w:val="center"/>
                </w:tcPr>
                <w:p w14:paraId="032F919F">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19" w:type="pct"/>
                  <w:vMerge w:val="continue"/>
                  <w:tcBorders>
                    <w:tl2br w:val="nil"/>
                    <w:tr2bl w:val="nil"/>
                  </w:tcBorders>
                  <w:noWrap w:val="0"/>
                  <w:vAlign w:val="center"/>
                </w:tcPr>
                <w:p w14:paraId="7F1EF0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02" w:type="pct"/>
                  <w:vMerge w:val="continue"/>
                  <w:tcBorders>
                    <w:tl2br w:val="nil"/>
                    <w:tr2bl w:val="nil"/>
                  </w:tcBorders>
                  <w:noWrap w:val="0"/>
                  <w:vAlign w:val="center"/>
                </w:tcPr>
                <w:p w14:paraId="57FD7C3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61" w:type="pct"/>
                  <w:vMerge w:val="continue"/>
                  <w:tcBorders>
                    <w:tl2br w:val="nil"/>
                    <w:tr2bl w:val="nil"/>
                  </w:tcBorders>
                  <w:noWrap w:val="0"/>
                  <w:vAlign w:val="center"/>
                </w:tcPr>
                <w:p w14:paraId="3FF8769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61" w:type="pct"/>
                  <w:vMerge w:val="continue"/>
                  <w:tcBorders>
                    <w:tl2br w:val="nil"/>
                    <w:tr2bl w:val="nil"/>
                  </w:tcBorders>
                  <w:noWrap w:val="0"/>
                  <w:vAlign w:val="center"/>
                </w:tcPr>
                <w:p w14:paraId="5AAA9E6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79" w:type="pct"/>
                  <w:gridSpan w:val="3"/>
                  <w:tcBorders>
                    <w:tl2br w:val="nil"/>
                    <w:tr2bl w:val="nil"/>
                  </w:tcBorders>
                  <w:noWrap w:val="0"/>
                  <w:vAlign w:val="center"/>
                </w:tcPr>
                <w:p w14:paraId="3102F18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无组织：0.315t/a，0.131kg/h</w:t>
                  </w:r>
                </w:p>
              </w:tc>
            </w:tr>
            <w:tr w14:paraId="76B95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75" w:hRule="atLeast"/>
                <w:jc w:val="center"/>
              </w:trPr>
              <w:tc>
                <w:tcPr>
                  <w:tcW w:w="636" w:type="pct"/>
                  <w:vMerge w:val="restart"/>
                  <w:tcBorders>
                    <w:tl2br w:val="nil"/>
                    <w:tr2bl w:val="nil"/>
                  </w:tcBorders>
                  <w:noWrap w:val="0"/>
                  <w:vAlign w:val="center"/>
                </w:tcPr>
                <w:p w14:paraId="3C5B3BD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粉碎工序</w:t>
                  </w:r>
                </w:p>
              </w:tc>
              <w:tc>
                <w:tcPr>
                  <w:tcW w:w="501" w:type="pct"/>
                  <w:vMerge w:val="restart"/>
                  <w:tcBorders>
                    <w:tl2br w:val="nil"/>
                    <w:tr2bl w:val="nil"/>
                  </w:tcBorders>
                  <w:noWrap w:val="0"/>
                  <w:vAlign w:val="center"/>
                </w:tcPr>
                <w:p w14:paraId="3D92742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粉尘</w:t>
                  </w:r>
                </w:p>
              </w:tc>
              <w:tc>
                <w:tcPr>
                  <w:tcW w:w="536" w:type="pct"/>
                  <w:vMerge w:val="restart"/>
                  <w:tcBorders>
                    <w:tl2br w:val="nil"/>
                    <w:tr2bl w:val="nil"/>
                  </w:tcBorders>
                  <w:noWrap w:val="0"/>
                  <w:vAlign w:val="center"/>
                </w:tcPr>
                <w:p w14:paraId="45407E1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2.392</w:t>
                  </w:r>
                </w:p>
              </w:tc>
              <w:tc>
                <w:tcPr>
                  <w:tcW w:w="419" w:type="pct"/>
                  <w:vMerge w:val="restart"/>
                  <w:tcBorders>
                    <w:tl2br w:val="nil"/>
                    <w:tr2bl w:val="nil"/>
                  </w:tcBorders>
                  <w:noWrap w:val="0"/>
                  <w:vAlign w:val="center"/>
                </w:tcPr>
                <w:p w14:paraId="46A6630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0.997</w:t>
                  </w:r>
                </w:p>
              </w:tc>
              <w:tc>
                <w:tcPr>
                  <w:tcW w:w="502" w:type="pct"/>
                  <w:vMerge w:val="restart"/>
                  <w:tcBorders>
                    <w:tl2br w:val="nil"/>
                    <w:tr2bl w:val="nil"/>
                  </w:tcBorders>
                  <w:noWrap w:val="0"/>
                  <w:vAlign w:val="center"/>
                </w:tcPr>
                <w:p w14:paraId="73F99D8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332.24</w:t>
                  </w:r>
                </w:p>
              </w:tc>
              <w:tc>
                <w:tcPr>
                  <w:tcW w:w="461" w:type="pct"/>
                  <w:vMerge w:val="restart"/>
                  <w:tcBorders>
                    <w:tl2br w:val="nil"/>
                    <w:tr2bl w:val="nil"/>
                  </w:tcBorders>
                  <w:noWrap w:val="0"/>
                  <w:vAlign w:val="center"/>
                </w:tcPr>
                <w:p w14:paraId="6D98FFB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w:t>
                  </w:r>
                </w:p>
              </w:tc>
              <w:tc>
                <w:tcPr>
                  <w:tcW w:w="461" w:type="pct"/>
                  <w:vMerge w:val="restart"/>
                  <w:tcBorders>
                    <w:tl2br w:val="nil"/>
                    <w:tr2bl w:val="nil"/>
                  </w:tcBorders>
                  <w:noWrap w:val="0"/>
                  <w:vAlign w:val="center"/>
                </w:tcPr>
                <w:p w14:paraId="23ADC81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0.98</w:t>
                  </w:r>
                </w:p>
              </w:tc>
              <w:tc>
                <w:tcPr>
                  <w:tcW w:w="477" w:type="pct"/>
                  <w:tcBorders>
                    <w:tl2br w:val="nil"/>
                    <w:tr2bl w:val="nil"/>
                  </w:tcBorders>
                  <w:noWrap w:val="0"/>
                  <w:vAlign w:val="center"/>
                </w:tcPr>
                <w:p w14:paraId="5F3AB71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0.043</w:t>
                  </w:r>
                </w:p>
              </w:tc>
              <w:tc>
                <w:tcPr>
                  <w:tcW w:w="477" w:type="pct"/>
                  <w:tcBorders>
                    <w:tl2br w:val="nil"/>
                    <w:tr2bl w:val="nil"/>
                  </w:tcBorders>
                  <w:noWrap w:val="0"/>
                  <w:vAlign w:val="center"/>
                </w:tcPr>
                <w:p w14:paraId="4320167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0.018</w:t>
                  </w:r>
                </w:p>
              </w:tc>
              <w:tc>
                <w:tcPr>
                  <w:tcW w:w="524" w:type="pct"/>
                  <w:tcBorders>
                    <w:tl2br w:val="nil"/>
                    <w:tr2bl w:val="nil"/>
                  </w:tcBorders>
                  <w:noWrap w:val="0"/>
                  <w:vAlign w:val="center"/>
                </w:tcPr>
                <w:p w14:paraId="6A98EFB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5.98</w:t>
                  </w:r>
                </w:p>
              </w:tc>
            </w:tr>
            <w:tr w14:paraId="40E4E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79" w:hRule="atLeast"/>
                <w:jc w:val="center"/>
              </w:trPr>
              <w:tc>
                <w:tcPr>
                  <w:tcW w:w="636" w:type="pct"/>
                  <w:vMerge w:val="continue"/>
                  <w:tcBorders>
                    <w:tl2br w:val="nil"/>
                    <w:tr2bl w:val="nil"/>
                  </w:tcBorders>
                  <w:noWrap w:val="0"/>
                  <w:vAlign w:val="center"/>
                </w:tcPr>
                <w:p w14:paraId="0EB4CF6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01" w:type="pct"/>
                  <w:vMerge w:val="continue"/>
                  <w:tcBorders>
                    <w:tl2br w:val="nil"/>
                    <w:tr2bl w:val="nil"/>
                  </w:tcBorders>
                  <w:noWrap w:val="0"/>
                  <w:vAlign w:val="center"/>
                </w:tcPr>
                <w:p w14:paraId="22A18A7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36" w:type="pct"/>
                  <w:vMerge w:val="continue"/>
                  <w:tcBorders>
                    <w:tl2br w:val="nil"/>
                    <w:tr2bl w:val="nil"/>
                  </w:tcBorders>
                  <w:noWrap w:val="0"/>
                  <w:vAlign w:val="center"/>
                </w:tcPr>
                <w:p w14:paraId="21C842A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19" w:type="pct"/>
                  <w:vMerge w:val="continue"/>
                  <w:tcBorders>
                    <w:tl2br w:val="nil"/>
                    <w:tr2bl w:val="nil"/>
                  </w:tcBorders>
                  <w:noWrap w:val="0"/>
                  <w:vAlign w:val="center"/>
                </w:tcPr>
                <w:p w14:paraId="159491F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02" w:type="pct"/>
                  <w:vMerge w:val="continue"/>
                  <w:tcBorders>
                    <w:tl2br w:val="nil"/>
                    <w:tr2bl w:val="nil"/>
                  </w:tcBorders>
                  <w:noWrap w:val="0"/>
                  <w:vAlign w:val="center"/>
                </w:tcPr>
                <w:p w14:paraId="565AE5C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61" w:type="pct"/>
                  <w:vMerge w:val="continue"/>
                  <w:tcBorders>
                    <w:tl2br w:val="nil"/>
                    <w:tr2bl w:val="nil"/>
                  </w:tcBorders>
                  <w:noWrap w:val="0"/>
                  <w:vAlign w:val="center"/>
                </w:tcPr>
                <w:p w14:paraId="72FAE6C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61" w:type="pct"/>
                  <w:vMerge w:val="continue"/>
                  <w:tcBorders>
                    <w:tl2br w:val="nil"/>
                    <w:tr2bl w:val="nil"/>
                  </w:tcBorders>
                  <w:noWrap w:val="0"/>
                  <w:vAlign w:val="center"/>
                </w:tcPr>
                <w:p w14:paraId="4ABE355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79" w:type="pct"/>
                  <w:gridSpan w:val="3"/>
                  <w:tcBorders>
                    <w:tl2br w:val="nil"/>
                    <w:tr2bl w:val="nil"/>
                  </w:tcBorders>
                  <w:noWrap w:val="0"/>
                  <w:vAlign w:val="center"/>
                </w:tcPr>
                <w:p w14:paraId="313E32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无组织：0.239t/a，0.1kg/h</w:t>
                  </w:r>
                </w:p>
              </w:tc>
            </w:tr>
            <w:tr w14:paraId="53133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3" w:hRule="atLeast"/>
                <w:jc w:val="center"/>
              </w:trPr>
              <w:tc>
                <w:tcPr>
                  <w:tcW w:w="636" w:type="pct"/>
                  <w:vMerge w:val="restart"/>
                  <w:tcBorders>
                    <w:tl2br w:val="nil"/>
                    <w:tr2bl w:val="nil"/>
                  </w:tcBorders>
                  <w:noWrap w:val="0"/>
                  <w:vAlign w:val="center"/>
                </w:tcPr>
                <w:p w14:paraId="75A3FEB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油水分离</w:t>
                  </w:r>
                </w:p>
              </w:tc>
              <w:tc>
                <w:tcPr>
                  <w:tcW w:w="501" w:type="pct"/>
                  <w:vMerge w:val="restart"/>
                  <w:tcBorders>
                    <w:tl2br w:val="nil"/>
                    <w:tr2bl w:val="nil"/>
                  </w:tcBorders>
                  <w:noWrap w:val="0"/>
                  <w:vAlign w:val="center"/>
                </w:tcPr>
                <w:p w14:paraId="1DD1FE2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536" w:type="pct"/>
                  <w:vMerge w:val="restart"/>
                  <w:tcBorders>
                    <w:tl2br w:val="nil"/>
                    <w:tr2bl w:val="nil"/>
                  </w:tcBorders>
                  <w:noWrap w:val="0"/>
                  <w:vAlign w:val="center"/>
                </w:tcPr>
                <w:p w14:paraId="7B7000E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0.124</w:t>
                  </w:r>
                </w:p>
              </w:tc>
              <w:tc>
                <w:tcPr>
                  <w:tcW w:w="419" w:type="pct"/>
                  <w:vMerge w:val="restart"/>
                  <w:tcBorders>
                    <w:tl2br w:val="nil"/>
                    <w:tr2bl w:val="nil"/>
                  </w:tcBorders>
                  <w:noWrap w:val="0"/>
                  <w:vAlign w:val="center"/>
                </w:tcPr>
                <w:p w14:paraId="00BC4E7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0.052</w:t>
                  </w:r>
                </w:p>
              </w:tc>
              <w:tc>
                <w:tcPr>
                  <w:tcW w:w="502" w:type="pct"/>
                  <w:vMerge w:val="restart"/>
                  <w:tcBorders>
                    <w:tl2br w:val="nil"/>
                    <w:tr2bl w:val="nil"/>
                  </w:tcBorders>
                  <w:shd w:val="clear" w:color="auto" w:fill="auto"/>
                  <w:noWrap w:val="0"/>
                  <w:vAlign w:val="center"/>
                </w:tcPr>
                <w:p w14:paraId="494A49A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9.93 </w:t>
                  </w:r>
                </w:p>
              </w:tc>
              <w:tc>
                <w:tcPr>
                  <w:tcW w:w="461" w:type="pct"/>
                  <w:vMerge w:val="restart"/>
                  <w:tcBorders>
                    <w:tl2br w:val="nil"/>
                    <w:tr2bl w:val="nil"/>
                  </w:tcBorders>
                  <w:noWrap w:val="0"/>
                  <w:vAlign w:val="center"/>
                </w:tcPr>
                <w:p w14:paraId="4C01FDC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w:t>
                  </w:r>
                </w:p>
              </w:tc>
              <w:tc>
                <w:tcPr>
                  <w:tcW w:w="461" w:type="pct"/>
                  <w:vMerge w:val="restart"/>
                  <w:tcBorders>
                    <w:tl2br w:val="nil"/>
                    <w:tr2bl w:val="nil"/>
                  </w:tcBorders>
                  <w:noWrap w:val="0"/>
                  <w:vAlign w:val="center"/>
                </w:tcPr>
                <w:p w14:paraId="34C317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7</w:t>
                  </w:r>
                </w:p>
              </w:tc>
              <w:tc>
                <w:tcPr>
                  <w:tcW w:w="477" w:type="pct"/>
                  <w:tcBorders>
                    <w:tl2br w:val="nil"/>
                    <w:tr2bl w:val="nil"/>
                  </w:tcBorders>
                  <w:noWrap w:val="0"/>
                  <w:vAlign w:val="center"/>
                </w:tcPr>
                <w:p w14:paraId="2BAC92B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w:t>
                  </w:r>
                  <w:r>
                    <w:rPr>
                      <w:rFonts w:hint="eastAsia" w:ascii="Times New Roman" w:hAnsi="Times New Roman" w:eastAsia="宋体" w:cs="Times New Roman"/>
                      <w:i w:val="0"/>
                      <w:iCs w:val="0"/>
                      <w:color w:val="auto"/>
                      <w:kern w:val="0"/>
                      <w:sz w:val="21"/>
                      <w:szCs w:val="21"/>
                      <w:u w:val="none"/>
                      <w:lang w:val="en-US" w:eastAsia="zh-CN" w:bidi="ar"/>
                    </w:rPr>
                    <w:t>4</w:t>
                  </w:r>
                </w:p>
              </w:tc>
              <w:tc>
                <w:tcPr>
                  <w:tcW w:w="477" w:type="pct"/>
                  <w:tcBorders>
                    <w:tl2br w:val="nil"/>
                    <w:tr2bl w:val="nil"/>
                  </w:tcBorders>
                  <w:noWrap w:val="0"/>
                  <w:vAlign w:val="center"/>
                </w:tcPr>
                <w:p w14:paraId="7CBE5B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0.014</w:t>
                  </w:r>
                </w:p>
              </w:tc>
              <w:tc>
                <w:tcPr>
                  <w:tcW w:w="524" w:type="pct"/>
                  <w:tcBorders>
                    <w:tl2br w:val="nil"/>
                    <w:tr2bl w:val="nil"/>
                  </w:tcBorders>
                  <w:noWrap w:val="0"/>
                  <w:vAlign w:val="center"/>
                </w:tcPr>
                <w:p w14:paraId="528DF4F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2.68</w:t>
                  </w:r>
                </w:p>
              </w:tc>
            </w:tr>
            <w:tr w14:paraId="0F98D9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1" w:hRule="atLeast"/>
                <w:jc w:val="center"/>
              </w:trPr>
              <w:tc>
                <w:tcPr>
                  <w:tcW w:w="636" w:type="pct"/>
                  <w:vMerge w:val="continue"/>
                  <w:tcBorders>
                    <w:tl2br w:val="nil"/>
                    <w:tr2bl w:val="nil"/>
                  </w:tcBorders>
                  <w:noWrap w:val="0"/>
                  <w:vAlign w:val="center"/>
                </w:tcPr>
                <w:p w14:paraId="29FC875F">
                  <w:pPr>
                    <w:pStyle w:val="98"/>
                    <w:keepNext w:val="0"/>
                    <w:keepLines w:val="0"/>
                    <w:suppressLineNumbers w:val="0"/>
                    <w:spacing w:before="0" w:beforeAutospacing="0" w:after="0" w:afterAutospacing="0" w:line="240" w:lineRule="auto"/>
                    <w:ind w:left="0" w:right="0"/>
                    <w:jc w:val="center"/>
                    <w:rPr>
                      <w:rFonts w:hint="eastAsia" w:cs="Times New Roman"/>
                      <w:b w:val="0"/>
                      <w:bCs w:val="0"/>
                      <w:color w:val="auto"/>
                      <w:sz w:val="21"/>
                      <w:szCs w:val="21"/>
                      <w:lang w:val="en-US" w:eastAsia="zh-CN"/>
                    </w:rPr>
                  </w:pPr>
                </w:p>
              </w:tc>
              <w:tc>
                <w:tcPr>
                  <w:tcW w:w="501" w:type="pct"/>
                  <w:vMerge w:val="continue"/>
                  <w:tcBorders>
                    <w:tl2br w:val="nil"/>
                    <w:tr2bl w:val="nil"/>
                  </w:tcBorders>
                  <w:noWrap w:val="0"/>
                  <w:vAlign w:val="center"/>
                </w:tcPr>
                <w:p w14:paraId="029D42A9">
                  <w:pPr>
                    <w:pStyle w:val="9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lang w:val="en-US" w:eastAsia="zh-CN"/>
                    </w:rPr>
                  </w:pPr>
                </w:p>
              </w:tc>
              <w:tc>
                <w:tcPr>
                  <w:tcW w:w="536" w:type="pct"/>
                  <w:vMerge w:val="continue"/>
                  <w:tcBorders>
                    <w:tl2br w:val="nil"/>
                    <w:tr2bl w:val="nil"/>
                  </w:tcBorders>
                  <w:noWrap w:val="0"/>
                  <w:vAlign w:val="center"/>
                </w:tcPr>
                <w:p w14:paraId="5B4DFB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19" w:type="pct"/>
                  <w:vMerge w:val="continue"/>
                  <w:tcBorders>
                    <w:tl2br w:val="nil"/>
                    <w:tr2bl w:val="nil"/>
                  </w:tcBorders>
                  <w:noWrap w:val="0"/>
                  <w:vAlign w:val="center"/>
                </w:tcPr>
                <w:p w14:paraId="0D3BD5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02" w:type="pct"/>
                  <w:vMerge w:val="continue"/>
                  <w:tcBorders>
                    <w:tl2br w:val="nil"/>
                    <w:tr2bl w:val="nil"/>
                  </w:tcBorders>
                  <w:noWrap w:val="0"/>
                  <w:vAlign w:val="center"/>
                </w:tcPr>
                <w:p w14:paraId="51C126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61" w:type="pct"/>
                  <w:vMerge w:val="continue"/>
                  <w:tcBorders>
                    <w:tl2br w:val="nil"/>
                    <w:tr2bl w:val="nil"/>
                  </w:tcBorders>
                  <w:noWrap w:val="0"/>
                  <w:vAlign w:val="center"/>
                </w:tcPr>
                <w:p w14:paraId="121176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61" w:type="pct"/>
                  <w:vMerge w:val="continue"/>
                  <w:tcBorders>
                    <w:tl2br w:val="nil"/>
                    <w:tr2bl w:val="nil"/>
                  </w:tcBorders>
                  <w:noWrap w:val="0"/>
                  <w:vAlign w:val="center"/>
                </w:tcPr>
                <w:p w14:paraId="28DF8E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79" w:type="pct"/>
                  <w:gridSpan w:val="3"/>
                  <w:tcBorders>
                    <w:tl2br w:val="nil"/>
                    <w:tr2bl w:val="nil"/>
                  </w:tcBorders>
                  <w:noWrap w:val="0"/>
                  <w:vAlign w:val="center"/>
                </w:tcPr>
                <w:p w14:paraId="632A83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无组织：0.012t/a，0.05kg/h</w:t>
                  </w:r>
                </w:p>
              </w:tc>
            </w:tr>
            <w:tr w14:paraId="6E491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4" w:hRule="exact"/>
                <w:jc w:val="center"/>
              </w:trPr>
              <w:tc>
                <w:tcPr>
                  <w:tcW w:w="636" w:type="pct"/>
                  <w:vMerge w:val="restart"/>
                  <w:tcBorders>
                    <w:tl2br w:val="nil"/>
                    <w:tr2bl w:val="nil"/>
                  </w:tcBorders>
                  <w:noWrap w:val="0"/>
                  <w:vAlign w:val="center"/>
                </w:tcPr>
                <w:p w14:paraId="7EBFC738">
                  <w:pPr>
                    <w:pStyle w:val="98"/>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锅炉</w:t>
                  </w:r>
                </w:p>
              </w:tc>
              <w:tc>
                <w:tcPr>
                  <w:tcW w:w="501" w:type="pct"/>
                  <w:tcBorders>
                    <w:tl2br w:val="nil"/>
                    <w:tr2bl w:val="nil"/>
                  </w:tcBorders>
                  <w:noWrap w:val="0"/>
                  <w:vAlign w:val="center"/>
                </w:tcPr>
                <w:p w14:paraId="5D90D5EE">
                  <w:pPr>
                    <w:pStyle w:val="9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烟尘</w:t>
                  </w:r>
                </w:p>
              </w:tc>
              <w:tc>
                <w:tcPr>
                  <w:tcW w:w="925" w:type="dxa"/>
                  <w:tcBorders>
                    <w:tl2br w:val="nil"/>
                    <w:tr2bl w:val="nil"/>
                  </w:tcBorders>
                  <w:noWrap w:val="0"/>
                  <w:vAlign w:val="center"/>
                </w:tcPr>
                <w:p w14:paraId="7A4CDC0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76.704</w:t>
                  </w:r>
                </w:p>
              </w:tc>
              <w:tc>
                <w:tcPr>
                  <w:tcW w:w="724" w:type="dxa"/>
                  <w:tcBorders>
                    <w:tl2br w:val="nil"/>
                    <w:tr2bl w:val="nil"/>
                  </w:tcBorders>
                  <w:noWrap w:val="0"/>
                  <w:vAlign w:val="center"/>
                </w:tcPr>
                <w:p w14:paraId="4A8D3BF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31.96</w:t>
                  </w:r>
                </w:p>
              </w:tc>
              <w:tc>
                <w:tcPr>
                  <w:tcW w:w="502" w:type="pct"/>
                  <w:tcBorders>
                    <w:tl2br w:val="nil"/>
                    <w:tr2bl w:val="nil"/>
                  </w:tcBorders>
                  <w:noWrap w:val="0"/>
                  <w:vAlign w:val="center"/>
                </w:tcPr>
                <w:p w14:paraId="3E55A7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6025.64</w:t>
                  </w:r>
                </w:p>
              </w:tc>
              <w:tc>
                <w:tcPr>
                  <w:tcW w:w="461" w:type="pct"/>
                  <w:vMerge w:val="restart"/>
                  <w:tcBorders>
                    <w:tl2br w:val="nil"/>
                    <w:tr2bl w:val="nil"/>
                  </w:tcBorders>
                  <w:noWrap w:val="0"/>
                  <w:vAlign w:val="center"/>
                </w:tcPr>
                <w:p w14:paraId="07CD0BA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61" w:type="pct"/>
                  <w:tcBorders>
                    <w:tl2br w:val="nil"/>
                    <w:tr2bl w:val="nil"/>
                  </w:tcBorders>
                  <w:noWrap w:val="0"/>
                  <w:vAlign w:val="center"/>
                </w:tcPr>
                <w:p w14:paraId="0570D8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0.99</w:t>
                  </w:r>
                  <w:r>
                    <w:rPr>
                      <w:rFonts w:hint="eastAsia" w:cs="Times New Roman"/>
                      <w:i w:val="0"/>
                      <w:iCs w:val="0"/>
                      <w:color w:val="auto"/>
                      <w:kern w:val="0"/>
                      <w:sz w:val="21"/>
                      <w:szCs w:val="21"/>
                      <w:u w:val="none"/>
                      <w:lang w:val="en-US" w:eastAsia="zh-CN" w:bidi="ar"/>
                    </w:rPr>
                    <w:t>6</w:t>
                  </w:r>
                </w:p>
              </w:tc>
              <w:tc>
                <w:tcPr>
                  <w:tcW w:w="824" w:type="dxa"/>
                  <w:tcBorders>
                    <w:tl2br w:val="nil"/>
                    <w:tr2bl w:val="nil"/>
                  </w:tcBorders>
                  <w:noWrap w:val="0"/>
                  <w:vAlign w:val="center"/>
                </w:tcPr>
                <w:p w14:paraId="2747544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0.307 </w:t>
                  </w:r>
                </w:p>
              </w:tc>
              <w:tc>
                <w:tcPr>
                  <w:tcW w:w="824" w:type="dxa"/>
                  <w:tcBorders>
                    <w:tl2br w:val="nil"/>
                    <w:tr2bl w:val="nil"/>
                  </w:tcBorders>
                  <w:noWrap w:val="0"/>
                  <w:vAlign w:val="center"/>
                </w:tcPr>
                <w:p w14:paraId="08BA0E8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0.128 </w:t>
                  </w:r>
                </w:p>
              </w:tc>
              <w:tc>
                <w:tcPr>
                  <w:tcW w:w="524" w:type="pct"/>
                  <w:tcBorders>
                    <w:tl2br w:val="nil"/>
                    <w:tr2bl w:val="nil"/>
                  </w:tcBorders>
                  <w:noWrap w:val="0"/>
                  <w:vAlign w:val="center"/>
                </w:tcPr>
                <w:p w14:paraId="56E55BF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24.10 </w:t>
                  </w:r>
                </w:p>
              </w:tc>
            </w:tr>
            <w:tr w14:paraId="147A7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4" w:hRule="exact"/>
                <w:jc w:val="center"/>
              </w:trPr>
              <w:tc>
                <w:tcPr>
                  <w:tcW w:w="636" w:type="pct"/>
                  <w:vMerge w:val="continue"/>
                  <w:tcBorders>
                    <w:tl2br w:val="nil"/>
                    <w:tr2bl w:val="nil"/>
                  </w:tcBorders>
                  <w:noWrap w:val="0"/>
                  <w:vAlign w:val="center"/>
                </w:tcPr>
                <w:p w14:paraId="5B4A6BBC">
                  <w:pPr>
                    <w:pStyle w:val="98"/>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p>
              </w:tc>
              <w:tc>
                <w:tcPr>
                  <w:tcW w:w="501" w:type="pct"/>
                  <w:tcBorders>
                    <w:tl2br w:val="nil"/>
                    <w:tr2bl w:val="nil"/>
                  </w:tcBorders>
                  <w:noWrap w:val="0"/>
                  <w:vAlign w:val="center"/>
                </w:tcPr>
                <w:p w14:paraId="3CDFAA35">
                  <w:pPr>
                    <w:pStyle w:val="9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SO</w:t>
                  </w:r>
                  <w:r>
                    <w:rPr>
                      <w:rFonts w:hint="default" w:ascii="Times New Roman" w:hAnsi="Times New Roman" w:cs="Times New Roman"/>
                      <w:b w:val="0"/>
                      <w:bCs w:val="0"/>
                      <w:color w:val="auto"/>
                      <w:sz w:val="21"/>
                      <w:szCs w:val="21"/>
                      <w:vertAlign w:val="subscript"/>
                      <w:lang w:val="en-US" w:eastAsia="zh-CN"/>
                    </w:rPr>
                    <w:t>2</w:t>
                  </w:r>
                </w:p>
              </w:tc>
              <w:tc>
                <w:tcPr>
                  <w:tcW w:w="925" w:type="dxa"/>
                  <w:tcBorders>
                    <w:tl2br w:val="nil"/>
                    <w:tr2bl w:val="nil"/>
                  </w:tcBorders>
                  <w:noWrap w:val="0"/>
                  <w:vAlign w:val="center"/>
                </w:tcPr>
                <w:p w14:paraId="6B4FD86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0.6936</w:t>
                  </w:r>
                </w:p>
              </w:tc>
              <w:tc>
                <w:tcPr>
                  <w:tcW w:w="724" w:type="dxa"/>
                  <w:tcBorders>
                    <w:tl2br w:val="nil"/>
                    <w:tr2bl w:val="nil"/>
                  </w:tcBorders>
                  <w:noWrap w:val="0"/>
                  <w:vAlign w:val="center"/>
                </w:tcPr>
                <w:p w14:paraId="7532C9F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0.289</w:t>
                  </w:r>
                </w:p>
              </w:tc>
              <w:tc>
                <w:tcPr>
                  <w:tcW w:w="502" w:type="pct"/>
                  <w:tcBorders>
                    <w:tl2br w:val="nil"/>
                    <w:tr2bl w:val="nil"/>
                  </w:tcBorders>
                  <w:noWrap w:val="0"/>
                  <w:vAlign w:val="center"/>
                </w:tcPr>
                <w:p w14:paraId="258ADEC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54.49</w:t>
                  </w:r>
                </w:p>
              </w:tc>
              <w:tc>
                <w:tcPr>
                  <w:tcW w:w="461" w:type="pct"/>
                  <w:vMerge w:val="continue"/>
                  <w:tcBorders>
                    <w:tl2br w:val="nil"/>
                    <w:tr2bl w:val="nil"/>
                  </w:tcBorders>
                  <w:noWrap w:val="0"/>
                  <w:vAlign w:val="center"/>
                </w:tcPr>
                <w:p w14:paraId="359D586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61" w:type="pct"/>
                  <w:tcBorders>
                    <w:tl2br w:val="nil"/>
                    <w:tr2bl w:val="nil"/>
                  </w:tcBorders>
                  <w:noWrap w:val="0"/>
                  <w:vAlign w:val="center"/>
                </w:tcPr>
                <w:p w14:paraId="5428678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w:t>
                  </w:r>
                </w:p>
              </w:tc>
              <w:tc>
                <w:tcPr>
                  <w:tcW w:w="824" w:type="dxa"/>
                  <w:tcBorders>
                    <w:tl2br w:val="nil"/>
                    <w:tr2bl w:val="nil"/>
                  </w:tcBorders>
                  <w:noWrap w:val="0"/>
                  <w:vAlign w:val="center"/>
                </w:tcPr>
                <w:p w14:paraId="6AF2DED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0.694 </w:t>
                  </w:r>
                </w:p>
              </w:tc>
              <w:tc>
                <w:tcPr>
                  <w:tcW w:w="824" w:type="dxa"/>
                  <w:tcBorders>
                    <w:tl2br w:val="nil"/>
                    <w:tr2bl w:val="nil"/>
                  </w:tcBorders>
                  <w:noWrap w:val="0"/>
                  <w:vAlign w:val="center"/>
                </w:tcPr>
                <w:p w14:paraId="5206E7D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0.289 </w:t>
                  </w:r>
                </w:p>
              </w:tc>
              <w:tc>
                <w:tcPr>
                  <w:tcW w:w="524" w:type="pct"/>
                  <w:tcBorders>
                    <w:tl2br w:val="nil"/>
                    <w:tr2bl w:val="nil"/>
                  </w:tcBorders>
                  <w:noWrap w:val="0"/>
                  <w:vAlign w:val="center"/>
                </w:tcPr>
                <w:p w14:paraId="1BE371F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54.49 </w:t>
                  </w:r>
                </w:p>
              </w:tc>
            </w:tr>
            <w:tr w14:paraId="6B270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4" w:hRule="exact"/>
                <w:jc w:val="center"/>
              </w:trPr>
              <w:tc>
                <w:tcPr>
                  <w:tcW w:w="636" w:type="pct"/>
                  <w:vMerge w:val="continue"/>
                  <w:tcBorders>
                    <w:tl2br w:val="nil"/>
                    <w:tr2bl w:val="nil"/>
                  </w:tcBorders>
                  <w:noWrap w:val="0"/>
                  <w:vAlign w:val="center"/>
                </w:tcPr>
                <w:p w14:paraId="71030452">
                  <w:pPr>
                    <w:pStyle w:val="98"/>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p>
              </w:tc>
              <w:tc>
                <w:tcPr>
                  <w:tcW w:w="501" w:type="pct"/>
                  <w:tcBorders>
                    <w:tl2br w:val="nil"/>
                    <w:tr2bl w:val="nil"/>
                  </w:tcBorders>
                  <w:noWrap w:val="0"/>
                  <w:vAlign w:val="center"/>
                </w:tcPr>
                <w:p w14:paraId="11495AFF">
                  <w:pPr>
                    <w:pStyle w:val="9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NOx</w:t>
                  </w:r>
                </w:p>
              </w:tc>
              <w:tc>
                <w:tcPr>
                  <w:tcW w:w="925" w:type="dxa"/>
                  <w:tcBorders>
                    <w:tl2br w:val="nil"/>
                    <w:tr2bl w:val="nil"/>
                  </w:tcBorders>
                  <w:noWrap w:val="0"/>
                  <w:vAlign w:val="center"/>
                </w:tcPr>
                <w:p w14:paraId="4A3CDC4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2.0808</w:t>
                  </w:r>
                </w:p>
              </w:tc>
              <w:tc>
                <w:tcPr>
                  <w:tcW w:w="724" w:type="dxa"/>
                  <w:tcBorders>
                    <w:tl2br w:val="nil"/>
                    <w:tr2bl w:val="nil"/>
                  </w:tcBorders>
                  <w:noWrap w:val="0"/>
                  <w:vAlign w:val="center"/>
                </w:tcPr>
                <w:p w14:paraId="4EC2722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0.867</w:t>
                  </w:r>
                </w:p>
              </w:tc>
              <w:tc>
                <w:tcPr>
                  <w:tcW w:w="502" w:type="pct"/>
                  <w:tcBorders>
                    <w:tl2br w:val="nil"/>
                    <w:tr2bl w:val="nil"/>
                  </w:tcBorders>
                  <w:noWrap w:val="0"/>
                  <w:vAlign w:val="center"/>
                </w:tcPr>
                <w:p w14:paraId="6D35E55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163.46</w:t>
                  </w:r>
                </w:p>
              </w:tc>
              <w:tc>
                <w:tcPr>
                  <w:tcW w:w="461" w:type="pct"/>
                  <w:vMerge w:val="continue"/>
                  <w:tcBorders>
                    <w:tl2br w:val="nil"/>
                    <w:tr2bl w:val="nil"/>
                  </w:tcBorders>
                  <w:noWrap w:val="0"/>
                  <w:vAlign w:val="center"/>
                </w:tcPr>
                <w:p w14:paraId="66261CC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61" w:type="pct"/>
                  <w:tcBorders>
                    <w:tl2br w:val="nil"/>
                    <w:tr2bl w:val="nil"/>
                  </w:tcBorders>
                  <w:noWrap w:val="0"/>
                  <w:vAlign w:val="center"/>
                </w:tcPr>
                <w:p w14:paraId="789E8B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824" w:type="dxa"/>
                  <w:tcBorders>
                    <w:tl2br w:val="nil"/>
                    <w:tr2bl w:val="nil"/>
                  </w:tcBorders>
                  <w:noWrap w:val="0"/>
                  <w:vAlign w:val="center"/>
                </w:tcPr>
                <w:p w14:paraId="179190E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1.769 </w:t>
                  </w:r>
                </w:p>
              </w:tc>
              <w:tc>
                <w:tcPr>
                  <w:tcW w:w="824" w:type="dxa"/>
                  <w:tcBorders>
                    <w:tl2br w:val="nil"/>
                    <w:tr2bl w:val="nil"/>
                  </w:tcBorders>
                  <w:noWrap w:val="0"/>
                  <w:vAlign w:val="center"/>
                </w:tcPr>
                <w:p w14:paraId="47E2F42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0.737 </w:t>
                  </w:r>
                </w:p>
              </w:tc>
              <w:tc>
                <w:tcPr>
                  <w:tcW w:w="524" w:type="pct"/>
                  <w:tcBorders>
                    <w:tl2br w:val="nil"/>
                    <w:tr2bl w:val="nil"/>
                  </w:tcBorders>
                  <w:noWrap w:val="0"/>
                  <w:vAlign w:val="center"/>
                </w:tcPr>
                <w:p w14:paraId="4519FEB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138.94 </w:t>
                  </w:r>
                </w:p>
              </w:tc>
            </w:tr>
          </w:tbl>
          <w:p w14:paraId="772A9CD0">
            <w:pPr>
              <w:keepNext w:val="0"/>
              <w:keepLines w:val="0"/>
              <w:suppressLineNumbers w:val="0"/>
              <w:spacing w:before="0" w:beforeAutospacing="0" w:after="0" w:afterAutospacing="0" w:line="360" w:lineRule="auto"/>
              <w:ind w:left="0" w:right="0" w:firstLine="482" w:firstLineChars="200"/>
              <w:rPr>
                <w:rFonts w:hint="eastAsia" w:cs="Times New Roman"/>
                <w:b/>
                <w:bCs/>
                <w:color w:val="auto"/>
                <w:sz w:val="24"/>
                <w:szCs w:val="20"/>
                <w:lang w:val="en-US" w:eastAsia="zh-CN"/>
              </w:rPr>
            </w:pPr>
            <w:r>
              <w:rPr>
                <w:rFonts w:hint="eastAsia" w:cs="Times New Roman"/>
                <w:b/>
                <w:bCs/>
                <w:color w:val="auto"/>
                <w:sz w:val="24"/>
                <w:szCs w:val="20"/>
                <w:lang w:val="en-US" w:eastAsia="zh-CN"/>
              </w:rPr>
              <w:t>5、异味</w:t>
            </w:r>
          </w:p>
          <w:p w14:paraId="3857A91B">
            <w:pPr>
              <w:keepNext w:val="0"/>
              <w:keepLines w:val="0"/>
              <w:suppressLineNumbers w:val="0"/>
              <w:spacing w:before="0" w:beforeAutospacing="0" w:after="0" w:afterAutospacing="0" w:line="360" w:lineRule="auto"/>
              <w:ind w:left="0" w:right="0" w:firstLine="480" w:firstLineChars="200"/>
              <w:rPr>
                <w:rFonts w:hint="default" w:cs="Times New Roman"/>
                <w:b/>
                <w:bCs/>
                <w:color w:val="auto"/>
                <w:sz w:val="24"/>
                <w:szCs w:val="20"/>
                <w:lang w:val="en-US" w:eastAsia="zh-CN"/>
              </w:rPr>
            </w:pPr>
            <w:r>
              <w:rPr>
                <w:rFonts w:hint="eastAsia" w:ascii="Times New Roman" w:hAnsi="Times New Roman" w:cs="Times New Roman"/>
                <w:color w:val="auto"/>
                <w:kern w:val="0"/>
                <w:lang w:val="en-US" w:eastAsia="zh-CN" w:bidi="ar"/>
              </w:rPr>
              <w:t>各种植物油都有本身特有的风味，本项目</w:t>
            </w:r>
            <w:r>
              <w:rPr>
                <w:rFonts w:hint="eastAsia" w:cs="Times New Roman"/>
                <w:color w:val="auto"/>
                <w:kern w:val="0"/>
                <w:lang w:val="en-US" w:eastAsia="zh-CN" w:bidi="ar"/>
              </w:rPr>
              <w:t>柏木油</w:t>
            </w:r>
            <w:r>
              <w:rPr>
                <w:rFonts w:hint="eastAsia" w:ascii="Times New Roman" w:hAnsi="Times New Roman" w:cs="Times New Roman"/>
                <w:color w:val="auto"/>
                <w:kern w:val="0"/>
                <w:lang w:val="en-US" w:eastAsia="zh-CN" w:bidi="ar"/>
              </w:rPr>
              <w:t>产品具有</w:t>
            </w:r>
            <w:r>
              <w:rPr>
                <w:rFonts w:hint="eastAsia" w:cs="Times New Roman"/>
                <w:color w:val="auto"/>
                <w:kern w:val="0"/>
                <w:lang w:val="en-US" w:eastAsia="zh-CN" w:bidi="ar"/>
              </w:rPr>
              <w:t>淡雅的</w:t>
            </w:r>
            <w:r>
              <w:rPr>
                <w:rFonts w:hint="eastAsia" w:ascii="Times New Roman" w:hAnsi="Times New Roman" w:cs="Times New Roman"/>
                <w:color w:val="auto"/>
                <w:kern w:val="0"/>
                <w:lang w:val="en-US" w:eastAsia="zh-CN" w:bidi="ar"/>
              </w:rPr>
              <w:t>木质香气，略带膏香，香气持久‌。它的主要成分是柏木脑、α-柏木烯、β-柏木烯、罗汉柏烯等。</w:t>
            </w:r>
            <w:r>
              <w:rPr>
                <w:rFonts w:hint="eastAsia" w:cs="Times New Roman"/>
                <w:color w:val="auto"/>
                <w:kern w:val="0"/>
                <w:lang w:val="en-US" w:eastAsia="zh-CN" w:bidi="ar"/>
              </w:rPr>
              <w:t>项目</w:t>
            </w:r>
            <w:r>
              <w:rPr>
                <w:rFonts w:hint="eastAsia" w:ascii="Times New Roman" w:hAnsi="Times New Roman" w:cs="Times New Roman"/>
                <w:color w:val="auto"/>
                <w:kern w:val="0"/>
                <w:lang w:val="en-US" w:eastAsia="zh-CN" w:bidi="ar"/>
              </w:rPr>
              <w:t>原料在密闭的</w:t>
            </w:r>
            <w:r>
              <w:rPr>
                <w:rFonts w:hint="eastAsia" w:cs="Times New Roman"/>
                <w:color w:val="auto"/>
                <w:kern w:val="0"/>
                <w:lang w:val="en-US" w:eastAsia="zh-CN" w:bidi="ar"/>
              </w:rPr>
              <w:t>蒸馏釜进行蒸馏，密闭冷凝器中进行</w:t>
            </w:r>
            <w:r>
              <w:rPr>
                <w:rFonts w:hint="eastAsia" w:ascii="Times New Roman" w:hAnsi="Times New Roman" w:cs="Times New Roman"/>
                <w:color w:val="auto"/>
                <w:kern w:val="0"/>
                <w:lang w:val="en-US" w:eastAsia="zh-CN" w:bidi="ar"/>
              </w:rPr>
              <w:t>冷却，在沉淀槽中进行油水分离，</w:t>
            </w:r>
            <w:r>
              <w:rPr>
                <w:rFonts w:hint="eastAsia" w:cs="Times New Roman"/>
                <w:color w:val="auto"/>
                <w:kern w:val="0"/>
                <w:lang w:val="en-US" w:eastAsia="zh-CN" w:bidi="ar"/>
              </w:rPr>
              <w:t>挥发成分经集气罩收集后两级活性炭吸附处理，活性炭对异味有一定的吸附效果。且项目周边200m范围内无住户等敏感点存在，道路旁有防护绿化带，</w:t>
            </w:r>
            <w:r>
              <w:rPr>
                <w:rFonts w:hint="eastAsia" w:ascii="Times New Roman" w:hAnsi="Times New Roman" w:cs="Times New Roman"/>
                <w:color w:val="auto"/>
                <w:kern w:val="0"/>
                <w:lang w:val="en-US" w:eastAsia="zh-CN" w:bidi="ar"/>
              </w:rPr>
              <w:t>不会对周边居民造成影响</w:t>
            </w:r>
            <w:r>
              <w:rPr>
                <w:rFonts w:hint="eastAsia" w:cs="Times New Roman"/>
                <w:color w:val="auto"/>
                <w:kern w:val="0"/>
                <w:lang w:val="en-US" w:eastAsia="zh-CN" w:bidi="ar"/>
              </w:rPr>
              <w:t>。</w:t>
            </w:r>
          </w:p>
          <w:p w14:paraId="5B15124E">
            <w:pPr>
              <w:keepNext w:val="0"/>
              <w:keepLines w:val="0"/>
              <w:suppressLineNumbers w:val="0"/>
              <w:spacing w:before="0" w:beforeAutospacing="0" w:after="0" w:afterAutospacing="0" w:line="360" w:lineRule="auto"/>
              <w:ind w:left="0" w:right="0" w:firstLine="482" w:firstLineChars="200"/>
              <w:rPr>
                <w:rFonts w:hint="eastAsia" w:ascii="宋体" w:hAnsi="宋体" w:eastAsia="宋体" w:cs="Times New Roman"/>
                <w:b/>
                <w:bCs/>
                <w:color w:val="auto"/>
                <w:sz w:val="24"/>
                <w:szCs w:val="20"/>
                <w:lang w:eastAsia="zh-CN"/>
              </w:rPr>
            </w:pPr>
            <w:r>
              <w:rPr>
                <w:rFonts w:hint="eastAsia" w:cs="Times New Roman"/>
                <w:b/>
                <w:bCs/>
                <w:color w:val="auto"/>
                <w:sz w:val="24"/>
                <w:szCs w:val="20"/>
                <w:lang w:val="en-US" w:eastAsia="zh-CN"/>
              </w:rPr>
              <w:t>6</w:t>
            </w:r>
            <w:r>
              <w:rPr>
                <w:rFonts w:hint="default" w:ascii="Times New Roman" w:hAnsi="Times New Roman" w:eastAsia="宋体" w:cs="Times New Roman"/>
                <w:b/>
                <w:bCs/>
                <w:color w:val="auto"/>
                <w:sz w:val="24"/>
                <w:szCs w:val="20"/>
                <w:lang w:val="en-US" w:eastAsia="zh-CN"/>
              </w:rPr>
              <w:t>、废气</w:t>
            </w:r>
            <w:r>
              <w:rPr>
                <w:rFonts w:hint="eastAsia" w:ascii="宋体" w:hAnsi="宋体" w:eastAsia="宋体" w:cs="Times New Roman"/>
                <w:b/>
                <w:bCs/>
                <w:color w:val="auto"/>
                <w:sz w:val="24"/>
                <w:szCs w:val="20"/>
                <w:lang w:eastAsia="zh-CN"/>
              </w:rPr>
              <w:t>治理措施可行性分析</w:t>
            </w:r>
          </w:p>
          <w:p w14:paraId="0FD9E769">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auto"/>
                <w:sz w:val="24"/>
                <w:szCs w:val="20"/>
                <w:lang w:eastAsia="zh-CN"/>
              </w:rPr>
            </w:pPr>
            <w:r>
              <w:rPr>
                <w:rFonts w:hint="eastAsia" w:ascii="Times New Roman" w:hAnsi="Times New Roman" w:cs="Times New Roman"/>
                <w:color w:val="auto"/>
                <w:lang w:val="en-US" w:eastAsia="zh-CN"/>
              </w:rPr>
              <w:t>项目原料堆场设置于室内，</w:t>
            </w:r>
            <w:r>
              <w:rPr>
                <w:rFonts w:hint="eastAsia" w:cs="Times New Roman"/>
                <w:color w:val="auto"/>
                <w:lang w:val="en-US" w:eastAsia="zh-CN"/>
              </w:rPr>
              <w:t>破碎机破碎</w:t>
            </w:r>
            <w:r>
              <w:rPr>
                <w:rFonts w:hint="eastAsia" w:ascii="Times New Roman" w:hAnsi="Times New Roman" w:cs="Times New Roman"/>
                <w:color w:val="auto"/>
                <w:lang w:val="en-US" w:eastAsia="zh-CN"/>
              </w:rPr>
              <w:t>粉尘经布袋除尘器处理后15m高</w:t>
            </w:r>
            <w:r>
              <w:rPr>
                <w:rFonts w:hint="eastAsia" w:cs="Times New Roman"/>
                <w:color w:val="auto"/>
                <w:lang w:val="en-US" w:eastAsia="zh-CN"/>
              </w:rPr>
              <w:t>1#排气筒</w:t>
            </w:r>
            <w:r>
              <w:rPr>
                <w:rFonts w:hint="eastAsia" w:ascii="Times New Roman" w:hAnsi="Times New Roman" w:cs="Times New Roman"/>
                <w:color w:val="auto"/>
                <w:lang w:val="en-US" w:eastAsia="zh-CN"/>
              </w:rPr>
              <w:t>排放</w:t>
            </w:r>
            <w:r>
              <w:rPr>
                <w:rFonts w:hint="eastAsia" w:cs="Times New Roman"/>
                <w:color w:val="auto"/>
                <w:lang w:val="en-US" w:eastAsia="zh-CN"/>
              </w:rPr>
              <w:t>；木片</w:t>
            </w:r>
            <w:r>
              <w:rPr>
                <w:rFonts w:hint="eastAsia" w:ascii="Times New Roman" w:hAnsi="Times New Roman" w:cs="Times New Roman"/>
                <w:color w:val="auto"/>
                <w:lang w:val="en-US" w:eastAsia="zh-CN"/>
              </w:rPr>
              <w:t>采用料仓进料，密闭输送带输送，</w:t>
            </w:r>
            <w:r>
              <w:rPr>
                <w:rFonts w:hint="eastAsia" w:cs="Times New Roman"/>
                <w:color w:val="auto"/>
                <w:lang w:val="en-US" w:eastAsia="zh-CN"/>
              </w:rPr>
              <w:t>粉碎</w:t>
            </w:r>
            <w:r>
              <w:rPr>
                <w:rFonts w:hint="eastAsia" w:ascii="Times New Roman" w:hAnsi="Times New Roman" w:cs="Times New Roman"/>
                <w:color w:val="auto"/>
                <w:lang w:val="en-US" w:eastAsia="zh-CN"/>
              </w:rPr>
              <w:t>粉尘经布袋除尘器处理后15m高</w:t>
            </w:r>
            <w:r>
              <w:rPr>
                <w:rFonts w:hint="eastAsia" w:cs="Times New Roman"/>
                <w:color w:val="auto"/>
                <w:lang w:val="en-US" w:eastAsia="zh-CN"/>
              </w:rPr>
              <w:t>2#排气筒</w:t>
            </w:r>
            <w:r>
              <w:rPr>
                <w:rFonts w:hint="eastAsia" w:ascii="Times New Roman" w:hAnsi="Times New Roman" w:cs="Times New Roman"/>
                <w:color w:val="auto"/>
                <w:lang w:val="en-US" w:eastAsia="zh-CN"/>
              </w:rPr>
              <w:t>排放</w:t>
            </w:r>
            <w:r>
              <w:rPr>
                <w:rFonts w:hint="eastAsia" w:ascii="Times New Roman" w:hAnsi="Times New Roman" w:cs="Times New Roman"/>
                <w:color w:val="auto"/>
                <w:kern w:val="0"/>
                <w:lang w:val="en-US" w:eastAsia="zh-CN" w:bidi="ar"/>
              </w:rPr>
              <w:t>；有机废气两级活性炭吸附处理后15m高</w:t>
            </w:r>
            <w:r>
              <w:rPr>
                <w:rFonts w:hint="eastAsia" w:cs="Times New Roman"/>
                <w:color w:val="auto"/>
                <w:kern w:val="0"/>
                <w:lang w:val="en-US" w:eastAsia="zh-CN" w:bidi="ar"/>
              </w:rPr>
              <w:t>3#排气筒</w:t>
            </w:r>
            <w:r>
              <w:rPr>
                <w:rFonts w:hint="eastAsia" w:ascii="Times New Roman" w:hAnsi="Times New Roman" w:cs="Times New Roman"/>
                <w:color w:val="auto"/>
                <w:kern w:val="0"/>
                <w:lang w:val="en-US" w:eastAsia="zh-CN" w:bidi="ar"/>
              </w:rPr>
              <w:t>排放；锅炉采用低氮燃烧，废气经</w:t>
            </w:r>
            <w:r>
              <w:rPr>
                <w:rFonts w:hint="eastAsia" w:cs="Times New Roman"/>
                <w:color w:val="auto"/>
                <w:kern w:val="0"/>
                <w:lang w:val="en-US" w:eastAsia="zh-CN" w:bidi="ar"/>
              </w:rPr>
              <w:t>多管旋风+布袋除尘器</w:t>
            </w:r>
            <w:r>
              <w:rPr>
                <w:rFonts w:hint="eastAsia" w:ascii="Times New Roman" w:hAnsi="Times New Roman" w:cs="Times New Roman"/>
                <w:color w:val="auto"/>
                <w:kern w:val="0"/>
                <w:lang w:val="en-US" w:eastAsia="zh-CN" w:bidi="ar"/>
              </w:rPr>
              <w:t>处理后15m高</w:t>
            </w:r>
            <w:r>
              <w:rPr>
                <w:rFonts w:hint="eastAsia" w:cs="Times New Roman"/>
                <w:color w:val="auto"/>
                <w:kern w:val="0"/>
                <w:lang w:val="en-US" w:eastAsia="zh-CN" w:bidi="ar"/>
              </w:rPr>
              <w:t>4#排气筒</w:t>
            </w:r>
            <w:r>
              <w:rPr>
                <w:rFonts w:hint="eastAsia" w:ascii="Times New Roman" w:hAnsi="Times New Roman" w:cs="Times New Roman"/>
                <w:color w:val="auto"/>
                <w:kern w:val="0"/>
                <w:lang w:val="en-US" w:eastAsia="zh-CN" w:bidi="ar"/>
              </w:rPr>
              <w:t>排放。</w:t>
            </w:r>
            <w:r>
              <w:rPr>
                <w:rFonts w:hint="eastAsia" w:ascii="Times New Roman" w:hAnsi="Times New Roman" w:eastAsia="宋体" w:cs="Times New Roman"/>
                <w:color w:val="auto"/>
                <w:lang w:val="en-US" w:eastAsia="zh-CN"/>
              </w:rPr>
              <w:t>根据《排污许可证申请与核发技术规范 专用化学产品制造工业》（HJ1103-2020）</w:t>
            </w:r>
            <w:r>
              <w:rPr>
                <w:rFonts w:hint="eastAsia" w:cs="Times New Roman"/>
                <w:color w:val="auto"/>
                <w:lang w:val="en-US" w:eastAsia="zh-CN"/>
              </w:rPr>
              <w:t>、《排污许可证申请与核发技术规范 锅炉》（HJ953-2018）</w:t>
            </w:r>
            <w:r>
              <w:rPr>
                <w:rFonts w:hint="eastAsia" w:ascii="Times New Roman" w:hAnsi="Times New Roman" w:eastAsia="宋体" w:cs="Times New Roman"/>
                <w:color w:val="auto"/>
                <w:lang w:val="en-US" w:eastAsia="zh-CN"/>
              </w:rPr>
              <w:t>，</w:t>
            </w:r>
            <w:r>
              <w:rPr>
                <w:rFonts w:hint="eastAsia" w:ascii="宋体" w:hAnsi="宋体" w:eastAsia="宋体" w:cs="Times New Roman"/>
                <w:color w:val="auto"/>
                <w:sz w:val="24"/>
                <w:szCs w:val="20"/>
              </w:rPr>
              <w:t>废气处理措施</w:t>
            </w:r>
            <w:r>
              <w:rPr>
                <w:rFonts w:hint="eastAsia" w:ascii="宋体" w:hAnsi="宋体" w:eastAsia="宋体" w:cs="Times New Roman"/>
                <w:color w:val="auto"/>
                <w:sz w:val="24"/>
                <w:szCs w:val="20"/>
                <w:lang w:eastAsia="zh-CN"/>
              </w:rPr>
              <w:t>可行性技术</w:t>
            </w:r>
            <w:r>
              <w:rPr>
                <w:rFonts w:hint="eastAsia" w:ascii="宋体" w:hAnsi="宋体" w:eastAsia="宋体" w:cs="Times New Roman"/>
                <w:color w:val="auto"/>
                <w:sz w:val="24"/>
                <w:szCs w:val="20"/>
              </w:rPr>
              <w:t>如下</w:t>
            </w:r>
            <w:r>
              <w:rPr>
                <w:rFonts w:hint="eastAsia" w:ascii="宋体" w:hAnsi="宋体" w:eastAsia="宋体" w:cs="Times New Roman"/>
                <w:color w:val="auto"/>
                <w:sz w:val="24"/>
                <w:szCs w:val="20"/>
                <w:lang w:eastAsia="zh-CN"/>
              </w:rPr>
              <w:t>。</w:t>
            </w:r>
          </w:p>
          <w:p w14:paraId="592BF6BC">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表</w:t>
            </w:r>
            <w:r>
              <w:rPr>
                <w:rFonts w:hint="eastAsia" w:ascii="Times New Roman" w:hAnsi="Times New Roman" w:eastAsia="宋体" w:cs="Times New Roman"/>
                <w:b/>
                <w:color w:val="auto"/>
                <w:sz w:val="21"/>
                <w:szCs w:val="20"/>
                <w:lang w:val="en-US" w:eastAsia="zh-CN"/>
              </w:rPr>
              <w:t>4-8</w:t>
            </w:r>
            <w:r>
              <w:rPr>
                <w:rFonts w:hint="eastAsia" w:ascii="Times New Roman" w:hAnsi="Times New Roman" w:eastAsia="宋体" w:cs="Times New Roman"/>
                <w:b/>
                <w:color w:val="auto"/>
                <w:sz w:val="21"/>
                <w:szCs w:val="20"/>
              </w:rPr>
              <w:t xml:space="preserve"> 排污单位废气污染防治可行技术参考表</w:t>
            </w:r>
          </w:p>
          <w:tbl>
            <w:tblPr>
              <w:tblStyle w:val="28"/>
              <w:tblW w:w="85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172"/>
              <w:gridCol w:w="1183"/>
              <w:gridCol w:w="966"/>
              <w:gridCol w:w="3098"/>
              <w:gridCol w:w="1055"/>
              <w:gridCol w:w="1055"/>
            </w:tblGrid>
            <w:tr w14:paraId="3291D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90" w:hRule="atLeast"/>
                <w:jc w:val="center"/>
              </w:trPr>
              <w:tc>
                <w:tcPr>
                  <w:tcW w:w="1172" w:type="dxa"/>
                  <w:tcBorders>
                    <w:tl2br w:val="nil"/>
                    <w:tr2bl w:val="nil"/>
                  </w:tcBorders>
                  <w:noWrap w:val="0"/>
                  <w:vAlign w:val="center"/>
                </w:tcPr>
                <w:p w14:paraId="751B15FA">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行业</w:t>
                  </w:r>
                </w:p>
              </w:tc>
              <w:tc>
                <w:tcPr>
                  <w:tcW w:w="1183" w:type="dxa"/>
                  <w:tcBorders>
                    <w:tl2br w:val="nil"/>
                    <w:tr2bl w:val="nil"/>
                  </w:tcBorders>
                  <w:noWrap w:val="0"/>
                  <w:vAlign w:val="center"/>
                </w:tcPr>
                <w:p w14:paraId="6766BC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zh-CN" w:eastAsia="zh-CN" w:bidi="ar"/>
                    </w:rPr>
                  </w:pPr>
                  <w:r>
                    <w:rPr>
                      <w:rFonts w:hint="eastAsia" w:ascii="Times New Roman" w:hAnsi="Times New Roman" w:eastAsia="宋体" w:cs="Times New Roman"/>
                      <w:b w:val="0"/>
                      <w:bCs w:val="0"/>
                      <w:i w:val="0"/>
                      <w:iCs w:val="0"/>
                      <w:color w:val="auto"/>
                      <w:kern w:val="0"/>
                      <w:sz w:val="21"/>
                      <w:szCs w:val="21"/>
                      <w:u w:val="none"/>
                      <w:lang w:val="zh-CN" w:eastAsia="zh-CN" w:bidi="ar"/>
                    </w:rPr>
                    <w:t>污染物种类</w:t>
                  </w:r>
                </w:p>
              </w:tc>
              <w:tc>
                <w:tcPr>
                  <w:tcW w:w="966" w:type="dxa"/>
                  <w:tcBorders>
                    <w:tl2br w:val="nil"/>
                    <w:tr2bl w:val="nil"/>
                  </w:tcBorders>
                  <w:noWrap w:val="0"/>
                  <w:vAlign w:val="center"/>
                </w:tcPr>
                <w:p w14:paraId="2EBA77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zh-CN" w:eastAsia="zh-CN" w:bidi="ar"/>
                    </w:rPr>
                  </w:pPr>
                  <w:r>
                    <w:rPr>
                      <w:rFonts w:hint="eastAsia" w:ascii="Times New Roman" w:hAnsi="Times New Roman" w:eastAsia="宋体" w:cs="Times New Roman"/>
                      <w:b w:val="0"/>
                      <w:bCs w:val="0"/>
                      <w:i w:val="0"/>
                      <w:iCs w:val="0"/>
                      <w:color w:val="auto"/>
                      <w:kern w:val="0"/>
                      <w:sz w:val="21"/>
                      <w:szCs w:val="21"/>
                      <w:u w:val="none"/>
                      <w:lang w:val="zh-CN" w:eastAsia="zh-CN" w:bidi="ar"/>
                    </w:rPr>
                    <w:t>过程控制技术</w:t>
                  </w:r>
                </w:p>
              </w:tc>
              <w:tc>
                <w:tcPr>
                  <w:tcW w:w="3098" w:type="dxa"/>
                  <w:tcBorders>
                    <w:tl2br w:val="nil"/>
                    <w:tr2bl w:val="nil"/>
                  </w:tcBorders>
                  <w:noWrap w:val="0"/>
                  <w:vAlign w:val="center"/>
                </w:tcPr>
                <w:p w14:paraId="41126D4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zh-CN" w:eastAsia="zh-CN" w:bidi="ar"/>
                    </w:rPr>
                  </w:pPr>
                  <w:r>
                    <w:rPr>
                      <w:rFonts w:hint="eastAsia" w:ascii="Times New Roman" w:hAnsi="Times New Roman" w:eastAsia="宋体" w:cs="Times New Roman"/>
                      <w:b w:val="0"/>
                      <w:bCs w:val="0"/>
                      <w:i w:val="0"/>
                      <w:iCs w:val="0"/>
                      <w:color w:val="auto"/>
                      <w:kern w:val="0"/>
                      <w:sz w:val="21"/>
                      <w:szCs w:val="21"/>
                      <w:u w:val="none"/>
                      <w:lang w:val="zh-CN" w:eastAsia="zh-CN" w:bidi="ar"/>
                    </w:rPr>
                    <w:t>可行技术</w:t>
                  </w:r>
                </w:p>
              </w:tc>
              <w:tc>
                <w:tcPr>
                  <w:tcW w:w="1055" w:type="dxa"/>
                  <w:tcBorders>
                    <w:tl2br w:val="nil"/>
                    <w:tr2bl w:val="nil"/>
                  </w:tcBorders>
                  <w:noWrap w:val="0"/>
                  <w:vAlign w:val="center"/>
                </w:tcPr>
                <w:p w14:paraId="1BD35DC4">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r>
                    <w:rPr>
                      <w:rFonts w:hint="eastAsia" w:ascii="Times New Roman" w:hAnsi="Times New Roman" w:eastAsia="宋体" w:cs="Times New Roman"/>
                      <w:b w:val="0"/>
                      <w:bCs w:val="0"/>
                      <w:i w:val="0"/>
                      <w:iCs w:val="0"/>
                      <w:color w:val="auto"/>
                      <w:kern w:val="0"/>
                      <w:sz w:val="21"/>
                      <w:szCs w:val="21"/>
                      <w:u w:val="none"/>
                      <w:lang w:val="zh-CN" w:eastAsia="zh-CN" w:bidi="ar"/>
                    </w:rPr>
                    <w:t>本项目</w:t>
                  </w:r>
                </w:p>
              </w:tc>
              <w:tc>
                <w:tcPr>
                  <w:tcW w:w="1055" w:type="dxa"/>
                  <w:tcBorders>
                    <w:tl2br w:val="nil"/>
                    <w:tr2bl w:val="nil"/>
                  </w:tcBorders>
                  <w:noWrap w:val="0"/>
                  <w:vAlign w:val="center"/>
                </w:tcPr>
                <w:p w14:paraId="7A0891A2">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r>
                    <w:rPr>
                      <w:rFonts w:hint="eastAsia" w:ascii="Times New Roman" w:hAnsi="Times New Roman" w:eastAsia="宋体" w:cs="Times New Roman"/>
                      <w:b w:val="0"/>
                      <w:bCs w:val="0"/>
                      <w:i w:val="0"/>
                      <w:iCs w:val="0"/>
                      <w:color w:val="auto"/>
                      <w:kern w:val="0"/>
                      <w:sz w:val="21"/>
                      <w:szCs w:val="21"/>
                      <w:u w:val="none"/>
                      <w:lang w:val="zh-CN" w:eastAsia="zh-CN" w:bidi="ar"/>
                    </w:rPr>
                    <w:t>是否属于可行技术</w:t>
                  </w:r>
                </w:p>
              </w:tc>
            </w:tr>
            <w:tr w14:paraId="46A8F6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16" w:hRule="atLeast"/>
                <w:jc w:val="center"/>
              </w:trPr>
              <w:tc>
                <w:tcPr>
                  <w:tcW w:w="1172" w:type="dxa"/>
                  <w:vMerge w:val="restart"/>
                  <w:tcBorders>
                    <w:tl2br w:val="nil"/>
                    <w:tr2bl w:val="nil"/>
                  </w:tcBorders>
                  <w:noWrap w:val="0"/>
                  <w:vAlign w:val="center"/>
                </w:tcPr>
                <w:p w14:paraId="54CB5887">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专用化学产品制造工业</w:t>
                  </w:r>
                </w:p>
              </w:tc>
              <w:tc>
                <w:tcPr>
                  <w:tcW w:w="1183" w:type="dxa"/>
                  <w:tcBorders>
                    <w:tl2br w:val="nil"/>
                    <w:tr2bl w:val="nil"/>
                  </w:tcBorders>
                  <w:noWrap w:val="0"/>
                  <w:vAlign w:val="center"/>
                </w:tcPr>
                <w:p w14:paraId="4FC47DAE">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r>
                    <w:rPr>
                      <w:rFonts w:hint="eastAsia" w:ascii="Times New Roman" w:hAnsi="Times New Roman" w:eastAsia="宋体" w:cs="Times New Roman"/>
                      <w:b w:val="0"/>
                      <w:bCs w:val="0"/>
                      <w:i w:val="0"/>
                      <w:iCs w:val="0"/>
                      <w:color w:val="auto"/>
                      <w:kern w:val="0"/>
                      <w:sz w:val="21"/>
                      <w:szCs w:val="21"/>
                      <w:u w:val="none"/>
                      <w:lang w:val="zh-CN" w:eastAsia="zh-CN" w:bidi="ar"/>
                    </w:rPr>
                    <w:t>颗粒物</w:t>
                  </w:r>
                </w:p>
              </w:tc>
              <w:tc>
                <w:tcPr>
                  <w:tcW w:w="966" w:type="dxa"/>
                  <w:vMerge w:val="restart"/>
                  <w:tcBorders>
                    <w:tl2br w:val="nil"/>
                    <w:tr2bl w:val="nil"/>
                  </w:tcBorders>
                  <w:noWrap w:val="0"/>
                  <w:vAlign w:val="center"/>
                </w:tcPr>
                <w:p w14:paraId="44376026">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r>
                    <w:rPr>
                      <w:rFonts w:hint="eastAsia" w:ascii="Times New Roman" w:hAnsi="Times New Roman" w:eastAsia="宋体" w:cs="Times New Roman"/>
                      <w:b w:val="0"/>
                      <w:bCs w:val="0"/>
                      <w:i w:val="0"/>
                      <w:iCs w:val="0"/>
                      <w:color w:val="auto"/>
                      <w:kern w:val="0"/>
                      <w:sz w:val="21"/>
                      <w:szCs w:val="21"/>
                      <w:u w:val="none"/>
                      <w:lang w:val="zh-CN" w:eastAsia="zh-CN" w:bidi="ar"/>
                    </w:rPr>
                    <w:t>溶剂替代</w:t>
                  </w:r>
                </w:p>
                <w:p w14:paraId="0E658A4E">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r>
                    <w:rPr>
                      <w:rFonts w:hint="eastAsia" w:ascii="Times New Roman" w:hAnsi="Times New Roman" w:eastAsia="宋体" w:cs="Times New Roman"/>
                      <w:b w:val="0"/>
                      <w:bCs w:val="0"/>
                      <w:i w:val="0"/>
                      <w:iCs w:val="0"/>
                      <w:color w:val="auto"/>
                      <w:kern w:val="0"/>
                      <w:sz w:val="21"/>
                      <w:szCs w:val="21"/>
                      <w:u w:val="none"/>
                      <w:lang w:val="zh-CN" w:eastAsia="zh-CN" w:bidi="ar"/>
                    </w:rPr>
                    <w:t>密闭过程</w:t>
                  </w:r>
                </w:p>
                <w:p w14:paraId="5B3C1182">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r>
                    <w:rPr>
                      <w:rFonts w:hint="eastAsia" w:ascii="Times New Roman" w:hAnsi="Times New Roman" w:eastAsia="宋体" w:cs="Times New Roman"/>
                      <w:b w:val="0"/>
                      <w:bCs w:val="0"/>
                      <w:i w:val="0"/>
                      <w:iCs w:val="0"/>
                      <w:color w:val="auto"/>
                      <w:kern w:val="0"/>
                      <w:sz w:val="21"/>
                      <w:szCs w:val="21"/>
                      <w:u w:val="none"/>
                      <w:lang w:val="zh-CN" w:eastAsia="zh-CN" w:bidi="ar"/>
                    </w:rPr>
                    <w:t>密闭场所</w:t>
                  </w:r>
                </w:p>
                <w:p w14:paraId="51A9B629">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r>
                    <w:rPr>
                      <w:rFonts w:hint="eastAsia" w:ascii="Times New Roman" w:hAnsi="Times New Roman" w:eastAsia="宋体" w:cs="Times New Roman"/>
                      <w:b w:val="0"/>
                      <w:bCs w:val="0"/>
                      <w:i w:val="0"/>
                      <w:iCs w:val="0"/>
                      <w:color w:val="auto"/>
                      <w:kern w:val="0"/>
                      <w:sz w:val="21"/>
                      <w:szCs w:val="21"/>
                      <w:u w:val="none"/>
                      <w:lang w:val="zh-CN" w:eastAsia="zh-CN" w:bidi="ar"/>
                    </w:rPr>
                    <w:t>局部收集</w:t>
                  </w:r>
                </w:p>
              </w:tc>
              <w:tc>
                <w:tcPr>
                  <w:tcW w:w="3098" w:type="dxa"/>
                  <w:tcBorders>
                    <w:tl2br w:val="nil"/>
                    <w:tr2bl w:val="nil"/>
                  </w:tcBorders>
                  <w:noWrap w:val="0"/>
                  <w:vAlign w:val="center"/>
                </w:tcPr>
                <w:p w14:paraId="7179255C">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电除尘、袋式除尘</w:t>
                  </w:r>
                </w:p>
              </w:tc>
              <w:tc>
                <w:tcPr>
                  <w:tcW w:w="1055" w:type="dxa"/>
                  <w:tcBorders>
                    <w:tl2br w:val="nil"/>
                    <w:tr2bl w:val="nil"/>
                  </w:tcBorders>
                  <w:noWrap w:val="0"/>
                  <w:vAlign w:val="center"/>
                </w:tcPr>
                <w:p w14:paraId="06212E40">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袋式除尘器</w:t>
                  </w:r>
                </w:p>
              </w:tc>
              <w:tc>
                <w:tcPr>
                  <w:tcW w:w="1055" w:type="dxa"/>
                  <w:tcBorders>
                    <w:tl2br w:val="nil"/>
                    <w:tr2bl w:val="nil"/>
                  </w:tcBorders>
                  <w:noWrap w:val="0"/>
                  <w:vAlign w:val="center"/>
                </w:tcPr>
                <w:p w14:paraId="21284CB2">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r>
                    <w:rPr>
                      <w:rFonts w:hint="eastAsia" w:ascii="Times New Roman" w:hAnsi="Times New Roman" w:eastAsia="宋体" w:cs="Times New Roman"/>
                      <w:b w:val="0"/>
                      <w:bCs w:val="0"/>
                      <w:i w:val="0"/>
                      <w:iCs w:val="0"/>
                      <w:color w:val="auto"/>
                      <w:kern w:val="0"/>
                      <w:sz w:val="21"/>
                      <w:szCs w:val="21"/>
                      <w:u w:val="none"/>
                      <w:lang w:val="zh-CN" w:eastAsia="zh-CN" w:bidi="ar"/>
                    </w:rPr>
                    <w:t>属于</w:t>
                  </w:r>
                </w:p>
              </w:tc>
            </w:tr>
            <w:tr w14:paraId="206AD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22" w:hRule="atLeast"/>
                <w:jc w:val="center"/>
              </w:trPr>
              <w:tc>
                <w:tcPr>
                  <w:tcW w:w="1172" w:type="dxa"/>
                  <w:vMerge w:val="continue"/>
                  <w:tcBorders>
                    <w:tl2br w:val="nil"/>
                    <w:tr2bl w:val="nil"/>
                  </w:tcBorders>
                  <w:noWrap w:val="0"/>
                  <w:vAlign w:val="center"/>
                </w:tcPr>
                <w:p w14:paraId="35FC2D9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zh-CN" w:eastAsia="zh-CN" w:bidi="ar"/>
                    </w:rPr>
                  </w:pPr>
                </w:p>
              </w:tc>
              <w:tc>
                <w:tcPr>
                  <w:tcW w:w="1183" w:type="dxa"/>
                  <w:tcBorders>
                    <w:tl2br w:val="nil"/>
                    <w:tr2bl w:val="nil"/>
                  </w:tcBorders>
                  <w:noWrap w:val="0"/>
                  <w:vAlign w:val="center"/>
                </w:tcPr>
                <w:p w14:paraId="1FB177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挥发性有机物</w:t>
                  </w:r>
                </w:p>
                <w:p w14:paraId="0737544F">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p>
              </w:tc>
              <w:tc>
                <w:tcPr>
                  <w:tcW w:w="966" w:type="dxa"/>
                  <w:vMerge w:val="continue"/>
                  <w:tcBorders>
                    <w:tl2br w:val="nil"/>
                    <w:tr2bl w:val="nil"/>
                  </w:tcBorders>
                  <w:noWrap w:val="0"/>
                  <w:vAlign w:val="center"/>
                </w:tcPr>
                <w:p w14:paraId="2D23E205">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p>
              </w:tc>
              <w:tc>
                <w:tcPr>
                  <w:tcW w:w="3098" w:type="dxa"/>
                  <w:tcBorders>
                    <w:tl2br w:val="nil"/>
                    <w:tr2bl w:val="nil"/>
                  </w:tcBorders>
                  <w:noWrap w:val="0"/>
                  <w:vAlign w:val="center"/>
                </w:tcPr>
                <w:p w14:paraId="07013AF1">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冷凝、吸收、吸附、燃烧（直接燃烧、热力燃烧、催化燃烧）、冷凝</w:t>
                  </w:r>
                  <w:r>
                    <w:rPr>
                      <w:rFonts w:hint="default" w:ascii="Times New Roman" w:hAnsi="Times New Roman" w:eastAsia="宋体" w:cs="Times New Roman"/>
                      <w:b w:val="0"/>
                      <w:bCs w:val="0"/>
                      <w:i w:val="0"/>
                      <w:iCs w:val="0"/>
                      <w:color w:val="auto"/>
                      <w:kern w:val="0"/>
                      <w:sz w:val="21"/>
                      <w:szCs w:val="21"/>
                      <w:u w:val="none"/>
                      <w:lang w:val="en-US" w:eastAsia="zh-CN" w:bidi="ar"/>
                    </w:rPr>
                    <w:t>-</w:t>
                  </w:r>
                  <w:r>
                    <w:rPr>
                      <w:rFonts w:hint="eastAsia" w:ascii="Times New Roman" w:hAnsi="Times New Roman" w:eastAsia="宋体" w:cs="Times New Roman"/>
                      <w:b w:val="0"/>
                      <w:bCs w:val="0"/>
                      <w:i w:val="0"/>
                      <w:iCs w:val="0"/>
                      <w:color w:val="auto"/>
                      <w:kern w:val="0"/>
                      <w:sz w:val="21"/>
                      <w:szCs w:val="21"/>
                      <w:u w:val="none"/>
                      <w:lang w:val="en-US" w:eastAsia="zh-CN" w:bidi="ar"/>
                    </w:rPr>
                    <w:t>吸附、冷凝</w:t>
                  </w:r>
                  <w:r>
                    <w:rPr>
                      <w:rFonts w:hint="default" w:ascii="Times New Roman" w:hAnsi="Times New Roman" w:eastAsia="宋体" w:cs="Times New Roman"/>
                      <w:b w:val="0"/>
                      <w:bCs w:val="0"/>
                      <w:i w:val="0"/>
                      <w:iCs w:val="0"/>
                      <w:color w:val="auto"/>
                      <w:kern w:val="0"/>
                      <w:sz w:val="21"/>
                      <w:szCs w:val="21"/>
                      <w:u w:val="none"/>
                      <w:lang w:val="en-US" w:eastAsia="zh-CN" w:bidi="ar"/>
                    </w:rPr>
                    <w:t>-</w:t>
                  </w:r>
                  <w:r>
                    <w:rPr>
                      <w:rFonts w:hint="eastAsia" w:ascii="Times New Roman" w:hAnsi="Times New Roman" w:eastAsia="宋体" w:cs="Times New Roman"/>
                      <w:b w:val="0"/>
                      <w:bCs w:val="0"/>
                      <w:i w:val="0"/>
                      <w:iCs w:val="0"/>
                      <w:color w:val="auto"/>
                      <w:kern w:val="0"/>
                      <w:sz w:val="21"/>
                      <w:szCs w:val="21"/>
                      <w:u w:val="none"/>
                      <w:lang w:val="en-US" w:eastAsia="zh-CN" w:bidi="ar"/>
                    </w:rPr>
                    <w:t>吸附</w:t>
                  </w:r>
                  <w:r>
                    <w:rPr>
                      <w:rFonts w:hint="default" w:ascii="Times New Roman" w:hAnsi="Times New Roman" w:eastAsia="宋体" w:cs="Times New Roman"/>
                      <w:b w:val="0"/>
                      <w:bCs w:val="0"/>
                      <w:i w:val="0"/>
                      <w:iCs w:val="0"/>
                      <w:color w:val="auto"/>
                      <w:kern w:val="0"/>
                      <w:sz w:val="21"/>
                      <w:szCs w:val="21"/>
                      <w:u w:val="none"/>
                      <w:lang w:val="en-US" w:eastAsia="zh-CN" w:bidi="ar"/>
                    </w:rPr>
                    <w:t>-</w:t>
                  </w:r>
                  <w:r>
                    <w:rPr>
                      <w:rFonts w:hint="eastAsia" w:ascii="Times New Roman" w:hAnsi="Times New Roman" w:eastAsia="宋体" w:cs="Times New Roman"/>
                      <w:b w:val="0"/>
                      <w:bCs w:val="0"/>
                      <w:i w:val="0"/>
                      <w:iCs w:val="0"/>
                      <w:color w:val="auto"/>
                      <w:kern w:val="0"/>
                      <w:sz w:val="21"/>
                      <w:szCs w:val="21"/>
                      <w:u w:val="none"/>
                      <w:lang w:val="en-US" w:eastAsia="zh-CN" w:bidi="ar"/>
                    </w:rPr>
                    <w:t>燃烧</w:t>
                  </w:r>
                </w:p>
              </w:tc>
              <w:tc>
                <w:tcPr>
                  <w:tcW w:w="1055" w:type="dxa"/>
                  <w:tcBorders>
                    <w:tl2br w:val="nil"/>
                    <w:tr2bl w:val="nil"/>
                  </w:tcBorders>
                  <w:noWrap w:val="0"/>
                  <w:vAlign w:val="center"/>
                </w:tcPr>
                <w:p w14:paraId="285A26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两级活性炭吸附</w:t>
                  </w:r>
                </w:p>
              </w:tc>
              <w:tc>
                <w:tcPr>
                  <w:tcW w:w="1055" w:type="dxa"/>
                  <w:tcBorders>
                    <w:tl2br w:val="nil"/>
                    <w:tr2bl w:val="nil"/>
                  </w:tcBorders>
                  <w:noWrap w:val="0"/>
                  <w:vAlign w:val="center"/>
                </w:tcPr>
                <w:p w14:paraId="35083F31">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zh-CN" w:eastAsia="zh-CN" w:bidi="ar"/>
                    </w:rPr>
                    <w:t>属于</w:t>
                  </w:r>
                </w:p>
              </w:tc>
            </w:tr>
            <w:tr w14:paraId="34057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12" w:hRule="atLeast"/>
                <w:jc w:val="center"/>
              </w:trPr>
              <w:tc>
                <w:tcPr>
                  <w:tcW w:w="1172" w:type="dxa"/>
                  <w:vMerge w:val="restart"/>
                  <w:tcBorders>
                    <w:tl2br w:val="nil"/>
                    <w:tr2bl w:val="nil"/>
                  </w:tcBorders>
                  <w:noWrap w:val="0"/>
                  <w:vAlign w:val="center"/>
                </w:tcPr>
                <w:p w14:paraId="5731725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锅炉（生物质）</w:t>
                  </w:r>
                </w:p>
              </w:tc>
              <w:tc>
                <w:tcPr>
                  <w:tcW w:w="1183" w:type="dxa"/>
                  <w:tcBorders>
                    <w:tl2br w:val="nil"/>
                    <w:tr2bl w:val="nil"/>
                  </w:tcBorders>
                  <w:noWrap w:val="0"/>
                  <w:vAlign w:val="center"/>
                </w:tcPr>
                <w:p w14:paraId="2B8736C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二氧化硫</w:t>
                  </w:r>
                </w:p>
              </w:tc>
              <w:tc>
                <w:tcPr>
                  <w:tcW w:w="966" w:type="dxa"/>
                  <w:vMerge w:val="restart"/>
                  <w:tcBorders>
                    <w:tl2br w:val="nil"/>
                    <w:tr2bl w:val="nil"/>
                  </w:tcBorders>
                  <w:noWrap w:val="0"/>
                  <w:vAlign w:val="center"/>
                </w:tcPr>
                <w:p w14:paraId="71E6E51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3098" w:type="dxa"/>
                  <w:tcBorders>
                    <w:tl2br w:val="nil"/>
                    <w:tr2bl w:val="nil"/>
                  </w:tcBorders>
                  <w:noWrap w:val="0"/>
                  <w:vAlign w:val="center"/>
                </w:tcPr>
                <w:p w14:paraId="665A49B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1055" w:type="dxa"/>
                  <w:tcBorders>
                    <w:tl2br w:val="nil"/>
                    <w:tr2bl w:val="nil"/>
                  </w:tcBorders>
                  <w:noWrap w:val="0"/>
                  <w:vAlign w:val="center"/>
                </w:tcPr>
                <w:p w14:paraId="71CE744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1055" w:type="dxa"/>
                  <w:tcBorders>
                    <w:tl2br w:val="nil"/>
                    <w:tr2bl w:val="nil"/>
                  </w:tcBorders>
                  <w:noWrap w:val="0"/>
                  <w:vAlign w:val="center"/>
                </w:tcPr>
                <w:p w14:paraId="1D6F665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r>
            <w:tr w14:paraId="005D7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15" w:hRule="atLeast"/>
                <w:jc w:val="center"/>
              </w:trPr>
              <w:tc>
                <w:tcPr>
                  <w:tcW w:w="1172" w:type="dxa"/>
                  <w:vMerge w:val="continue"/>
                  <w:tcBorders>
                    <w:tl2br w:val="nil"/>
                    <w:tr2bl w:val="nil"/>
                  </w:tcBorders>
                  <w:noWrap w:val="0"/>
                  <w:vAlign w:val="center"/>
                </w:tcPr>
                <w:p w14:paraId="2A60B96D">
                  <w:pPr>
                    <w:keepNext w:val="0"/>
                    <w:keepLines w:val="0"/>
                    <w:widowControl/>
                    <w:suppressLineNumbers w:val="0"/>
                    <w:spacing w:before="0" w:beforeAutospacing="0" w:after="0" w:afterAutospacing="0" w:line="240" w:lineRule="auto"/>
                    <w:ind w:left="0" w:right="0"/>
                    <w:jc w:val="center"/>
                    <w:textAlignment w:val="center"/>
                    <w:rPr>
                      <w:rFonts w:hint="eastAsia" w:cs="Times New Roman"/>
                      <w:b w:val="0"/>
                      <w:bCs w:val="0"/>
                      <w:i w:val="0"/>
                      <w:iCs w:val="0"/>
                      <w:color w:val="auto"/>
                      <w:kern w:val="0"/>
                      <w:sz w:val="21"/>
                      <w:szCs w:val="21"/>
                      <w:u w:val="none"/>
                      <w:lang w:val="en-US" w:eastAsia="zh-CN" w:bidi="ar"/>
                    </w:rPr>
                  </w:pPr>
                </w:p>
              </w:tc>
              <w:tc>
                <w:tcPr>
                  <w:tcW w:w="1183" w:type="dxa"/>
                  <w:tcBorders>
                    <w:tl2br w:val="nil"/>
                    <w:tr2bl w:val="nil"/>
                  </w:tcBorders>
                  <w:noWrap w:val="0"/>
                  <w:vAlign w:val="center"/>
                </w:tcPr>
                <w:p w14:paraId="5D67CF6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氮氧化物</w:t>
                  </w:r>
                </w:p>
              </w:tc>
              <w:tc>
                <w:tcPr>
                  <w:tcW w:w="966" w:type="dxa"/>
                  <w:vMerge w:val="continue"/>
                  <w:tcBorders>
                    <w:tl2br w:val="nil"/>
                    <w:tr2bl w:val="nil"/>
                  </w:tcBorders>
                  <w:noWrap w:val="0"/>
                  <w:vAlign w:val="center"/>
                </w:tcPr>
                <w:p w14:paraId="0E089D8C">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p>
              </w:tc>
              <w:tc>
                <w:tcPr>
                  <w:tcW w:w="3098" w:type="dxa"/>
                  <w:tcBorders>
                    <w:tl2br w:val="nil"/>
                    <w:tr2bl w:val="nil"/>
                  </w:tcBorders>
                  <w:noWrap w:val="0"/>
                  <w:vAlign w:val="center"/>
                </w:tcPr>
                <w:p w14:paraId="37F11F45">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低</w:t>
                  </w:r>
                  <w:r>
                    <w:rPr>
                      <w:rFonts w:hint="eastAsia" w:cs="Times New Roman"/>
                      <w:b w:val="0"/>
                      <w:bCs w:val="0"/>
                      <w:i w:val="0"/>
                      <w:iCs w:val="0"/>
                      <w:color w:val="auto"/>
                      <w:kern w:val="0"/>
                      <w:sz w:val="21"/>
                      <w:szCs w:val="21"/>
                      <w:u w:val="none"/>
                      <w:lang w:val="en-US" w:eastAsia="zh-CN" w:bidi="ar"/>
                    </w:rPr>
                    <w:t>氮</w:t>
                  </w:r>
                  <w:r>
                    <w:rPr>
                      <w:rFonts w:hint="eastAsia" w:ascii="Times New Roman" w:hAnsi="Times New Roman" w:eastAsia="宋体" w:cs="Times New Roman"/>
                      <w:b w:val="0"/>
                      <w:bCs w:val="0"/>
                      <w:i w:val="0"/>
                      <w:iCs w:val="0"/>
                      <w:color w:val="auto"/>
                      <w:kern w:val="0"/>
                      <w:sz w:val="21"/>
                      <w:szCs w:val="21"/>
                      <w:u w:val="none"/>
                      <w:lang w:val="en-US" w:eastAsia="zh-CN" w:bidi="ar"/>
                    </w:rPr>
                    <w:t>燃烧技术、低</w:t>
                  </w:r>
                  <w:r>
                    <w:rPr>
                      <w:rFonts w:hint="eastAsia" w:cs="Times New Roman"/>
                      <w:b w:val="0"/>
                      <w:bCs w:val="0"/>
                      <w:i w:val="0"/>
                      <w:iCs w:val="0"/>
                      <w:color w:val="auto"/>
                      <w:kern w:val="0"/>
                      <w:sz w:val="21"/>
                      <w:szCs w:val="21"/>
                      <w:u w:val="none"/>
                      <w:lang w:val="en-US" w:eastAsia="zh-CN" w:bidi="ar"/>
                    </w:rPr>
                    <w:t>氮</w:t>
                  </w:r>
                  <w:r>
                    <w:rPr>
                      <w:rFonts w:hint="eastAsia" w:ascii="Times New Roman" w:hAnsi="Times New Roman" w:eastAsia="宋体" w:cs="Times New Roman"/>
                      <w:b w:val="0"/>
                      <w:bCs w:val="0"/>
                      <w:i w:val="0"/>
                      <w:iCs w:val="0"/>
                      <w:color w:val="auto"/>
                      <w:kern w:val="0"/>
                      <w:sz w:val="21"/>
                      <w:szCs w:val="21"/>
                      <w:u w:val="none"/>
                      <w:lang w:val="en-US" w:eastAsia="zh-CN" w:bidi="ar"/>
                    </w:rPr>
                    <w:t>燃烧+SNCR脱硝技术、低氮燃烧+SCR脱硝技术、低</w:t>
                  </w:r>
                  <w:r>
                    <w:rPr>
                      <w:rFonts w:hint="eastAsia" w:cs="Times New Roman"/>
                      <w:b w:val="0"/>
                      <w:bCs w:val="0"/>
                      <w:i w:val="0"/>
                      <w:iCs w:val="0"/>
                      <w:color w:val="auto"/>
                      <w:kern w:val="0"/>
                      <w:sz w:val="21"/>
                      <w:szCs w:val="21"/>
                      <w:u w:val="none"/>
                      <w:lang w:val="en-US" w:eastAsia="zh-CN" w:bidi="ar"/>
                    </w:rPr>
                    <w:t>氮</w:t>
                  </w:r>
                  <w:r>
                    <w:rPr>
                      <w:rFonts w:hint="eastAsia" w:ascii="Times New Roman" w:hAnsi="Times New Roman" w:eastAsia="宋体" w:cs="Times New Roman"/>
                      <w:b w:val="0"/>
                      <w:bCs w:val="0"/>
                      <w:i w:val="0"/>
                      <w:iCs w:val="0"/>
                      <w:color w:val="auto"/>
                      <w:kern w:val="0"/>
                      <w:sz w:val="21"/>
                      <w:szCs w:val="21"/>
                      <w:u w:val="none"/>
                      <w:lang w:val="en-US" w:eastAsia="zh-CN" w:bidi="ar"/>
                    </w:rPr>
                    <w:t>燃烧+(SNCR-SCR联合)脱硝技术、SNCR脱硝技术、SCR脱硝技术、SNCR-SCR联合脱硝技术</w:t>
                  </w:r>
                </w:p>
              </w:tc>
              <w:tc>
                <w:tcPr>
                  <w:tcW w:w="1055" w:type="dxa"/>
                  <w:tcBorders>
                    <w:tl2br w:val="nil"/>
                    <w:tr2bl w:val="nil"/>
                  </w:tcBorders>
                  <w:noWrap w:val="0"/>
                  <w:vAlign w:val="center"/>
                </w:tcPr>
                <w:p w14:paraId="0678F32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低氮燃烧</w:t>
                  </w:r>
                </w:p>
              </w:tc>
              <w:tc>
                <w:tcPr>
                  <w:tcW w:w="1055" w:type="dxa"/>
                  <w:tcBorders>
                    <w:tl2br w:val="nil"/>
                    <w:tr2bl w:val="nil"/>
                  </w:tcBorders>
                  <w:noWrap w:val="0"/>
                  <w:vAlign w:val="center"/>
                </w:tcPr>
                <w:p w14:paraId="5D49DD75">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r>
                    <w:rPr>
                      <w:rFonts w:hint="eastAsia" w:ascii="Times New Roman" w:hAnsi="Times New Roman" w:eastAsia="宋体" w:cs="Times New Roman"/>
                      <w:b w:val="0"/>
                      <w:bCs w:val="0"/>
                      <w:i w:val="0"/>
                      <w:iCs w:val="0"/>
                      <w:color w:val="auto"/>
                      <w:kern w:val="0"/>
                      <w:sz w:val="21"/>
                      <w:szCs w:val="21"/>
                      <w:u w:val="none"/>
                      <w:lang w:val="zh-CN" w:eastAsia="zh-CN" w:bidi="ar"/>
                    </w:rPr>
                    <w:t>属于</w:t>
                  </w:r>
                </w:p>
              </w:tc>
            </w:tr>
            <w:tr w14:paraId="04C1D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7" w:hRule="atLeast"/>
                <w:jc w:val="center"/>
              </w:trPr>
              <w:tc>
                <w:tcPr>
                  <w:tcW w:w="1172" w:type="dxa"/>
                  <w:vMerge w:val="continue"/>
                  <w:tcBorders>
                    <w:tl2br w:val="nil"/>
                    <w:tr2bl w:val="nil"/>
                  </w:tcBorders>
                  <w:noWrap w:val="0"/>
                  <w:vAlign w:val="center"/>
                </w:tcPr>
                <w:p w14:paraId="522F741F">
                  <w:pPr>
                    <w:keepNext w:val="0"/>
                    <w:keepLines w:val="0"/>
                    <w:widowControl/>
                    <w:suppressLineNumbers w:val="0"/>
                    <w:spacing w:before="0" w:beforeAutospacing="0" w:after="0" w:afterAutospacing="0" w:line="240" w:lineRule="auto"/>
                    <w:ind w:left="0" w:right="0"/>
                    <w:jc w:val="center"/>
                    <w:textAlignment w:val="center"/>
                    <w:rPr>
                      <w:rFonts w:hint="eastAsia" w:cs="Times New Roman"/>
                      <w:b w:val="0"/>
                      <w:bCs w:val="0"/>
                      <w:i w:val="0"/>
                      <w:iCs w:val="0"/>
                      <w:color w:val="auto"/>
                      <w:kern w:val="0"/>
                      <w:sz w:val="21"/>
                      <w:szCs w:val="21"/>
                      <w:u w:val="none"/>
                      <w:lang w:val="en-US" w:eastAsia="zh-CN" w:bidi="ar"/>
                    </w:rPr>
                  </w:pPr>
                </w:p>
              </w:tc>
              <w:tc>
                <w:tcPr>
                  <w:tcW w:w="1183" w:type="dxa"/>
                  <w:tcBorders>
                    <w:tl2br w:val="nil"/>
                    <w:tr2bl w:val="nil"/>
                  </w:tcBorders>
                  <w:noWrap w:val="0"/>
                  <w:vAlign w:val="center"/>
                </w:tcPr>
                <w:p w14:paraId="5C26F3E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颗粒物</w:t>
                  </w:r>
                </w:p>
              </w:tc>
              <w:tc>
                <w:tcPr>
                  <w:tcW w:w="966" w:type="dxa"/>
                  <w:vMerge w:val="continue"/>
                  <w:tcBorders>
                    <w:tl2br w:val="nil"/>
                    <w:tr2bl w:val="nil"/>
                  </w:tcBorders>
                  <w:noWrap w:val="0"/>
                  <w:vAlign w:val="center"/>
                </w:tcPr>
                <w:p w14:paraId="42D66748">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p>
              </w:tc>
              <w:tc>
                <w:tcPr>
                  <w:tcW w:w="3098" w:type="dxa"/>
                  <w:tcBorders>
                    <w:tl2br w:val="nil"/>
                    <w:tr2bl w:val="nil"/>
                  </w:tcBorders>
                  <w:noWrap w:val="0"/>
                  <w:vAlign w:val="center"/>
                </w:tcPr>
                <w:p w14:paraId="53DEC8C9">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旋风除尘和袋式除尘组合技术</w:t>
                  </w:r>
                </w:p>
              </w:tc>
              <w:tc>
                <w:tcPr>
                  <w:tcW w:w="1055" w:type="dxa"/>
                  <w:tcBorders>
                    <w:tl2br w:val="nil"/>
                    <w:tr2bl w:val="nil"/>
                  </w:tcBorders>
                  <w:noWrap w:val="0"/>
                  <w:vAlign w:val="center"/>
                </w:tcPr>
                <w:p w14:paraId="7858E5B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多管旋风+布袋除尘</w:t>
                  </w:r>
                </w:p>
              </w:tc>
              <w:tc>
                <w:tcPr>
                  <w:tcW w:w="1055" w:type="dxa"/>
                  <w:tcBorders>
                    <w:tl2br w:val="nil"/>
                    <w:tr2bl w:val="nil"/>
                  </w:tcBorders>
                  <w:noWrap w:val="0"/>
                  <w:vAlign w:val="center"/>
                </w:tcPr>
                <w:p w14:paraId="293871ED">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auto"/>
                      <w:kern w:val="0"/>
                      <w:sz w:val="21"/>
                      <w:szCs w:val="21"/>
                      <w:u w:val="none"/>
                      <w:lang w:val="zh-CN" w:eastAsia="zh-CN" w:bidi="ar"/>
                    </w:rPr>
                  </w:pPr>
                  <w:r>
                    <w:rPr>
                      <w:rFonts w:hint="eastAsia" w:ascii="Times New Roman" w:hAnsi="Times New Roman" w:eastAsia="宋体" w:cs="Times New Roman"/>
                      <w:b w:val="0"/>
                      <w:bCs w:val="0"/>
                      <w:i w:val="0"/>
                      <w:iCs w:val="0"/>
                      <w:color w:val="auto"/>
                      <w:kern w:val="0"/>
                      <w:sz w:val="21"/>
                      <w:szCs w:val="21"/>
                      <w:u w:val="none"/>
                      <w:lang w:val="zh-CN" w:eastAsia="zh-CN" w:bidi="ar"/>
                    </w:rPr>
                    <w:t>属于</w:t>
                  </w:r>
                </w:p>
              </w:tc>
            </w:tr>
          </w:tbl>
          <w:p w14:paraId="6AF44F32">
            <w:pPr>
              <w:keepNext w:val="0"/>
              <w:keepLines w:val="0"/>
              <w:suppressLineNumbers w:val="0"/>
              <w:spacing w:before="0" w:beforeAutospacing="0" w:after="0" w:afterAutospacing="0" w:line="360" w:lineRule="auto"/>
              <w:ind w:left="0" w:right="0" w:firstLine="480" w:firstLineChars="200"/>
              <w:rPr>
                <w:rFonts w:hint="eastAsia" w:ascii="Times New Roman" w:hAnsi="宋体" w:eastAsia="宋体" w:cs="Times New Roman"/>
                <w:color w:val="auto"/>
                <w:sz w:val="24"/>
                <w:szCs w:val="20"/>
              </w:rPr>
            </w:pPr>
            <w:r>
              <w:rPr>
                <w:rFonts w:hint="eastAsia" w:ascii="Times New Roman" w:hAnsi="Times New Roman" w:eastAsia="宋体" w:cs="Times New Roman"/>
                <w:color w:val="auto"/>
                <w:sz w:val="24"/>
                <w:szCs w:val="20"/>
                <w:lang w:eastAsia="zh-CN"/>
              </w:rPr>
              <w:t>根据上表可知</w:t>
            </w:r>
            <w:r>
              <w:rPr>
                <w:rFonts w:hint="default"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eastAsia="zh-CN"/>
              </w:rPr>
              <w:t>本项目目前采用污染治理措施属于</w:t>
            </w:r>
            <w:r>
              <w:rPr>
                <w:rFonts w:hint="eastAsia" w:cs="Times New Roman"/>
                <w:color w:val="auto"/>
                <w:sz w:val="24"/>
                <w:szCs w:val="20"/>
                <w:lang w:val="en-US" w:eastAsia="zh-CN"/>
              </w:rPr>
              <w:t>所属行业排污许可中</w:t>
            </w:r>
            <w:r>
              <w:rPr>
                <w:rFonts w:hint="eastAsia" w:ascii="Times New Roman" w:hAnsi="Times New Roman" w:eastAsia="宋体" w:cs="Times New Roman"/>
                <w:color w:val="auto"/>
                <w:sz w:val="24"/>
                <w:szCs w:val="20"/>
                <w:lang w:eastAsia="zh-CN"/>
              </w:rPr>
              <w:t>可行技术措施</w:t>
            </w:r>
            <w:r>
              <w:rPr>
                <w:rFonts w:hint="default"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eastAsia="zh-CN"/>
              </w:rPr>
              <w:t>污染治理</w:t>
            </w:r>
            <w:r>
              <w:rPr>
                <w:rFonts w:hint="default" w:ascii="Times New Roman" w:hAnsi="Times New Roman" w:eastAsia="宋体" w:cs="Times New Roman"/>
                <w:color w:val="auto"/>
                <w:sz w:val="24"/>
                <w:szCs w:val="20"/>
              </w:rPr>
              <w:t>处理技术</w:t>
            </w:r>
            <w:r>
              <w:rPr>
                <w:rFonts w:hint="eastAsia" w:ascii="Times New Roman" w:hAnsi="Times New Roman" w:eastAsia="宋体" w:cs="Times New Roman"/>
                <w:color w:val="auto"/>
                <w:sz w:val="24"/>
                <w:szCs w:val="20"/>
                <w:lang w:eastAsia="zh-CN"/>
              </w:rPr>
              <w:t>可行。</w:t>
            </w:r>
          </w:p>
          <w:p w14:paraId="061D8FC1">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0"/>
                <w:lang w:val="en-US" w:eastAsia="zh-CN"/>
              </w:rPr>
            </w:pPr>
            <w:r>
              <w:rPr>
                <w:rFonts w:hint="eastAsia" w:cs="Times New Roman"/>
                <w:b/>
                <w:bCs/>
                <w:color w:val="auto"/>
                <w:sz w:val="24"/>
                <w:szCs w:val="20"/>
                <w:lang w:val="en-US" w:eastAsia="zh-CN"/>
              </w:rPr>
              <w:t>7</w:t>
            </w:r>
            <w:r>
              <w:rPr>
                <w:rFonts w:hint="eastAsia" w:ascii="Times New Roman" w:hAnsi="Times New Roman" w:eastAsia="宋体" w:cs="Times New Roman"/>
                <w:b/>
                <w:bCs/>
                <w:color w:val="auto"/>
                <w:sz w:val="24"/>
                <w:szCs w:val="20"/>
                <w:lang w:val="en-US" w:eastAsia="zh-CN"/>
              </w:rPr>
              <w:t>、排放口情况</w:t>
            </w:r>
          </w:p>
          <w:p w14:paraId="2D3A150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0"/>
                <w:lang w:val="en-US" w:eastAsia="zh-CN"/>
              </w:rPr>
            </w:pPr>
            <w:r>
              <w:rPr>
                <w:rFonts w:hint="eastAsia" w:ascii="Times New Roman" w:hAnsi="Times New Roman" w:eastAsia="宋体" w:cs="Times New Roman"/>
                <w:color w:val="auto"/>
                <w:sz w:val="24"/>
                <w:szCs w:val="20"/>
                <w:lang w:val="en-US" w:eastAsia="zh-CN"/>
              </w:rPr>
              <w:t>本项目排放口情况如下表。</w:t>
            </w:r>
          </w:p>
          <w:p w14:paraId="1FAE8973">
            <w:pPr>
              <w:keepNext w:val="0"/>
              <w:keepLines w:val="0"/>
              <w:widowControl w:val="0"/>
              <w:suppressLineNumbers w:val="0"/>
              <w:spacing w:before="0" w:beforeAutospacing="0" w:after="120" w:afterAutospacing="0" w:line="240" w:lineRule="auto"/>
              <w:ind w:left="480" w:leftChars="20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w:t>
            </w:r>
            <w:r>
              <w:rPr>
                <w:rFonts w:hint="eastAsia" w:ascii="Times New Roman" w:hAnsi="Times New Roman" w:eastAsia="宋体" w:cs="Times New Roman"/>
                <w:b/>
                <w:color w:val="auto"/>
                <w:kern w:val="2"/>
                <w:sz w:val="21"/>
                <w:szCs w:val="21"/>
                <w:lang w:val="en-US" w:eastAsia="zh-CN" w:bidi="ar-SA"/>
              </w:rPr>
              <w:t>4</w:t>
            </w:r>
            <w:r>
              <w:rPr>
                <w:rFonts w:hint="default" w:ascii="Times New Roman" w:hAnsi="Times New Roman" w:eastAsia="宋体" w:cs="Times New Roman"/>
                <w:b/>
                <w:color w:val="auto"/>
                <w:kern w:val="2"/>
                <w:sz w:val="21"/>
                <w:szCs w:val="21"/>
                <w:lang w:val="en-US" w:eastAsia="zh-CN" w:bidi="ar-SA"/>
              </w:rPr>
              <w:t>-</w:t>
            </w:r>
            <w:r>
              <w:rPr>
                <w:rFonts w:hint="eastAsia" w:ascii="Times New Roman" w:hAnsi="Times New Roman" w:eastAsia="宋体" w:cs="Times New Roman"/>
                <w:b/>
                <w:color w:val="auto"/>
                <w:kern w:val="2"/>
                <w:sz w:val="21"/>
                <w:szCs w:val="21"/>
                <w:lang w:val="en-US" w:eastAsia="zh-CN" w:bidi="ar-SA"/>
              </w:rPr>
              <w:t xml:space="preserve">9  </w:t>
            </w:r>
            <w:r>
              <w:rPr>
                <w:rFonts w:hint="default" w:ascii="Times New Roman" w:hAnsi="Times New Roman" w:eastAsia="宋体" w:cs="Times New Roman"/>
                <w:b/>
                <w:color w:val="auto"/>
                <w:kern w:val="2"/>
                <w:sz w:val="21"/>
                <w:szCs w:val="21"/>
                <w:lang w:val="en-US" w:eastAsia="zh-CN" w:bidi="ar-SA"/>
              </w:rPr>
              <w:t>项目</w:t>
            </w:r>
            <w:r>
              <w:rPr>
                <w:rFonts w:hint="eastAsia" w:ascii="Times New Roman" w:hAnsi="Times New Roman" w:eastAsia="宋体" w:cs="Times New Roman"/>
                <w:b/>
                <w:color w:val="auto"/>
                <w:kern w:val="2"/>
                <w:sz w:val="21"/>
                <w:szCs w:val="21"/>
                <w:lang w:val="en-US" w:eastAsia="zh-CN" w:bidi="ar-SA"/>
              </w:rPr>
              <w:t>排气筒基本情况</w:t>
            </w:r>
          </w:p>
          <w:tbl>
            <w:tblPr>
              <w:tblStyle w:val="29"/>
              <w:tblW w:w="85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4"/>
              <w:gridCol w:w="705"/>
              <w:gridCol w:w="790"/>
              <w:gridCol w:w="705"/>
              <w:gridCol w:w="662"/>
              <w:gridCol w:w="558"/>
              <w:gridCol w:w="677"/>
              <w:gridCol w:w="627"/>
              <w:gridCol w:w="601"/>
              <w:gridCol w:w="601"/>
              <w:gridCol w:w="558"/>
              <w:gridCol w:w="777"/>
              <w:gridCol w:w="711"/>
            </w:tblGrid>
            <w:tr w14:paraId="48F54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vMerge w:val="restart"/>
                  <w:tcBorders>
                    <w:tl2br w:val="nil"/>
                    <w:tr2bl w:val="nil"/>
                  </w:tcBorders>
                  <w:noWrap w:val="0"/>
                  <w:vAlign w:val="center"/>
                </w:tcPr>
                <w:p w14:paraId="3C007138">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宋体"/>
                      <w:color w:val="auto"/>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bidi="ar-SA"/>
                    </w:rPr>
                    <w:t>编号</w:t>
                  </w:r>
                </w:p>
              </w:tc>
              <w:tc>
                <w:tcPr>
                  <w:tcW w:w="413" w:type="pct"/>
                  <w:vMerge w:val="restart"/>
                  <w:tcBorders>
                    <w:tl2br w:val="nil"/>
                    <w:tr2bl w:val="nil"/>
                  </w:tcBorders>
                  <w:noWrap w:val="0"/>
                  <w:vAlign w:val="center"/>
                </w:tcPr>
                <w:p w14:paraId="30F381D9">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宋体"/>
                      <w:color w:val="auto"/>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bidi="ar-SA"/>
                    </w:rPr>
                    <w:t>名称</w:t>
                  </w:r>
                </w:p>
              </w:tc>
              <w:tc>
                <w:tcPr>
                  <w:tcW w:w="877" w:type="pct"/>
                  <w:gridSpan w:val="2"/>
                  <w:tcBorders>
                    <w:tl2br w:val="nil"/>
                    <w:tr2bl w:val="nil"/>
                  </w:tcBorders>
                  <w:noWrap w:val="0"/>
                  <w:vAlign w:val="center"/>
                </w:tcPr>
                <w:p w14:paraId="18A06DF9">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排气筒底部中心坐标/m</w:t>
                  </w:r>
                </w:p>
              </w:tc>
              <w:tc>
                <w:tcPr>
                  <w:tcW w:w="388" w:type="pct"/>
                  <w:vMerge w:val="restart"/>
                  <w:tcBorders>
                    <w:tl2br w:val="nil"/>
                    <w:tr2bl w:val="nil"/>
                  </w:tcBorders>
                  <w:noWrap w:val="0"/>
                  <w:vAlign w:val="center"/>
                </w:tcPr>
                <w:p w14:paraId="783E2F0E">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排气筒底部</w:t>
                  </w:r>
                  <w:r>
                    <w:rPr>
                      <w:rFonts w:hint="default" w:ascii="Times New Roman" w:hAnsi="Times New Roman" w:eastAsia="宋体" w:cs="Times New Roman"/>
                      <w:color w:val="auto"/>
                      <w:sz w:val="21"/>
                      <w:szCs w:val="21"/>
                      <w:highlight w:val="none"/>
                    </w:rPr>
                    <w:t>海拔高度</w:t>
                  </w:r>
                  <w:r>
                    <w:rPr>
                      <w:rFonts w:hint="default" w:ascii="Times New Roman" w:hAnsi="Times New Roman" w:eastAsia="宋体" w:cs="Times New Roman"/>
                      <w:color w:val="auto"/>
                      <w:sz w:val="21"/>
                      <w:szCs w:val="21"/>
                    </w:rPr>
                    <w:t>/m</w:t>
                  </w:r>
                </w:p>
              </w:tc>
              <w:tc>
                <w:tcPr>
                  <w:tcW w:w="327" w:type="pct"/>
                  <w:vMerge w:val="restart"/>
                  <w:tcBorders>
                    <w:tl2br w:val="nil"/>
                    <w:tr2bl w:val="nil"/>
                  </w:tcBorders>
                  <w:noWrap w:val="0"/>
                  <w:vAlign w:val="center"/>
                </w:tcPr>
                <w:p w14:paraId="11DFE6B8">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排气筒高度/m</w:t>
                  </w:r>
                </w:p>
              </w:tc>
              <w:tc>
                <w:tcPr>
                  <w:tcW w:w="397" w:type="pct"/>
                  <w:vMerge w:val="restart"/>
                  <w:tcBorders>
                    <w:tl2br w:val="nil"/>
                    <w:tr2bl w:val="nil"/>
                  </w:tcBorders>
                  <w:noWrap w:val="0"/>
                  <w:vAlign w:val="center"/>
                </w:tcPr>
                <w:p w14:paraId="568704DF">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排气筒出口内径/m</w:t>
                  </w:r>
                </w:p>
              </w:tc>
              <w:tc>
                <w:tcPr>
                  <w:tcW w:w="368" w:type="pct"/>
                  <w:vMerge w:val="restart"/>
                  <w:tcBorders>
                    <w:tl2br w:val="nil"/>
                    <w:tr2bl w:val="nil"/>
                  </w:tcBorders>
                  <w:noWrap w:val="0"/>
                  <w:vAlign w:val="center"/>
                </w:tcPr>
                <w:p w14:paraId="581CD5FC">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烟气流量/（</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rPr>
                    <w:t>/s）</w:t>
                  </w:r>
                </w:p>
              </w:tc>
              <w:tc>
                <w:tcPr>
                  <w:tcW w:w="352" w:type="pct"/>
                  <w:vMerge w:val="restart"/>
                  <w:tcBorders>
                    <w:tl2br w:val="nil"/>
                    <w:tr2bl w:val="nil"/>
                  </w:tcBorders>
                  <w:noWrap w:val="0"/>
                  <w:vAlign w:val="center"/>
                </w:tcPr>
                <w:p w14:paraId="46BB29F5">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烟气温度/℃</w:t>
                  </w:r>
                </w:p>
              </w:tc>
              <w:tc>
                <w:tcPr>
                  <w:tcW w:w="352" w:type="pct"/>
                  <w:vMerge w:val="restart"/>
                  <w:tcBorders>
                    <w:tl2br w:val="nil"/>
                    <w:tr2bl w:val="nil"/>
                  </w:tcBorders>
                  <w:noWrap w:val="0"/>
                  <w:vAlign w:val="center"/>
                </w:tcPr>
                <w:p w14:paraId="0A476E91">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年排放小时数/h</w:t>
                  </w:r>
                </w:p>
              </w:tc>
              <w:tc>
                <w:tcPr>
                  <w:tcW w:w="327" w:type="pct"/>
                  <w:vMerge w:val="restart"/>
                  <w:tcBorders>
                    <w:tl2br w:val="nil"/>
                    <w:tr2bl w:val="nil"/>
                  </w:tcBorders>
                  <w:noWrap w:val="0"/>
                  <w:vAlign w:val="center"/>
                </w:tcPr>
                <w:p w14:paraId="011DB199">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排放工况</w:t>
                  </w:r>
                </w:p>
              </w:tc>
              <w:tc>
                <w:tcPr>
                  <w:tcW w:w="873" w:type="pct"/>
                  <w:gridSpan w:val="2"/>
                  <w:vMerge w:val="restart"/>
                  <w:tcBorders>
                    <w:tl2br w:val="nil"/>
                    <w:tr2bl w:val="nil"/>
                  </w:tcBorders>
                  <w:noWrap w:val="0"/>
                  <w:vAlign w:val="center"/>
                </w:tcPr>
                <w:p w14:paraId="436B231C">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污染物排放速率/（kg/h）</w:t>
                  </w:r>
                </w:p>
              </w:tc>
            </w:tr>
            <w:tr w14:paraId="53538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9" w:type="pct"/>
                  <w:vMerge w:val="continue"/>
                  <w:tcBorders>
                    <w:tl2br w:val="nil"/>
                    <w:tr2bl w:val="nil"/>
                  </w:tcBorders>
                  <w:noWrap w:val="0"/>
                  <w:vAlign w:val="center"/>
                </w:tcPr>
                <w:p w14:paraId="315FBEE4">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宋体"/>
                      <w:color w:val="auto"/>
                      <w:sz w:val="21"/>
                      <w:szCs w:val="21"/>
                      <w:vertAlign w:val="baseline"/>
                      <w:lang w:val="en-US" w:eastAsia="zh-CN" w:bidi="ar-SA"/>
                    </w:rPr>
                  </w:pPr>
                </w:p>
              </w:tc>
              <w:tc>
                <w:tcPr>
                  <w:tcW w:w="413" w:type="pct"/>
                  <w:vMerge w:val="continue"/>
                  <w:tcBorders>
                    <w:tl2br w:val="nil"/>
                    <w:tr2bl w:val="nil"/>
                  </w:tcBorders>
                  <w:noWrap w:val="0"/>
                  <w:vAlign w:val="center"/>
                </w:tcPr>
                <w:p w14:paraId="29D237FB">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宋体"/>
                      <w:color w:val="auto"/>
                      <w:sz w:val="21"/>
                      <w:szCs w:val="21"/>
                      <w:vertAlign w:val="baseline"/>
                      <w:lang w:val="en-US" w:eastAsia="zh-CN" w:bidi="ar-SA"/>
                    </w:rPr>
                  </w:pPr>
                </w:p>
              </w:tc>
              <w:tc>
                <w:tcPr>
                  <w:tcW w:w="463" w:type="pct"/>
                  <w:tcBorders>
                    <w:tl2br w:val="nil"/>
                    <w:tr2bl w:val="nil"/>
                  </w:tcBorders>
                  <w:noWrap w:val="0"/>
                  <w:vAlign w:val="center"/>
                </w:tcPr>
                <w:p w14:paraId="0D04DE20">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X</w:t>
                  </w:r>
                </w:p>
              </w:tc>
              <w:tc>
                <w:tcPr>
                  <w:tcW w:w="413" w:type="pct"/>
                  <w:tcBorders>
                    <w:tl2br w:val="nil"/>
                    <w:tr2bl w:val="nil"/>
                  </w:tcBorders>
                  <w:noWrap w:val="0"/>
                  <w:vAlign w:val="center"/>
                </w:tcPr>
                <w:p w14:paraId="402E6DA1">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Y</w:t>
                  </w:r>
                </w:p>
              </w:tc>
              <w:tc>
                <w:tcPr>
                  <w:tcW w:w="388" w:type="pct"/>
                  <w:vMerge w:val="continue"/>
                  <w:tcBorders>
                    <w:tl2br w:val="nil"/>
                    <w:tr2bl w:val="nil"/>
                  </w:tcBorders>
                  <w:noWrap w:val="0"/>
                  <w:vAlign w:val="center"/>
                </w:tcPr>
                <w:p w14:paraId="6DA4DDF9">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327" w:type="pct"/>
                  <w:vMerge w:val="continue"/>
                  <w:tcBorders>
                    <w:tl2br w:val="nil"/>
                    <w:tr2bl w:val="nil"/>
                  </w:tcBorders>
                  <w:noWrap w:val="0"/>
                  <w:vAlign w:val="center"/>
                </w:tcPr>
                <w:p w14:paraId="0E299E71">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397" w:type="pct"/>
                  <w:vMerge w:val="continue"/>
                  <w:tcBorders>
                    <w:tl2br w:val="nil"/>
                    <w:tr2bl w:val="nil"/>
                  </w:tcBorders>
                  <w:noWrap w:val="0"/>
                  <w:vAlign w:val="center"/>
                </w:tcPr>
                <w:p w14:paraId="3BA020A3">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368" w:type="pct"/>
                  <w:vMerge w:val="continue"/>
                  <w:tcBorders>
                    <w:tl2br w:val="nil"/>
                    <w:tr2bl w:val="nil"/>
                  </w:tcBorders>
                  <w:noWrap w:val="0"/>
                  <w:vAlign w:val="center"/>
                </w:tcPr>
                <w:p w14:paraId="46A9C07D">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352" w:type="pct"/>
                  <w:vMerge w:val="continue"/>
                  <w:tcBorders>
                    <w:tl2br w:val="nil"/>
                    <w:tr2bl w:val="nil"/>
                  </w:tcBorders>
                  <w:noWrap w:val="0"/>
                  <w:vAlign w:val="center"/>
                </w:tcPr>
                <w:p w14:paraId="17CD02C6">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352" w:type="pct"/>
                  <w:vMerge w:val="continue"/>
                  <w:tcBorders>
                    <w:tl2br w:val="nil"/>
                    <w:tr2bl w:val="nil"/>
                  </w:tcBorders>
                  <w:noWrap w:val="0"/>
                  <w:vAlign w:val="center"/>
                </w:tcPr>
                <w:p w14:paraId="1144AE16">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327" w:type="pct"/>
                  <w:vMerge w:val="continue"/>
                  <w:tcBorders>
                    <w:tl2br w:val="nil"/>
                    <w:tr2bl w:val="nil"/>
                  </w:tcBorders>
                  <w:noWrap w:val="0"/>
                  <w:vAlign w:val="center"/>
                </w:tcPr>
                <w:p w14:paraId="2ACC3F82">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873" w:type="pct"/>
                  <w:gridSpan w:val="2"/>
                  <w:vMerge w:val="continue"/>
                  <w:tcBorders>
                    <w:tl2br w:val="nil"/>
                    <w:tr2bl w:val="nil"/>
                  </w:tcBorders>
                  <w:noWrap w:val="0"/>
                  <w:vAlign w:val="center"/>
                </w:tcPr>
                <w:p w14:paraId="15A2C012">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r>
            <w:tr w14:paraId="56114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319" w:type="pct"/>
                  <w:tcBorders>
                    <w:tl2br w:val="nil"/>
                    <w:tr2bl w:val="nil"/>
                  </w:tcBorders>
                  <w:noWrap w:val="0"/>
                  <w:vAlign w:val="center"/>
                </w:tcPr>
                <w:p w14:paraId="731489EE">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宋体"/>
                      <w:color w:val="auto"/>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bidi="ar-SA"/>
                    </w:rPr>
                    <w:t>DA001</w:t>
                  </w:r>
                </w:p>
              </w:tc>
              <w:tc>
                <w:tcPr>
                  <w:tcW w:w="413" w:type="pct"/>
                  <w:tcBorders>
                    <w:tl2br w:val="nil"/>
                    <w:tr2bl w:val="nil"/>
                  </w:tcBorders>
                  <w:noWrap w:val="0"/>
                  <w:vAlign w:val="center"/>
                </w:tcPr>
                <w:p w14:paraId="7190AA3F">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宋体"/>
                      <w:color w:val="auto"/>
                      <w:sz w:val="21"/>
                      <w:szCs w:val="21"/>
                      <w:vertAlign w:val="baseline"/>
                      <w:lang w:val="en-US" w:eastAsia="zh-CN" w:bidi="ar-SA"/>
                    </w:rPr>
                  </w:pPr>
                  <w:r>
                    <w:rPr>
                      <w:rFonts w:hint="eastAsia" w:cs="宋体"/>
                      <w:color w:val="auto"/>
                      <w:sz w:val="21"/>
                      <w:szCs w:val="21"/>
                      <w:vertAlign w:val="baseline"/>
                      <w:lang w:val="en-US" w:eastAsia="zh-CN" w:bidi="ar-SA"/>
                    </w:rPr>
                    <w:t>1#排气筒</w:t>
                  </w:r>
                </w:p>
              </w:tc>
              <w:tc>
                <w:tcPr>
                  <w:tcW w:w="463" w:type="pct"/>
                  <w:tcBorders>
                    <w:tl2br w:val="nil"/>
                    <w:tr2bl w:val="nil"/>
                  </w:tcBorders>
                  <w:noWrap w:val="0"/>
                  <w:vAlign w:val="center"/>
                </w:tcPr>
                <w:p w14:paraId="0093FF00">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105.686835</w:t>
                  </w:r>
                </w:p>
              </w:tc>
              <w:tc>
                <w:tcPr>
                  <w:tcW w:w="413" w:type="pct"/>
                  <w:tcBorders>
                    <w:tl2br w:val="nil"/>
                    <w:tr2bl w:val="nil"/>
                  </w:tcBorders>
                  <w:noWrap w:val="0"/>
                  <w:vAlign w:val="center"/>
                </w:tcPr>
                <w:p w14:paraId="41BE8E59">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30.739886</w:t>
                  </w:r>
                </w:p>
              </w:tc>
              <w:tc>
                <w:tcPr>
                  <w:tcW w:w="388" w:type="pct"/>
                  <w:tcBorders>
                    <w:tl2br w:val="nil"/>
                    <w:tr2bl w:val="nil"/>
                  </w:tcBorders>
                  <w:noWrap w:val="0"/>
                  <w:vAlign w:val="center"/>
                </w:tcPr>
                <w:p w14:paraId="2AAB9407">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382</w:t>
                  </w:r>
                </w:p>
              </w:tc>
              <w:tc>
                <w:tcPr>
                  <w:tcW w:w="327" w:type="pct"/>
                  <w:tcBorders>
                    <w:tl2br w:val="nil"/>
                    <w:tr2bl w:val="nil"/>
                  </w:tcBorders>
                  <w:noWrap w:val="0"/>
                  <w:vAlign w:val="center"/>
                </w:tcPr>
                <w:p w14:paraId="6E2175C0">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w:t>
                  </w:r>
                </w:p>
              </w:tc>
              <w:tc>
                <w:tcPr>
                  <w:tcW w:w="397" w:type="pct"/>
                  <w:tcBorders>
                    <w:tl2br w:val="nil"/>
                    <w:tr2bl w:val="nil"/>
                  </w:tcBorders>
                  <w:noWrap w:val="0"/>
                  <w:vAlign w:val="center"/>
                </w:tcPr>
                <w:p w14:paraId="1D12E989">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0.2</w:t>
                  </w:r>
                </w:p>
              </w:tc>
              <w:tc>
                <w:tcPr>
                  <w:tcW w:w="368" w:type="pct"/>
                  <w:tcBorders>
                    <w:tl2br w:val="nil"/>
                    <w:tr2bl w:val="nil"/>
                  </w:tcBorders>
                  <w:noWrap w:val="0"/>
                  <w:vAlign w:val="center"/>
                </w:tcPr>
                <w:p w14:paraId="47BBFAC5">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0.83</w:t>
                  </w:r>
                </w:p>
              </w:tc>
              <w:tc>
                <w:tcPr>
                  <w:tcW w:w="352" w:type="pct"/>
                  <w:tcBorders>
                    <w:tl2br w:val="nil"/>
                    <w:tr2bl w:val="nil"/>
                  </w:tcBorders>
                  <w:noWrap w:val="0"/>
                  <w:vAlign w:val="center"/>
                </w:tcPr>
                <w:p w14:paraId="60922FCD">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w:t>
                  </w:r>
                </w:p>
              </w:tc>
              <w:tc>
                <w:tcPr>
                  <w:tcW w:w="352" w:type="pct"/>
                  <w:tcBorders>
                    <w:tl2br w:val="nil"/>
                    <w:tr2bl w:val="nil"/>
                  </w:tcBorders>
                  <w:noWrap w:val="0"/>
                  <w:vAlign w:val="center"/>
                </w:tcPr>
                <w:p w14:paraId="170B4E77">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2400</w:t>
                  </w:r>
                </w:p>
              </w:tc>
              <w:tc>
                <w:tcPr>
                  <w:tcW w:w="327" w:type="pct"/>
                  <w:tcBorders>
                    <w:tl2br w:val="nil"/>
                    <w:tr2bl w:val="nil"/>
                  </w:tcBorders>
                  <w:noWrap w:val="0"/>
                  <w:vAlign w:val="center"/>
                </w:tcPr>
                <w:p w14:paraId="5D837187">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正常</w:t>
                  </w:r>
                </w:p>
              </w:tc>
              <w:tc>
                <w:tcPr>
                  <w:tcW w:w="456" w:type="pct"/>
                  <w:tcBorders>
                    <w:tl2br w:val="nil"/>
                    <w:tr2bl w:val="nil"/>
                  </w:tcBorders>
                  <w:noWrap w:val="0"/>
                  <w:vAlign w:val="center"/>
                </w:tcPr>
                <w:p w14:paraId="260CFDBF">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M</w:t>
                  </w:r>
                  <w:r>
                    <w:rPr>
                      <w:rFonts w:hint="eastAsia" w:cs="Times New Roman"/>
                      <w:color w:val="auto"/>
                      <w:sz w:val="21"/>
                      <w:szCs w:val="21"/>
                      <w:vertAlign w:val="subscript"/>
                      <w:lang w:val="en-US" w:eastAsia="zh-CN"/>
                    </w:rPr>
                    <w:t>10</w:t>
                  </w:r>
                </w:p>
              </w:tc>
              <w:tc>
                <w:tcPr>
                  <w:tcW w:w="417" w:type="pct"/>
                  <w:tcBorders>
                    <w:tl2br w:val="nil"/>
                    <w:tr2bl w:val="nil"/>
                  </w:tcBorders>
                  <w:noWrap w:val="0"/>
                  <w:vAlign w:val="center"/>
                </w:tcPr>
                <w:p w14:paraId="3F151FB1">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w:t>
                  </w:r>
                  <w:r>
                    <w:rPr>
                      <w:rFonts w:hint="eastAsia" w:cs="Times New Roman"/>
                      <w:color w:val="auto"/>
                      <w:sz w:val="21"/>
                      <w:szCs w:val="21"/>
                      <w:vertAlign w:val="baseline"/>
                      <w:lang w:val="en-US" w:eastAsia="zh-CN"/>
                    </w:rPr>
                    <w:t>18</w:t>
                  </w:r>
                </w:p>
              </w:tc>
            </w:tr>
            <w:tr w14:paraId="2535A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9" w:type="pct"/>
                  <w:tcBorders>
                    <w:tl2br w:val="nil"/>
                    <w:tr2bl w:val="nil"/>
                  </w:tcBorders>
                  <w:noWrap w:val="0"/>
                  <w:vAlign w:val="center"/>
                </w:tcPr>
                <w:p w14:paraId="056BBD78">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bidi="ar-SA"/>
                    </w:rPr>
                    <w:t>DA00</w:t>
                  </w:r>
                  <w:r>
                    <w:rPr>
                      <w:rFonts w:hint="eastAsia" w:cs="宋体"/>
                      <w:color w:val="auto"/>
                      <w:sz w:val="21"/>
                      <w:szCs w:val="21"/>
                      <w:vertAlign w:val="baseline"/>
                      <w:lang w:val="en-US" w:eastAsia="zh-CN" w:bidi="ar-SA"/>
                    </w:rPr>
                    <w:t>2</w:t>
                  </w:r>
                </w:p>
              </w:tc>
              <w:tc>
                <w:tcPr>
                  <w:tcW w:w="413" w:type="pct"/>
                  <w:tcBorders>
                    <w:tl2br w:val="nil"/>
                    <w:tr2bl w:val="nil"/>
                  </w:tcBorders>
                  <w:noWrap w:val="0"/>
                  <w:vAlign w:val="center"/>
                </w:tcPr>
                <w:p w14:paraId="2768BCF2">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vertAlign w:val="baseline"/>
                      <w:lang w:val="en-US" w:eastAsia="zh-CN" w:bidi="ar-SA"/>
                    </w:rPr>
                  </w:pPr>
                  <w:r>
                    <w:rPr>
                      <w:rFonts w:hint="eastAsia" w:cs="宋体"/>
                      <w:color w:val="auto"/>
                      <w:sz w:val="21"/>
                      <w:szCs w:val="21"/>
                      <w:vertAlign w:val="baseline"/>
                      <w:lang w:val="en-US" w:eastAsia="zh-CN" w:bidi="ar-SA"/>
                    </w:rPr>
                    <w:t>2#排气筒</w:t>
                  </w:r>
                </w:p>
              </w:tc>
              <w:tc>
                <w:tcPr>
                  <w:tcW w:w="463" w:type="pct"/>
                  <w:tcBorders>
                    <w:tl2br w:val="nil"/>
                    <w:tr2bl w:val="nil"/>
                  </w:tcBorders>
                  <w:noWrap w:val="0"/>
                  <w:vAlign w:val="center"/>
                </w:tcPr>
                <w:p w14:paraId="2C99DBBD">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105.687152878</w:t>
                  </w:r>
                </w:p>
              </w:tc>
              <w:tc>
                <w:tcPr>
                  <w:tcW w:w="413" w:type="pct"/>
                  <w:tcBorders>
                    <w:tl2br w:val="nil"/>
                    <w:tr2bl w:val="nil"/>
                  </w:tcBorders>
                  <w:noWrap w:val="0"/>
                  <w:vAlign w:val="center"/>
                </w:tcPr>
                <w:p w14:paraId="580DF724">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30.740466</w:t>
                  </w:r>
                </w:p>
              </w:tc>
              <w:tc>
                <w:tcPr>
                  <w:tcW w:w="388" w:type="pct"/>
                  <w:tcBorders>
                    <w:tl2br w:val="nil"/>
                    <w:tr2bl w:val="nil"/>
                  </w:tcBorders>
                  <w:noWrap w:val="0"/>
                  <w:vAlign w:val="center"/>
                </w:tcPr>
                <w:p w14:paraId="13250A44">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382</w:t>
                  </w:r>
                </w:p>
              </w:tc>
              <w:tc>
                <w:tcPr>
                  <w:tcW w:w="327" w:type="pct"/>
                  <w:tcBorders>
                    <w:tl2br w:val="nil"/>
                    <w:tr2bl w:val="nil"/>
                  </w:tcBorders>
                  <w:noWrap w:val="0"/>
                  <w:vAlign w:val="center"/>
                </w:tcPr>
                <w:p w14:paraId="630D2C25">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w:t>
                  </w:r>
                </w:p>
              </w:tc>
              <w:tc>
                <w:tcPr>
                  <w:tcW w:w="397" w:type="pct"/>
                  <w:tcBorders>
                    <w:tl2br w:val="nil"/>
                    <w:tr2bl w:val="nil"/>
                  </w:tcBorders>
                  <w:noWrap w:val="0"/>
                  <w:vAlign w:val="center"/>
                </w:tcPr>
                <w:p w14:paraId="683108FE">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0.2</w:t>
                  </w:r>
                </w:p>
              </w:tc>
              <w:tc>
                <w:tcPr>
                  <w:tcW w:w="368" w:type="pct"/>
                  <w:tcBorders>
                    <w:tl2br w:val="nil"/>
                    <w:tr2bl w:val="nil"/>
                  </w:tcBorders>
                  <w:noWrap w:val="0"/>
                  <w:vAlign w:val="center"/>
                </w:tcPr>
                <w:p w14:paraId="1716E2B6">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0.83</w:t>
                  </w:r>
                </w:p>
              </w:tc>
              <w:tc>
                <w:tcPr>
                  <w:tcW w:w="352" w:type="pct"/>
                  <w:tcBorders>
                    <w:tl2br w:val="nil"/>
                    <w:tr2bl w:val="nil"/>
                  </w:tcBorders>
                  <w:noWrap w:val="0"/>
                  <w:vAlign w:val="center"/>
                </w:tcPr>
                <w:p w14:paraId="491E2DB6">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w:t>
                  </w:r>
                </w:p>
              </w:tc>
              <w:tc>
                <w:tcPr>
                  <w:tcW w:w="352" w:type="pct"/>
                  <w:tcBorders>
                    <w:tl2br w:val="nil"/>
                    <w:tr2bl w:val="nil"/>
                  </w:tcBorders>
                  <w:noWrap w:val="0"/>
                  <w:vAlign w:val="center"/>
                </w:tcPr>
                <w:p w14:paraId="3052B9FD">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2400</w:t>
                  </w:r>
                </w:p>
              </w:tc>
              <w:tc>
                <w:tcPr>
                  <w:tcW w:w="327" w:type="pct"/>
                  <w:tcBorders>
                    <w:tl2br w:val="nil"/>
                    <w:tr2bl w:val="nil"/>
                  </w:tcBorders>
                  <w:noWrap w:val="0"/>
                  <w:vAlign w:val="center"/>
                </w:tcPr>
                <w:p w14:paraId="0E4F8A13">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w:t>
                  </w:r>
                </w:p>
              </w:tc>
              <w:tc>
                <w:tcPr>
                  <w:tcW w:w="456" w:type="pct"/>
                  <w:tcBorders>
                    <w:tl2br w:val="nil"/>
                    <w:tr2bl w:val="nil"/>
                  </w:tcBorders>
                  <w:noWrap w:val="0"/>
                  <w:vAlign w:val="center"/>
                </w:tcPr>
                <w:p w14:paraId="7C968FC2">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PM</w:t>
                  </w:r>
                  <w:r>
                    <w:rPr>
                      <w:rFonts w:hint="eastAsia" w:cs="Times New Roman"/>
                      <w:color w:val="auto"/>
                      <w:sz w:val="21"/>
                      <w:szCs w:val="21"/>
                      <w:vertAlign w:val="subscript"/>
                      <w:lang w:val="en-US" w:eastAsia="zh-CN"/>
                    </w:rPr>
                    <w:t>10</w:t>
                  </w:r>
                </w:p>
              </w:tc>
              <w:tc>
                <w:tcPr>
                  <w:tcW w:w="417" w:type="pct"/>
                  <w:tcBorders>
                    <w:tl2br w:val="nil"/>
                    <w:tr2bl w:val="nil"/>
                  </w:tcBorders>
                  <w:noWrap w:val="0"/>
                  <w:vAlign w:val="center"/>
                </w:tcPr>
                <w:p w14:paraId="4FBBFED3">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w:t>
                  </w:r>
                  <w:r>
                    <w:rPr>
                      <w:rFonts w:hint="eastAsia" w:cs="Times New Roman"/>
                      <w:color w:val="auto"/>
                      <w:sz w:val="21"/>
                      <w:szCs w:val="21"/>
                      <w:vertAlign w:val="baseline"/>
                      <w:lang w:val="en-US" w:eastAsia="zh-CN"/>
                    </w:rPr>
                    <w:t>24</w:t>
                  </w:r>
                </w:p>
              </w:tc>
            </w:tr>
            <w:tr w14:paraId="0105BB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9" w:type="pct"/>
                  <w:tcBorders>
                    <w:tl2br w:val="nil"/>
                    <w:tr2bl w:val="nil"/>
                  </w:tcBorders>
                  <w:noWrap w:val="0"/>
                  <w:vAlign w:val="center"/>
                </w:tcPr>
                <w:p w14:paraId="5B1754A8">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宋体"/>
                      <w:color w:val="auto"/>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bidi="ar-SA"/>
                    </w:rPr>
                    <w:t>DA00</w:t>
                  </w:r>
                  <w:r>
                    <w:rPr>
                      <w:rFonts w:hint="eastAsia" w:cs="宋体"/>
                      <w:color w:val="auto"/>
                      <w:sz w:val="21"/>
                      <w:szCs w:val="21"/>
                      <w:vertAlign w:val="baseline"/>
                      <w:lang w:val="en-US" w:eastAsia="zh-CN" w:bidi="ar-SA"/>
                    </w:rPr>
                    <w:t>3</w:t>
                  </w:r>
                </w:p>
              </w:tc>
              <w:tc>
                <w:tcPr>
                  <w:tcW w:w="413" w:type="pct"/>
                  <w:tcBorders>
                    <w:tl2br w:val="nil"/>
                    <w:tr2bl w:val="nil"/>
                  </w:tcBorders>
                  <w:noWrap w:val="0"/>
                  <w:vAlign w:val="center"/>
                </w:tcPr>
                <w:p w14:paraId="677A89EF">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宋体"/>
                      <w:color w:val="auto"/>
                      <w:sz w:val="21"/>
                      <w:szCs w:val="21"/>
                      <w:vertAlign w:val="baseline"/>
                      <w:lang w:val="en-US" w:eastAsia="zh-CN" w:bidi="ar-SA"/>
                    </w:rPr>
                  </w:pPr>
                  <w:r>
                    <w:rPr>
                      <w:rFonts w:hint="eastAsia" w:cs="宋体"/>
                      <w:color w:val="auto"/>
                      <w:sz w:val="21"/>
                      <w:szCs w:val="21"/>
                      <w:vertAlign w:val="baseline"/>
                      <w:lang w:val="en-US" w:eastAsia="zh-CN" w:bidi="ar-SA"/>
                    </w:rPr>
                    <w:t>3#排气筒</w:t>
                  </w:r>
                </w:p>
              </w:tc>
              <w:tc>
                <w:tcPr>
                  <w:tcW w:w="463" w:type="pct"/>
                  <w:tcBorders>
                    <w:tl2br w:val="nil"/>
                    <w:tr2bl w:val="nil"/>
                  </w:tcBorders>
                  <w:noWrap w:val="0"/>
                  <w:vAlign w:val="center"/>
                </w:tcPr>
                <w:p w14:paraId="329F80D1">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105.687168</w:t>
                  </w:r>
                </w:p>
              </w:tc>
              <w:tc>
                <w:tcPr>
                  <w:tcW w:w="413" w:type="pct"/>
                  <w:tcBorders>
                    <w:tl2br w:val="nil"/>
                    <w:tr2bl w:val="nil"/>
                  </w:tcBorders>
                  <w:noWrap w:val="0"/>
                  <w:vAlign w:val="center"/>
                </w:tcPr>
                <w:p w14:paraId="077D7697">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30.739731</w:t>
                  </w:r>
                </w:p>
              </w:tc>
              <w:tc>
                <w:tcPr>
                  <w:tcW w:w="388" w:type="pct"/>
                  <w:tcBorders>
                    <w:tl2br w:val="nil"/>
                    <w:tr2bl w:val="nil"/>
                  </w:tcBorders>
                  <w:noWrap w:val="0"/>
                  <w:vAlign w:val="center"/>
                </w:tcPr>
                <w:p w14:paraId="05D2F3F3">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383</w:t>
                  </w:r>
                </w:p>
              </w:tc>
              <w:tc>
                <w:tcPr>
                  <w:tcW w:w="327" w:type="pct"/>
                  <w:tcBorders>
                    <w:tl2br w:val="nil"/>
                    <w:tr2bl w:val="nil"/>
                  </w:tcBorders>
                  <w:noWrap w:val="0"/>
                  <w:vAlign w:val="center"/>
                </w:tcPr>
                <w:p w14:paraId="4D30D194">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w:t>
                  </w:r>
                </w:p>
              </w:tc>
              <w:tc>
                <w:tcPr>
                  <w:tcW w:w="397" w:type="pct"/>
                  <w:tcBorders>
                    <w:tl2br w:val="nil"/>
                    <w:tr2bl w:val="nil"/>
                  </w:tcBorders>
                  <w:noWrap w:val="0"/>
                  <w:vAlign w:val="center"/>
                </w:tcPr>
                <w:p w14:paraId="45F20661">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0.2</w:t>
                  </w:r>
                </w:p>
              </w:tc>
              <w:tc>
                <w:tcPr>
                  <w:tcW w:w="368" w:type="pct"/>
                  <w:tcBorders>
                    <w:tl2br w:val="nil"/>
                    <w:tr2bl w:val="nil"/>
                  </w:tcBorders>
                  <w:noWrap w:val="0"/>
                  <w:vAlign w:val="center"/>
                </w:tcPr>
                <w:p w14:paraId="4CA5F58B">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0.83</w:t>
                  </w:r>
                </w:p>
              </w:tc>
              <w:tc>
                <w:tcPr>
                  <w:tcW w:w="352" w:type="pct"/>
                  <w:tcBorders>
                    <w:tl2br w:val="nil"/>
                    <w:tr2bl w:val="nil"/>
                  </w:tcBorders>
                  <w:noWrap w:val="0"/>
                  <w:vAlign w:val="center"/>
                </w:tcPr>
                <w:p w14:paraId="5BD6791D">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w:t>
                  </w:r>
                </w:p>
              </w:tc>
              <w:tc>
                <w:tcPr>
                  <w:tcW w:w="352" w:type="pct"/>
                  <w:tcBorders>
                    <w:tl2br w:val="nil"/>
                    <w:tr2bl w:val="nil"/>
                  </w:tcBorders>
                  <w:noWrap w:val="0"/>
                  <w:vAlign w:val="center"/>
                </w:tcPr>
                <w:p w14:paraId="00C89FF7">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2400</w:t>
                  </w:r>
                </w:p>
              </w:tc>
              <w:tc>
                <w:tcPr>
                  <w:tcW w:w="327" w:type="pct"/>
                  <w:tcBorders>
                    <w:tl2br w:val="nil"/>
                    <w:tr2bl w:val="nil"/>
                  </w:tcBorders>
                  <w:noWrap w:val="0"/>
                  <w:vAlign w:val="center"/>
                </w:tcPr>
                <w:p w14:paraId="545202DA">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正常</w:t>
                  </w:r>
                </w:p>
              </w:tc>
              <w:tc>
                <w:tcPr>
                  <w:tcW w:w="456" w:type="pct"/>
                  <w:tcBorders>
                    <w:tl2br w:val="nil"/>
                    <w:tr2bl w:val="nil"/>
                  </w:tcBorders>
                  <w:noWrap w:val="0"/>
                  <w:vAlign w:val="center"/>
                </w:tcPr>
                <w:p w14:paraId="241A7757">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Calibri" w:eastAsia="宋体" w:cs="Times New Roman"/>
                      <w:color w:val="auto"/>
                      <w:sz w:val="21"/>
                      <w:szCs w:val="21"/>
                    </w:rPr>
                    <w:t>VOCs</w:t>
                  </w:r>
                </w:p>
              </w:tc>
              <w:tc>
                <w:tcPr>
                  <w:tcW w:w="417" w:type="pct"/>
                  <w:tcBorders>
                    <w:tl2br w:val="nil"/>
                    <w:tr2bl w:val="nil"/>
                  </w:tcBorders>
                  <w:noWrap w:val="0"/>
                  <w:vAlign w:val="center"/>
                </w:tcPr>
                <w:p w14:paraId="6447E3BF">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0.014</w:t>
                  </w:r>
                </w:p>
              </w:tc>
            </w:tr>
            <w:tr w14:paraId="5FA82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19" w:type="pct"/>
                  <w:vMerge w:val="restart"/>
                  <w:tcBorders>
                    <w:tl2br w:val="nil"/>
                    <w:tr2bl w:val="nil"/>
                  </w:tcBorders>
                  <w:noWrap w:val="0"/>
                  <w:vAlign w:val="center"/>
                </w:tcPr>
                <w:p w14:paraId="0F1A1F2C">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宋体"/>
                      <w:color w:val="auto"/>
                      <w:sz w:val="21"/>
                      <w:szCs w:val="21"/>
                      <w:vertAlign w:val="baseline"/>
                      <w:lang w:val="en-US" w:eastAsia="zh-CN" w:bidi="ar-SA"/>
                    </w:rPr>
                  </w:pPr>
                  <w:r>
                    <w:rPr>
                      <w:rFonts w:hint="eastAsia" w:ascii="Times New Roman" w:hAnsi="Times New Roman" w:eastAsia="宋体" w:cs="宋体"/>
                      <w:color w:val="auto"/>
                      <w:sz w:val="21"/>
                      <w:szCs w:val="21"/>
                      <w:vertAlign w:val="baseline"/>
                      <w:lang w:val="en-US" w:eastAsia="zh-CN" w:bidi="ar-SA"/>
                    </w:rPr>
                    <w:t>DA00</w:t>
                  </w:r>
                  <w:r>
                    <w:rPr>
                      <w:rFonts w:hint="eastAsia" w:cs="宋体"/>
                      <w:color w:val="auto"/>
                      <w:sz w:val="21"/>
                      <w:szCs w:val="21"/>
                      <w:vertAlign w:val="baseline"/>
                      <w:lang w:val="en-US" w:eastAsia="zh-CN" w:bidi="ar-SA"/>
                    </w:rPr>
                    <w:t>4</w:t>
                  </w:r>
                </w:p>
              </w:tc>
              <w:tc>
                <w:tcPr>
                  <w:tcW w:w="413" w:type="pct"/>
                  <w:vMerge w:val="restart"/>
                  <w:tcBorders>
                    <w:tl2br w:val="nil"/>
                    <w:tr2bl w:val="nil"/>
                  </w:tcBorders>
                  <w:noWrap w:val="0"/>
                  <w:vAlign w:val="center"/>
                </w:tcPr>
                <w:p w14:paraId="5AC4347C">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宋体"/>
                      <w:color w:val="auto"/>
                      <w:sz w:val="21"/>
                      <w:szCs w:val="21"/>
                      <w:vertAlign w:val="baseline"/>
                      <w:lang w:val="en-US" w:eastAsia="zh-CN" w:bidi="ar-SA"/>
                    </w:rPr>
                  </w:pPr>
                  <w:r>
                    <w:rPr>
                      <w:rFonts w:hint="eastAsia" w:cs="宋体"/>
                      <w:color w:val="auto"/>
                      <w:sz w:val="21"/>
                      <w:szCs w:val="21"/>
                      <w:vertAlign w:val="baseline"/>
                      <w:lang w:val="en-US" w:eastAsia="zh-CN" w:bidi="ar-SA"/>
                    </w:rPr>
                    <w:t>4#排气筒</w:t>
                  </w:r>
                </w:p>
              </w:tc>
              <w:tc>
                <w:tcPr>
                  <w:tcW w:w="463" w:type="pct"/>
                  <w:vMerge w:val="restart"/>
                  <w:tcBorders>
                    <w:tl2br w:val="nil"/>
                    <w:tr2bl w:val="nil"/>
                  </w:tcBorders>
                  <w:noWrap w:val="0"/>
                  <w:vAlign w:val="center"/>
                </w:tcPr>
                <w:p w14:paraId="6F94B2E1">
                  <w:pPr>
                    <w:keepNext w:val="0"/>
                    <w:keepLines w:val="0"/>
                    <w:suppressLineNumbers w:val="0"/>
                    <w:tabs>
                      <w:tab w:val="center" w:pos="4153"/>
                      <w:tab w:val="right" w:pos="8306"/>
                    </w:tabs>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105.686999</w:t>
                  </w:r>
                </w:p>
              </w:tc>
              <w:tc>
                <w:tcPr>
                  <w:tcW w:w="413" w:type="pct"/>
                  <w:vMerge w:val="restart"/>
                  <w:tcBorders>
                    <w:tl2br w:val="nil"/>
                    <w:tr2bl w:val="nil"/>
                  </w:tcBorders>
                  <w:noWrap w:val="0"/>
                  <w:vAlign w:val="center"/>
                </w:tcPr>
                <w:p w14:paraId="28B3C556">
                  <w:pPr>
                    <w:keepNext w:val="0"/>
                    <w:keepLines w:val="0"/>
                    <w:suppressLineNumbers w:val="0"/>
                    <w:tabs>
                      <w:tab w:val="center" w:pos="4153"/>
                      <w:tab w:val="right" w:pos="8306"/>
                    </w:tabs>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30.739986</w:t>
                  </w:r>
                </w:p>
              </w:tc>
              <w:tc>
                <w:tcPr>
                  <w:tcW w:w="388" w:type="pct"/>
                  <w:vMerge w:val="restart"/>
                  <w:tcBorders>
                    <w:tl2br w:val="nil"/>
                    <w:tr2bl w:val="nil"/>
                  </w:tcBorders>
                  <w:noWrap w:val="0"/>
                  <w:vAlign w:val="center"/>
                </w:tcPr>
                <w:p w14:paraId="5EB77289">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383.5</w:t>
                  </w:r>
                </w:p>
              </w:tc>
              <w:tc>
                <w:tcPr>
                  <w:tcW w:w="327" w:type="pct"/>
                  <w:vMerge w:val="restart"/>
                  <w:tcBorders>
                    <w:tl2br w:val="nil"/>
                    <w:tr2bl w:val="nil"/>
                  </w:tcBorders>
                  <w:noWrap w:val="0"/>
                  <w:vAlign w:val="center"/>
                </w:tcPr>
                <w:p w14:paraId="5B71BFA6">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15</w:t>
                  </w:r>
                </w:p>
              </w:tc>
              <w:tc>
                <w:tcPr>
                  <w:tcW w:w="397" w:type="pct"/>
                  <w:vMerge w:val="restart"/>
                  <w:tcBorders>
                    <w:tl2br w:val="nil"/>
                    <w:tr2bl w:val="nil"/>
                  </w:tcBorders>
                  <w:noWrap w:val="0"/>
                  <w:vAlign w:val="center"/>
                </w:tcPr>
                <w:p w14:paraId="761A56BD">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4</w:t>
                  </w:r>
                </w:p>
              </w:tc>
              <w:tc>
                <w:tcPr>
                  <w:tcW w:w="368" w:type="pct"/>
                  <w:vMerge w:val="restart"/>
                  <w:tcBorders>
                    <w:tl2br w:val="nil"/>
                    <w:tr2bl w:val="nil"/>
                  </w:tcBorders>
                  <w:noWrap w:val="0"/>
                  <w:vAlign w:val="center"/>
                </w:tcPr>
                <w:p w14:paraId="0D4243A0">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0.95</w:t>
                  </w:r>
                </w:p>
              </w:tc>
              <w:tc>
                <w:tcPr>
                  <w:tcW w:w="352" w:type="pct"/>
                  <w:vMerge w:val="restart"/>
                  <w:tcBorders>
                    <w:tl2br w:val="nil"/>
                    <w:tr2bl w:val="nil"/>
                  </w:tcBorders>
                  <w:noWrap w:val="0"/>
                  <w:vAlign w:val="center"/>
                </w:tcPr>
                <w:p w14:paraId="3E72B0DE">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w:t>
                  </w:r>
                </w:p>
              </w:tc>
              <w:tc>
                <w:tcPr>
                  <w:tcW w:w="352" w:type="pct"/>
                  <w:vMerge w:val="restart"/>
                  <w:tcBorders>
                    <w:tl2br w:val="nil"/>
                    <w:tr2bl w:val="nil"/>
                  </w:tcBorders>
                  <w:noWrap w:val="0"/>
                  <w:vAlign w:val="center"/>
                </w:tcPr>
                <w:p w14:paraId="7FE004A1">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2400</w:t>
                  </w:r>
                </w:p>
              </w:tc>
              <w:tc>
                <w:tcPr>
                  <w:tcW w:w="327" w:type="pct"/>
                  <w:vMerge w:val="restart"/>
                  <w:tcBorders>
                    <w:tl2br w:val="nil"/>
                    <w:tr2bl w:val="nil"/>
                  </w:tcBorders>
                  <w:noWrap w:val="0"/>
                  <w:vAlign w:val="center"/>
                </w:tcPr>
                <w:p w14:paraId="647D0B48">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正常</w:t>
                  </w:r>
                </w:p>
              </w:tc>
              <w:tc>
                <w:tcPr>
                  <w:tcW w:w="456" w:type="pct"/>
                  <w:tcBorders>
                    <w:tl2br w:val="nil"/>
                    <w:tr2bl w:val="nil"/>
                  </w:tcBorders>
                  <w:noWrap w:val="0"/>
                  <w:vAlign w:val="center"/>
                </w:tcPr>
                <w:p w14:paraId="505D4B39">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PM</w:t>
                  </w:r>
                  <w:r>
                    <w:rPr>
                      <w:rFonts w:hint="eastAsia" w:cs="Times New Roman"/>
                      <w:color w:val="auto"/>
                      <w:sz w:val="21"/>
                      <w:szCs w:val="21"/>
                      <w:vertAlign w:val="subscript"/>
                      <w:lang w:val="en-US" w:eastAsia="zh-CN"/>
                    </w:rPr>
                    <w:t>10</w:t>
                  </w:r>
                </w:p>
              </w:tc>
              <w:tc>
                <w:tcPr>
                  <w:tcW w:w="417" w:type="pct"/>
                  <w:tcBorders>
                    <w:tl2br w:val="nil"/>
                    <w:tr2bl w:val="nil"/>
                  </w:tcBorders>
                  <w:noWrap w:val="0"/>
                  <w:vAlign w:val="center"/>
                </w:tcPr>
                <w:p w14:paraId="09A11CBC">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0.103</w:t>
                  </w:r>
                </w:p>
              </w:tc>
            </w:tr>
            <w:tr w14:paraId="39CB8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19" w:type="pct"/>
                  <w:vMerge w:val="continue"/>
                  <w:tcBorders>
                    <w:tl2br w:val="nil"/>
                    <w:tr2bl w:val="nil"/>
                  </w:tcBorders>
                  <w:noWrap w:val="0"/>
                  <w:vAlign w:val="center"/>
                </w:tcPr>
                <w:p w14:paraId="5A303880">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宋体"/>
                      <w:color w:val="auto"/>
                      <w:sz w:val="21"/>
                      <w:szCs w:val="21"/>
                      <w:vertAlign w:val="baseline"/>
                      <w:lang w:val="en-US" w:eastAsia="zh-CN" w:bidi="ar-SA"/>
                    </w:rPr>
                  </w:pPr>
                </w:p>
              </w:tc>
              <w:tc>
                <w:tcPr>
                  <w:tcW w:w="413" w:type="pct"/>
                  <w:vMerge w:val="continue"/>
                  <w:tcBorders>
                    <w:tl2br w:val="nil"/>
                    <w:tr2bl w:val="nil"/>
                  </w:tcBorders>
                  <w:noWrap w:val="0"/>
                  <w:vAlign w:val="center"/>
                </w:tcPr>
                <w:p w14:paraId="41FA9400">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宋体"/>
                      <w:color w:val="auto"/>
                      <w:sz w:val="21"/>
                      <w:szCs w:val="21"/>
                      <w:vertAlign w:val="baseline"/>
                      <w:lang w:val="en-US" w:eastAsia="zh-CN" w:bidi="ar-SA"/>
                    </w:rPr>
                  </w:pPr>
                </w:p>
              </w:tc>
              <w:tc>
                <w:tcPr>
                  <w:tcW w:w="463" w:type="pct"/>
                  <w:vMerge w:val="continue"/>
                  <w:tcBorders>
                    <w:tl2br w:val="nil"/>
                    <w:tr2bl w:val="nil"/>
                  </w:tcBorders>
                  <w:noWrap w:val="0"/>
                  <w:vAlign w:val="center"/>
                </w:tcPr>
                <w:p w14:paraId="0649B36C">
                  <w:pPr>
                    <w:keepNext w:val="0"/>
                    <w:keepLines w:val="0"/>
                    <w:suppressLineNumbers w:val="0"/>
                    <w:tabs>
                      <w:tab w:val="center" w:pos="4153"/>
                      <w:tab w:val="right" w:pos="8306"/>
                    </w:tabs>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413" w:type="pct"/>
                  <w:vMerge w:val="continue"/>
                  <w:tcBorders>
                    <w:tl2br w:val="nil"/>
                    <w:tr2bl w:val="nil"/>
                  </w:tcBorders>
                  <w:noWrap w:val="0"/>
                  <w:vAlign w:val="center"/>
                </w:tcPr>
                <w:p w14:paraId="7AE4A72C">
                  <w:pPr>
                    <w:keepNext w:val="0"/>
                    <w:keepLines w:val="0"/>
                    <w:suppressLineNumbers w:val="0"/>
                    <w:tabs>
                      <w:tab w:val="center" w:pos="4153"/>
                      <w:tab w:val="right" w:pos="8306"/>
                    </w:tabs>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388" w:type="pct"/>
                  <w:vMerge w:val="continue"/>
                  <w:tcBorders>
                    <w:tl2br w:val="nil"/>
                    <w:tr2bl w:val="nil"/>
                  </w:tcBorders>
                  <w:noWrap w:val="0"/>
                  <w:vAlign w:val="center"/>
                </w:tcPr>
                <w:p w14:paraId="19A96A38">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327" w:type="pct"/>
                  <w:vMerge w:val="continue"/>
                  <w:tcBorders>
                    <w:tl2br w:val="nil"/>
                    <w:tr2bl w:val="nil"/>
                  </w:tcBorders>
                  <w:noWrap w:val="0"/>
                  <w:vAlign w:val="center"/>
                </w:tcPr>
                <w:p w14:paraId="45772BC7">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397" w:type="pct"/>
                  <w:vMerge w:val="continue"/>
                  <w:tcBorders>
                    <w:tl2br w:val="nil"/>
                    <w:tr2bl w:val="nil"/>
                  </w:tcBorders>
                  <w:noWrap w:val="0"/>
                  <w:vAlign w:val="center"/>
                </w:tcPr>
                <w:p w14:paraId="5C4F3FB2">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368" w:type="pct"/>
                  <w:vMerge w:val="continue"/>
                  <w:tcBorders>
                    <w:tl2br w:val="nil"/>
                    <w:tr2bl w:val="nil"/>
                  </w:tcBorders>
                  <w:noWrap w:val="0"/>
                  <w:vAlign w:val="center"/>
                </w:tcPr>
                <w:p w14:paraId="76288BC9">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352" w:type="pct"/>
                  <w:vMerge w:val="continue"/>
                  <w:tcBorders>
                    <w:tl2br w:val="nil"/>
                    <w:tr2bl w:val="nil"/>
                  </w:tcBorders>
                  <w:noWrap w:val="0"/>
                  <w:vAlign w:val="center"/>
                </w:tcPr>
                <w:p w14:paraId="07AADAC3">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352" w:type="pct"/>
                  <w:vMerge w:val="continue"/>
                  <w:tcBorders>
                    <w:tl2br w:val="nil"/>
                    <w:tr2bl w:val="nil"/>
                  </w:tcBorders>
                  <w:noWrap w:val="0"/>
                  <w:vAlign w:val="center"/>
                </w:tcPr>
                <w:p w14:paraId="0D31B84C">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327" w:type="pct"/>
                  <w:vMerge w:val="continue"/>
                  <w:tcBorders>
                    <w:tl2br w:val="nil"/>
                    <w:tr2bl w:val="nil"/>
                  </w:tcBorders>
                  <w:noWrap w:val="0"/>
                  <w:vAlign w:val="center"/>
                </w:tcPr>
                <w:p w14:paraId="4733A250">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456" w:type="pct"/>
                  <w:tcBorders>
                    <w:tl2br w:val="nil"/>
                    <w:tr2bl w:val="nil"/>
                  </w:tcBorders>
                  <w:noWrap w:val="0"/>
                  <w:vAlign w:val="center"/>
                </w:tcPr>
                <w:p w14:paraId="54521013">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rPr>
                    <w:t>SO</w:t>
                  </w:r>
                  <w:r>
                    <w:rPr>
                      <w:rFonts w:hint="default" w:ascii="Times New Roman" w:hAnsi="Times New Roman" w:eastAsia="宋体" w:cs="Times New Roman"/>
                      <w:color w:val="auto"/>
                      <w:sz w:val="21"/>
                      <w:vertAlign w:val="subscript"/>
                    </w:rPr>
                    <w:t>2</w:t>
                  </w:r>
                </w:p>
              </w:tc>
              <w:tc>
                <w:tcPr>
                  <w:tcW w:w="417" w:type="pct"/>
                  <w:tcBorders>
                    <w:tl2br w:val="nil"/>
                    <w:tr2bl w:val="nil"/>
                  </w:tcBorders>
                  <w:noWrap w:val="0"/>
                  <w:vAlign w:val="center"/>
                </w:tcPr>
                <w:p w14:paraId="3A97EEB9">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0.168</w:t>
                  </w:r>
                </w:p>
              </w:tc>
            </w:tr>
            <w:tr w14:paraId="6A71E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319" w:type="pct"/>
                  <w:vMerge w:val="continue"/>
                  <w:tcBorders>
                    <w:tl2br w:val="nil"/>
                    <w:tr2bl w:val="nil"/>
                  </w:tcBorders>
                  <w:noWrap w:val="0"/>
                  <w:vAlign w:val="center"/>
                </w:tcPr>
                <w:p w14:paraId="4BD9D89B">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宋体"/>
                      <w:color w:val="auto"/>
                      <w:sz w:val="21"/>
                      <w:szCs w:val="21"/>
                      <w:vertAlign w:val="baseline"/>
                      <w:lang w:val="en-US" w:eastAsia="zh-CN" w:bidi="ar-SA"/>
                    </w:rPr>
                  </w:pPr>
                </w:p>
              </w:tc>
              <w:tc>
                <w:tcPr>
                  <w:tcW w:w="413" w:type="pct"/>
                  <w:vMerge w:val="continue"/>
                  <w:tcBorders>
                    <w:tl2br w:val="nil"/>
                    <w:tr2bl w:val="nil"/>
                  </w:tcBorders>
                  <w:noWrap w:val="0"/>
                  <w:vAlign w:val="center"/>
                </w:tcPr>
                <w:p w14:paraId="2670E8C7">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宋体"/>
                      <w:color w:val="auto"/>
                      <w:sz w:val="21"/>
                      <w:szCs w:val="21"/>
                      <w:vertAlign w:val="baseline"/>
                      <w:lang w:val="en-US" w:eastAsia="zh-CN" w:bidi="ar-SA"/>
                    </w:rPr>
                  </w:pPr>
                </w:p>
              </w:tc>
              <w:tc>
                <w:tcPr>
                  <w:tcW w:w="463" w:type="pct"/>
                  <w:vMerge w:val="continue"/>
                  <w:tcBorders>
                    <w:tl2br w:val="nil"/>
                    <w:tr2bl w:val="nil"/>
                  </w:tcBorders>
                  <w:noWrap w:val="0"/>
                  <w:vAlign w:val="center"/>
                </w:tcPr>
                <w:p w14:paraId="152D5088">
                  <w:pPr>
                    <w:keepNext w:val="0"/>
                    <w:keepLines w:val="0"/>
                    <w:suppressLineNumbers w:val="0"/>
                    <w:tabs>
                      <w:tab w:val="center" w:pos="4153"/>
                      <w:tab w:val="right" w:pos="8306"/>
                    </w:tabs>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413" w:type="pct"/>
                  <w:vMerge w:val="continue"/>
                  <w:tcBorders>
                    <w:tl2br w:val="nil"/>
                    <w:tr2bl w:val="nil"/>
                  </w:tcBorders>
                  <w:noWrap w:val="0"/>
                  <w:vAlign w:val="center"/>
                </w:tcPr>
                <w:p w14:paraId="68A4E8C9">
                  <w:pPr>
                    <w:keepNext w:val="0"/>
                    <w:keepLines w:val="0"/>
                    <w:suppressLineNumbers w:val="0"/>
                    <w:tabs>
                      <w:tab w:val="center" w:pos="4153"/>
                      <w:tab w:val="right" w:pos="8306"/>
                    </w:tabs>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388" w:type="pct"/>
                  <w:vMerge w:val="continue"/>
                  <w:tcBorders>
                    <w:tl2br w:val="nil"/>
                    <w:tr2bl w:val="nil"/>
                  </w:tcBorders>
                  <w:noWrap w:val="0"/>
                  <w:vAlign w:val="center"/>
                </w:tcPr>
                <w:p w14:paraId="5063B7DE">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327" w:type="pct"/>
                  <w:vMerge w:val="continue"/>
                  <w:tcBorders>
                    <w:tl2br w:val="nil"/>
                    <w:tr2bl w:val="nil"/>
                  </w:tcBorders>
                  <w:noWrap w:val="0"/>
                  <w:vAlign w:val="center"/>
                </w:tcPr>
                <w:p w14:paraId="698EFA88">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397" w:type="pct"/>
                  <w:vMerge w:val="continue"/>
                  <w:tcBorders>
                    <w:tl2br w:val="nil"/>
                    <w:tr2bl w:val="nil"/>
                  </w:tcBorders>
                  <w:noWrap w:val="0"/>
                  <w:vAlign w:val="center"/>
                </w:tcPr>
                <w:p w14:paraId="1C02E03F">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368" w:type="pct"/>
                  <w:vMerge w:val="continue"/>
                  <w:tcBorders>
                    <w:tl2br w:val="nil"/>
                    <w:tr2bl w:val="nil"/>
                  </w:tcBorders>
                  <w:noWrap w:val="0"/>
                  <w:vAlign w:val="center"/>
                </w:tcPr>
                <w:p w14:paraId="00A12C78">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352" w:type="pct"/>
                  <w:vMerge w:val="continue"/>
                  <w:tcBorders>
                    <w:tl2br w:val="nil"/>
                    <w:tr2bl w:val="nil"/>
                  </w:tcBorders>
                  <w:noWrap w:val="0"/>
                  <w:vAlign w:val="center"/>
                </w:tcPr>
                <w:p w14:paraId="6DF61F18">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352" w:type="pct"/>
                  <w:vMerge w:val="continue"/>
                  <w:tcBorders>
                    <w:tl2br w:val="nil"/>
                    <w:tr2bl w:val="nil"/>
                  </w:tcBorders>
                  <w:noWrap w:val="0"/>
                  <w:vAlign w:val="center"/>
                </w:tcPr>
                <w:p w14:paraId="7E7741FC">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327" w:type="pct"/>
                  <w:vMerge w:val="continue"/>
                  <w:tcBorders>
                    <w:tl2br w:val="nil"/>
                    <w:tr2bl w:val="nil"/>
                  </w:tcBorders>
                  <w:noWrap w:val="0"/>
                  <w:vAlign w:val="center"/>
                </w:tcPr>
                <w:p w14:paraId="61707F92">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456" w:type="pct"/>
                  <w:tcBorders>
                    <w:tl2br w:val="nil"/>
                    <w:tr2bl w:val="nil"/>
                  </w:tcBorders>
                  <w:noWrap w:val="0"/>
                  <w:vAlign w:val="center"/>
                </w:tcPr>
                <w:p w14:paraId="63D263AA">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rPr>
                    <w:t>NO</w:t>
                  </w:r>
                  <w:r>
                    <w:rPr>
                      <w:rFonts w:hint="eastAsia" w:ascii="Times New Roman" w:hAnsi="Times New Roman" w:eastAsia="宋体" w:cs="Times New Roman"/>
                      <w:color w:val="auto"/>
                      <w:sz w:val="21"/>
                      <w:vertAlign w:val="subscript"/>
                      <w:lang w:val="en-US" w:eastAsia="zh-CN"/>
                    </w:rPr>
                    <w:t>X</w:t>
                  </w:r>
                </w:p>
              </w:tc>
              <w:tc>
                <w:tcPr>
                  <w:tcW w:w="417" w:type="pct"/>
                  <w:tcBorders>
                    <w:tl2br w:val="nil"/>
                    <w:tr2bl w:val="nil"/>
                  </w:tcBorders>
                  <w:noWrap w:val="0"/>
                  <w:vAlign w:val="center"/>
                </w:tcPr>
                <w:p w14:paraId="0590908C">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0.477</w:t>
                  </w:r>
                </w:p>
              </w:tc>
            </w:tr>
          </w:tbl>
          <w:p w14:paraId="42415B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根据上表可知，本项目设置</w:t>
            </w:r>
            <w:r>
              <w:rPr>
                <w:rFonts w:hint="eastAsia" w:cs="Times New Roman"/>
                <w:color w:val="auto"/>
                <w:sz w:val="24"/>
                <w:lang w:val="en-US" w:eastAsia="zh-CN"/>
              </w:rPr>
              <w:t>4个</w:t>
            </w:r>
            <w:r>
              <w:rPr>
                <w:rFonts w:hint="eastAsia" w:ascii="Times New Roman" w:hAnsi="Times New Roman" w:eastAsia="宋体" w:cs="Times New Roman"/>
                <w:color w:val="auto"/>
                <w:sz w:val="24"/>
                <w:lang w:val="en-US" w:eastAsia="zh-CN"/>
              </w:rPr>
              <w:t>废气排气筒，排气筒排放污染物中</w:t>
            </w:r>
            <w:r>
              <w:rPr>
                <w:rFonts w:hint="eastAsia" w:cs="Times New Roman"/>
                <w:color w:val="auto"/>
                <w:sz w:val="24"/>
                <w:lang w:val="en-US" w:eastAsia="zh-CN"/>
              </w:rPr>
              <w:t>颗粒物</w:t>
            </w:r>
            <w:r>
              <w:rPr>
                <w:rFonts w:hint="eastAsia" w:ascii="Times New Roman" w:hAnsi="Times New Roman" w:cs="Times New Roman"/>
                <w:color w:val="auto"/>
              </w:rPr>
              <w:t>《大气污染物综合排放标准》（GB16297-1996）表2中二级标准</w:t>
            </w:r>
            <w:r>
              <w:rPr>
                <w:rFonts w:hint="eastAsia" w:ascii="Times New Roman" w:hAnsi="Times New Roman" w:cs="Times New Roman"/>
                <w:color w:val="auto"/>
                <w:lang w:eastAsia="zh-CN"/>
              </w:rPr>
              <w:t>；</w:t>
            </w:r>
            <w:r>
              <w:rPr>
                <w:rFonts w:hint="eastAsia" w:ascii="宋体" w:hAnsi="宋体" w:eastAsia="宋体" w:cs="宋体"/>
                <w:color w:val="auto"/>
                <w:kern w:val="0"/>
                <w:sz w:val="24"/>
                <w:szCs w:val="24"/>
                <w:lang w:val="en-US" w:eastAsia="zh-CN" w:bidi="ar"/>
              </w:rPr>
              <w:t>有机废气执行《四川省固定污染源大气挥发性有机物排放标准》（</w:t>
            </w:r>
            <w:r>
              <w:rPr>
                <w:rFonts w:hint="default" w:ascii="Times New Roman" w:hAnsi="Times New Roman" w:eastAsia="宋体" w:cs="Times New Roman"/>
                <w:color w:val="auto"/>
                <w:kern w:val="0"/>
                <w:sz w:val="24"/>
                <w:szCs w:val="24"/>
                <w:lang w:val="en-US" w:eastAsia="zh-CN" w:bidi="ar"/>
              </w:rPr>
              <w:t>DB51/2377-2017</w:t>
            </w:r>
            <w:r>
              <w:rPr>
                <w:rFonts w:hint="eastAsia" w:ascii="宋体" w:hAnsi="宋体" w:eastAsia="宋体" w:cs="宋体"/>
                <w:color w:val="auto"/>
                <w:kern w:val="0"/>
                <w:sz w:val="24"/>
                <w:szCs w:val="24"/>
                <w:lang w:val="en-US" w:eastAsia="zh-CN" w:bidi="ar"/>
              </w:rPr>
              <w:t>）表</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排放限值；</w:t>
            </w:r>
            <w:r>
              <w:rPr>
                <w:rFonts w:hint="eastAsia" w:ascii="Times New Roman" w:hAnsi="Times New Roman" w:eastAsia="宋体" w:cs="Times New Roman"/>
                <w:color w:val="auto"/>
              </w:rPr>
              <w:t>锅炉废气污染物执行《锅炉大气污染物排放标准》</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GB13271-2014）中表3标准限值</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sz w:val="24"/>
              </w:rPr>
              <w:t>可以实现达标排放，对环境的影响较小。同时为保证有机废气处理效率，项目应及时</w:t>
            </w:r>
            <w:r>
              <w:rPr>
                <w:rFonts w:hint="default" w:ascii="Times New Roman" w:hAnsi="Times New Roman" w:eastAsia="宋体" w:cs="Times New Roman"/>
                <w:color w:val="auto"/>
                <w:sz w:val="24"/>
                <w:lang w:eastAsia="zh-CN"/>
              </w:rPr>
              <w:t>更换</w:t>
            </w:r>
            <w:r>
              <w:rPr>
                <w:rFonts w:hint="default" w:ascii="Times New Roman" w:hAnsi="Times New Roman" w:eastAsia="宋体" w:cs="Times New Roman"/>
                <w:color w:val="auto"/>
                <w:sz w:val="24"/>
              </w:rPr>
              <w:t>设备活性炭，保证处理效率，做到稳定达标排放。</w:t>
            </w:r>
          </w:p>
          <w:p w14:paraId="1235F188">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kern w:val="0"/>
                <w:sz w:val="24"/>
                <w:szCs w:val="24"/>
                <w:lang w:val="en-US" w:eastAsia="zh-CN"/>
              </w:rPr>
            </w:pPr>
            <w:r>
              <w:rPr>
                <w:rFonts w:hint="eastAsia" w:cs="Times New Roman"/>
                <w:b/>
                <w:color w:val="auto"/>
                <w:kern w:val="0"/>
                <w:sz w:val="24"/>
                <w:szCs w:val="24"/>
                <w:lang w:val="en-US" w:eastAsia="zh-CN"/>
              </w:rPr>
              <w:t>8</w:t>
            </w:r>
            <w:r>
              <w:rPr>
                <w:rFonts w:hint="eastAsia" w:ascii="Times New Roman" w:hAnsi="Times New Roman" w:eastAsia="宋体" w:cs="Times New Roman"/>
                <w:b/>
                <w:color w:val="auto"/>
                <w:kern w:val="0"/>
                <w:sz w:val="24"/>
                <w:szCs w:val="24"/>
                <w:lang w:val="en-US" w:eastAsia="zh-CN"/>
              </w:rPr>
              <w:t>、监测要求</w:t>
            </w:r>
          </w:p>
          <w:p w14:paraId="56FBEE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color w:val="auto"/>
                <w:lang w:val="en-US" w:eastAsia="zh-CN"/>
              </w:rPr>
              <w:t>根据《排污许可证申请与核发技术规范 专用化学产品制造工业》（HJ1103-2020）</w:t>
            </w:r>
            <w:r>
              <w:rPr>
                <w:rFonts w:hint="eastAsia" w:cs="Times New Roman"/>
                <w:color w:val="auto"/>
                <w:lang w:val="en-US" w:eastAsia="zh-CN"/>
              </w:rPr>
              <w:t>、</w:t>
            </w:r>
            <w:r>
              <w:rPr>
                <w:rFonts w:hint="eastAsia" w:ascii="Times New Roman" w:hAnsi="Times New Roman" w:eastAsia="宋体" w:cs="Times New Roman"/>
                <w:color w:val="auto"/>
                <w:lang w:val="en-US" w:eastAsia="zh-CN"/>
              </w:rPr>
              <w:t>《排污单位自行监测技术指南 火力发电及锅炉》（HJ820-2020）</w:t>
            </w:r>
            <w:r>
              <w:rPr>
                <w:rFonts w:hint="eastAsia" w:ascii="Times New Roman" w:hAnsi="Times New Roman" w:eastAsia="宋体" w:cs="Times New Roman"/>
                <w:b w:val="0"/>
                <w:bCs w:val="0"/>
                <w:color w:val="auto"/>
                <w:sz w:val="24"/>
                <w:lang w:eastAsia="zh-CN"/>
              </w:rPr>
              <w:t>，</w:t>
            </w:r>
            <w:r>
              <w:rPr>
                <w:rFonts w:hint="eastAsia" w:ascii="Times New Roman" w:hAnsi="Times New Roman" w:eastAsia="宋体" w:cs="Times New Roman"/>
                <w:b w:val="0"/>
                <w:bCs w:val="0"/>
                <w:color w:val="auto"/>
                <w:sz w:val="24"/>
                <w:lang w:val="en-US" w:eastAsia="zh-CN"/>
              </w:rPr>
              <w:t>排污单位废气自行监测点位、监测指标及最低频次，本项目自行监测要求如下表：</w:t>
            </w:r>
          </w:p>
          <w:p w14:paraId="1FC045F3">
            <w:pPr>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eastAsia="宋体" w:cs="Times New Roman"/>
                <w:b/>
                <w:bCs/>
                <w:color w:val="auto"/>
                <w:sz w:val="21"/>
                <w:szCs w:val="21"/>
                <w:lang w:val="zh-CN"/>
              </w:rPr>
            </w:pPr>
            <w:r>
              <w:rPr>
                <w:rFonts w:hint="eastAsia" w:ascii="Times New Roman" w:hAnsi="Times New Roman" w:eastAsia="宋体" w:cs="Times New Roman"/>
                <w:b/>
                <w:bCs/>
                <w:color w:val="auto"/>
                <w:sz w:val="21"/>
                <w:szCs w:val="21"/>
                <w:lang w:val="zh-CN"/>
              </w:rPr>
              <w:t>表</w:t>
            </w:r>
            <w:r>
              <w:rPr>
                <w:rFonts w:hint="eastAsia" w:ascii="Times New Roman" w:hAnsi="Times New Roman" w:eastAsia="宋体" w:cs="Times New Roman"/>
                <w:b/>
                <w:bCs/>
                <w:color w:val="auto"/>
                <w:sz w:val="21"/>
                <w:szCs w:val="21"/>
                <w:lang w:val="en-US" w:eastAsia="zh-CN"/>
              </w:rPr>
              <w:t>4</w:t>
            </w:r>
            <w:r>
              <w:rPr>
                <w:rFonts w:hint="eastAsia" w:ascii="Times New Roman" w:hAnsi="Times New Roman" w:eastAsia="宋体" w:cs="Times New Roman"/>
                <w:b/>
                <w:bCs/>
                <w:color w:val="auto"/>
                <w:sz w:val="21"/>
                <w:szCs w:val="21"/>
                <w:lang w:val="zh-CN"/>
              </w:rPr>
              <w:t>-</w:t>
            </w:r>
            <w:r>
              <w:rPr>
                <w:rFonts w:hint="eastAsia" w:ascii="Times New Roman" w:hAnsi="Times New Roman" w:eastAsia="宋体" w:cs="Times New Roman"/>
                <w:b/>
                <w:bCs/>
                <w:color w:val="auto"/>
                <w:sz w:val="21"/>
                <w:szCs w:val="21"/>
                <w:lang w:val="en-US" w:eastAsia="zh-CN"/>
              </w:rPr>
              <w:t>10</w:t>
            </w:r>
            <w:r>
              <w:rPr>
                <w:rFonts w:hint="eastAsia" w:ascii="Times New Roman" w:hAnsi="Times New Roman" w:eastAsia="宋体" w:cs="Times New Roman"/>
                <w:b/>
                <w:bCs/>
                <w:color w:val="auto"/>
                <w:sz w:val="21"/>
                <w:szCs w:val="21"/>
                <w:lang w:val="zh-CN"/>
              </w:rPr>
              <w:t xml:space="preserve">  本项目营运期大气监测要求</w:t>
            </w:r>
          </w:p>
          <w:tbl>
            <w:tblPr>
              <w:tblStyle w:val="28"/>
              <w:tblW w:w="86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0"/>
              <w:gridCol w:w="780"/>
              <w:gridCol w:w="1597"/>
              <w:gridCol w:w="1412"/>
              <w:gridCol w:w="814"/>
              <w:gridCol w:w="3440"/>
            </w:tblGrid>
            <w:tr w14:paraId="098D3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tcBorders>
                    <w:tl2br w:val="nil"/>
                    <w:tr2bl w:val="nil"/>
                  </w:tcBorders>
                  <w:noWrap w:val="0"/>
                  <w:vAlign w:val="center"/>
                </w:tcPr>
                <w:p w14:paraId="40709CE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780" w:type="dxa"/>
                  <w:tcBorders>
                    <w:tl2br w:val="nil"/>
                    <w:tr2bl w:val="nil"/>
                  </w:tcBorders>
                  <w:noWrap w:val="0"/>
                  <w:vAlign w:val="center"/>
                </w:tcPr>
                <w:p w14:paraId="4DCACCB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监测内容</w:t>
                  </w:r>
                </w:p>
              </w:tc>
              <w:tc>
                <w:tcPr>
                  <w:tcW w:w="1597" w:type="dxa"/>
                  <w:tcBorders>
                    <w:tl2br w:val="nil"/>
                    <w:tr2bl w:val="nil"/>
                  </w:tcBorders>
                  <w:noWrap w:val="0"/>
                  <w:vAlign w:val="center"/>
                </w:tcPr>
                <w:p w14:paraId="7181525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1412" w:type="dxa"/>
                  <w:tcBorders>
                    <w:tl2br w:val="nil"/>
                    <w:tr2bl w:val="nil"/>
                  </w:tcBorders>
                  <w:noWrap w:val="0"/>
                  <w:vAlign w:val="center"/>
                </w:tcPr>
                <w:p w14:paraId="077BF89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814" w:type="dxa"/>
                  <w:tcBorders>
                    <w:tl2br w:val="nil"/>
                    <w:tr2bl w:val="nil"/>
                  </w:tcBorders>
                  <w:noWrap w:val="0"/>
                  <w:vAlign w:val="center"/>
                </w:tcPr>
                <w:p w14:paraId="0F1D6A5D">
                  <w:pPr>
                    <w:keepNext w:val="0"/>
                    <w:keepLines w:val="0"/>
                    <w:widowControl/>
                    <w:suppressLineNumbers w:val="0"/>
                    <w:spacing w:before="0" w:beforeAutospacing="0" w:after="0" w:afterAutospacing="0" w:line="240" w:lineRule="auto"/>
                    <w:ind w:left="0" w:right="0" w:firstLine="105" w:firstLine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c>
                <w:tcPr>
                  <w:tcW w:w="3440" w:type="dxa"/>
                  <w:tcBorders>
                    <w:tl2br w:val="nil"/>
                    <w:tr2bl w:val="nil"/>
                  </w:tcBorders>
                  <w:noWrap w:val="0"/>
                  <w:vAlign w:val="center"/>
                </w:tcPr>
                <w:p w14:paraId="268239A6">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执行标准</w:t>
                  </w:r>
                </w:p>
              </w:tc>
            </w:tr>
            <w:tr w14:paraId="07177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80" w:type="dxa"/>
                  <w:vMerge w:val="restart"/>
                  <w:tcBorders>
                    <w:tl2br w:val="nil"/>
                    <w:tr2bl w:val="nil"/>
                  </w:tcBorders>
                  <w:noWrap w:val="0"/>
                  <w:vAlign w:val="center"/>
                </w:tcPr>
                <w:p w14:paraId="7565665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780" w:type="dxa"/>
                  <w:vMerge w:val="restart"/>
                  <w:tcBorders>
                    <w:tl2br w:val="nil"/>
                    <w:tr2bl w:val="nil"/>
                  </w:tcBorders>
                  <w:noWrap w:val="0"/>
                  <w:vAlign w:val="center"/>
                </w:tcPr>
                <w:p w14:paraId="1AFE299B">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有</w:t>
                  </w:r>
                  <w:r>
                    <w:rPr>
                      <w:rFonts w:hint="default" w:ascii="Times New Roman" w:hAnsi="Times New Roman" w:eastAsia="宋体" w:cs="Times New Roman"/>
                      <w:color w:val="auto"/>
                      <w:sz w:val="21"/>
                      <w:szCs w:val="21"/>
                    </w:rPr>
                    <w:t>组织</w:t>
                  </w:r>
                </w:p>
              </w:tc>
              <w:tc>
                <w:tcPr>
                  <w:tcW w:w="1597" w:type="dxa"/>
                  <w:tcBorders>
                    <w:tl2br w:val="nil"/>
                    <w:tr2bl w:val="nil"/>
                  </w:tcBorders>
                  <w:noWrap w:val="0"/>
                  <w:vAlign w:val="center"/>
                </w:tcPr>
                <w:p w14:paraId="6507145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1412" w:type="dxa"/>
                  <w:tcBorders>
                    <w:tl2br w:val="nil"/>
                    <w:tr2bl w:val="nil"/>
                  </w:tcBorders>
                  <w:noWrap w:val="0"/>
                  <w:vAlign w:val="center"/>
                </w:tcPr>
                <w:p w14:paraId="4AC3CF54">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eastAsia="zh-CN"/>
                    </w:rPr>
                    <w:t>1#排气筒</w:t>
                  </w:r>
                  <w:r>
                    <w:rPr>
                      <w:rFonts w:hint="eastAsia" w:cs="Times New Roman"/>
                      <w:color w:val="auto"/>
                      <w:sz w:val="21"/>
                      <w:szCs w:val="21"/>
                      <w:lang w:val="en-US" w:eastAsia="zh-CN"/>
                    </w:rPr>
                    <w:t>、</w:t>
                  </w:r>
                  <w:r>
                    <w:rPr>
                      <w:rFonts w:hint="eastAsia" w:cs="Times New Roman"/>
                      <w:color w:val="auto"/>
                      <w:sz w:val="21"/>
                      <w:szCs w:val="21"/>
                      <w:lang w:eastAsia="zh-CN"/>
                    </w:rPr>
                    <w:t>2#排气筒</w:t>
                  </w:r>
                </w:p>
              </w:tc>
              <w:tc>
                <w:tcPr>
                  <w:tcW w:w="814" w:type="dxa"/>
                  <w:tcBorders>
                    <w:tl2br w:val="nil"/>
                    <w:tr2bl w:val="nil"/>
                  </w:tcBorders>
                  <w:noWrap w:val="0"/>
                  <w:vAlign w:val="center"/>
                </w:tcPr>
                <w:p w14:paraId="0BD0634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半年</w:t>
                  </w:r>
                </w:p>
              </w:tc>
              <w:tc>
                <w:tcPr>
                  <w:tcW w:w="3440" w:type="dxa"/>
                  <w:tcBorders>
                    <w:tl2br w:val="nil"/>
                    <w:tr2bl w:val="nil"/>
                  </w:tcBorders>
                  <w:noWrap w:val="0"/>
                  <w:vAlign w:val="center"/>
                </w:tcPr>
                <w:p w14:paraId="08D123E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《大气污染物综合排放标准》</w:t>
                  </w:r>
                  <w:r>
                    <w:rPr>
                      <w:rFonts w:hint="eastAsia" w:ascii="Times New Roman" w:hAnsi="Times New Roman" w:eastAsia="宋体" w:cs="Times New Roman"/>
                      <w:color w:val="auto"/>
                      <w:sz w:val="21"/>
                      <w:highlight w:val="none"/>
                    </w:rPr>
                    <w:t>(</w:t>
                  </w:r>
                  <w:r>
                    <w:rPr>
                      <w:rFonts w:hint="eastAsia" w:ascii="Times New Roman" w:hAnsi="Times New Roman" w:eastAsia="宋体" w:cs="Times New Roman"/>
                      <w:color w:val="auto"/>
                      <w:sz w:val="21"/>
                    </w:rPr>
                    <w:t>GB16297-1996</w:t>
                  </w:r>
                  <w:r>
                    <w:rPr>
                      <w:rFonts w:hint="eastAsia" w:ascii="Times New Roman" w:hAnsi="Times New Roman" w:eastAsia="宋体" w:cs="Times New Roman"/>
                      <w:color w:val="auto"/>
                      <w:sz w:val="21"/>
                      <w:highlight w:val="none"/>
                    </w:rPr>
                    <w:t>)</w:t>
                  </w:r>
                  <w:r>
                    <w:rPr>
                      <w:rFonts w:hint="eastAsia" w:ascii="Times New Roman" w:hAnsi="Times New Roman" w:eastAsia="宋体" w:cs="Times New Roman"/>
                      <w:color w:val="auto"/>
                      <w:sz w:val="21"/>
                    </w:rPr>
                    <w:t>中二级标准</w:t>
                  </w:r>
                </w:p>
              </w:tc>
            </w:tr>
            <w:tr w14:paraId="531A3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580" w:type="dxa"/>
                  <w:vMerge w:val="continue"/>
                  <w:tcBorders>
                    <w:tl2br w:val="nil"/>
                    <w:tr2bl w:val="nil"/>
                  </w:tcBorders>
                  <w:noWrap w:val="0"/>
                  <w:vAlign w:val="center"/>
                </w:tcPr>
                <w:p w14:paraId="036D8B0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780" w:type="dxa"/>
                  <w:vMerge w:val="continue"/>
                  <w:tcBorders>
                    <w:tl2br w:val="nil"/>
                    <w:tr2bl w:val="nil"/>
                  </w:tcBorders>
                  <w:noWrap w:val="0"/>
                  <w:vAlign w:val="center"/>
                </w:tcPr>
                <w:p w14:paraId="3AC9690C">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rPr>
                  </w:pPr>
                </w:p>
              </w:tc>
              <w:tc>
                <w:tcPr>
                  <w:tcW w:w="1597" w:type="dxa"/>
                  <w:tcBorders>
                    <w:tl2br w:val="nil"/>
                    <w:tr2bl w:val="nil"/>
                  </w:tcBorders>
                  <w:noWrap w:val="0"/>
                  <w:vAlign w:val="center"/>
                </w:tcPr>
                <w:p w14:paraId="6F3620C2">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VOCs</w:t>
                  </w:r>
                </w:p>
              </w:tc>
              <w:tc>
                <w:tcPr>
                  <w:tcW w:w="1412" w:type="dxa"/>
                  <w:tcBorders>
                    <w:tl2br w:val="nil"/>
                    <w:tr2bl w:val="nil"/>
                  </w:tcBorders>
                  <w:noWrap w:val="0"/>
                  <w:vAlign w:val="center"/>
                </w:tcPr>
                <w:p w14:paraId="52ED9CC6">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3#排气筒</w:t>
                  </w:r>
                </w:p>
              </w:tc>
              <w:tc>
                <w:tcPr>
                  <w:tcW w:w="814" w:type="dxa"/>
                  <w:tcBorders>
                    <w:tl2br w:val="nil"/>
                    <w:tr2bl w:val="nil"/>
                  </w:tcBorders>
                  <w:noWrap w:val="0"/>
                  <w:vAlign w:val="center"/>
                </w:tcPr>
                <w:p w14:paraId="4EE0EF1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半年</w:t>
                  </w:r>
                </w:p>
              </w:tc>
              <w:tc>
                <w:tcPr>
                  <w:tcW w:w="3440" w:type="dxa"/>
                  <w:tcBorders>
                    <w:tl2br w:val="nil"/>
                    <w:tr2bl w:val="nil"/>
                  </w:tcBorders>
                  <w:noWrap w:val="0"/>
                  <w:vAlign w:val="center"/>
                </w:tcPr>
                <w:p w14:paraId="7E30C9CC">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《四川省固定污染源大气挥发性有机物排放标准》（DB51/2377-2017）</w:t>
                  </w:r>
                </w:p>
              </w:tc>
            </w:tr>
            <w:tr w14:paraId="2E2E8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580" w:type="dxa"/>
                  <w:vMerge w:val="continue"/>
                  <w:tcBorders>
                    <w:tl2br w:val="nil"/>
                    <w:tr2bl w:val="nil"/>
                  </w:tcBorders>
                  <w:noWrap w:val="0"/>
                  <w:vAlign w:val="center"/>
                </w:tcPr>
                <w:p w14:paraId="3215EED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780" w:type="dxa"/>
                  <w:vMerge w:val="continue"/>
                  <w:tcBorders>
                    <w:tl2br w:val="nil"/>
                    <w:tr2bl w:val="nil"/>
                  </w:tcBorders>
                  <w:noWrap w:val="0"/>
                  <w:vAlign w:val="center"/>
                </w:tcPr>
                <w:p w14:paraId="0BED99A1">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auto"/>
                      <w:sz w:val="21"/>
                      <w:szCs w:val="21"/>
                    </w:rPr>
                  </w:pPr>
                </w:p>
              </w:tc>
              <w:tc>
                <w:tcPr>
                  <w:tcW w:w="1597" w:type="dxa"/>
                  <w:tcBorders>
                    <w:tl2br w:val="nil"/>
                    <w:tr2bl w:val="nil"/>
                  </w:tcBorders>
                  <w:noWrap w:val="0"/>
                  <w:vAlign w:val="center"/>
                </w:tcPr>
                <w:p w14:paraId="2A17D450">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二氧化硫</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氮氧化物</w:t>
                  </w:r>
                  <w:r>
                    <w:rPr>
                      <w:rFonts w:hint="eastAsia" w:ascii="Times New Roman" w:hAnsi="Times New Roman" w:eastAsia="宋体" w:cs="Times New Roman"/>
                      <w:color w:val="auto"/>
                      <w:sz w:val="21"/>
                      <w:szCs w:val="21"/>
                      <w:lang w:val="en-US" w:eastAsia="zh-CN"/>
                    </w:rPr>
                    <w:t>、林格曼黑度</w:t>
                  </w:r>
                </w:p>
              </w:tc>
              <w:tc>
                <w:tcPr>
                  <w:tcW w:w="1412" w:type="dxa"/>
                  <w:tcBorders>
                    <w:tl2br w:val="nil"/>
                    <w:tr2bl w:val="nil"/>
                  </w:tcBorders>
                  <w:noWrap w:val="0"/>
                  <w:vAlign w:val="center"/>
                </w:tcPr>
                <w:p w14:paraId="0DD9585D">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4#排气筒</w:t>
                  </w:r>
                </w:p>
              </w:tc>
              <w:tc>
                <w:tcPr>
                  <w:tcW w:w="814" w:type="dxa"/>
                  <w:tcBorders>
                    <w:tl2br w:val="nil"/>
                    <w:tr2bl w:val="nil"/>
                  </w:tcBorders>
                  <w:noWrap w:val="0"/>
                  <w:vAlign w:val="center"/>
                </w:tcPr>
                <w:p w14:paraId="2FEDC5E9">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rPr>
                  </w:pPr>
                  <w:r>
                    <w:rPr>
                      <w:rFonts w:hint="eastAsia" w:cs="Times New Roman"/>
                      <w:color w:val="auto"/>
                      <w:sz w:val="21"/>
                      <w:szCs w:val="21"/>
                      <w:lang w:val="en-US" w:eastAsia="zh-CN"/>
                    </w:rPr>
                    <w:t>月</w:t>
                  </w:r>
                </w:p>
              </w:tc>
              <w:tc>
                <w:tcPr>
                  <w:tcW w:w="3440" w:type="dxa"/>
                  <w:tcBorders>
                    <w:tl2br w:val="nil"/>
                    <w:tr2bl w:val="nil"/>
                  </w:tcBorders>
                  <w:noWrap w:val="0"/>
                  <w:vAlign w:val="center"/>
                </w:tcPr>
                <w:p w14:paraId="54AF8BAC">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《锅炉大气污染物排放标准》（GB13271-2014）</w:t>
                  </w:r>
                </w:p>
              </w:tc>
            </w:tr>
            <w:tr w14:paraId="6A071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0" w:type="dxa"/>
                  <w:vMerge w:val="continue"/>
                  <w:tcBorders>
                    <w:tl2br w:val="nil"/>
                    <w:tr2bl w:val="nil"/>
                  </w:tcBorders>
                  <w:noWrap w:val="0"/>
                  <w:vAlign w:val="center"/>
                </w:tcPr>
                <w:p w14:paraId="3DF0CD9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780" w:type="dxa"/>
                  <w:tcBorders>
                    <w:tl2br w:val="nil"/>
                    <w:tr2bl w:val="nil"/>
                  </w:tcBorders>
                  <w:noWrap w:val="0"/>
                  <w:vAlign w:val="center"/>
                </w:tcPr>
                <w:p w14:paraId="34F297EA">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1597" w:type="dxa"/>
                  <w:tcBorders>
                    <w:tl2br w:val="nil"/>
                    <w:tr2bl w:val="nil"/>
                  </w:tcBorders>
                  <w:noWrap w:val="0"/>
                  <w:vAlign w:val="center"/>
                </w:tcPr>
                <w:p w14:paraId="225FA46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颗粒物</w:t>
                  </w:r>
                  <w:r>
                    <w:rPr>
                      <w:rFonts w:hint="eastAsia" w:ascii="Times New Roman" w:hAnsi="Times New Roman" w:eastAsia="宋体" w:cs="Times New Roman"/>
                      <w:color w:val="auto"/>
                      <w:sz w:val="21"/>
                      <w:szCs w:val="21"/>
                      <w:lang w:val="en-US" w:eastAsia="zh-CN"/>
                    </w:rPr>
                    <w:t>、VOCs</w:t>
                  </w:r>
                </w:p>
              </w:tc>
              <w:tc>
                <w:tcPr>
                  <w:tcW w:w="1412" w:type="dxa"/>
                  <w:tcBorders>
                    <w:tl2br w:val="nil"/>
                    <w:tr2bl w:val="nil"/>
                  </w:tcBorders>
                  <w:noWrap w:val="0"/>
                  <w:vAlign w:val="center"/>
                </w:tcPr>
                <w:p w14:paraId="509481F6">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厂界下风向</w:t>
                  </w:r>
                </w:p>
              </w:tc>
              <w:tc>
                <w:tcPr>
                  <w:tcW w:w="814" w:type="dxa"/>
                  <w:tcBorders>
                    <w:tl2br w:val="nil"/>
                    <w:tr2bl w:val="nil"/>
                  </w:tcBorders>
                  <w:noWrap w:val="0"/>
                  <w:vAlign w:val="center"/>
                </w:tcPr>
                <w:p w14:paraId="20A7BAE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半年</w:t>
                  </w:r>
                </w:p>
              </w:tc>
              <w:tc>
                <w:tcPr>
                  <w:tcW w:w="3440" w:type="dxa"/>
                  <w:tcBorders>
                    <w:tl2br w:val="nil"/>
                    <w:tr2bl w:val="nil"/>
                  </w:tcBorders>
                  <w:noWrap w:val="0"/>
                  <w:vAlign w:val="center"/>
                </w:tcPr>
                <w:p w14:paraId="442B71D1">
                  <w:pPr>
                    <w:keepNext w:val="0"/>
                    <w:keepLines w:val="0"/>
                    <w:widowControl/>
                    <w:suppressLineNumbers w:val="0"/>
                    <w:spacing w:before="0" w:beforeAutospacing="0" w:after="0" w:afterAutospacing="0" w:line="240" w:lineRule="auto"/>
                    <w:ind w:left="0" w:right="0" w:firstLine="210" w:firstLineChars="10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《大气污染物综合排放标准》</w:t>
                  </w:r>
                  <w:r>
                    <w:rPr>
                      <w:rFonts w:hint="eastAsia" w:ascii="Times New Roman" w:hAnsi="Times New Roman" w:eastAsia="宋体" w:cs="Times New Roman"/>
                      <w:color w:val="auto"/>
                      <w:sz w:val="21"/>
                      <w:highlight w:val="none"/>
                    </w:rPr>
                    <w:t>(</w:t>
                  </w:r>
                  <w:r>
                    <w:rPr>
                      <w:rFonts w:hint="eastAsia" w:ascii="Times New Roman" w:hAnsi="Times New Roman" w:eastAsia="宋体" w:cs="Times New Roman"/>
                      <w:color w:val="auto"/>
                      <w:sz w:val="21"/>
                    </w:rPr>
                    <w:t>GB16297-1996</w:t>
                  </w:r>
                  <w:r>
                    <w:rPr>
                      <w:rFonts w:hint="eastAsia" w:ascii="Times New Roman" w:hAnsi="Times New Roman" w:eastAsia="宋体" w:cs="Times New Roman"/>
                      <w:color w:val="auto"/>
                      <w:sz w:val="21"/>
                      <w:highlight w:val="none"/>
                    </w:rPr>
                    <w:t>)</w:t>
                  </w:r>
                  <w:r>
                    <w:rPr>
                      <w:rFonts w:hint="eastAsia" w:ascii="Times New Roman" w:hAnsi="Times New Roman" w:eastAsia="宋体" w:cs="Times New Roman"/>
                      <w:color w:val="auto"/>
                      <w:sz w:val="21"/>
                    </w:rPr>
                    <w:t>中二级标准</w:t>
                  </w:r>
                </w:p>
                <w:p w14:paraId="3CB5D819">
                  <w:pPr>
                    <w:keepNext w:val="0"/>
                    <w:keepLines w:val="0"/>
                    <w:widowControl/>
                    <w:suppressLineNumbers w:val="0"/>
                    <w:spacing w:before="0" w:beforeAutospacing="0" w:after="0" w:afterAutospacing="0" w:line="240" w:lineRule="auto"/>
                    <w:ind w:left="0" w:right="0" w:firstLine="210" w:firstLineChars="10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rPr>
                    <w:t>《四川省固定污染源大气挥发性有机物排放标准》（DB51/2377-2017）</w:t>
                  </w:r>
                </w:p>
              </w:tc>
            </w:tr>
          </w:tbl>
          <w:p w14:paraId="620297EB">
            <w:pPr>
              <w:keepNext w:val="0"/>
              <w:keepLines w:val="0"/>
              <w:suppressLineNumbers w:val="0"/>
              <w:spacing w:before="0" w:beforeAutospacing="0" w:after="0" w:afterAutospacing="0" w:line="456" w:lineRule="exact"/>
              <w:ind w:left="0" w:right="0" w:firstLine="482" w:firstLineChars="200"/>
              <w:rPr>
                <w:rFonts w:hint="eastAsia" w:ascii="Times New Roman" w:hAnsi="Times New Roman" w:eastAsia="宋体" w:cs="Times New Roman"/>
                <w:b/>
                <w:color w:val="auto"/>
                <w:kern w:val="0"/>
                <w:sz w:val="24"/>
                <w:szCs w:val="24"/>
                <w:lang w:eastAsia="zh-CN"/>
              </w:rPr>
            </w:pPr>
            <w:r>
              <w:rPr>
                <w:rFonts w:hint="eastAsia" w:cs="Times New Roman"/>
                <w:b/>
                <w:color w:val="auto"/>
                <w:kern w:val="0"/>
                <w:sz w:val="24"/>
                <w:szCs w:val="24"/>
                <w:lang w:val="en-US" w:eastAsia="zh-CN"/>
              </w:rPr>
              <w:t>9、</w:t>
            </w:r>
            <w:r>
              <w:rPr>
                <w:rFonts w:hint="eastAsia" w:ascii="Times New Roman" w:hAnsi="Times New Roman" w:eastAsia="宋体" w:cs="Times New Roman"/>
                <w:b/>
                <w:color w:val="auto"/>
                <w:kern w:val="0"/>
                <w:sz w:val="24"/>
                <w:szCs w:val="24"/>
                <w:lang w:eastAsia="zh-CN"/>
              </w:rPr>
              <w:t>非正常情况排污统计</w:t>
            </w:r>
          </w:p>
          <w:p w14:paraId="06257C71">
            <w:pPr>
              <w:keepNext w:val="0"/>
              <w:keepLines w:val="0"/>
              <w:suppressLineNumbers w:val="0"/>
              <w:spacing w:before="0" w:beforeAutospacing="0" w:after="0" w:afterAutospacing="0" w:line="360" w:lineRule="auto"/>
              <w:ind w:left="0" w:right="0"/>
              <w:jc w:val="center"/>
              <w:outlineLvl w:val="0"/>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表4-11</w:t>
            </w:r>
            <w:r>
              <w:rPr>
                <w:rFonts w:hint="default" w:ascii="Times New Roman" w:hAnsi="Times New Roman" w:eastAsia="宋体" w:cs="Times New Roman"/>
                <w:b/>
                <w:color w:val="auto"/>
                <w:sz w:val="21"/>
                <w:szCs w:val="21"/>
              </w:rPr>
              <w:t xml:space="preserve">  污染源</w:t>
            </w:r>
            <w:r>
              <w:rPr>
                <w:rFonts w:hint="eastAsia" w:cs="Times New Roman"/>
                <w:b/>
                <w:color w:val="auto"/>
                <w:sz w:val="21"/>
                <w:szCs w:val="21"/>
                <w:lang w:eastAsia="zh-CN"/>
              </w:rPr>
              <w:t>非正常</w:t>
            </w:r>
            <w:r>
              <w:rPr>
                <w:rFonts w:hint="default" w:ascii="Times New Roman" w:hAnsi="Times New Roman" w:eastAsia="宋体" w:cs="Times New Roman"/>
                <w:b/>
                <w:color w:val="auto"/>
                <w:sz w:val="21"/>
                <w:szCs w:val="21"/>
              </w:rPr>
              <w:t>排放量核算表</w:t>
            </w:r>
          </w:p>
          <w:tbl>
            <w:tblPr>
              <w:tblStyle w:val="28"/>
              <w:tblW w:w="87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065"/>
              <w:gridCol w:w="806"/>
              <w:gridCol w:w="892"/>
              <w:gridCol w:w="1141"/>
              <w:gridCol w:w="1080"/>
              <w:gridCol w:w="829"/>
              <w:gridCol w:w="870"/>
              <w:gridCol w:w="701"/>
              <w:gridCol w:w="773"/>
            </w:tblGrid>
            <w:tr w14:paraId="55120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62" w:type="dxa"/>
                  <w:tcBorders>
                    <w:tl2br w:val="nil"/>
                    <w:tr2bl w:val="nil"/>
                  </w:tcBorders>
                  <w:noWrap w:val="0"/>
                  <w:vAlign w:val="center"/>
                </w:tcPr>
                <w:p w14:paraId="4D8103A0">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序号</w:t>
                  </w:r>
                </w:p>
              </w:tc>
              <w:tc>
                <w:tcPr>
                  <w:tcW w:w="1065" w:type="dxa"/>
                  <w:tcBorders>
                    <w:tl2br w:val="nil"/>
                    <w:tr2bl w:val="nil"/>
                  </w:tcBorders>
                  <w:noWrap w:val="0"/>
                  <w:vAlign w:val="center"/>
                </w:tcPr>
                <w:p w14:paraId="71DBA1AE">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污染源</w:t>
                  </w:r>
                </w:p>
              </w:tc>
              <w:tc>
                <w:tcPr>
                  <w:tcW w:w="806" w:type="dxa"/>
                  <w:tcBorders>
                    <w:tl2br w:val="nil"/>
                    <w:tr2bl w:val="nil"/>
                  </w:tcBorders>
                  <w:noWrap w:val="0"/>
                  <w:vAlign w:val="center"/>
                </w:tcPr>
                <w:p w14:paraId="1F4C6613">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非正常排放原因</w:t>
                  </w:r>
                </w:p>
              </w:tc>
              <w:tc>
                <w:tcPr>
                  <w:tcW w:w="892" w:type="dxa"/>
                  <w:tcBorders>
                    <w:tl2br w:val="nil"/>
                    <w:tr2bl w:val="nil"/>
                  </w:tcBorders>
                  <w:noWrap w:val="0"/>
                  <w:vAlign w:val="center"/>
                </w:tcPr>
                <w:p w14:paraId="28A75CBE">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污染物</w:t>
                  </w:r>
                </w:p>
              </w:tc>
              <w:tc>
                <w:tcPr>
                  <w:tcW w:w="1141" w:type="dxa"/>
                  <w:tcBorders>
                    <w:tl2br w:val="nil"/>
                    <w:tr2bl w:val="nil"/>
                  </w:tcBorders>
                  <w:noWrap w:val="0"/>
                  <w:vAlign w:val="center"/>
                </w:tcPr>
                <w:p w14:paraId="660FB918">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非正常排放浓度（mg/m³）</w:t>
                  </w:r>
                </w:p>
              </w:tc>
              <w:tc>
                <w:tcPr>
                  <w:tcW w:w="1080" w:type="dxa"/>
                  <w:tcBorders>
                    <w:tl2br w:val="nil"/>
                    <w:tr2bl w:val="nil"/>
                  </w:tcBorders>
                  <w:noWrap w:val="0"/>
                  <w:vAlign w:val="center"/>
                </w:tcPr>
                <w:p w14:paraId="2CED122D">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非正常排放速率（kg/h）</w:t>
                  </w:r>
                </w:p>
              </w:tc>
              <w:tc>
                <w:tcPr>
                  <w:tcW w:w="829" w:type="dxa"/>
                  <w:tcBorders>
                    <w:tl2br w:val="nil"/>
                    <w:tr2bl w:val="nil"/>
                  </w:tcBorders>
                  <w:noWrap w:val="0"/>
                  <w:vAlign w:val="center"/>
                </w:tcPr>
                <w:p w14:paraId="24300208">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排放量（kg/次）</w:t>
                  </w:r>
                </w:p>
              </w:tc>
              <w:tc>
                <w:tcPr>
                  <w:tcW w:w="870" w:type="dxa"/>
                  <w:tcBorders>
                    <w:tl2br w:val="nil"/>
                    <w:tr2bl w:val="nil"/>
                  </w:tcBorders>
                  <w:noWrap w:val="0"/>
                  <w:vAlign w:val="center"/>
                </w:tcPr>
                <w:p w14:paraId="11D64AB6">
                  <w:pPr>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持续时间</w:t>
                  </w:r>
                </w:p>
              </w:tc>
              <w:tc>
                <w:tcPr>
                  <w:tcW w:w="701" w:type="dxa"/>
                  <w:tcBorders>
                    <w:tl2br w:val="nil"/>
                    <w:tr2bl w:val="nil"/>
                  </w:tcBorders>
                  <w:noWrap w:val="0"/>
                  <w:vAlign w:val="center"/>
                </w:tcPr>
                <w:p w14:paraId="01FA056D">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年发生频次</w:t>
                  </w:r>
                </w:p>
              </w:tc>
              <w:tc>
                <w:tcPr>
                  <w:tcW w:w="773" w:type="dxa"/>
                  <w:tcBorders>
                    <w:tl2br w:val="nil"/>
                    <w:tr2bl w:val="nil"/>
                  </w:tcBorders>
                  <w:noWrap w:val="0"/>
                  <w:vAlign w:val="center"/>
                </w:tcPr>
                <w:p w14:paraId="17AB54C6">
                  <w:pPr>
                    <w:keepNext w:val="0"/>
                    <w:keepLines w:val="0"/>
                    <w:suppressLineNumbers w:val="0"/>
                    <w:spacing w:before="0" w:beforeAutospacing="0" w:after="0" w:afterAutospacing="0" w:line="240" w:lineRule="auto"/>
                    <w:ind w:left="0" w:leftChars="0" w:right="0" w:rightChars="0"/>
                    <w:jc w:val="center"/>
                    <w:outlineLvl w:val="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应对措施</w:t>
                  </w:r>
                </w:p>
              </w:tc>
            </w:tr>
            <w:tr w14:paraId="28FD0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62" w:type="dxa"/>
                  <w:tcBorders>
                    <w:tl2br w:val="nil"/>
                    <w:tr2bl w:val="nil"/>
                  </w:tcBorders>
                  <w:shd w:val="clear" w:color="auto" w:fill="auto"/>
                  <w:noWrap w:val="0"/>
                  <w:vAlign w:val="center"/>
                </w:tcPr>
                <w:p w14:paraId="70BB28FC">
                  <w:pPr>
                    <w:keepNext w:val="0"/>
                    <w:keepLines w:val="0"/>
                    <w:suppressLineNumbers w:val="0"/>
                    <w:spacing w:before="0" w:beforeAutospacing="0" w:after="0" w:afterAutospacing="0" w:line="240" w:lineRule="auto"/>
                    <w:ind w:left="0" w:leftChars="0" w:right="0" w:rightChars="0"/>
                    <w:jc w:val="center"/>
                    <w:outlineLvl w:val="0"/>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w:t>
                  </w:r>
                </w:p>
              </w:tc>
              <w:tc>
                <w:tcPr>
                  <w:tcW w:w="1065" w:type="dxa"/>
                  <w:tcBorders>
                    <w:tl2br w:val="nil"/>
                    <w:tr2bl w:val="nil"/>
                  </w:tcBorders>
                  <w:noWrap w:val="0"/>
                  <w:vAlign w:val="center"/>
                </w:tcPr>
                <w:p w14:paraId="2AC49D95">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破碎工序</w:t>
                  </w:r>
                </w:p>
              </w:tc>
              <w:tc>
                <w:tcPr>
                  <w:tcW w:w="806" w:type="dxa"/>
                  <w:vMerge w:val="restart"/>
                  <w:tcBorders>
                    <w:tl2br w:val="nil"/>
                    <w:tr2bl w:val="nil"/>
                  </w:tcBorders>
                  <w:noWrap w:val="0"/>
                  <w:vAlign w:val="center"/>
                </w:tcPr>
                <w:p w14:paraId="489E31FE">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color w:val="auto"/>
                      <w:sz w:val="21"/>
                      <w:szCs w:val="21"/>
                      <w:lang w:eastAsia="zh-CN"/>
                    </w:rPr>
                    <w:t>废气处理装置</w:t>
                  </w:r>
                  <w:r>
                    <w:rPr>
                      <w:rFonts w:hint="default" w:ascii="Times New Roman" w:hAnsi="Times New Roman" w:eastAsia="宋体" w:cs="Times New Roman"/>
                      <w:color w:val="auto"/>
                      <w:sz w:val="21"/>
                      <w:szCs w:val="21"/>
                      <w:lang w:eastAsia="zh-CN"/>
                    </w:rPr>
                    <w:t>故障</w:t>
                  </w:r>
                </w:p>
              </w:tc>
              <w:tc>
                <w:tcPr>
                  <w:tcW w:w="892" w:type="dxa"/>
                  <w:tcBorders>
                    <w:tl2br w:val="nil"/>
                    <w:tr2bl w:val="nil"/>
                  </w:tcBorders>
                  <w:noWrap w:val="0"/>
                  <w:vAlign w:val="center"/>
                </w:tcPr>
                <w:p w14:paraId="716F85E1">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rPr>
                  </w:pPr>
                  <w:r>
                    <w:rPr>
                      <w:rFonts w:hint="eastAsia" w:cs="Times New Roman"/>
                      <w:color w:val="auto"/>
                      <w:sz w:val="21"/>
                      <w:szCs w:val="21"/>
                      <w:lang w:val="en-US" w:eastAsia="zh-CN"/>
                    </w:rPr>
                    <w:t>颗粒物</w:t>
                  </w:r>
                </w:p>
              </w:tc>
              <w:tc>
                <w:tcPr>
                  <w:tcW w:w="1141" w:type="dxa"/>
                  <w:tcBorders>
                    <w:tl2br w:val="nil"/>
                    <w:tr2bl w:val="nil"/>
                  </w:tcBorders>
                  <w:noWrap w:val="0"/>
                  <w:vAlign w:val="center"/>
                </w:tcPr>
                <w:p w14:paraId="49C9C8F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lang w:val="en-US"/>
                    </w:rPr>
                  </w:pPr>
                  <w:r>
                    <w:rPr>
                      <w:rFonts w:hint="eastAsia" w:cs="Times New Roman"/>
                      <w:i w:val="0"/>
                      <w:iCs w:val="0"/>
                      <w:color w:val="auto"/>
                      <w:kern w:val="0"/>
                      <w:sz w:val="21"/>
                      <w:szCs w:val="21"/>
                      <w:u w:val="none"/>
                      <w:lang w:val="en-US" w:eastAsia="zh-CN" w:bidi="ar"/>
                    </w:rPr>
                    <w:t>332.45</w:t>
                  </w:r>
                </w:p>
              </w:tc>
              <w:tc>
                <w:tcPr>
                  <w:tcW w:w="1080" w:type="dxa"/>
                  <w:tcBorders>
                    <w:tl2br w:val="nil"/>
                    <w:tr2bl w:val="nil"/>
                  </w:tcBorders>
                  <w:noWrap w:val="0"/>
                  <w:vAlign w:val="center"/>
                </w:tcPr>
                <w:p w14:paraId="47045E7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lang w:val="en-US"/>
                    </w:rPr>
                  </w:pPr>
                  <w:r>
                    <w:rPr>
                      <w:rFonts w:hint="eastAsia" w:cs="Times New Roman"/>
                      <w:i w:val="0"/>
                      <w:iCs w:val="0"/>
                      <w:color w:val="auto"/>
                      <w:kern w:val="0"/>
                      <w:sz w:val="21"/>
                      <w:szCs w:val="21"/>
                      <w:u w:val="none"/>
                      <w:lang w:val="en-US" w:eastAsia="zh-CN" w:bidi="ar"/>
                    </w:rPr>
                    <w:t>0.997</w:t>
                  </w:r>
                </w:p>
              </w:tc>
              <w:tc>
                <w:tcPr>
                  <w:tcW w:w="829" w:type="dxa"/>
                  <w:tcBorders>
                    <w:tl2br w:val="nil"/>
                    <w:tr2bl w:val="nil"/>
                  </w:tcBorders>
                  <w:noWrap w:val="0"/>
                  <w:vAlign w:val="center"/>
                </w:tcPr>
                <w:p w14:paraId="22A3F433">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0.332 </w:t>
                  </w:r>
                </w:p>
              </w:tc>
              <w:tc>
                <w:tcPr>
                  <w:tcW w:w="870" w:type="dxa"/>
                  <w:tcBorders>
                    <w:tl2br w:val="nil"/>
                    <w:tr2bl w:val="nil"/>
                  </w:tcBorders>
                  <w:noWrap w:val="0"/>
                  <w:vAlign w:val="center"/>
                </w:tcPr>
                <w:p w14:paraId="58F58E51">
                  <w:pPr>
                    <w:keepNext w:val="0"/>
                    <w:keepLines w:val="0"/>
                    <w:suppressLineNumbers w:val="0"/>
                    <w:spacing w:before="0" w:beforeAutospacing="0" w:after="0" w:afterAutospacing="0" w:line="240" w:lineRule="auto"/>
                    <w:ind w:left="0" w:leftChars="0" w:right="0" w:rightChars="0"/>
                    <w:jc w:val="center"/>
                    <w:outlineLvl w:val="0"/>
                    <w:rPr>
                      <w:rFonts w:hint="eastAsia" w:ascii="Times New Roman" w:hAnsi="Times New Roman" w:eastAsia="宋体" w:cs="Times New Roman"/>
                      <w:b w:val="0"/>
                      <w:bCs/>
                      <w:color w:val="auto"/>
                      <w:sz w:val="21"/>
                      <w:szCs w:val="21"/>
                      <w:lang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0min</w:t>
                  </w:r>
                </w:p>
              </w:tc>
              <w:tc>
                <w:tcPr>
                  <w:tcW w:w="701" w:type="dxa"/>
                  <w:vMerge w:val="restart"/>
                  <w:tcBorders>
                    <w:tl2br w:val="nil"/>
                    <w:tr2bl w:val="nil"/>
                  </w:tcBorders>
                  <w:noWrap w:val="0"/>
                  <w:vAlign w:val="center"/>
                </w:tcPr>
                <w:p w14:paraId="43CC7C53">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事故时</w:t>
                  </w:r>
                </w:p>
              </w:tc>
              <w:tc>
                <w:tcPr>
                  <w:tcW w:w="773" w:type="dxa"/>
                  <w:vMerge w:val="restart"/>
                  <w:tcBorders>
                    <w:tl2br w:val="nil"/>
                    <w:tr2bl w:val="nil"/>
                  </w:tcBorders>
                  <w:noWrap w:val="0"/>
                  <w:vAlign w:val="center"/>
                </w:tcPr>
                <w:p w14:paraId="6C354A97">
                  <w:pPr>
                    <w:keepNext w:val="0"/>
                    <w:keepLines w:val="0"/>
                    <w:suppressLineNumbers w:val="0"/>
                    <w:spacing w:before="0" w:beforeAutospacing="0" w:after="0" w:afterAutospacing="0" w:line="240" w:lineRule="auto"/>
                    <w:ind w:left="0" w:leftChars="0" w:right="0" w:rightChars="0"/>
                    <w:jc w:val="center"/>
                    <w:outlineLvl w:val="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停止生产，对设备进行检修</w:t>
                  </w:r>
                </w:p>
              </w:tc>
            </w:tr>
            <w:tr w14:paraId="6AE9D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562" w:type="dxa"/>
                  <w:tcBorders>
                    <w:tl2br w:val="nil"/>
                    <w:tr2bl w:val="nil"/>
                  </w:tcBorders>
                  <w:shd w:val="clear" w:color="auto" w:fill="auto"/>
                  <w:noWrap w:val="0"/>
                  <w:vAlign w:val="center"/>
                </w:tcPr>
                <w:p w14:paraId="2AA535E6">
                  <w:pPr>
                    <w:keepNext w:val="0"/>
                    <w:keepLines w:val="0"/>
                    <w:suppressLineNumbers w:val="0"/>
                    <w:spacing w:before="0" w:beforeAutospacing="0" w:after="0" w:afterAutospacing="0" w:line="240" w:lineRule="auto"/>
                    <w:ind w:left="0" w:leftChars="0" w:right="0" w:rightChars="0"/>
                    <w:jc w:val="center"/>
                    <w:outlineLvl w:val="0"/>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2</w:t>
                  </w:r>
                </w:p>
              </w:tc>
              <w:tc>
                <w:tcPr>
                  <w:tcW w:w="1065" w:type="dxa"/>
                  <w:tcBorders>
                    <w:tl2br w:val="nil"/>
                    <w:tr2bl w:val="nil"/>
                  </w:tcBorders>
                  <w:noWrap w:val="0"/>
                  <w:vAlign w:val="center"/>
                </w:tcPr>
                <w:p w14:paraId="6E7091D6">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粉碎工序</w:t>
                  </w:r>
                </w:p>
              </w:tc>
              <w:tc>
                <w:tcPr>
                  <w:tcW w:w="806" w:type="dxa"/>
                  <w:vMerge w:val="continue"/>
                  <w:tcBorders>
                    <w:tl2br w:val="nil"/>
                    <w:tr2bl w:val="nil"/>
                  </w:tcBorders>
                  <w:noWrap w:val="0"/>
                  <w:vAlign w:val="center"/>
                </w:tcPr>
                <w:p w14:paraId="56E29A0C">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val="0"/>
                      <w:bCs/>
                      <w:color w:val="auto"/>
                      <w:sz w:val="21"/>
                      <w:szCs w:val="21"/>
                    </w:rPr>
                  </w:pPr>
                </w:p>
              </w:tc>
              <w:tc>
                <w:tcPr>
                  <w:tcW w:w="892" w:type="dxa"/>
                  <w:tcBorders>
                    <w:tl2br w:val="nil"/>
                    <w:tr2bl w:val="nil"/>
                  </w:tcBorders>
                  <w:noWrap w:val="0"/>
                  <w:vAlign w:val="center"/>
                </w:tcPr>
                <w:p w14:paraId="3B8B8A4B">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rPr>
                  </w:pPr>
                  <w:r>
                    <w:rPr>
                      <w:rFonts w:hint="eastAsia" w:cs="Times New Roman"/>
                      <w:color w:val="auto"/>
                      <w:sz w:val="21"/>
                      <w:szCs w:val="21"/>
                      <w:lang w:val="en-US" w:eastAsia="zh-CN"/>
                    </w:rPr>
                    <w:t>颗粒物</w:t>
                  </w:r>
                </w:p>
              </w:tc>
              <w:tc>
                <w:tcPr>
                  <w:tcW w:w="1141" w:type="dxa"/>
                  <w:tcBorders>
                    <w:tl2br w:val="nil"/>
                    <w:tr2bl w:val="nil"/>
                  </w:tcBorders>
                  <w:noWrap w:val="0"/>
                  <w:vAlign w:val="center"/>
                </w:tcPr>
                <w:p w14:paraId="5E5B91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rPr>
                  </w:pPr>
                  <w:r>
                    <w:rPr>
                      <w:rFonts w:hint="eastAsia" w:cs="Times New Roman"/>
                      <w:i w:val="0"/>
                      <w:iCs w:val="0"/>
                      <w:color w:val="auto"/>
                      <w:kern w:val="0"/>
                      <w:sz w:val="21"/>
                      <w:szCs w:val="21"/>
                      <w:u w:val="none"/>
                      <w:lang w:val="en-US" w:eastAsia="zh-CN" w:bidi="ar"/>
                    </w:rPr>
                    <w:t>436.98</w:t>
                  </w:r>
                </w:p>
              </w:tc>
              <w:tc>
                <w:tcPr>
                  <w:tcW w:w="1080" w:type="dxa"/>
                  <w:tcBorders>
                    <w:tl2br w:val="nil"/>
                    <w:tr2bl w:val="nil"/>
                  </w:tcBorders>
                  <w:noWrap w:val="0"/>
                  <w:vAlign w:val="center"/>
                </w:tcPr>
                <w:p w14:paraId="59937D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rPr>
                  </w:pPr>
                  <w:r>
                    <w:rPr>
                      <w:rFonts w:hint="eastAsia" w:cs="Times New Roman"/>
                      <w:i w:val="0"/>
                      <w:iCs w:val="0"/>
                      <w:color w:val="auto"/>
                      <w:kern w:val="0"/>
                      <w:sz w:val="21"/>
                      <w:szCs w:val="21"/>
                      <w:u w:val="none"/>
                      <w:lang w:val="en-US" w:eastAsia="zh-CN" w:bidi="ar"/>
                    </w:rPr>
                    <w:t>1.31</w:t>
                  </w:r>
                </w:p>
              </w:tc>
              <w:tc>
                <w:tcPr>
                  <w:tcW w:w="829" w:type="dxa"/>
                  <w:tcBorders>
                    <w:tl2br w:val="nil"/>
                    <w:tr2bl w:val="nil"/>
                  </w:tcBorders>
                  <w:noWrap w:val="0"/>
                  <w:vAlign w:val="center"/>
                </w:tcPr>
                <w:p w14:paraId="092B1C6C">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0.437 </w:t>
                  </w:r>
                </w:p>
              </w:tc>
              <w:tc>
                <w:tcPr>
                  <w:tcW w:w="870" w:type="dxa"/>
                  <w:tcBorders>
                    <w:tl2br w:val="nil"/>
                    <w:tr2bl w:val="nil"/>
                  </w:tcBorders>
                  <w:noWrap w:val="0"/>
                  <w:vAlign w:val="center"/>
                </w:tcPr>
                <w:p w14:paraId="2983B277">
                  <w:pPr>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cs="Times New Roman"/>
                      <w:b w:val="0"/>
                      <w:bCs/>
                      <w:color w:val="auto"/>
                      <w:sz w:val="21"/>
                      <w:szCs w:val="21"/>
                      <w:lang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0min</w:t>
                  </w:r>
                </w:p>
              </w:tc>
              <w:tc>
                <w:tcPr>
                  <w:tcW w:w="701" w:type="dxa"/>
                  <w:vMerge w:val="continue"/>
                  <w:tcBorders>
                    <w:tl2br w:val="nil"/>
                    <w:tr2bl w:val="nil"/>
                  </w:tcBorders>
                  <w:noWrap w:val="0"/>
                  <w:vAlign w:val="center"/>
                </w:tcPr>
                <w:p w14:paraId="4D265349">
                  <w:pPr>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cs="Times New Roman"/>
                      <w:color w:val="auto"/>
                      <w:sz w:val="21"/>
                      <w:szCs w:val="21"/>
                      <w:lang w:eastAsia="zh-CN"/>
                    </w:rPr>
                  </w:pPr>
                </w:p>
              </w:tc>
              <w:tc>
                <w:tcPr>
                  <w:tcW w:w="773" w:type="dxa"/>
                  <w:vMerge w:val="continue"/>
                  <w:tcBorders>
                    <w:tl2br w:val="nil"/>
                    <w:tr2bl w:val="nil"/>
                  </w:tcBorders>
                  <w:noWrap w:val="0"/>
                  <w:vAlign w:val="center"/>
                </w:tcPr>
                <w:p w14:paraId="58C8CFE5">
                  <w:pPr>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cs="Times New Roman"/>
                      <w:color w:val="auto"/>
                      <w:sz w:val="21"/>
                      <w:szCs w:val="21"/>
                      <w:lang w:eastAsia="zh-CN"/>
                    </w:rPr>
                  </w:pPr>
                </w:p>
              </w:tc>
            </w:tr>
            <w:tr w14:paraId="308E1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62" w:type="dxa"/>
                  <w:tcBorders>
                    <w:tl2br w:val="nil"/>
                    <w:tr2bl w:val="nil"/>
                  </w:tcBorders>
                  <w:shd w:val="clear" w:color="auto" w:fill="auto"/>
                  <w:noWrap w:val="0"/>
                  <w:vAlign w:val="center"/>
                </w:tcPr>
                <w:p w14:paraId="028972D8">
                  <w:pPr>
                    <w:keepNext w:val="0"/>
                    <w:keepLines w:val="0"/>
                    <w:suppressLineNumbers w:val="0"/>
                    <w:spacing w:before="0" w:beforeAutospacing="0" w:after="0" w:afterAutospacing="0" w:line="240" w:lineRule="auto"/>
                    <w:ind w:left="0" w:leftChars="0" w:right="0" w:rightChars="0"/>
                    <w:jc w:val="center"/>
                    <w:outlineLvl w:val="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p>
              </w:tc>
              <w:tc>
                <w:tcPr>
                  <w:tcW w:w="1065" w:type="dxa"/>
                  <w:tcBorders>
                    <w:tl2br w:val="nil"/>
                    <w:tr2bl w:val="nil"/>
                  </w:tcBorders>
                  <w:noWrap w:val="0"/>
                  <w:vAlign w:val="center"/>
                </w:tcPr>
                <w:p w14:paraId="4BCDE982">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油水分离</w:t>
                  </w:r>
                </w:p>
              </w:tc>
              <w:tc>
                <w:tcPr>
                  <w:tcW w:w="806" w:type="dxa"/>
                  <w:vMerge w:val="continue"/>
                  <w:tcBorders>
                    <w:tl2br w:val="nil"/>
                    <w:tr2bl w:val="nil"/>
                  </w:tcBorders>
                  <w:noWrap w:val="0"/>
                  <w:vAlign w:val="center"/>
                </w:tcPr>
                <w:p w14:paraId="021BE859">
                  <w:pPr>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cs="Times New Roman"/>
                      <w:color w:val="auto"/>
                      <w:sz w:val="21"/>
                      <w:szCs w:val="21"/>
                      <w:lang w:eastAsia="zh-CN"/>
                    </w:rPr>
                  </w:pPr>
                </w:p>
              </w:tc>
              <w:tc>
                <w:tcPr>
                  <w:tcW w:w="892" w:type="dxa"/>
                  <w:tcBorders>
                    <w:tl2br w:val="nil"/>
                    <w:tr2bl w:val="nil"/>
                  </w:tcBorders>
                  <w:noWrap w:val="0"/>
                  <w:vAlign w:val="center"/>
                </w:tcPr>
                <w:p w14:paraId="661D9625">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rPr>
                  </w:pPr>
                  <w:r>
                    <w:rPr>
                      <w:rFonts w:hint="eastAsia" w:ascii="Times New Roman" w:hAnsi="Calibri" w:eastAsia="宋体" w:cs="Times New Roman"/>
                      <w:color w:val="auto"/>
                      <w:sz w:val="21"/>
                      <w:szCs w:val="21"/>
                    </w:rPr>
                    <w:t>VOCs</w:t>
                  </w:r>
                </w:p>
              </w:tc>
              <w:tc>
                <w:tcPr>
                  <w:tcW w:w="1141" w:type="dxa"/>
                  <w:tcBorders>
                    <w:tl2br w:val="nil"/>
                    <w:tr2bl w:val="nil"/>
                  </w:tcBorders>
                  <w:noWrap w:val="0"/>
                  <w:vAlign w:val="center"/>
                </w:tcPr>
                <w:p w14:paraId="02FB95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17.21</w:t>
                  </w:r>
                </w:p>
              </w:tc>
              <w:tc>
                <w:tcPr>
                  <w:tcW w:w="1080" w:type="dxa"/>
                  <w:tcBorders>
                    <w:tl2br w:val="nil"/>
                    <w:tr2bl w:val="nil"/>
                  </w:tcBorders>
                  <w:noWrap w:val="0"/>
                  <w:vAlign w:val="center"/>
                </w:tcPr>
                <w:p w14:paraId="56826A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0.052</w:t>
                  </w:r>
                </w:p>
              </w:tc>
              <w:tc>
                <w:tcPr>
                  <w:tcW w:w="829" w:type="dxa"/>
                  <w:tcBorders>
                    <w:tl2br w:val="nil"/>
                    <w:tr2bl w:val="nil"/>
                  </w:tcBorders>
                  <w:noWrap w:val="0"/>
                  <w:vAlign w:val="center"/>
                </w:tcPr>
                <w:p w14:paraId="7E9A47F1">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0.017 </w:t>
                  </w:r>
                </w:p>
              </w:tc>
              <w:tc>
                <w:tcPr>
                  <w:tcW w:w="870" w:type="dxa"/>
                  <w:tcBorders>
                    <w:tl2br w:val="nil"/>
                    <w:tr2bl w:val="nil"/>
                  </w:tcBorders>
                  <w:noWrap w:val="0"/>
                  <w:vAlign w:val="center"/>
                </w:tcPr>
                <w:p w14:paraId="11E95080">
                  <w:pPr>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cs="Times New Roman"/>
                      <w:b w:val="0"/>
                      <w:bCs/>
                      <w:color w:val="auto"/>
                      <w:sz w:val="21"/>
                      <w:szCs w:val="21"/>
                      <w:lang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0min</w:t>
                  </w:r>
                </w:p>
              </w:tc>
              <w:tc>
                <w:tcPr>
                  <w:tcW w:w="701" w:type="dxa"/>
                  <w:vMerge w:val="continue"/>
                  <w:tcBorders>
                    <w:tl2br w:val="nil"/>
                    <w:tr2bl w:val="nil"/>
                  </w:tcBorders>
                  <w:noWrap w:val="0"/>
                  <w:vAlign w:val="center"/>
                </w:tcPr>
                <w:p w14:paraId="10E52C87">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val="0"/>
                      <w:bCs/>
                      <w:color w:val="auto"/>
                      <w:sz w:val="21"/>
                      <w:szCs w:val="21"/>
                    </w:rPr>
                  </w:pPr>
                </w:p>
              </w:tc>
              <w:tc>
                <w:tcPr>
                  <w:tcW w:w="773" w:type="dxa"/>
                  <w:vMerge w:val="continue"/>
                  <w:tcBorders>
                    <w:tl2br w:val="nil"/>
                    <w:tr2bl w:val="nil"/>
                  </w:tcBorders>
                  <w:noWrap w:val="0"/>
                  <w:vAlign w:val="center"/>
                </w:tcPr>
                <w:p w14:paraId="26309CE8">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val="0"/>
                      <w:bCs/>
                      <w:color w:val="auto"/>
                      <w:sz w:val="21"/>
                      <w:szCs w:val="21"/>
                    </w:rPr>
                  </w:pPr>
                </w:p>
              </w:tc>
            </w:tr>
            <w:tr w14:paraId="1BF11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62" w:type="dxa"/>
                  <w:vMerge w:val="restart"/>
                  <w:tcBorders>
                    <w:tl2br w:val="nil"/>
                    <w:tr2bl w:val="nil"/>
                  </w:tcBorders>
                  <w:noWrap w:val="0"/>
                  <w:vAlign w:val="center"/>
                </w:tcPr>
                <w:p w14:paraId="3DD87CD2">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065" w:type="dxa"/>
                  <w:vMerge w:val="restart"/>
                  <w:tcBorders>
                    <w:tl2br w:val="nil"/>
                    <w:tr2bl w:val="nil"/>
                  </w:tcBorders>
                  <w:noWrap w:val="0"/>
                  <w:vAlign w:val="center"/>
                </w:tcPr>
                <w:p w14:paraId="15777FB6">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锅炉</w:t>
                  </w:r>
                </w:p>
              </w:tc>
              <w:tc>
                <w:tcPr>
                  <w:tcW w:w="806" w:type="dxa"/>
                  <w:vMerge w:val="continue"/>
                  <w:tcBorders>
                    <w:tl2br w:val="nil"/>
                    <w:tr2bl w:val="nil"/>
                  </w:tcBorders>
                  <w:noWrap w:val="0"/>
                  <w:vAlign w:val="center"/>
                </w:tcPr>
                <w:p w14:paraId="062B1C81">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color w:val="auto"/>
                      <w:sz w:val="21"/>
                      <w:szCs w:val="21"/>
                      <w:lang w:eastAsia="zh-CN"/>
                    </w:rPr>
                  </w:pPr>
                </w:p>
              </w:tc>
              <w:tc>
                <w:tcPr>
                  <w:tcW w:w="892" w:type="dxa"/>
                  <w:tcBorders>
                    <w:tl2br w:val="nil"/>
                    <w:tr2bl w:val="nil"/>
                  </w:tcBorders>
                  <w:noWrap w:val="0"/>
                  <w:vAlign w:val="center"/>
                </w:tcPr>
                <w:p w14:paraId="1870F315">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颗粒物</w:t>
                  </w:r>
                </w:p>
              </w:tc>
              <w:tc>
                <w:tcPr>
                  <w:tcW w:w="1141" w:type="dxa"/>
                  <w:tcBorders>
                    <w:tl2br w:val="nil"/>
                    <w:tr2bl w:val="nil"/>
                  </w:tcBorders>
                  <w:noWrap w:val="0"/>
                  <w:vAlign w:val="center"/>
                </w:tcPr>
                <w:p w14:paraId="1662681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6025.64</w:t>
                  </w:r>
                </w:p>
              </w:tc>
              <w:tc>
                <w:tcPr>
                  <w:tcW w:w="1080" w:type="dxa"/>
                  <w:tcBorders>
                    <w:tl2br w:val="nil"/>
                    <w:tr2bl w:val="nil"/>
                  </w:tcBorders>
                  <w:noWrap w:val="0"/>
                  <w:vAlign w:val="center"/>
                </w:tcPr>
                <w:p w14:paraId="1235E9F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20.68</w:t>
                  </w:r>
                </w:p>
              </w:tc>
              <w:tc>
                <w:tcPr>
                  <w:tcW w:w="829" w:type="dxa"/>
                  <w:tcBorders>
                    <w:tl2br w:val="nil"/>
                    <w:tr2bl w:val="nil"/>
                  </w:tcBorders>
                  <w:noWrap w:val="0"/>
                  <w:vAlign w:val="center"/>
                </w:tcPr>
                <w:p w14:paraId="235A37DF">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6.893 </w:t>
                  </w:r>
                </w:p>
              </w:tc>
              <w:tc>
                <w:tcPr>
                  <w:tcW w:w="870" w:type="dxa"/>
                  <w:vMerge w:val="restart"/>
                  <w:tcBorders>
                    <w:tl2br w:val="nil"/>
                    <w:tr2bl w:val="nil"/>
                  </w:tcBorders>
                  <w:noWrap w:val="0"/>
                  <w:vAlign w:val="center"/>
                </w:tcPr>
                <w:p w14:paraId="10909AB0">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0min</w:t>
                  </w:r>
                </w:p>
              </w:tc>
              <w:tc>
                <w:tcPr>
                  <w:tcW w:w="701" w:type="dxa"/>
                  <w:vMerge w:val="continue"/>
                  <w:tcBorders>
                    <w:tl2br w:val="nil"/>
                    <w:tr2bl w:val="nil"/>
                  </w:tcBorders>
                  <w:noWrap w:val="0"/>
                  <w:vAlign w:val="center"/>
                </w:tcPr>
                <w:p w14:paraId="32583C45">
                  <w:pPr>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cs="Times New Roman"/>
                      <w:color w:val="auto"/>
                      <w:sz w:val="21"/>
                      <w:szCs w:val="21"/>
                      <w:lang w:eastAsia="zh-CN"/>
                    </w:rPr>
                  </w:pPr>
                </w:p>
              </w:tc>
              <w:tc>
                <w:tcPr>
                  <w:tcW w:w="773" w:type="dxa"/>
                  <w:vMerge w:val="continue"/>
                  <w:tcBorders>
                    <w:tl2br w:val="nil"/>
                    <w:tr2bl w:val="nil"/>
                  </w:tcBorders>
                  <w:noWrap w:val="0"/>
                  <w:vAlign w:val="center"/>
                </w:tcPr>
                <w:p w14:paraId="485DD17D">
                  <w:pPr>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cs="Times New Roman"/>
                      <w:color w:val="auto"/>
                      <w:sz w:val="21"/>
                      <w:szCs w:val="21"/>
                      <w:lang w:eastAsia="zh-CN"/>
                    </w:rPr>
                  </w:pPr>
                </w:p>
              </w:tc>
            </w:tr>
            <w:tr w14:paraId="0D323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62" w:type="dxa"/>
                  <w:vMerge w:val="continue"/>
                  <w:tcBorders>
                    <w:tl2br w:val="nil"/>
                    <w:tr2bl w:val="nil"/>
                  </w:tcBorders>
                  <w:noWrap w:val="0"/>
                  <w:vAlign w:val="center"/>
                </w:tcPr>
                <w:p w14:paraId="05680973">
                  <w:pPr>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cs="Times New Roman"/>
                      <w:color w:val="auto"/>
                      <w:sz w:val="21"/>
                      <w:szCs w:val="21"/>
                      <w:lang w:val="en-US" w:eastAsia="zh-CN"/>
                    </w:rPr>
                  </w:pPr>
                </w:p>
              </w:tc>
              <w:tc>
                <w:tcPr>
                  <w:tcW w:w="1065" w:type="dxa"/>
                  <w:vMerge w:val="continue"/>
                  <w:tcBorders>
                    <w:tl2br w:val="nil"/>
                    <w:tr2bl w:val="nil"/>
                  </w:tcBorders>
                  <w:noWrap w:val="0"/>
                  <w:vAlign w:val="center"/>
                </w:tcPr>
                <w:p w14:paraId="09DC5A84">
                  <w:pPr>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cs="Times New Roman"/>
                      <w:b w:val="0"/>
                      <w:bCs/>
                      <w:color w:val="auto"/>
                      <w:sz w:val="21"/>
                      <w:szCs w:val="21"/>
                      <w:lang w:eastAsia="zh-CN"/>
                    </w:rPr>
                  </w:pPr>
                </w:p>
              </w:tc>
              <w:tc>
                <w:tcPr>
                  <w:tcW w:w="806" w:type="dxa"/>
                  <w:vMerge w:val="continue"/>
                  <w:tcBorders>
                    <w:tl2br w:val="nil"/>
                    <w:tr2bl w:val="nil"/>
                  </w:tcBorders>
                  <w:noWrap w:val="0"/>
                  <w:vAlign w:val="center"/>
                </w:tcPr>
                <w:p w14:paraId="7C4DCC9A">
                  <w:pPr>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cs="Times New Roman"/>
                      <w:color w:val="auto"/>
                      <w:sz w:val="21"/>
                      <w:szCs w:val="21"/>
                      <w:lang w:eastAsia="zh-CN"/>
                    </w:rPr>
                  </w:pPr>
                </w:p>
              </w:tc>
              <w:tc>
                <w:tcPr>
                  <w:tcW w:w="892" w:type="dxa"/>
                  <w:tcBorders>
                    <w:tl2br w:val="nil"/>
                    <w:tr2bl w:val="nil"/>
                  </w:tcBorders>
                  <w:noWrap w:val="0"/>
                  <w:vAlign w:val="center"/>
                </w:tcPr>
                <w:p w14:paraId="6376828D">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rPr>
                    <w:t>SO</w:t>
                  </w:r>
                  <w:r>
                    <w:rPr>
                      <w:rFonts w:hint="default" w:ascii="Times New Roman" w:hAnsi="Times New Roman" w:eastAsia="宋体" w:cs="Times New Roman"/>
                      <w:color w:val="auto"/>
                      <w:sz w:val="21"/>
                      <w:vertAlign w:val="subscript"/>
                    </w:rPr>
                    <w:t>2</w:t>
                  </w:r>
                </w:p>
              </w:tc>
              <w:tc>
                <w:tcPr>
                  <w:tcW w:w="1141" w:type="dxa"/>
                  <w:tcBorders>
                    <w:tl2br w:val="nil"/>
                    <w:tr2bl w:val="nil"/>
                  </w:tcBorders>
                  <w:noWrap w:val="0"/>
                  <w:vAlign w:val="center"/>
                </w:tcPr>
                <w:p w14:paraId="3A7FF563">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54.49</w:t>
                  </w:r>
                </w:p>
              </w:tc>
              <w:tc>
                <w:tcPr>
                  <w:tcW w:w="1080" w:type="dxa"/>
                  <w:tcBorders>
                    <w:tl2br w:val="nil"/>
                    <w:tr2bl w:val="nil"/>
                  </w:tcBorders>
                  <w:noWrap w:val="0"/>
                  <w:vAlign w:val="center"/>
                </w:tcPr>
                <w:p w14:paraId="03A7E020">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0.187</w:t>
                  </w:r>
                </w:p>
              </w:tc>
              <w:tc>
                <w:tcPr>
                  <w:tcW w:w="829" w:type="dxa"/>
                  <w:tcBorders>
                    <w:tl2br w:val="nil"/>
                    <w:tr2bl w:val="nil"/>
                  </w:tcBorders>
                  <w:noWrap w:val="0"/>
                  <w:vAlign w:val="center"/>
                </w:tcPr>
                <w:p w14:paraId="0D7C4EA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0.062 </w:t>
                  </w:r>
                </w:p>
              </w:tc>
              <w:tc>
                <w:tcPr>
                  <w:tcW w:w="870" w:type="dxa"/>
                  <w:vMerge w:val="continue"/>
                  <w:tcBorders>
                    <w:tl2br w:val="nil"/>
                    <w:tr2bl w:val="nil"/>
                  </w:tcBorders>
                  <w:noWrap w:val="0"/>
                  <w:vAlign w:val="center"/>
                </w:tcPr>
                <w:p w14:paraId="6EBABD36">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color w:val="auto"/>
                      <w:sz w:val="21"/>
                      <w:szCs w:val="21"/>
                    </w:rPr>
                  </w:pPr>
                </w:p>
              </w:tc>
              <w:tc>
                <w:tcPr>
                  <w:tcW w:w="701" w:type="dxa"/>
                  <w:vMerge w:val="continue"/>
                  <w:tcBorders>
                    <w:tl2br w:val="nil"/>
                    <w:tr2bl w:val="nil"/>
                  </w:tcBorders>
                  <w:noWrap w:val="0"/>
                  <w:vAlign w:val="center"/>
                </w:tcPr>
                <w:p w14:paraId="4E530687">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color w:val="auto"/>
                      <w:sz w:val="21"/>
                      <w:szCs w:val="21"/>
                    </w:rPr>
                  </w:pPr>
                </w:p>
              </w:tc>
              <w:tc>
                <w:tcPr>
                  <w:tcW w:w="773" w:type="dxa"/>
                  <w:vMerge w:val="continue"/>
                  <w:tcBorders>
                    <w:tl2br w:val="nil"/>
                    <w:tr2bl w:val="nil"/>
                  </w:tcBorders>
                  <w:noWrap w:val="0"/>
                  <w:vAlign w:val="center"/>
                </w:tcPr>
                <w:p w14:paraId="740D30E6">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color w:val="auto"/>
                      <w:sz w:val="21"/>
                      <w:szCs w:val="21"/>
                    </w:rPr>
                  </w:pPr>
                </w:p>
              </w:tc>
            </w:tr>
            <w:tr w14:paraId="39EA0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62" w:type="dxa"/>
                  <w:vMerge w:val="continue"/>
                  <w:tcBorders>
                    <w:tl2br w:val="nil"/>
                    <w:tr2bl w:val="nil"/>
                  </w:tcBorders>
                  <w:noWrap w:val="0"/>
                  <w:vAlign w:val="center"/>
                </w:tcPr>
                <w:p w14:paraId="72275135">
                  <w:pPr>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cs="Times New Roman"/>
                      <w:color w:val="auto"/>
                      <w:sz w:val="21"/>
                      <w:szCs w:val="21"/>
                      <w:lang w:val="en-US" w:eastAsia="zh-CN"/>
                    </w:rPr>
                  </w:pPr>
                </w:p>
              </w:tc>
              <w:tc>
                <w:tcPr>
                  <w:tcW w:w="1065" w:type="dxa"/>
                  <w:vMerge w:val="continue"/>
                  <w:tcBorders>
                    <w:tl2br w:val="nil"/>
                    <w:tr2bl w:val="nil"/>
                  </w:tcBorders>
                  <w:noWrap w:val="0"/>
                  <w:vAlign w:val="center"/>
                </w:tcPr>
                <w:p w14:paraId="7E270201">
                  <w:pPr>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cs="Times New Roman"/>
                      <w:b w:val="0"/>
                      <w:bCs/>
                      <w:color w:val="auto"/>
                      <w:sz w:val="21"/>
                      <w:szCs w:val="21"/>
                      <w:lang w:eastAsia="zh-CN"/>
                    </w:rPr>
                  </w:pPr>
                </w:p>
              </w:tc>
              <w:tc>
                <w:tcPr>
                  <w:tcW w:w="806" w:type="dxa"/>
                  <w:vMerge w:val="continue"/>
                  <w:tcBorders>
                    <w:tl2br w:val="nil"/>
                    <w:tr2bl w:val="nil"/>
                  </w:tcBorders>
                  <w:noWrap w:val="0"/>
                  <w:vAlign w:val="center"/>
                </w:tcPr>
                <w:p w14:paraId="4DDDA020">
                  <w:pPr>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cs="Times New Roman"/>
                      <w:color w:val="auto"/>
                      <w:sz w:val="21"/>
                      <w:szCs w:val="21"/>
                      <w:lang w:eastAsia="zh-CN"/>
                    </w:rPr>
                  </w:pPr>
                </w:p>
              </w:tc>
              <w:tc>
                <w:tcPr>
                  <w:tcW w:w="892" w:type="dxa"/>
                  <w:tcBorders>
                    <w:tl2br w:val="nil"/>
                    <w:tr2bl w:val="nil"/>
                  </w:tcBorders>
                  <w:noWrap w:val="0"/>
                  <w:vAlign w:val="center"/>
                </w:tcPr>
                <w:p w14:paraId="5BCF72FE">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rPr>
                    <w:t>NO</w:t>
                  </w:r>
                  <w:r>
                    <w:rPr>
                      <w:rFonts w:hint="default" w:ascii="Times New Roman" w:hAnsi="Times New Roman" w:eastAsia="宋体" w:cs="Times New Roman"/>
                      <w:color w:val="auto"/>
                      <w:sz w:val="21"/>
                      <w:vertAlign w:val="subscript"/>
                    </w:rPr>
                    <w:t>2</w:t>
                  </w:r>
                </w:p>
              </w:tc>
              <w:tc>
                <w:tcPr>
                  <w:tcW w:w="1141" w:type="dxa"/>
                  <w:tcBorders>
                    <w:tl2br w:val="nil"/>
                    <w:tr2bl w:val="nil"/>
                  </w:tcBorders>
                  <w:noWrap w:val="0"/>
                  <w:vAlign w:val="center"/>
                </w:tcPr>
                <w:p w14:paraId="2FAF769A">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163.46</w:t>
                  </w:r>
                </w:p>
              </w:tc>
              <w:tc>
                <w:tcPr>
                  <w:tcW w:w="1080" w:type="dxa"/>
                  <w:tcBorders>
                    <w:tl2br w:val="nil"/>
                    <w:tr2bl w:val="nil"/>
                  </w:tcBorders>
                  <w:noWrap w:val="0"/>
                  <w:vAlign w:val="center"/>
                </w:tcPr>
                <w:p w14:paraId="64885226">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0.561</w:t>
                  </w:r>
                </w:p>
              </w:tc>
              <w:tc>
                <w:tcPr>
                  <w:tcW w:w="829" w:type="dxa"/>
                  <w:tcBorders>
                    <w:tl2br w:val="nil"/>
                    <w:tr2bl w:val="nil"/>
                  </w:tcBorders>
                  <w:noWrap w:val="0"/>
                  <w:vAlign w:val="center"/>
                </w:tcPr>
                <w:p w14:paraId="6707E7C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0.187 </w:t>
                  </w:r>
                </w:p>
              </w:tc>
              <w:tc>
                <w:tcPr>
                  <w:tcW w:w="870" w:type="dxa"/>
                  <w:vMerge w:val="continue"/>
                  <w:tcBorders>
                    <w:tl2br w:val="nil"/>
                    <w:tr2bl w:val="nil"/>
                  </w:tcBorders>
                  <w:noWrap w:val="0"/>
                  <w:vAlign w:val="center"/>
                </w:tcPr>
                <w:p w14:paraId="519919CC">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color w:val="auto"/>
                      <w:sz w:val="21"/>
                      <w:szCs w:val="21"/>
                    </w:rPr>
                  </w:pPr>
                </w:p>
              </w:tc>
              <w:tc>
                <w:tcPr>
                  <w:tcW w:w="701" w:type="dxa"/>
                  <w:vMerge w:val="continue"/>
                  <w:tcBorders>
                    <w:tl2br w:val="nil"/>
                    <w:tr2bl w:val="nil"/>
                  </w:tcBorders>
                  <w:noWrap w:val="0"/>
                  <w:vAlign w:val="center"/>
                </w:tcPr>
                <w:p w14:paraId="3A616F2D">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color w:val="auto"/>
                      <w:sz w:val="21"/>
                      <w:szCs w:val="21"/>
                    </w:rPr>
                  </w:pPr>
                </w:p>
              </w:tc>
              <w:tc>
                <w:tcPr>
                  <w:tcW w:w="773" w:type="dxa"/>
                  <w:vMerge w:val="continue"/>
                  <w:tcBorders>
                    <w:tl2br w:val="nil"/>
                    <w:tr2bl w:val="nil"/>
                  </w:tcBorders>
                  <w:noWrap w:val="0"/>
                  <w:vAlign w:val="center"/>
                </w:tcPr>
                <w:p w14:paraId="432FF591">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color w:val="auto"/>
                      <w:sz w:val="21"/>
                      <w:szCs w:val="21"/>
                    </w:rPr>
                  </w:pPr>
                </w:p>
              </w:tc>
            </w:tr>
            <w:tr w14:paraId="46301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62" w:type="dxa"/>
                  <w:vMerge w:val="restart"/>
                  <w:tcBorders>
                    <w:tl2br w:val="nil"/>
                    <w:tr2bl w:val="nil"/>
                  </w:tcBorders>
                  <w:noWrap w:val="0"/>
                  <w:vAlign w:val="center"/>
                </w:tcPr>
                <w:p w14:paraId="76329129">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065" w:type="dxa"/>
                  <w:vMerge w:val="restart"/>
                  <w:tcBorders>
                    <w:tl2br w:val="nil"/>
                    <w:tr2bl w:val="nil"/>
                  </w:tcBorders>
                  <w:noWrap w:val="0"/>
                  <w:vAlign w:val="center"/>
                </w:tcPr>
                <w:p w14:paraId="13E76FCA">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锅炉</w:t>
                  </w:r>
                </w:p>
              </w:tc>
              <w:tc>
                <w:tcPr>
                  <w:tcW w:w="806" w:type="dxa"/>
                  <w:vMerge w:val="restart"/>
                  <w:tcBorders>
                    <w:tl2br w:val="nil"/>
                    <w:tr2bl w:val="nil"/>
                  </w:tcBorders>
                  <w:noWrap w:val="0"/>
                  <w:vAlign w:val="center"/>
                </w:tcPr>
                <w:p w14:paraId="68B81FFC">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开停炉</w:t>
                  </w:r>
                </w:p>
              </w:tc>
              <w:tc>
                <w:tcPr>
                  <w:tcW w:w="892" w:type="dxa"/>
                  <w:tcBorders>
                    <w:tl2br w:val="nil"/>
                    <w:tr2bl w:val="nil"/>
                  </w:tcBorders>
                  <w:noWrap w:val="0"/>
                  <w:vAlign w:val="center"/>
                </w:tcPr>
                <w:p w14:paraId="65594E09">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rPr>
                  </w:pPr>
                  <w:r>
                    <w:rPr>
                      <w:rFonts w:hint="eastAsia" w:cs="Times New Roman"/>
                      <w:color w:val="auto"/>
                      <w:sz w:val="21"/>
                      <w:szCs w:val="21"/>
                      <w:lang w:val="en-US" w:eastAsia="zh-CN"/>
                    </w:rPr>
                    <w:t>颗粒物</w:t>
                  </w:r>
                </w:p>
              </w:tc>
              <w:tc>
                <w:tcPr>
                  <w:tcW w:w="1141" w:type="dxa"/>
                  <w:tcBorders>
                    <w:tl2br w:val="nil"/>
                    <w:tr2bl w:val="nil"/>
                  </w:tcBorders>
                  <w:noWrap w:val="0"/>
                  <w:vAlign w:val="center"/>
                </w:tcPr>
                <w:p w14:paraId="70B9F8F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6025.64</w:t>
                  </w:r>
                </w:p>
              </w:tc>
              <w:tc>
                <w:tcPr>
                  <w:tcW w:w="1080" w:type="dxa"/>
                  <w:tcBorders>
                    <w:tl2br w:val="nil"/>
                    <w:tr2bl w:val="nil"/>
                  </w:tcBorders>
                  <w:noWrap w:val="0"/>
                  <w:vAlign w:val="center"/>
                </w:tcPr>
                <w:p w14:paraId="5616FC1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20.68</w:t>
                  </w:r>
                </w:p>
              </w:tc>
              <w:tc>
                <w:tcPr>
                  <w:tcW w:w="829" w:type="dxa"/>
                  <w:tcBorders>
                    <w:tl2br w:val="nil"/>
                    <w:tr2bl w:val="nil"/>
                  </w:tcBorders>
                  <w:noWrap w:val="0"/>
                  <w:vAlign w:val="center"/>
                </w:tcPr>
                <w:p w14:paraId="37FB9F93">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5.170 </w:t>
                  </w:r>
                </w:p>
              </w:tc>
              <w:tc>
                <w:tcPr>
                  <w:tcW w:w="870" w:type="dxa"/>
                  <w:vMerge w:val="restart"/>
                  <w:tcBorders>
                    <w:tl2br w:val="nil"/>
                    <w:tr2bl w:val="nil"/>
                  </w:tcBorders>
                  <w:noWrap w:val="0"/>
                  <w:vAlign w:val="center"/>
                </w:tcPr>
                <w:p w14:paraId="363F03D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15min</w:t>
                  </w:r>
                </w:p>
              </w:tc>
              <w:tc>
                <w:tcPr>
                  <w:tcW w:w="701" w:type="dxa"/>
                  <w:vMerge w:val="restart"/>
                  <w:tcBorders>
                    <w:tl2br w:val="nil"/>
                    <w:tr2bl w:val="nil"/>
                  </w:tcBorders>
                  <w:noWrap w:val="0"/>
                  <w:vAlign w:val="center"/>
                </w:tcPr>
                <w:p w14:paraId="380F8E8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2~3次</w:t>
                  </w:r>
                </w:p>
              </w:tc>
              <w:tc>
                <w:tcPr>
                  <w:tcW w:w="773" w:type="dxa"/>
                  <w:vMerge w:val="restart"/>
                  <w:tcBorders>
                    <w:tl2br w:val="nil"/>
                    <w:tr2bl w:val="nil"/>
                  </w:tcBorders>
                  <w:noWrap w:val="0"/>
                  <w:vAlign w:val="center"/>
                </w:tcPr>
                <w:p w14:paraId="333AEA24">
                  <w:pPr>
                    <w:keepNext w:val="0"/>
                    <w:keepLines w:val="0"/>
                    <w:suppressLineNumbers w:val="0"/>
                    <w:spacing w:before="0" w:beforeAutospacing="0" w:after="0" w:afterAutospacing="0" w:line="240" w:lineRule="auto"/>
                    <w:ind w:left="0" w:leftChars="0" w:right="0" w:rightChars="0"/>
                    <w:jc w:val="center"/>
                    <w:outlineLvl w:val="0"/>
                    <w:rPr>
                      <w:rFonts w:hint="eastAsia" w:cs="Times New Roman"/>
                      <w:color w:val="auto"/>
                      <w:sz w:val="21"/>
                      <w:szCs w:val="21"/>
                      <w:lang w:val="en-US" w:eastAsia="zh-CN"/>
                    </w:rPr>
                  </w:pPr>
                  <w:r>
                    <w:rPr>
                      <w:rFonts w:hint="eastAsia" w:cs="Times New Roman"/>
                      <w:color w:val="auto"/>
                      <w:sz w:val="21"/>
                      <w:szCs w:val="21"/>
                      <w:lang w:val="en-US" w:eastAsia="zh-CN"/>
                    </w:rPr>
                    <w:t>先行开启废气处理装置</w:t>
                  </w:r>
                </w:p>
              </w:tc>
            </w:tr>
            <w:tr w14:paraId="22071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62" w:type="dxa"/>
                  <w:vMerge w:val="continue"/>
                  <w:tcBorders>
                    <w:tl2br w:val="nil"/>
                    <w:tr2bl w:val="nil"/>
                  </w:tcBorders>
                  <w:noWrap w:val="0"/>
                  <w:vAlign w:val="center"/>
                </w:tcPr>
                <w:p w14:paraId="250F9DE5">
                  <w:pPr>
                    <w:keepNext w:val="0"/>
                    <w:keepLines w:val="0"/>
                    <w:suppressLineNumbers w:val="0"/>
                    <w:spacing w:before="0" w:beforeAutospacing="0" w:after="0" w:afterAutospacing="0" w:line="240" w:lineRule="auto"/>
                    <w:ind w:left="0" w:right="0"/>
                    <w:jc w:val="center"/>
                    <w:outlineLvl w:val="0"/>
                    <w:rPr>
                      <w:rFonts w:hint="eastAsia" w:cs="Times New Roman"/>
                      <w:color w:val="auto"/>
                      <w:sz w:val="21"/>
                      <w:szCs w:val="21"/>
                      <w:lang w:val="en-US" w:eastAsia="zh-CN"/>
                    </w:rPr>
                  </w:pPr>
                </w:p>
              </w:tc>
              <w:tc>
                <w:tcPr>
                  <w:tcW w:w="1065" w:type="dxa"/>
                  <w:vMerge w:val="continue"/>
                  <w:tcBorders>
                    <w:tl2br w:val="nil"/>
                    <w:tr2bl w:val="nil"/>
                  </w:tcBorders>
                  <w:noWrap w:val="0"/>
                  <w:vAlign w:val="center"/>
                </w:tcPr>
                <w:p w14:paraId="1E113C23">
                  <w:pPr>
                    <w:keepNext w:val="0"/>
                    <w:keepLines w:val="0"/>
                    <w:suppressLineNumbers w:val="0"/>
                    <w:spacing w:before="0" w:beforeAutospacing="0" w:after="0" w:afterAutospacing="0" w:line="240" w:lineRule="auto"/>
                    <w:ind w:left="0" w:right="0"/>
                    <w:jc w:val="center"/>
                    <w:outlineLvl w:val="0"/>
                    <w:rPr>
                      <w:rFonts w:hint="eastAsia" w:cs="Times New Roman"/>
                      <w:b w:val="0"/>
                      <w:bCs/>
                      <w:color w:val="auto"/>
                      <w:sz w:val="21"/>
                      <w:szCs w:val="21"/>
                      <w:lang w:val="en-US" w:eastAsia="zh-CN"/>
                    </w:rPr>
                  </w:pPr>
                </w:p>
              </w:tc>
              <w:tc>
                <w:tcPr>
                  <w:tcW w:w="806" w:type="dxa"/>
                  <w:vMerge w:val="continue"/>
                  <w:tcBorders>
                    <w:tl2br w:val="nil"/>
                    <w:tr2bl w:val="nil"/>
                  </w:tcBorders>
                  <w:noWrap w:val="0"/>
                  <w:vAlign w:val="center"/>
                </w:tcPr>
                <w:p w14:paraId="5C5F91F5">
                  <w:pPr>
                    <w:keepNext w:val="0"/>
                    <w:keepLines w:val="0"/>
                    <w:suppressLineNumbers w:val="0"/>
                    <w:spacing w:before="0" w:beforeAutospacing="0" w:after="0" w:afterAutospacing="0" w:line="240" w:lineRule="auto"/>
                    <w:ind w:left="0" w:right="0"/>
                    <w:jc w:val="center"/>
                    <w:outlineLvl w:val="0"/>
                    <w:rPr>
                      <w:rFonts w:hint="eastAsia" w:cs="Times New Roman"/>
                      <w:color w:val="auto"/>
                      <w:sz w:val="21"/>
                      <w:szCs w:val="21"/>
                      <w:lang w:val="en-US" w:eastAsia="zh-CN"/>
                    </w:rPr>
                  </w:pPr>
                </w:p>
              </w:tc>
              <w:tc>
                <w:tcPr>
                  <w:tcW w:w="892" w:type="dxa"/>
                  <w:tcBorders>
                    <w:tl2br w:val="nil"/>
                    <w:tr2bl w:val="nil"/>
                  </w:tcBorders>
                  <w:noWrap w:val="0"/>
                  <w:vAlign w:val="center"/>
                </w:tcPr>
                <w:p w14:paraId="6DFD901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SO</w:t>
                  </w:r>
                  <w:r>
                    <w:rPr>
                      <w:rFonts w:hint="default" w:ascii="Times New Roman" w:hAnsi="Times New Roman" w:eastAsia="宋体" w:cs="Times New Roman"/>
                      <w:color w:val="auto"/>
                      <w:sz w:val="21"/>
                      <w:vertAlign w:val="subscript"/>
                    </w:rPr>
                    <w:t>2</w:t>
                  </w:r>
                </w:p>
              </w:tc>
              <w:tc>
                <w:tcPr>
                  <w:tcW w:w="1141" w:type="dxa"/>
                  <w:tcBorders>
                    <w:tl2br w:val="nil"/>
                    <w:tr2bl w:val="nil"/>
                  </w:tcBorders>
                  <w:noWrap w:val="0"/>
                  <w:vAlign w:val="center"/>
                </w:tcPr>
                <w:p w14:paraId="05940F9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54.49</w:t>
                  </w:r>
                </w:p>
              </w:tc>
              <w:tc>
                <w:tcPr>
                  <w:tcW w:w="1080" w:type="dxa"/>
                  <w:tcBorders>
                    <w:tl2br w:val="nil"/>
                    <w:tr2bl w:val="nil"/>
                  </w:tcBorders>
                  <w:noWrap w:val="0"/>
                  <w:vAlign w:val="center"/>
                </w:tcPr>
                <w:p w14:paraId="638E25A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0.187</w:t>
                  </w:r>
                </w:p>
              </w:tc>
              <w:tc>
                <w:tcPr>
                  <w:tcW w:w="829" w:type="dxa"/>
                  <w:tcBorders>
                    <w:tl2br w:val="nil"/>
                    <w:tr2bl w:val="nil"/>
                  </w:tcBorders>
                  <w:noWrap w:val="0"/>
                  <w:vAlign w:val="center"/>
                </w:tcPr>
                <w:p w14:paraId="69FCCDF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0.047 </w:t>
                  </w:r>
                </w:p>
              </w:tc>
              <w:tc>
                <w:tcPr>
                  <w:tcW w:w="870" w:type="dxa"/>
                  <w:vMerge w:val="continue"/>
                  <w:tcBorders>
                    <w:tl2br w:val="nil"/>
                    <w:tr2bl w:val="nil"/>
                  </w:tcBorders>
                  <w:noWrap w:val="0"/>
                  <w:vAlign w:val="center"/>
                </w:tcPr>
                <w:p w14:paraId="4704241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01" w:type="dxa"/>
                  <w:vMerge w:val="continue"/>
                  <w:tcBorders>
                    <w:tl2br w:val="nil"/>
                    <w:tr2bl w:val="nil"/>
                  </w:tcBorders>
                  <w:noWrap w:val="0"/>
                  <w:vAlign w:val="center"/>
                </w:tcPr>
                <w:p w14:paraId="080E317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73" w:type="dxa"/>
                  <w:vMerge w:val="continue"/>
                  <w:tcBorders>
                    <w:tl2br w:val="nil"/>
                    <w:tr2bl w:val="nil"/>
                  </w:tcBorders>
                  <w:noWrap w:val="0"/>
                  <w:vAlign w:val="center"/>
                </w:tcPr>
                <w:p w14:paraId="5344FF1A">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color w:val="auto"/>
                      <w:sz w:val="21"/>
                      <w:szCs w:val="21"/>
                    </w:rPr>
                  </w:pPr>
                </w:p>
              </w:tc>
            </w:tr>
            <w:tr w14:paraId="36A94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562" w:type="dxa"/>
                  <w:vMerge w:val="continue"/>
                  <w:tcBorders>
                    <w:tl2br w:val="nil"/>
                    <w:tr2bl w:val="nil"/>
                  </w:tcBorders>
                  <w:noWrap w:val="0"/>
                  <w:vAlign w:val="center"/>
                </w:tcPr>
                <w:p w14:paraId="2FE34C7F">
                  <w:pPr>
                    <w:keepNext w:val="0"/>
                    <w:keepLines w:val="0"/>
                    <w:suppressLineNumbers w:val="0"/>
                    <w:spacing w:before="0" w:beforeAutospacing="0" w:after="0" w:afterAutospacing="0" w:line="240" w:lineRule="auto"/>
                    <w:ind w:left="0" w:right="0"/>
                    <w:jc w:val="center"/>
                    <w:outlineLvl w:val="0"/>
                    <w:rPr>
                      <w:rFonts w:hint="eastAsia" w:cs="Times New Roman"/>
                      <w:color w:val="auto"/>
                      <w:sz w:val="21"/>
                      <w:szCs w:val="21"/>
                      <w:lang w:val="en-US" w:eastAsia="zh-CN"/>
                    </w:rPr>
                  </w:pPr>
                </w:p>
              </w:tc>
              <w:tc>
                <w:tcPr>
                  <w:tcW w:w="1065" w:type="dxa"/>
                  <w:vMerge w:val="continue"/>
                  <w:tcBorders>
                    <w:tl2br w:val="nil"/>
                    <w:tr2bl w:val="nil"/>
                  </w:tcBorders>
                  <w:noWrap w:val="0"/>
                  <w:vAlign w:val="center"/>
                </w:tcPr>
                <w:p w14:paraId="510DAB0C">
                  <w:pPr>
                    <w:keepNext w:val="0"/>
                    <w:keepLines w:val="0"/>
                    <w:suppressLineNumbers w:val="0"/>
                    <w:spacing w:before="0" w:beforeAutospacing="0" w:after="0" w:afterAutospacing="0" w:line="240" w:lineRule="auto"/>
                    <w:ind w:left="0" w:right="0"/>
                    <w:jc w:val="center"/>
                    <w:outlineLvl w:val="0"/>
                    <w:rPr>
                      <w:rFonts w:hint="eastAsia" w:cs="Times New Roman"/>
                      <w:b w:val="0"/>
                      <w:bCs/>
                      <w:color w:val="auto"/>
                      <w:sz w:val="21"/>
                      <w:szCs w:val="21"/>
                      <w:lang w:val="en-US" w:eastAsia="zh-CN"/>
                    </w:rPr>
                  </w:pPr>
                </w:p>
              </w:tc>
              <w:tc>
                <w:tcPr>
                  <w:tcW w:w="806" w:type="dxa"/>
                  <w:vMerge w:val="continue"/>
                  <w:tcBorders>
                    <w:tl2br w:val="nil"/>
                    <w:tr2bl w:val="nil"/>
                  </w:tcBorders>
                  <w:noWrap w:val="0"/>
                  <w:vAlign w:val="center"/>
                </w:tcPr>
                <w:p w14:paraId="5E1ACCE3">
                  <w:pPr>
                    <w:keepNext w:val="0"/>
                    <w:keepLines w:val="0"/>
                    <w:suppressLineNumbers w:val="0"/>
                    <w:spacing w:before="0" w:beforeAutospacing="0" w:after="0" w:afterAutospacing="0" w:line="240" w:lineRule="auto"/>
                    <w:ind w:left="0" w:right="0"/>
                    <w:jc w:val="center"/>
                    <w:outlineLvl w:val="0"/>
                    <w:rPr>
                      <w:rFonts w:hint="eastAsia" w:cs="Times New Roman"/>
                      <w:color w:val="auto"/>
                      <w:sz w:val="21"/>
                      <w:szCs w:val="21"/>
                      <w:lang w:val="en-US" w:eastAsia="zh-CN"/>
                    </w:rPr>
                  </w:pPr>
                </w:p>
              </w:tc>
              <w:tc>
                <w:tcPr>
                  <w:tcW w:w="892" w:type="dxa"/>
                  <w:tcBorders>
                    <w:tl2br w:val="nil"/>
                    <w:tr2bl w:val="nil"/>
                  </w:tcBorders>
                  <w:noWrap w:val="0"/>
                  <w:vAlign w:val="center"/>
                </w:tcPr>
                <w:p w14:paraId="1A20393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NO</w:t>
                  </w:r>
                  <w:r>
                    <w:rPr>
                      <w:rFonts w:hint="default" w:ascii="Times New Roman" w:hAnsi="Times New Roman" w:eastAsia="宋体" w:cs="Times New Roman"/>
                      <w:color w:val="auto"/>
                      <w:sz w:val="21"/>
                      <w:vertAlign w:val="subscript"/>
                    </w:rPr>
                    <w:t>2</w:t>
                  </w:r>
                </w:p>
              </w:tc>
              <w:tc>
                <w:tcPr>
                  <w:tcW w:w="1141" w:type="dxa"/>
                  <w:tcBorders>
                    <w:tl2br w:val="nil"/>
                    <w:tr2bl w:val="nil"/>
                  </w:tcBorders>
                  <w:noWrap w:val="0"/>
                  <w:vAlign w:val="center"/>
                </w:tcPr>
                <w:p w14:paraId="0253CB0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163.46</w:t>
                  </w:r>
                </w:p>
              </w:tc>
              <w:tc>
                <w:tcPr>
                  <w:tcW w:w="1080" w:type="dxa"/>
                  <w:tcBorders>
                    <w:tl2br w:val="nil"/>
                    <w:tr2bl w:val="nil"/>
                  </w:tcBorders>
                  <w:noWrap w:val="0"/>
                  <w:vAlign w:val="center"/>
                </w:tcPr>
                <w:p w14:paraId="0D2ECE2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0.561</w:t>
                  </w:r>
                </w:p>
              </w:tc>
              <w:tc>
                <w:tcPr>
                  <w:tcW w:w="829" w:type="dxa"/>
                  <w:tcBorders>
                    <w:tl2br w:val="nil"/>
                    <w:tr2bl w:val="nil"/>
                  </w:tcBorders>
                  <w:noWrap w:val="0"/>
                  <w:vAlign w:val="center"/>
                </w:tcPr>
                <w:p w14:paraId="5973CBF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0.140 </w:t>
                  </w:r>
                </w:p>
              </w:tc>
              <w:tc>
                <w:tcPr>
                  <w:tcW w:w="870" w:type="dxa"/>
                  <w:vMerge w:val="continue"/>
                  <w:tcBorders>
                    <w:tl2br w:val="nil"/>
                    <w:tr2bl w:val="nil"/>
                  </w:tcBorders>
                  <w:noWrap w:val="0"/>
                  <w:vAlign w:val="center"/>
                </w:tcPr>
                <w:p w14:paraId="504108D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01" w:type="dxa"/>
                  <w:vMerge w:val="continue"/>
                  <w:tcBorders>
                    <w:tl2br w:val="nil"/>
                    <w:tr2bl w:val="nil"/>
                  </w:tcBorders>
                  <w:noWrap w:val="0"/>
                  <w:vAlign w:val="center"/>
                </w:tcPr>
                <w:p w14:paraId="60F3661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73" w:type="dxa"/>
                  <w:vMerge w:val="continue"/>
                  <w:tcBorders>
                    <w:tl2br w:val="nil"/>
                    <w:tr2bl w:val="nil"/>
                  </w:tcBorders>
                  <w:noWrap w:val="0"/>
                  <w:vAlign w:val="center"/>
                </w:tcPr>
                <w:p w14:paraId="331B65A3">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color w:val="auto"/>
                      <w:sz w:val="21"/>
                      <w:szCs w:val="21"/>
                    </w:rPr>
                  </w:pPr>
                </w:p>
              </w:tc>
            </w:tr>
          </w:tbl>
          <w:p w14:paraId="411CCAB3">
            <w:pPr>
              <w:pStyle w:val="16"/>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color w:val="auto"/>
                <w:lang w:val="en-US"/>
              </w:rPr>
            </w:pPr>
            <w:r>
              <w:rPr>
                <w:rFonts w:hint="eastAsia" w:cs="Times New Roman"/>
                <w:color w:val="auto"/>
                <w:sz w:val="21"/>
                <w:szCs w:val="21"/>
                <w:lang w:val="en-US" w:eastAsia="zh-CN"/>
              </w:rPr>
              <w:t>注：开停炉主要为设备检修及停产时。</w:t>
            </w:r>
          </w:p>
          <w:p w14:paraId="219B6F7D">
            <w:pPr>
              <w:pStyle w:val="16"/>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rPr>
            </w:pPr>
            <w:r>
              <w:rPr>
                <w:rFonts w:hint="eastAsia" w:ascii="Times New Roman" w:hAnsi="Times New Roman" w:cs="Times New Roman"/>
                <w:b/>
                <w:color w:val="auto"/>
              </w:rPr>
              <w:t>三、</w:t>
            </w:r>
            <w:r>
              <w:rPr>
                <w:rFonts w:hint="default" w:ascii="Times New Roman" w:hAnsi="Times New Roman" w:cs="Times New Roman"/>
                <w:b/>
                <w:color w:val="auto"/>
              </w:rPr>
              <w:t>噪声</w:t>
            </w:r>
          </w:p>
          <w:p w14:paraId="12F2F515">
            <w:pPr>
              <w:keepNext w:val="0"/>
              <w:keepLines w:val="0"/>
              <w:suppressLineNumbers w:val="0"/>
              <w:adjustRightInd w:val="0"/>
              <w:snapToGrid w:val="0"/>
              <w:spacing w:before="0" w:beforeAutospacing="0" w:after="0" w:afterAutospacing="0"/>
              <w:ind w:left="0" w:right="0" w:firstLine="482" w:firstLineChars="200"/>
              <w:rPr>
                <w:rFonts w:hint="eastAsia" w:ascii="Times New Roman" w:hAnsi="Times New Roman" w:eastAsia="宋体" w:cs="Times New Roman"/>
                <w:b/>
                <w:bCs/>
                <w:color w:val="auto"/>
                <w:lang w:val="en-US" w:eastAsia="zh-CN"/>
              </w:rPr>
            </w:pPr>
            <w:r>
              <w:rPr>
                <w:rFonts w:hint="eastAsia" w:ascii="Times New Roman" w:hAnsi="Times New Roman" w:cs="Times New Roman"/>
                <w:b/>
                <w:bCs/>
                <w:color w:val="auto"/>
              </w:rPr>
              <w:t>1、</w:t>
            </w:r>
            <w:r>
              <w:rPr>
                <w:rFonts w:hint="default" w:ascii="Times New Roman" w:hAnsi="Times New Roman" w:cs="Times New Roman"/>
                <w:b/>
                <w:bCs/>
                <w:color w:val="auto"/>
              </w:rPr>
              <w:t>噪声源强及</w:t>
            </w:r>
            <w:r>
              <w:rPr>
                <w:rFonts w:hint="eastAsia" w:cs="Times New Roman"/>
                <w:b/>
                <w:bCs/>
                <w:color w:val="auto"/>
                <w:lang w:val="en-US" w:eastAsia="zh-CN"/>
              </w:rPr>
              <w:t>污染防治</w:t>
            </w:r>
            <w:r>
              <w:rPr>
                <w:rFonts w:hint="default" w:ascii="Times New Roman" w:hAnsi="Times New Roman" w:cs="Times New Roman"/>
                <w:b/>
                <w:bCs/>
                <w:color w:val="auto"/>
              </w:rPr>
              <w:t>措施</w:t>
            </w:r>
            <w:r>
              <w:rPr>
                <w:rFonts w:hint="eastAsia" w:cs="Times New Roman"/>
                <w:b/>
                <w:bCs/>
                <w:color w:val="auto"/>
                <w:lang w:val="en-US" w:eastAsia="zh-CN"/>
              </w:rPr>
              <w:t xml:space="preserve"> </w:t>
            </w:r>
          </w:p>
          <w:p w14:paraId="5E1FC30B">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eastAsia" w:ascii="Times New Roman" w:hAnsi="Times New Roman" w:eastAsia="宋体" w:cs="Times New Roman"/>
                <w:color w:val="auto"/>
                <w:sz w:val="24"/>
                <w:szCs w:val="24"/>
                <w:lang w:val="en-US" w:eastAsia="zh-CN"/>
              </w:rPr>
              <w:t>项目噪声源主要为生产机械等产生的设备噪声主要有锅炉房、粉碎机、</w:t>
            </w:r>
            <w:r>
              <w:rPr>
                <w:rFonts w:hint="eastAsia" w:ascii="Times New Roman" w:cs="Times New Roman"/>
                <w:color w:val="auto"/>
                <w:sz w:val="24"/>
                <w:szCs w:val="24"/>
                <w:lang w:val="en-US" w:eastAsia="zh-CN"/>
              </w:rPr>
              <w:t>生物质制粒机</w:t>
            </w:r>
            <w:r>
              <w:rPr>
                <w:rFonts w:hint="eastAsia" w:ascii="Times New Roman" w:hAnsi="Times New Roman" w:eastAsia="宋体" w:cs="Times New Roman"/>
                <w:color w:val="auto"/>
                <w:sz w:val="24"/>
                <w:szCs w:val="24"/>
                <w:lang w:val="en-US" w:eastAsia="zh-CN"/>
              </w:rPr>
              <w:t>、冷却塔等。本项目噪声源强度在</w:t>
            </w:r>
            <w:r>
              <w:rPr>
                <w:rFonts w:hint="default" w:ascii="Times New Roman" w:hAnsi="Times New Roman" w:eastAsia="宋体" w:cs="Times New Roman"/>
                <w:color w:val="auto"/>
                <w:sz w:val="24"/>
                <w:szCs w:val="24"/>
                <w:lang w:val="en-US" w:eastAsia="zh-CN"/>
              </w:rPr>
              <w:t>65</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85dB</w:t>
            </w:r>
            <w:r>
              <w:rPr>
                <w:rFonts w:hint="eastAsia" w:ascii="Times New Roman" w:hAnsi="Times New Roman" w:eastAsia="宋体" w:cs="Times New Roman"/>
                <w:color w:val="auto"/>
                <w:sz w:val="24"/>
                <w:szCs w:val="24"/>
                <w:lang w:val="en-US" w:eastAsia="zh-CN"/>
              </w:rPr>
              <w:t>之间，项目噪声源强见表4-12、4-13。</w:t>
            </w:r>
          </w:p>
          <w:p w14:paraId="64749C33">
            <w:pPr>
              <w:pStyle w:val="13"/>
              <w:keepNext w:val="0"/>
              <w:keepLines w:val="0"/>
              <w:suppressLineNumbers w:val="0"/>
              <w:adjustRightInd/>
              <w:snapToGrid/>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治理措施</w:t>
            </w:r>
          </w:p>
          <w:p w14:paraId="270101A2">
            <w:pPr>
              <w:pStyle w:val="13"/>
              <w:keepNext w:val="0"/>
              <w:keepLines w:val="0"/>
              <w:suppressLineNumbers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（1）控制噪声源</w:t>
            </w:r>
          </w:p>
          <w:p w14:paraId="233284BC">
            <w:pPr>
              <w:pStyle w:val="13"/>
              <w:keepNext w:val="0"/>
              <w:keepLines w:val="0"/>
              <w:suppressLineNumbers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①在设备</w:t>
            </w:r>
            <w:r>
              <w:rPr>
                <w:rFonts w:hint="eastAsia" w:ascii="Times New Roman" w:hAnsi="Times New Roman" w:cs="Times New Roman"/>
                <w:color w:val="auto"/>
                <w:sz w:val="24"/>
                <w:szCs w:val="24"/>
                <w:lang w:val="en-US" w:eastAsia="zh-CN"/>
              </w:rPr>
              <w:t>选型</w:t>
            </w:r>
            <w:r>
              <w:rPr>
                <w:rFonts w:hint="eastAsia" w:ascii="Times New Roman" w:hAnsi="Times New Roman" w:cs="Times New Roman"/>
                <w:color w:val="auto"/>
                <w:sz w:val="24"/>
                <w:szCs w:val="24"/>
              </w:rPr>
              <w:t>时需选用低噪声的生产设备和工艺，加强管理，设备做到定期维护和保养</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减少非正常生产噪声</w:t>
            </w:r>
            <w:r>
              <w:rPr>
                <w:rFonts w:hint="eastAsia" w:ascii="Times New Roman" w:hAnsi="Times New Roman" w:cs="Times New Roman"/>
                <w:color w:val="auto"/>
                <w:sz w:val="24"/>
                <w:szCs w:val="24"/>
              </w:rPr>
              <w:t>。</w:t>
            </w:r>
          </w:p>
          <w:p w14:paraId="22C5C8E4">
            <w:pPr>
              <w:pStyle w:val="13"/>
              <w:keepNext w:val="0"/>
              <w:keepLines w:val="0"/>
              <w:suppressLineNumbers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rPr>
              <w:t>②加强管理，减少非正常噪声，加强职工环保意识教育，</w:t>
            </w:r>
            <w:r>
              <w:rPr>
                <w:rFonts w:hint="eastAsia" w:ascii="Times New Roman" w:hAnsi="Times New Roman" w:cs="Times New Roman"/>
                <w:color w:val="auto"/>
                <w:sz w:val="24"/>
                <w:szCs w:val="24"/>
                <w:lang w:val="en-US" w:eastAsia="zh-CN"/>
              </w:rPr>
              <w:t>材料轻拿轻放，</w:t>
            </w:r>
            <w:r>
              <w:rPr>
                <w:rFonts w:hint="eastAsia" w:ascii="Times New Roman" w:hAnsi="Times New Roman" w:cs="Times New Roman"/>
                <w:color w:val="auto"/>
                <w:sz w:val="24"/>
                <w:szCs w:val="24"/>
              </w:rPr>
              <w:t>减少人为因素造成的噪声</w:t>
            </w:r>
            <w:r>
              <w:rPr>
                <w:rFonts w:hint="eastAsia" w:ascii="Times New Roman" w:hAnsi="Times New Roman" w:cs="Times New Roman"/>
                <w:color w:val="auto"/>
                <w:sz w:val="24"/>
                <w:szCs w:val="24"/>
                <w:lang w:eastAsia="zh-CN"/>
              </w:rPr>
              <w:t>。</w:t>
            </w:r>
          </w:p>
          <w:p w14:paraId="386B872A">
            <w:pPr>
              <w:pStyle w:val="13"/>
              <w:keepNext w:val="0"/>
              <w:keepLines w:val="0"/>
              <w:suppressLineNumbers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（2）阻断噪声传播</w:t>
            </w:r>
          </w:p>
          <w:p w14:paraId="0BC19F4F">
            <w:pPr>
              <w:pStyle w:val="13"/>
              <w:keepNext w:val="0"/>
              <w:keepLines w:val="0"/>
              <w:suppressLineNumbers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①本项目所有生产过程均在密闭厂房内，采用四周彩钢棚全封闭厂房，</w:t>
            </w:r>
            <w:r>
              <w:rPr>
                <w:rFonts w:hint="eastAsia" w:ascii="Times New Roman" w:hAnsi="Times New Roman" w:cs="Times New Roman"/>
                <w:color w:val="auto"/>
                <w:sz w:val="24"/>
                <w:szCs w:val="24"/>
                <w:lang w:val="en-US" w:eastAsia="zh-CN"/>
              </w:rPr>
              <w:t>厂界</w:t>
            </w:r>
            <w:r>
              <w:rPr>
                <w:rFonts w:hint="eastAsia" w:ascii="Times New Roman" w:hAnsi="Times New Roman" w:cs="Times New Roman"/>
                <w:color w:val="auto"/>
                <w:sz w:val="24"/>
                <w:szCs w:val="24"/>
              </w:rPr>
              <w:t>四周</w:t>
            </w:r>
            <w:r>
              <w:rPr>
                <w:rFonts w:hint="eastAsia" w:ascii="Times New Roman" w:hAnsi="Times New Roman" w:cs="Times New Roman"/>
                <w:color w:val="auto"/>
                <w:sz w:val="24"/>
                <w:szCs w:val="24"/>
                <w:lang w:val="en-US" w:eastAsia="zh-CN"/>
              </w:rPr>
              <w:t>已</w:t>
            </w:r>
            <w:r>
              <w:rPr>
                <w:rFonts w:hint="eastAsia" w:ascii="Times New Roman" w:hAnsi="Times New Roman" w:cs="Times New Roman"/>
                <w:color w:val="auto"/>
                <w:sz w:val="24"/>
                <w:szCs w:val="24"/>
              </w:rPr>
              <w:t>有围墙，以降低噪声的影响。</w:t>
            </w:r>
          </w:p>
          <w:p w14:paraId="04D7E398">
            <w:pPr>
              <w:pStyle w:val="13"/>
              <w:keepNext w:val="0"/>
              <w:keepLines w:val="0"/>
              <w:suppressLineNumbers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②针对产噪量较大的破碎机和粉碎机，在粉碎机各零部件除了皮带轮，散热装置以外的地方包裹隔声降噪材料，</w:t>
            </w:r>
            <w:r>
              <w:rPr>
                <w:rFonts w:hint="eastAsia" w:ascii="Times New Roman" w:cs="Times New Roman"/>
                <w:color w:val="auto"/>
                <w:sz w:val="24"/>
                <w:szCs w:val="24"/>
                <w:lang w:eastAsia="zh-CN"/>
              </w:rPr>
              <w:t>可以较大程度地</w:t>
            </w:r>
            <w:r>
              <w:rPr>
                <w:rFonts w:hint="eastAsia" w:ascii="Times New Roman" w:hAnsi="Times New Roman" w:cs="Times New Roman"/>
                <w:color w:val="auto"/>
                <w:sz w:val="24"/>
                <w:szCs w:val="24"/>
              </w:rPr>
              <w:t>降低以上设备对厂界外环境的噪声影响。对</w:t>
            </w:r>
            <w:r>
              <w:rPr>
                <w:rFonts w:hint="eastAsia" w:ascii="Times New Roman" w:hAnsi="Times New Roman" w:cs="Times New Roman"/>
                <w:color w:val="auto"/>
                <w:sz w:val="24"/>
                <w:szCs w:val="24"/>
                <w:lang w:val="en-US" w:eastAsia="zh-CN"/>
              </w:rPr>
              <w:t>其他</w:t>
            </w:r>
            <w:r>
              <w:rPr>
                <w:rFonts w:hint="eastAsia" w:ascii="Times New Roman" w:hAnsi="Times New Roman" w:cs="Times New Roman"/>
                <w:color w:val="auto"/>
                <w:sz w:val="24"/>
                <w:szCs w:val="24"/>
              </w:rPr>
              <w:t>产噪设备设置减震基础，可采取台基减震，进行柔性连接，以减小其振动影响。</w:t>
            </w:r>
          </w:p>
          <w:p w14:paraId="758B8B2E">
            <w:pPr>
              <w:pStyle w:val="13"/>
              <w:keepNext w:val="0"/>
              <w:keepLines w:val="0"/>
              <w:suppressLineNumbers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③合理进行厂区总图布置，高噪声设备尽量</w:t>
            </w:r>
            <w:r>
              <w:rPr>
                <w:rFonts w:hint="eastAsia" w:ascii="Times New Roman" w:hAnsi="Times New Roman" w:cs="Times New Roman"/>
                <w:color w:val="auto"/>
                <w:sz w:val="24"/>
                <w:szCs w:val="24"/>
                <w:lang w:val="en-US" w:eastAsia="zh-CN"/>
              </w:rPr>
              <w:t>设置于车间中部，利用厂房隔声和距离衰减作用，降低设备噪声对外环境产生的不利影响</w:t>
            </w:r>
            <w:r>
              <w:rPr>
                <w:rFonts w:hint="eastAsia" w:ascii="Times New Roman" w:hAnsi="Times New Roman" w:cs="Times New Roman"/>
                <w:color w:val="auto"/>
                <w:sz w:val="24"/>
                <w:szCs w:val="24"/>
              </w:rPr>
              <w:t>。合理安排生产时间，禁止夜间（22</w:t>
            </w:r>
            <w:r>
              <w:rPr>
                <w:rFonts w:hint="eastAsia" w:ascii="Times New Roman" w:cs="Times New Roman"/>
                <w:color w:val="auto"/>
                <w:sz w:val="24"/>
                <w:szCs w:val="24"/>
                <w:lang w:eastAsia="zh-CN"/>
              </w:rPr>
              <w:t>:</w:t>
            </w:r>
            <w:r>
              <w:rPr>
                <w:rFonts w:hint="eastAsia" w:ascii="Times New Roman" w:hAnsi="Times New Roman" w:cs="Times New Roman"/>
                <w:color w:val="auto"/>
                <w:sz w:val="24"/>
                <w:szCs w:val="24"/>
              </w:rPr>
              <w:t>00~06</w:t>
            </w:r>
            <w:r>
              <w:rPr>
                <w:rFonts w:hint="eastAsia" w:ascii="Times New Roman" w:cs="Times New Roman"/>
                <w:color w:val="auto"/>
                <w:sz w:val="24"/>
                <w:szCs w:val="24"/>
                <w:lang w:eastAsia="zh-CN"/>
              </w:rPr>
              <w:t>:</w:t>
            </w:r>
            <w:r>
              <w:rPr>
                <w:rFonts w:hint="eastAsia" w:ascii="Times New Roman" w:hAnsi="Times New Roman" w:cs="Times New Roman"/>
                <w:color w:val="auto"/>
                <w:sz w:val="24"/>
                <w:szCs w:val="24"/>
              </w:rPr>
              <w:t>00）生产。</w:t>
            </w:r>
          </w:p>
          <w:p w14:paraId="1339680C">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hAnsi="Times New Roman" w:cs="Times New Roman"/>
                <w:b/>
                <w:color w:val="auto"/>
              </w:rPr>
            </w:pPr>
            <w:r>
              <w:rPr>
                <w:rFonts w:hint="eastAsia" w:ascii="Times New Roman" w:hAnsi="Times New Roman" w:cs="Times New Roman"/>
                <w:color w:val="auto"/>
                <w:sz w:val="24"/>
                <w:szCs w:val="24"/>
              </w:rPr>
              <w:t>④交通噪声：加强车辆进出管理，车辆在进出场地时</w:t>
            </w:r>
            <w:r>
              <w:rPr>
                <w:rFonts w:hint="eastAsia" w:ascii="Times New Roman" w:hAnsi="Times New Roman" w:cs="Times New Roman"/>
                <w:color w:val="auto"/>
                <w:sz w:val="24"/>
              </w:rPr>
              <w:t>需减速行驶，车速5km/h计，</w:t>
            </w:r>
            <w:r>
              <w:rPr>
                <w:rFonts w:hint="eastAsia" w:ascii="Times New Roman" w:hAnsi="Times New Roman" w:cs="Times New Roman"/>
                <w:color w:val="auto"/>
                <w:sz w:val="24"/>
                <w:szCs w:val="24"/>
              </w:rPr>
              <w:t>禁止鸣笛等。</w:t>
            </w:r>
          </w:p>
        </w:tc>
      </w:tr>
    </w:tbl>
    <w:p w14:paraId="50946BAC">
      <w:pPr>
        <w:adjustRightInd w:val="0"/>
        <w:snapToGrid w:val="0"/>
        <w:rPr>
          <w:rFonts w:hint="eastAsia"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14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14089"/>
      </w:tblGrid>
      <w:tr w14:paraId="7278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dxa"/>
            <w:noWrap w:val="0"/>
            <w:vAlign w:val="top"/>
          </w:tcPr>
          <w:p w14:paraId="7E2EA505">
            <w:pPr>
              <w:pStyle w:val="16"/>
              <w:keepNext w:val="0"/>
              <w:keepLines w:val="0"/>
              <w:suppressLineNumbers w:val="0"/>
              <w:spacing w:before="0" w:beforeAutospacing="0" w:after="0" w:afterAutospacing="0"/>
              <w:ind w:left="0" w:right="0"/>
              <w:rPr>
                <w:rFonts w:hint="eastAsia" w:ascii="Times New Roman" w:hAnsi="Times New Roman" w:cs="Times New Roman"/>
                <w:color w:val="auto"/>
              </w:rPr>
            </w:pPr>
          </w:p>
        </w:tc>
        <w:tc>
          <w:tcPr>
            <w:tcW w:w="14089" w:type="dxa"/>
            <w:noWrap w:val="0"/>
            <w:vAlign w:val="top"/>
          </w:tcPr>
          <w:p w14:paraId="126EDF6F">
            <w:pPr>
              <w:keepNext w:val="0"/>
              <w:keepLines w:val="0"/>
              <w:suppressLineNumbers w:val="0"/>
              <w:spacing w:before="0" w:beforeAutospacing="0" w:after="0" w:afterAutospacing="0" w:line="240" w:lineRule="auto"/>
              <w:ind w:left="0" w:right="0"/>
              <w:jc w:val="center"/>
              <w:outlineLvl w:val="0"/>
              <w:rPr>
                <w:rFonts w:hint="eastAsia" w:ascii="Times New Roman" w:hAnsi="Times New Roman" w:cs="Times New Roman"/>
                <w:color w:val="auto"/>
              </w:rPr>
            </w:pPr>
            <w:r>
              <w:rPr>
                <w:rFonts w:hint="default" w:ascii="Times New Roman" w:hAnsi="Times New Roman" w:cs="Times New Roman"/>
                <w:b/>
                <w:bCs/>
                <w:color w:val="auto"/>
                <w:sz w:val="21"/>
                <w:szCs w:val="22"/>
              </w:rPr>
              <w:t>表</w:t>
            </w:r>
            <w:r>
              <w:rPr>
                <w:rFonts w:hint="eastAsia" w:ascii="Times New Roman" w:hAnsi="Times New Roman" w:cs="Times New Roman"/>
                <w:b/>
                <w:bCs/>
                <w:color w:val="auto"/>
                <w:sz w:val="21"/>
                <w:szCs w:val="22"/>
              </w:rPr>
              <w:t>4-</w:t>
            </w:r>
            <w:r>
              <w:rPr>
                <w:rFonts w:hint="eastAsia" w:ascii="Times New Roman" w:hAnsi="Times New Roman" w:cs="Times New Roman"/>
                <w:b/>
                <w:bCs/>
                <w:color w:val="auto"/>
                <w:sz w:val="21"/>
                <w:szCs w:val="22"/>
                <w:lang w:val="en-US" w:eastAsia="zh-CN"/>
              </w:rPr>
              <w:t>12</w:t>
            </w:r>
            <w:r>
              <w:rPr>
                <w:rFonts w:hint="default" w:ascii="Times New Roman" w:hAnsi="Times New Roman" w:cs="Times New Roman"/>
                <w:b/>
                <w:bCs/>
                <w:color w:val="auto"/>
                <w:sz w:val="21"/>
                <w:szCs w:val="22"/>
              </w:rPr>
              <w:tab/>
            </w:r>
            <w:r>
              <w:rPr>
                <w:rFonts w:hint="default" w:ascii="Times New Roman" w:hAnsi="Times New Roman" w:cs="Times New Roman"/>
                <w:b/>
                <w:bCs/>
                <w:color w:val="auto"/>
                <w:sz w:val="21"/>
                <w:szCs w:val="22"/>
              </w:rPr>
              <w:t>工业企业噪声源强调查清单（室内声源）</w:t>
            </w:r>
          </w:p>
          <w:tbl>
            <w:tblPr>
              <w:tblStyle w:val="28"/>
              <w:tblpPr w:leftFromText="180" w:rightFromText="180" w:vertAnchor="text" w:horzAnchor="page" w:tblpXSpec="center" w:tblpY="323"/>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84"/>
              <w:gridCol w:w="623"/>
              <w:gridCol w:w="671"/>
              <w:gridCol w:w="507"/>
              <w:gridCol w:w="537"/>
              <w:gridCol w:w="551"/>
              <w:gridCol w:w="549"/>
              <w:gridCol w:w="549"/>
              <w:gridCol w:w="549"/>
              <w:gridCol w:w="555"/>
              <w:gridCol w:w="541"/>
              <w:gridCol w:w="541"/>
              <w:gridCol w:w="541"/>
              <w:gridCol w:w="552"/>
              <w:gridCol w:w="469"/>
              <w:gridCol w:w="524"/>
              <w:gridCol w:w="524"/>
              <w:gridCol w:w="524"/>
              <w:gridCol w:w="524"/>
              <w:gridCol w:w="558"/>
              <w:gridCol w:w="558"/>
              <w:gridCol w:w="558"/>
              <w:gridCol w:w="561"/>
              <w:gridCol w:w="780"/>
            </w:tblGrid>
            <w:tr w14:paraId="794B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151" w:type="pct"/>
                  <w:vMerge w:val="restart"/>
                  <w:vAlign w:val="center"/>
                </w:tcPr>
                <w:p w14:paraId="76CDAED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bookmarkStart w:id="3" w:name="PT_6"/>
                  <w:r>
                    <w:rPr>
                      <w:rFonts w:hint="default" w:ascii="Times New Roman" w:hAnsi="Times New Roman" w:cs="Times New Roman" w:eastAsiaTheme="minorEastAsia"/>
                      <w:b/>
                      <w:color w:val="auto"/>
                      <w:sz w:val="21"/>
                      <w:szCs w:val="21"/>
                    </w:rPr>
                    <w:t>序号</w:t>
                  </w:r>
                </w:p>
              </w:tc>
              <w:tc>
                <w:tcPr>
                  <w:tcW w:w="211" w:type="pct"/>
                  <w:vMerge w:val="restart"/>
                  <w:vAlign w:val="center"/>
                </w:tcPr>
                <w:p w14:paraId="1CD54B1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声源名称</w:t>
                  </w:r>
                </w:p>
              </w:tc>
              <w:tc>
                <w:tcPr>
                  <w:tcW w:w="225" w:type="pct"/>
                  <w:vAlign w:val="center"/>
                </w:tcPr>
                <w:p w14:paraId="0B87758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b/>
                      <w:color w:val="auto"/>
                      <w:sz w:val="21"/>
                      <w:szCs w:val="21"/>
                      <w:lang w:eastAsia="zh-CN"/>
                    </w:rPr>
                    <w:t>声源源强</w:t>
                  </w:r>
                </w:p>
              </w:tc>
              <w:tc>
                <w:tcPr>
                  <w:tcW w:w="242" w:type="pct"/>
                  <w:vMerge w:val="restart"/>
                  <w:vAlign w:val="center"/>
                </w:tcPr>
                <w:p w14:paraId="09AB797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声源控制措施</w:t>
                  </w:r>
                </w:p>
              </w:tc>
              <w:tc>
                <w:tcPr>
                  <w:tcW w:w="576" w:type="pct"/>
                  <w:gridSpan w:val="3"/>
                  <w:vAlign w:val="center"/>
                </w:tcPr>
                <w:p w14:paraId="751139F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空间相对位置/m</w:t>
                  </w:r>
                </w:p>
              </w:tc>
              <w:tc>
                <w:tcPr>
                  <w:tcW w:w="794" w:type="pct"/>
                  <w:gridSpan w:val="4"/>
                  <w:vAlign w:val="center"/>
                </w:tcPr>
                <w:p w14:paraId="6FA661B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距室内边界距离/m</w:t>
                  </w:r>
                </w:p>
              </w:tc>
              <w:tc>
                <w:tcPr>
                  <w:tcW w:w="784" w:type="pct"/>
                  <w:gridSpan w:val="4"/>
                  <w:vAlign w:val="center"/>
                </w:tcPr>
                <w:p w14:paraId="2AD3F4E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室内边界声级/dB(A)</w:t>
                  </w:r>
                </w:p>
              </w:tc>
              <w:tc>
                <w:tcPr>
                  <w:tcW w:w="169" w:type="pct"/>
                  <w:vMerge w:val="restart"/>
                  <w:vAlign w:val="center"/>
                </w:tcPr>
                <w:p w14:paraId="6A85A18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运行时段</w:t>
                  </w:r>
                </w:p>
              </w:tc>
              <w:tc>
                <w:tcPr>
                  <w:tcW w:w="756" w:type="pct"/>
                  <w:gridSpan w:val="4"/>
                  <w:vAlign w:val="center"/>
                </w:tcPr>
                <w:p w14:paraId="358408F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建筑物插入损失 / dB(A)</w:t>
                  </w:r>
                  <w:bookmarkStart w:id="4" w:name="PT_10"/>
                  <w:bookmarkEnd w:id="4"/>
                </w:p>
              </w:tc>
              <w:tc>
                <w:tcPr>
                  <w:tcW w:w="1086" w:type="pct"/>
                  <w:gridSpan w:val="5"/>
                  <w:vAlign w:val="center"/>
                </w:tcPr>
                <w:p w14:paraId="102A225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建筑物外噪声声压级/dB(A)</w:t>
                  </w:r>
                </w:p>
              </w:tc>
            </w:tr>
            <w:tr w14:paraId="404B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1" w:type="pct"/>
                  <w:vMerge w:val="continue"/>
                  <w:shd w:val="clear" w:color="auto" w:fill="FFFFFF"/>
                  <w:tcMar>
                    <w:top w:w="0" w:type="dxa"/>
                    <w:left w:w="0" w:type="dxa"/>
                    <w:bottom w:w="0" w:type="dxa"/>
                    <w:right w:w="0" w:type="dxa"/>
                  </w:tcMar>
                  <w:vAlign w:val="center"/>
                </w:tcPr>
                <w:p w14:paraId="5131709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p>
              </w:tc>
              <w:tc>
                <w:tcPr>
                  <w:tcW w:w="211" w:type="pct"/>
                  <w:vMerge w:val="continue"/>
                  <w:shd w:val="clear" w:color="auto" w:fill="FFFFFF"/>
                  <w:tcMar>
                    <w:top w:w="0" w:type="dxa"/>
                    <w:left w:w="0" w:type="dxa"/>
                    <w:bottom w:w="0" w:type="dxa"/>
                    <w:right w:w="0" w:type="dxa"/>
                  </w:tcMar>
                  <w:vAlign w:val="center"/>
                </w:tcPr>
                <w:p w14:paraId="4E3F753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225" w:type="pct"/>
                  <w:shd w:val="clear" w:color="auto" w:fill="FFFFFF"/>
                  <w:tcMar>
                    <w:top w:w="0" w:type="dxa"/>
                    <w:left w:w="0" w:type="dxa"/>
                    <w:bottom w:w="0" w:type="dxa"/>
                    <w:right w:w="0" w:type="dxa"/>
                  </w:tcMar>
                  <w:vAlign w:val="center"/>
                </w:tcPr>
                <w:p w14:paraId="3B5ABAE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dB(A)</w:t>
                  </w:r>
                </w:p>
              </w:tc>
              <w:tc>
                <w:tcPr>
                  <w:tcW w:w="242" w:type="pct"/>
                  <w:vMerge w:val="continue"/>
                  <w:shd w:val="clear" w:color="auto" w:fill="FFFFFF"/>
                  <w:tcMar>
                    <w:top w:w="0" w:type="dxa"/>
                    <w:left w:w="0" w:type="dxa"/>
                    <w:bottom w:w="0" w:type="dxa"/>
                    <w:right w:w="0" w:type="dxa"/>
                  </w:tcMar>
                  <w:vAlign w:val="center"/>
                </w:tcPr>
                <w:p w14:paraId="2C83F8F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183" w:type="pct"/>
                  <w:shd w:val="clear" w:color="auto" w:fill="FFFFFF"/>
                  <w:tcMar>
                    <w:top w:w="0" w:type="dxa"/>
                    <w:left w:w="0" w:type="dxa"/>
                    <w:bottom w:w="0" w:type="dxa"/>
                    <w:right w:w="0" w:type="dxa"/>
                  </w:tcMar>
                  <w:vAlign w:val="center"/>
                </w:tcPr>
                <w:p w14:paraId="7095DED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X</w:t>
                  </w:r>
                </w:p>
              </w:tc>
              <w:tc>
                <w:tcPr>
                  <w:tcW w:w="194" w:type="pct"/>
                  <w:shd w:val="clear" w:color="auto" w:fill="FFFFFF"/>
                  <w:tcMar>
                    <w:top w:w="0" w:type="dxa"/>
                    <w:left w:w="0" w:type="dxa"/>
                    <w:bottom w:w="0" w:type="dxa"/>
                    <w:right w:w="0" w:type="dxa"/>
                  </w:tcMar>
                  <w:vAlign w:val="center"/>
                </w:tcPr>
                <w:p w14:paraId="6055E49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Y</w:t>
                  </w:r>
                </w:p>
              </w:tc>
              <w:tc>
                <w:tcPr>
                  <w:tcW w:w="199" w:type="pct"/>
                  <w:shd w:val="clear" w:color="auto" w:fill="FFFFFF"/>
                  <w:tcMar>
                    <w:top w:w="0" w:type="dxa"/>
                    <w:left w:w="0" w:type="dxa"/>
                    <w:bottom w:w="0" w:type="dxa"/>
                    <w:right w:w="0" w:type="dxa"/>
                  </w:tcMar>
                  <w:vAlign w:val="center"/>
                </w:tcPr>
                <w:p w14:paraId="03DB48D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Z</w:t>
                  </w:r>
                </w:p>
              </w:tc>
              <w:tc>
                <w:tcPr>
                  <w:tcW w:w="198" w:type="pct"/>
                  <w:shd w:val="clear" w:color="auto" w:fill="FFFFFF"/>
                  <w:tcMar>
                    <w:top w:w="0" w:type="dxa"/>
                    <w:left w:w="0" w:type="dxa"/>
                    <w:bottom w:w="0" w:type="dxa"/>
                    <w:right w:w="0" w:type="dxa"/>
                  </w:tcMar>
                  <w:vAlign w:val="center"/>
                </w:tcPr>
                <w:p w14:paraId="1306877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东</w:t>
                  </w:r>
                </w:p>
              </w:tc>
              <w:tc>
                <w:tcPr>
                  <w:tcW w:w="198" w:type="pct"/>
                  <w:shd w:val="clear" w:color="auto" w:fill="FFFFFF"/>
                  <w:tcMar>
                    <w:top w:w="0" w:type="dxa"/>
                    <w:left w:w="0" w:type="dxa"/>
                    <w:bottom w:w="0" w:type="dxa"/>
                    <w:right w:w="0" w:type="dxa"/>
                  </w:tcMar>
                  <w:vAlign w:val="center"/>
                </w:tcPr>
                <w:p w14:paraId="7DC0672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南</w:t>
                  </w:r>
                </w:p>
              </w:tc>
              <w:tc>
                <w:tcPr>
                  <w:tcW w:w="198" w:type="pct"/>
                  <w:shd w:val="clear" w:color="auto" w:fill="FFFFFF"/>
                  <w:tcMar>
                    <w:top w:w="0" w:type="dxa"/>
                    <w:left w:w="0" w:type="dxa"/>
                    <w:bottom w:w="0" w:type="dxa"/>
                    <w:right w:w="0" w:type="dxa"/>
                  </w:tcMar>
                  <w:vAlign w:val="center"/>
                </w:tcPr>
                <w:p w14:paraId="26CB7B6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西</w:t>
                  </w:r>
                </w:p>
              </w:tc>
              <w:tc>
                <w:tcPr>
                  <w:tcW w:w="199" w:type="pct"/>
                  <w:shd w:val="clear" w:color="auto" w:fill="FFFFFF"/>
                  <w:tcMar>
                    <w:top w:w="0" w:type="dxa"/>
                    <w:left w:w="0" w:type="dxa"/>
                    <w:bottom w:w="0" w:type="dxa"/>
                    <w:right w:w="0" w:type="dxa"/>
                  </w:tcMar>
                  <w:vAlign w:val="center"/>
                </w:tcPr>
                <w:p w14:paraId="495F23B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北</w:t>
                  </w:r>
                </w:p>
              </w:tc>
              <w:tc>
                <w:tcPr>
                  <w:tcW w:w="195" w:type="pct"/>
                  <w:shd w:val="clear" w:color="auto" w:fill="FFFFFF"/>
                  <w:tcMar>
                    <w:top w:w="0" w:type="dxa"/>
                    <w:left w:w="0" w:type="dxa"/>
                    <w:bottom w:w="0" w:type="dxa"/>
                    <w:right w:w="0" w:type="dxa"/>
                  </w:tcMar>
                  <w:vAlign w:val="center"/>
                </w:tcPr>
                <w:p w14:paraId="01BC663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东</w:t>
                  </w:r>
                </w:p>
              </w:tc>
              <w:tc>
                <w:tcPr>
                  <w:tcW w:w="195" w:type="pct"/>
                  <w:shd w:val="clear" w:color="auto" w:fill="FFFFFF"/>
                  <w:tcMar>
                    <w:top w:w="0" w:type="dxa"/>
                    <w:left w:w="0" w:type="dxa"/>
                    <w:bottom w:w="0" w:type="dxa"/>
                    <w:right w:w="0" w:type="dxa"/>
                  </w:tcMar>
                  <w:vAlign w:val="center"/>
                </w:tcPr>
                <w:p w14:paraId="5B9255A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南</w:t>
                  </w:r>
                </w:p>
              </w:tc>
              <w:tc>
                <w:tcPr>
                  <w:tcW w:w="195" w:type="pct"/>
                  <w:shd w:val="clear" w:color="auto" w:fill="FFFFFF"/>
                  <w:tcMar>
                    <w:top w:w="0" w:type="dxa"/>
                    <w:left w:w="0" w:type="dxa"/>
                    <w:bottom w:w="0" w:type="dxa"/>
                    <w:right w:w="0" w:type="dxa"/>
                  </w:tcMar>
                  <w:vAlign w:val="center"/>
                </w:tcPr>
                <w:p w14:paraId="71967E1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西</w:t>
                  </w:r>
                </w:p>
              </w:tc>
              <w:tc>
                <w:tcPr>
                  <w:tcW w:w="196" w:type="pct"/>
                  <w:shd w:val="clear" w:color="auto" w:fill="FFFFFF"/>
                  <w:tcMar>
                    <w:top w:w="0" w:type="dxa"/>
                    <w:left w:w="0" w:type="dxa"/>
                    <w:bottom w:w="0" w:type="dxa"/>
                    <w:right w:w="0" w:type="dxa"/>
                  </w:tcMar>
                  <w:vAlign w:val="center"/>
                </w:tcPr>
                <w:p w14:paraId="6E4998B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北</w:t>
                  </w:r>
                </w:p>
              </w:tc>
              <w:tc>
                <w:tcPr>
                  <w:tcW w:w="169" w:type="pct"/>
                  <w:vMerge w:val="continue"/>
                  <w:shd w:val="clear" w:color="auto" w:fill="FFFFFF"/>
                  <w:tcMar>
                    <w:top w:w="0" w:type="dxa"/>
                    <w:left w:w="0" w:type="dxa"/>
                    <w:bottom w:w="0" w:type="dxa"/>
                    <w:right w:w="0" w:type="dxa"/>
                  </w:tcMar>
                  <w:vAlign w:val="center"/>
                </w:tcPr>
                <w:p w14:paraId="6CBB330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189" w:type="pct"/>
                  <w:shd w:val="clear" w:color="auto" w:fill="FFFFFF"/>
                  <w:tcMar>
                    <w:top w:w="0" w:type="dxa"/>
                    <w:left w:w="0" w:type="dxa"/>
                    <w:bottom w:w="0" w:type="dxa"/>
                    <w:right w:w="0" w:type="dxa"/>
                  </w:tcMar>
                  <w:vAlign w:val="center"/>
                </w:tcPr>
                <w:p w14:paraId="6512693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东</w:t>
                  </w:r>
                </w:p>
              </w:tc>
              <w:tc>
                <w:tcPr>
                  <w:tcW w:w="189" w:type="pct"/>
                  <w:shd w:val="clear" w:color="auto" w:fill="FFFFFF"/>
                  <w:tcMar>
                    <w:top w:w="0" w:type="dxa"/>
                    <w:left w:w="0" w:type="dxa"/>
                    <w:bottom w:w="0" w:type="dxa"/>
                    <w:right w:w="0" w:type="dxa"/>
                  </w:tcMar>
                  <w:vAlign w:val="center"/>
                </w:tcPr>
                <w:p w14:paraId="54534E5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南</w:t>
                  </w:r>
                </w:p>
              </w:tc>
              <w:tc>
                <w:tcPr>
                  <w:tcW w:w="189" w:type="pct"/>
                  <w:shd w:val="clear" w:color="auto" w:fill="FFFFFF"/>
                  <w:tcMar>
                    <w:top w:w="0" w:type="dxa"/>
                    <w:left w:w="0" w:type="dxa"/>
                    <w:bottom w:w="0" w:type="dxa"/>
                    <w:right w:w="0" w:type="dxa"/>
                  </w:tcMar>
                  <w:vAlign w:val="center"/>
                </w:tcPr>
                <w:p w14:paraId="1AF4D50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西</w:t>
                  </w:r>
                </w:p>
              </w:tc>
              <w:tc>
                <w:tcPr>
                  <w:tcW w:w="189" w:type="pct"/>
                  <w:shd w:val="clear" w:color="auto" w:fill="FFFFFF"/>
                  <w:tcMar>
                    <w:top w:w="0" w:type="dxa"/>
                    <w:left w:w="0" w:type="dxa"/>
                    <w:bottom w:w="0" w:type="dxa"/>
                    <w:right w:w="0" w:type="dxa"/>
                  </w:tcMar>
                  <w:vAlign w:val="center"/>
                </w:tcPr>
                <w:p w14:paraId="17CFF23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北</w:t>
                  </w:r>
                </w:p>
              </w:tc>
              <w:tc>
                <w:tcPr>
                  <w:tcW w:w="201" w:type="pct"/>
                  <w:shd w:val="clear" w:color="auto" w:fill="FFFFFF"/>
                  <w:tcMar>
                    <w:top w:w="0" w:type="dxa"/>
                    <w:left w:w="0" w:type="dxa"/>
                    <w:bottom w:w="0" w:type="dxa"/>
                    <w:right w:w="0" w:type="dxa"/>
                  </w:tcMar>
                  <w:vAlign w:val="center"/>
                </w:tcPr>
                <w:p w14:paraId="17F7A7C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东</w:t>
                  </w:r>
                </w:p>
              </w:tc>
              <w:tc>
                <w:tcPr>
                  <w:tcW w:w="201" w:type="pct"/>
                  <w:shd w:val="clear" w:color="auto" w:fill="FFFFFF"/>
                  <w:tcMar>
                    <w:top w:w="0" w:type="dxa"/>
                    <w:left w:w="0" w:type="dxa"/>
                    <w:bottom w:w="0" w:type="dxa"/>
                    <w:right w:w="0" w:type="dxa"/>
                  </w:tcMar>
                  <w:vAlign w:val="center"/>
                </w:tcPr>
                <w:p w14:paraId="310F71A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南</w:t>
                  </w:r>
                </w:p>
              </w:tc>
              <w:tc>
                <w:tcPr>
                  <w:tcW w:w="201" w:type="pct"/>
                  <w:shd w:val="clear" w:color="auto" w:fill="FFFFFF"/>
                  <w:tcMar>
                    <w:top w:w="0" w:type="dxa"/>
                    <w:left w:w="0" w:type="dxa"/>
                    <w:bottom w:w="0" w:type="dxa"/>
                    <w:right w:w="0" w:type="dxa"/>
                  </w:tcMar>
                  <w:vAlign w:val="center"/>
                </w:tcPr>
                <w:p w14:paraId="15DFBD4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西</w:t>
                  </w:r>
                </w:p>
              </w:tc>
              <w:tc>
                <w:tcPr>
                  <w:tcW w:w="202" w:type="pct"/>
                  <w:shd w:val="clear" w:color="auto" w:fill="FFFFFF"/>
                  <w:tcMar>
                    <w:top w:w="0" w:type="dxa"/>
                    <w:left w:w="0" w:type="dxa"/>
                    <w:bottom w:w="0" w:type="dxa"/>
                    <w:right w:w="0" w:type="dxa"/>
                  </w:tcMar>
                  <w:vAlign w:val="center"/>
                </w:tcPr>
                <w:p w14:paraId="5EF7E1B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北</w:t>
                  </w:r>
                </w:p>
              </w:tc>
              <w:tc>
                <w:tcPr>
                  <w:tcW w:w="279" w:type="pct"/>
                  <w:shd w:val="clear" w:color="auto" w:fill="FFFFFF"/>
                  <w:tcMar>
                    <w:top w:w="0" w:type="dxa"/>
                    <w:left w:w="0" w:type="dxa"/>
                    <w:bottom w:w="0" w:type="dxa"/>
                    <w:right w:w="0" w:type="dxa"/>
                  </w:tcMar>
                  <w:vAlign w:val="center"/>
                </w:tcPr>
                <w:p w14:paraId="0090C61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建筑物外距离</w:t>
                  </w:r>
                </w:p>
              </w:tc>
            </w:tr>
            <w:tr w14:paraId="1B90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1" w:type="pct"/>
                  <w:shd w:val="clear" w:color="auto" w:fill="FFFFFF"/>
                  <w:tcMar>
                    <w:top w:w="0" w:type="dxa"/>
                    <w:left w:w="0" w:type="dxa"/>
                    <w:bottom w:w="0" w:type="dxa"/>
                    <w:right w:w="0" w:type="dxa"/>
                  </w:tcMar>
                  <w:vAlign w:val="center"/>
                </w:tcPr>
                <w:p w14:paraId="77C0575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c>
                <w:tcPr>
                  <w:tcW w:w="211" w:type="pct"/>
                  <w:shd w:val="clear" w:color="auto" w:fill="FFFFFF"/>
                  <w:tcMar>
                    <w:top w:w="0" w:type="dxa"/>
                    <w:left w:w="0" w:type="dxa"/>
                    <w:bottom w:w="0" w:type="dxa"/>
                    <w:right w:w="0" w:type="dxa"/>
                  </w:tcMar>
                  <w:vAlign w:val="center"/>
                </w:tcPr>
                <w:p w14:paraId="0E74817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破碎机</w:t>
                  </w:r>
                </w:p>
              </w:tc>
              <w:tc>
                <w:tcPr>
                  <w:tcW w:w="225" w:type="pct"/>
                  <w:shd w:val="clear" w:color="auto" w:fill="FFFFFF"/>
                  <w:tcMar>
                    <w:top w:w="0" w:type="dxa"/>
                    <w:left w:w="0" w:type="dxa"/>
                    <w:bottom w:w="0" w:type="dxa"/>
                    <w:right w:w="0" w:type="dxa"/>
                  </w:tcMar>
                  <w:vAlign w:val="center"/>
                </w:tcPr>
                <w:p w14:paraId="1952CCF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95</w:t>
                  </w:r>
                </w:p>
              </w:tc>
              <w:tc>
                <w:tcPr>
                  <w:tcW w:w="242" w:type="pct"/>
                  <w:vMerge w:val="restart"/>
                  <w:shd w:val="clear" w:color="auto" w:fill="FFFFFF"/>
                  <w:tcMar>
                    <w:top w:w="0" w:type="dxa"/>
                    <w:left w:w="0" w:type="dxa"/>
                    <w:bottom w:w="0" w:type="dxa"/>
                    <w:right w:w="0" w:type="dxa"/>
                  </w:tcMar>
                  <w:vAlign w:val="center"/>
                </w:tcPr>
                <w:p w14:paraId="23B385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基础减震、建筑隔声、距离衰减</w:t>
                  </w:r>
                </w:p>
              </w:tc>
              <w:tc>
                <w:tcPr>
                  <w:tcW w:w="183" w:type="pct"/>
                  <w:shd w:val="clear" w:color="auto" w:fill="FFFFFF"/>
                  <w:tcMar>
                    <w:top w:w="0" w:type="dxa"/>
                    <w:left w:w="0" w:type="dxa"/>
                    <w:bottom w:w="0" w:type="dxa"/>
                    <w:right w:w="0" w:type="dxa"/>
                  </w:tcMar>
                  <w:vAlign w:val="center"/>
                </w:tcPr>
                <w:p w14:paraId="1C4CD14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3.6</w:t>
                  </w:r>
                </w:p>
              </w:tc>
              <w:tc>
                <w:tcPr>
                  <w:tcW w:w="194" w:type="pct"/>
                  <w:shd w:val="clear" w:color="auto" w:fill="FFFFFF"/>
                  <w:tcMar>
                    <w:top w:w="0" w:type="dxa"/>
                    <w:left w:w="0" w:type="dxa"/>
                    <w:bottom w:w="0" w:type="dxa"/>
                    <w:right w:w="0" w:type="dxa"/>
                  </w:tcMar>
                  <w:vAlign w:val="center"/>
                </w:tcPr>
                <w:p w14:paraId="0C5D91A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-34.4</w:t>
                  </w:r>
                </w:p>
              </w:tc>
              <w:tc>
                <w:tcPr>
                  <w:tcW w:w="199" w:type="pct"/>
                  <w:shd w:val="clear" w:color="auto" w:fill="FFFFFF"/>
                  <w:tcMar>
                    <w:top w:w="0" w:type="dxa"/>
                    <w:left w:w="0" w:type="dxa"/>
                    <w:bottom w:w="0" w:type="dxa"/>
                    <w:right w:w="0" w:type="dxa"/>
                  </w:tcMar>
                  <w:vAlign w:val="center"/>
                </w:tcPr>
                <w:p w14:paraId="6BDCF94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198" w:type="pct"/>
                  <w:shd w:val="clear" w:color="auto" w:fill="FFFFFF"/>
                  <w:tcMar>
                    <w:top w:w="0" w:type="dxa"/>
                    <w:left w:w="0" w:type="dxa"/>
                    <w:bottom w:w="0" w:type="dxa"/>
                    <w:right w:w="0" w:type="dxa"/>
                  </w:tcMar>
                  <w:vAlign w:val="center"/>
                </w:tcPr>
                <w:p w14:paraId="60C4ECE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8.3</w:t>
                  </w:r>
                </w:p>
              </w:tc>
              <w:tc>
                <w:tcPr>
                  <w:tcW w:w="198" w:type="pct"/>
                  <w:shd w:val="clear" w:color="auto" w:fill="FFFFFF"/>
                  <w:tcMar>
                    <w:top w:w="0" w:type="dxa"/>
                    <w:left w:w="0" w:type="dxa"/>
                    <w:bottom w:w="0" w:type="dxa"/>
                    <w:right w:w="0" w:type="dxa"/>
                  </w:tcMar>
                  <w:vAlign w:val="center"/>
                </w:tcPr>
                <w:p w14:paraId="794A57B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7.3</w:t>
                  </w:r>
                </w:p>
              </w:tc>
              <w:tc>
                <w:tcPr>
                  <w:tcW w:w="198" w:type="pct"/>
                  <w:shd w:val="clear" w:color="auto" w:fill="FFFFFF"/>
                  <w:tcMar>
                    <w:top w:w="0" w:type="dxa"/>
                    <w:left w:w="0" w:type="dxa"/>
                    <w:bottom w:w="0" w:type="dxa"/>
                    <w:right w:w="0" w:type="dxa"/>
                  </w:tcMar>
                  <w:vAlign w:val="center"/>
                </w:tcPr>
                <w:p w14:paraId="10742AA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35.0</w:t>
                  </w:r>
                </w:p>
              </w:tc>
              <w:tc>
                <w:tcPr>
                  <w:tcW w:w="199" w:type="pct"/>
                  <w:shd w:val="clear" w:color="auto" w:fill="FFFFFF"/>
                  <w:tcMar>
                    <w:top w:w="0" w:type="dxa"/>
                    <w:left w:w="0" w:type="dxa"/>
                    <w:bottom w:w="0" w:type="dxa"/>
                    <w:right w:w="0" w:type="dxa"/>
                  </w:tcMar>
                  <w:vAlign w:val="center"/>
                </w:tcPr>
                <w:p w14:paraId="0BC3480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2.5</w:t>
                  </w:r>
                </w:p>
              </w:tc>
              <w:tc>
                <w:tcPr>
                  <w:tcW w:w="195" w:type="pct"/>
                  <w:shd w:val="clear" w:color="auto" w:fill="FFFFFF"/>
                  <w:tcMar>
                    <w:top w:w="0" w:type="dxa"/>
                    <w:left w:w="0" w:type="dxa"/>
                    <w:bottom w:w="0" w:type="dxa"/>
                    <w:right w:w="0" w:type="dxa"/>
                  </w:tcMar>
                  <w:vAlign w:val="center"/>
                </w:tcPr>
                <w:p w14:paraId="35EA705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85.0</w:t>
                  </w:r>
                </w:p>
              </w:tc>
              <w:tc>
                <w:tcPr>
                  <w:tcW w:w="195" w:type="pct"/>
                  <w:shd w:val="clear" w:color="auto" w:fill="FFFFFF"/>
                  <w:tcMar>
                    <w:top w:w="0" w:type="dxa"/>
                    <w:left w:w="0" w:type="dxa"/>
                    <w:bottom w:w="0" w:type="dxa"/>
                    <w:right w:w="0" w:type="dxa"/>
                  </w:tcMar>
                  <w:vAlign w:val="center"/>
                </w:tcPr>
                <w:p w14:paraId="261502D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85.0</w:t>
                  </w:r>
                </w:p>
              </w:tc>
              <w:tc>
                <w:tcPr>
                  <w:tcW w:w="195" w:type="pct"/>
                  <w:shd w:val="clear" w:color="auto" w:fill="FFFFFF"/>
                  <w:tcMar>
                    <w:top w:w="0" w:type="dxa"/>
                    <w:left w:w="0" w:type="dxa"/>
                    <w:bottom w:w="0" w:type="dxa"/>
                    <w:right w:w="0" w:type="dxa"/>
                  </w:tcMar>
                  <w:vAlign w:val="center"/>
                </w:tcPr>
                <w:p w14:paraId="356D465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84.9</w:t>
                  </w:r>
                </w:p>
              </w:tc>
              <w:tc>
                <w:tcPr>
                  <w:tcW w:w="196" w:type="pct"/>
                  <w:shd w:val="clear" w:color="auto" w:fill="FFFFFF"/>
                  <w:tcMar>
                    <w:top w:w="0" w:type="dxa"/>
                    <w:left w:w="0" w:type="dxa"/>
                    <w:bottom w:w="0" w:type="dxa"/>
                    <w:right w:w="0" w:type="dxa"/>
                  </w:tcMar>
                  <w:vAlign w:val="center"/>
                </w:tcPr>
                <w:p w14:paraId="6D29A93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85.5</w:t>
                  </w:r>
                </w:p>
              </w:tc>
              <w:tc>
                <w:tcPr>
                  <w:tcW w:w="169" w:type="pct"/>
                  <w:shd w:val="clear" w:color="auto" w:fill="FFFFFF"/>
                  <w:tcMar>
                    <w:top w:w="0" w:type="dxa"/>
                    <w:left w:w="0" w:type="dxa"/>
                    <w:bottom w:w="0" w:type="dxa"/>
                    <w:right w:w="0" w:type="dxa"/>
                  </w:tcMar>
                  <w:vAlign w:val="center"/>
                </w:tcPr>
                <w:p w14:paraId="2AA7C8D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24</w:t>
                  </w:r>
                </w:p>
              </w:tc>
              <w:tc>
                <w:tcPr>
                  <w:tcW w:w="189" w:type="pct"/>
                  <w:shd w:val="clear" w:color="auto" w:fill="FFFFFF"/>
                  <w:tcMar>
                    <w:top w:w="0" w:type="dxa"/>
                    <w:left w:w="0" w:type="dxa"/>
                    <w:bottom w:w="0" w:type="dxa"/>
                    <w:right w:w="0" w:type="dxa"/>
                  </w:tcMar>
                  <w:vAlign w:val="center"/>
                </w:tcPr>
                <w:p w14:paraId="7C9F154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5353A1B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409A224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65DAE30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201" w:type="pct"/>
                  <w:shd w:val="clear" w:color="auto" w:fill="FFFFFF"/>
                  <w:tcMar>
                    <w:top w:w="0" w:type="dxa"/>
                    <w:left w:w="0" w:type="dxa"/>
                    <w:bottom w:w="0" w:type="dxa"/>
                    <w:right w:w="0" w:type="dxa"/>
                  </w:tcMar>
                  <w:vAlign w:val="center"/>
                </w:tcPr>
                <w:p w14:paraId="5C270E1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64.0</w:t>
                  </w:r>
                </w:p>
              </w:tc>
              <w:tc>
                <w:tcPr>
                  <w:tcW w:w="201" w:type="pct"/>
                  <w:shd w:val="clear" w:color="auto" w:fill="FFFFFF"/>
                  <w:tcMar>
                    <w:top w:w="0" w:type="dxa"/>
                    <w:left w:w="0" w:type="dxa"/>
                    <w:bottom w:w="0" w:type="dxa"/>
                    <w:right w:w="0" w:type="dxa"/>
                  </w:tcMar>
                  <w:vAlign w:val="center"/>
                </w:tcPr>
                <w:p w14:paraId="6AB716B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64.0</w:t>
                  </w:r>
                </w:p>
              </w:tc>
              <w:tc>
                <w:tcPr>
                  <w:tcW w:w="201" w:type="pct"/>
                  <w:shd w:val="clear" w:color="auto" w:fill="FFFFFF"/>
                  <w:tcMar>
                    <w:top w:w="0" w:type="dxa"/>
                    <w:left w:w="0" w:type="dxa"/>
                    <w:bottom w:w="0" w:type="dxa"/>
                    <w:right w:w="0" w:type="dxa"/>
                  </w:tcMar>
                  <w:vAlign w:val="center"/>
                </w:tcPr>
                <w:p w14:paraId="77E3B76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63.9</w:t>
                  </w:r>
                </w:p>
              </w:tc>
              <w:tc>
                <w:tcPr>
                  <w:tcW w:w="202" w:type="pct"/>
                  <w:shd w:val="clear" w:color="auto" w:fill="FFFFFF"/>
                  <w:tcMar>
                    <w:top w:w="0" w:type="dxa"/>
                    <w:left w:w="0" w:type="dxa"/>
                    <w:bottom w:w="0" w:type="dxa"/>
                    <w:right w:w="0" w:type="dxa"/>
                  </w:tcMar>
                  <w:vAlign w:val="center"/>
                </w:tcPr>
                <w:p w14:paraId="1218AB8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64.5</w:t>
                  </w:r>
                </w:p>
              </w:tc>
              <w:tc>
                <w:tcPr>
                  <w:tcW w:w="279" w:type="pct"/>
                  <w:shd w:val="clear" w:color="auto" w:fill="FFFFFF"/>
                  <w:tcMar>
                    <w:top w:w="0" w:type="dxa"/>
                    <w:left w:w="0" w:type="dxa"/>
                    <w:bottom w:w="0" w:type="dxa"/>
                    <w:right w:w="0" w:type="dxa"/>
                  </w:tcMar>
                  <w:vAlign w:val="center"/>
                </w:tcPr>
                <w:p w14:paraId="1967430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14:paraId="46EC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1" w:type="pct"/>
                  <w:shd w:val="clear" w:color="auto" w:fill="FFFFFF"/>
                  <w:tcMar>
                    <w:top w:w="0" w:type="dxa"/>
                    <w:left w:w="0" w:type="dxa"/>
                    <w:bottom w:w="0" w:type="dxa"/>
                    <w:right w:w="0" w:type="dxa"/>
                  </w:tcMar>
                  <w:vAlign w:val="center"/>
                </w:tcPr>
                <w:p w14:paraId="6EE4A8B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w:t>
                  </w:r>
                </w:p>
              </w:tc>
              <w:tc>
                <w:tcPr>
                  <w:tcW w:w="211" w:type="pct"/>
                  <w:shd w:val="clear" w:color="auto" w:fill="FFFFFF"/>
                  <w:tcMar>
                    <w:top w:w="0" w:type="dxa"/>
                    <w:left w:w="0" w:type="dxa"/>
                    <w:bottom w:w="0" w:type="dxa"/>
                    <w:right w:w="0" w:type="dxa"/>
                  </w:tcMar>
                  <w:vAlign w:val="center"/>
                </w:tcPr>
                <w:p w14:paraId="64F00A8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锅炉</w:t>
                  </w:r>
                </w:p>
              </w:tc>
              <w:tc>
                <w:tcPr>
                  <w:tcW w:w="225" w:type="pct"/>
                  <w:shd w:val="clear" w:color="auto" w:fill="FFFFFF"/>
                  <w:tcMar>
                    <w:top w:w="0" w:type="dxa"/>
                    <w:left w:w="0" w:type="dxa"/>
                    <w:bottom w:w="0" w:type="dxa"/>
                    <w:right w:w="0" w:type="dxa"/>
                  </w:tcMar>
                  <w:vAlign w:val="center"/>
                </w:tcPr>
                <w:p w14:paraId="1A38A65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80</w:t>
                  </w:r>
                </w:p>
              </w:tc>
              <w:tc>
                <w:tcPr>
                  <w:tcW w:w="242" w:type="pct"/>
                  <w:vMerge w:val="continue"/>
                  <w:shd w:val="clear" w:color="auto" w:fill="FFFFFF"/>
                  <w:tcMar>
                    <w:top w:w="0" w:type="dxa"/>
                    <w:left w:w="0" w:type="dxa"/>
                    <w:bottom w:w="0" w:type="dxa"/>
                    <w:right w:w="0" w:type="dxa"/>
                  </w:tcMar>
                  <w:vAlign w:val="center"/>
                </w:tcPr>
                <w:p w14:paraId="195E267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83" w:type="pct"/>
                  <w:shd w:val="clear" w:color="auto" w:fill="FFFFFF"/>
                  <w:tcMar>
                    <w:top w:w="0" w:type="dxa"/>
                    <w:left w:w="0" w:type="dxa"/>
                    <w:bottom w:w="0" w:type="dxa"/>
                    <w:right w:w="0" w:type="dxa"/>
                  </w:tcMar>
                  <w:vAlign w:val="center"/>
                </w:tcPr>
                <w:p w14:paraId="0E27DE0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15.4</w:t>
                  </w:r>
                </w:p>
              </w:tc>
              <w:tc>
                <w:tcPr>
                  <w:tcW w:w="194" w:type="pct"/>
                  <w:shd w:val="clear" w:color="auto" w:fill="FFFFFF"/>
                  <w:tcMar>
                    <w:top w:w="0" w:type="dxa"/>
                    <w:left w:w="0" w:type="dxa"/>
                    <w:bottom w:w="0" w:type="dxa"/>
                    <w:right w:w="0" w:type="dxa"/>
                  </w:tcMar>
                  <w:vAlign w:val="center"/>
                </w:tcPr>
                <w:p w14:paraId="164BBC3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-26.3</w:t>
                  </w:r>
                </w:p>
              </w:tc>
              <w:tc>
                <w:tcPr>
                  <w:tcW w:w="199" w:type="pct"/>
                  <w:shd w:val="clear" w:color="auto" w:fill="FFFFFF"/>
                  <w:tcMar>
                    <w:top w:w="0" w:type="dxa"/>
                    <w:left w:w="0" w:type="dxa"/>
                    <w:bottom w:w="0" w:type="dxa"/>
                    <w:right w:w="0" w:type="dxa"/>
                  </w:tcMar>
                  <w:vAlign w:val="center"/>
                </w:tcPr>
                <w:p w14:paraId="3991891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198" w:type="pct"/>
                  <w:shd w:val="clear" w:color="auto" w:fill="FFFFFF"/>
                  <w:tcMar>
                    <w:top w:w="0" w:type="dxa"/>
                    <w:left w:w="0" w:type="dxa"/>
                    <w:bottom w:w="0" w:type="dxa"/>
                    <w:right w:w="0" w:type="dxa"/>
                  </w:tcMar>
                  <w:vAlign w:val="center"/>
                </w:tcPr>
                <w:p w14:paraId="06B5610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14.4</w:t>
                  </w:r>
                </w:p>
              </w:tc>
              <w:tc>
                <w:tcPr>
                  <w:tcW w:w="198" w:type="pct"/>
                  <w:shd w:val="clear" w:color="auto" w:fill="FFFFFF"/>
                  <w:tcMar>
                    <w:top w:w="0" w:type="dxa"/>
                    <w:left w:w="0" w:type="dxa"/>
                    <w:bottom w:w="0" w:type="dxa"/>
                    <w:right w:w="0" w:type="dxa"/>
                  </w:tcMar>
                  <w:vAlign w:val="center"/>
                </w:tcPr>
                <w:p w14:paraId="067E75E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5.8</w:t>
                  </w:r>
                </w:p>
              </w:tc>
              <w:tc>
                <w:tcPr>
                  <w:tcW w:w="198" w:type="pct"/>
                  <w:shd w:val="clear" w:color="auto" w:fill="FFFFFF"/>
                  <w:tcMar>
                    <w:top w:w="0" w:type="dxa"/>
                    <w:left w:w="0" w:type="dxa"/>
                    <w:bottom w:w="0" w:type="dxa"/>
                    <w:right w:w="0" w:type="dxa"/>
                  </w:tcMar>
                  <w:vAlign w:val="center"/>
                </w:tcPr>
                <w:p w14:paraId="0FE0655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46.7</w:t>
                  </w:r>
                </w:p>
              </w:tc>
              <w:tc>
                <w:tcPr>
                  <w:tcW w:w="199" w:type="pct"/>
                  <w:shd w:val="clear" w:color="auto" w:fill="FFFFFF"/>
                  <w:tcMar>
                    <w:top w:w="0" w:type="dxa"/>
                    <w:left w:w="0" w:type="dxa"/>
                    <w:bottom w:w="0" w:type="dxa"/>
                    <w:right w:w="0" w:type="dxa"/>
                  </w:tcMar>
                  <w:vAlign w:val="center"/>
                </w:tcPr>
                <w:p w14:paraId="3D180B7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4.5</w:t>
                  </w:r>
                </w:p>
              </w:tc>
              <w:tc>
                <w:tcPr>
                  <w:tcW w:w="195" w:type="pct"/>
                  <w:shd w:val="clear" w:color="auto" w:fill="FFFFFF"/>
                  <w:tcMar>
                    <w:top w:w="0" w:type="dxa"/>
                    <w:left w:w="0" w:type="dxa"/>
                    <w:bottom w:w="0" w:type="dxa"/>
                    <w:right w:w="0" w:type="dxa"/>
                  </w:tcMar>
                  <w:vAlign w:val="center"/>
                </w:tcPr>
                <w:p w14:paraId="69EE70E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67.4</w:t>
                  </w:r>
                </w:p>
              </w:tc>
              <w:tc>
                <w:tcPr>
                  <w:tcW w:w="195" w:type="pct"/>
                  <w:shd w:val="clear" w:color="auto" w:fill="FFFFFF"/>
                  <w:tcMar>
                    <w:top w:w="0" w:type="dxa"/>
                    <w:left w:w="0" w:type="dxa"/>
                    <w:bottom w:w="0" w:type="dxa"/>
                    <w:right w:w="0" w:type="dxa"/>
                  </w:tcMar>
                  <w:vAlign w:val="center"/>
                </w:tcPr>
                <w:p w14:paraId="73ADB26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67.6</w:t>
                  </w:r>
                </w:p>
              </w:tc>
              <w:tc>
                <w:tcPr>
                  <w:tcW w:w="195" w:type="pct"/>
                  <w:shd w:val="clear" w:color="auto" w:fill="FFFFFF"/>
                  <w:tcMar>
                    <w:top w:w="0" w:type="dxa"/>
                    <w:left w:w="0" w:type="dxa"/>
                    <w:bottom w:w="0" w:type="dxa"/>
                    <w:right w:w="0" w:type="dxa"/>
                  </w:tcMar>
                  <w:vAlign w:val="center"/>
                </w:tcPr>
                <w:p w14:paraId="75D2915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67.4</w:t>
                  </w:r>
                </w:p>
              </w:tc>
              <w:tc>
                <w:tcPr>
                  <w:tcW w:w="196" w:type="pct"/>
                  <w:shd w:val="clear" w:color="auto" w:fill="FFFFFF"/>
                  <w:tcMar>
                    <w:top w:w="0" w:type="dxa"/>
                    <w:left w:w="0" w:type="dxa"/>
                    <w:bottom w:w="0" w:type="dxa"/>
                    <w:right w:w="0" w:type="dxa"/>
                  </w:tcMar>
                  <w:vAlign w:val="center"/>
                </w:tcPr>
                <w:p w14:paraId="1F8CD94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67.7</w:t>
                  </w:r>
                </w:p>
              </w:tc>
              <w:tc>
                <w:tcPr>
                  <w:tcW w:w="169" w:type="pct"/>
                  <w:shd w:val="clear" w:color="auto" w:fill="FFFFFF"/>
                  <w:tcMar>
                    <w:top w:w="0" w:type="dxa"/>
                    <w:left w:w="0" w:type="dxa"/>
                    <w:bottom w:w="0" w:type="dxa"/>
                    <w:right w:w="0" w:type="dxa"/>
                  </w:tcMar>
                  <w:vAlign w:val="center"/>
                </w:tcPr>
                <w:p w14:paraId="047B46A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24</w:t>
                  </w:r>
                </w:p>
              </w:tc>
              <w:tc>
                <w:tcPr>
                  <w:tcW w:w="189" w:type="pct"/>
                  <w:shd w:val="clear" w:color="auto" w:fill="FFFFFF"/>
                  <w:tcMar>
                    <w:top w:w="0" w:type="dxa"/>
                    <w:left w:w="0" w:type="dxa"/>
                    <w:bottom w:w="0" w:type="dxa"/>
                    <w:right w:w="0" w:type="dxa"/>
                  </w:tcMar>
                  <w:vAlign w:val="center"/>
                </w:tcPr>
                <w:p w14:paraId="71D4F8B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6AB5D16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3F13D77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6A15622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201" w:type="pct"/>
                  <w:shd w:val="clear" w:color="auto" w:fill="FFFFFF"/>
                  <w:tcMar>
                    <w:top w:w="0" w:type="dxa"/>
                    <w:left w:w="0" w:type="dxa"/>
                    <w:bottom w:w="0" w:type="dxa"/>
                    <w:right w:w="0" w:type="dxa"/>
                  </w:tcMar>
                  <w:vAlign w:val="center"/>
                </w:tcPr>
                <w:p w14:paraId="0B05411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46.4</w:t>
                  </w:r>
                </w:p>
              </w:tc>
              <w:tc>
                <w:tcPr>
                  <w:tcW w:w="201" w:type="pct"/>
                  <w:shd w:val="clear" w:color="auto" w:fill="FFFFFF"/>
                  <w:tcMar>
                    <w:top w:w="0" w:type="dxa"/>
                    <w:left w:w="0" w:type="dxa"/>
                    <w:bottom w:w="0" w:type="dxa"/>
                    <w:right w:w="0" w:type="dxa"/>
                  </w:tcMar>
                  <w:vAlign w:val="center"/>
                </w:tcPr>
                <w:p w14:paraId="4AE3130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46.6</w:t>
                  </w:r>
                </w:p>
              </w:tc>
              <w:tc>
                <w:tcPr>
                  <w:tcW w:w="201" w:type="pct"/>
                  <w:shd w:val="clear" w:color="auto" w:fill="FFFFFF"/>
                  <w:tcMar>
                    <w:top w:w="0" w:type="dxa"/>
                    <w:left w:w="0" w:type="dxa"/>
                    <w:bottom w:w="0" w:type="dxa"/>
                    <w:right w:w="0" w:type="dxa"/>
                  </w:tcMar>
                  <w:vAlign w:val="center"/>
                </w:tcPr>
                <w:p w14:paraId="65FEC93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46.4</w:t>
                  </w:r>
                </w:p>
              </w:tc>
              <w:tc>
                <w:tcPr>
                  <w:tcW w:w="202" w:type="pct"/>
                  <w:shd w:val="clear" w:color="auto" w:fill="FFFFFF"/>
                  <w:tcMar>
                    <w:top w:w="0" w:type="dxa"/>
                    <w:left w:w="0" w:type="dxa"/>
                    <w:bottom w:w="0" w:type="dxa"/>
                    <w:right w:w="0" w:type="dxa"/>
                  </w:tcMar>
                  <w:vAlign w:val="center"/>
                </w:tcPr>
                <w:p w14:paraId="095EFF5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46.7</w:t>
                  </w:r>
                </w:p>
              </w:tc>
              <w:tc>
                <w:tcPr>
                  <w:tcW w:w="279" w:type="pct"/>
                  <w:shd w:val="clear" w:color="auto" w:fill="FFFFFF"/>
                  <w:tcMar>
                    <w:top w:w="0" w:type="dxa"/>
                    <w:left w:w="0" w:type="dxa"/>
                    <w:bottom w:w="0" w:type="dxa"/>
                    <w:right w:w="0" w:type="dxa"/>
                  </w:tcMar>
                  <w:vAlign w:val="center"/>
                </w:tcPr>
                <w:p w14:paraId="382D3E8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14:paraId="431C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1" w:type="pct"/>
                  <w:shd w:val="clear" w:color="auto" w:fill="FFFFFF"/>
                  <w:tcMar>
                    <w:top w:w="0" w:type="dxa"/>
                    <w:left w:w="0" w:type="dxa"/>
                    <w:bottom w:w="0" w:type="dxa"/>
                    <w:right w:w="0" w:type="dxa"/>
                  </w:tcMar>
                  <w:vAlign w:val="center"/>
                </w:tcPr>
                <w:p w14:paraId="0F93E96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w:t>
                  </w:r>
                </w:p>
              </w:tc>
              <w:tc>
                <w:tcPr>
                  <w:tcW w:w="211" w:type="pct"/>
                  <w:shd w:val="clear" w:color="auto" w:fill="FFFFFF"/>
                  <w:tcMar>
                    <w:top w:w="0" w:type="dxa"/>
                    <w:left w:w="0" w:type="dxa"/>
                    <w:bottom w:w="0" w:type="dxa"/>
                    <w:right w:w="0" w:type="dxa"/>
                  </w:tcMar>
                  <w:vAlign w:val="center"/>
                </w:tcPr>
                <w:p w14:paraId="453F9E0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粉碎机</w:t>
                  </w:r>
                </w:p>
              </w:tc>
              <w:tc>
                <w:tcPr>
                  <w:tcW w:w="225" w:type="pct"/>
                  <w:shd w:val="clear" w:color="auto" w:fill="FFFFFF"/>
                  <w:tcMar>
                    <w:top w:w="0" w:type="dxa"/>
                    <w:left w:w="0" w:type="dxa"/>
                    <w:bottom w:w="0" w:type="dxa"/>
                    <w:right w:w="0" w:type="dxa"/>
                  </w:tcMar>
                  <w:vAlign w:val="center"/>
                </w:tcPr>
                <w:p w14:paraId="0893ADF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90</w:t>
                  </w:r>
                </w:p>
              </w:tc>
              <w:tc>
                <w:tcPr>
                  <w:tcW w:w="242" w:type="pct"/>
                  <w:vMerge w:val="continue"/>
                  <w:shd w:val="clear" w:color="auto" w:fill="FFFFFF"/>
                  <w:tcMar>
                    <w:top w:w="0" w:type="dxa"/>
                    <w:left w:w="0" w:type="dxa"/>
                    <w:bottom w:w="0" w:type="dxa"/>
                    <w:right w:w="0" w:type="dxa"/>
                  </w:tcMar>
                  <w:vAlign w:val="center"/>
                </w:tcPr>
                <w:p w14:paraId="242945E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83" w:type="pct"/>
                  <w:shd w:val="clear" w:color="auto" w:fill="FFFFFF"/>
                  <w:tcMar>
                    <w:top w:w="0" w:type="dxa"/>
                    <w:left w:w="0" w:type="dxa"/>
                    <w:bottom w:w="0" w:type="dxa"/>
                    <w:right w:w="0" w:type="dxa"/>
                  </w:tcMar>
                  <w:vAlign w:val="center"/>
                </w:tcPr>
                <w:p w14:paraId="49DE1C2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58.5</w:t>
                  </w:r>
                </w:p>
              </w:tc>
              <w:tc>
                <w:tcPr>
                  <w:tcW w:w="194" w:type="pct"/>
                  <w:shd w:val="clear" w:color="auto" w:fill="FFFFFF"/>
                  <w:tcMar>
                    <w:top w:w="0" w:type="dxa"/>
                    <w:left w:w="0" w:type="dxa"/>
                    <w:bottom w:w="0" w:type="dxa"/>
                    <w:right w:w="0" w:type="dxa"/>
                  </w:tcMar>
                  <w:vAlign w:val="center"/>
                </w:tcPr>
                <w:p w14:paraId="6B4B95A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31.4</w:t>
                  </w:r>
                </w:p>
              </w:tc>
              <w:tc>
                <w:tcPr>
                  <w:tcW w:w="199" w:type="pct"/>
                  <w:shd w:val="clear" w:color="auto" w:fill="FFFFFF"/>
                  <w:tcMar>
                    <w:top w:w="0" w:type="dxa"/>
                    <w:left w:w="0" w:type="dxa"/>
                    <w:bottom w:w="0" w:type="dxa"/>
                    <w:right w:w="0" w:type="dxa"/>
                  </w:tcMar>
                  <w:vAlign w:val="center"/>
                </w:tcPr>
                <w:p w14:paraId="026EA4E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198" w:type="pct"/>
                  <w:shd w:val="clear" w:color="auto" w:fill="FFFFFF"/>
                  <w:tcMar>
                    <w:top w:w="0" w:type="dxa"/>
                    <w:left w:w="0" w:type="dxa"/>
                    <w:bottom w:w="0" w:type="dxa"/>
                    <w:right w:w="0" w:type="dxa"/>
                  </w:tcMar>
                  <w:vAlign w:val="center"/>
                </w:tcPr>
                <w:p w14:paraId="1068D9E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31.6</w:t>
                  </w:r>
                </w:p>
              </w:tc>
              <w:tc>
                <w:tcPr>
                  <w:tcW w:w="198" w:type="pct"/>
                  <w:shd w:val="clear" w:color="auto" w:fill="FFFFFF"/>
                  <w:tcMar>
                    <w:top w:w="0" w:type="dxa"/>
                    <w:left w:w="0" w:type="dxa"/>
                    <w:bottom w:w="0" w:type="dxa"/>
                    <w:right w:w="0" w:type="dxa"/>
                  </w:tcMar>
                  <w:vAlign w:val="center"/>
                </w:tcPr>
                <w:p w14:paraId="3097C06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11.3</w:t>
                  </w:r>
                </w:p>
              </w:tc>
              <w:tc>
                <w:tcPr>
                  <w:tcW w:w="198" w:type="pct"/>
                  <w:shd w:val="clear" w:color="auto" w:fill="FFFFFF"/>
                  <w:tcMar>
                    <w:top w:w="0" w:type="dxa"/>
                    <w:left w:w="0" w:type="dxa"/>
                    <w:bottom w:w="0" w:type="dxa"/>
                    <w:right w:w="0" w:type="dxa"/>
                  </w:tcMar>
                  <w:vAlign w:val="center"/>
                </w:tcPr>
                <w:p w14:paraId="424DE58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7.9</w:t>
                  </w:r>
                </w:p>
              </w:tc>
              <w:tc>
                <w:tcPr>
                  <w:tcW w:w="199" w:type="pct"/>
                  <w:shd w:val="clear" w:color="auto" w:fill="FFFFFF"/>
                  <w:tcMar>
                    <w:top w:w="0" w:type="dxa"/>
                    <w:left w:w="0" w:type="dxa"/>
                    <w:bottom w:w="0" w:type="dxa"/>
                    <w:right w:w="0" w:type="dxa"/>
                  </w:tcMar>
                  <w:vAlign w:val="center"/>
                </w:tcPr>
                <w:p w14:paraId="318889E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13.0</w:t>
                  </w:r>
                </w:p>
              </w:tc>
              <w:tc>
                <w:tcPr>
                  <w:tcW w:w="195" w:type="pct"/>
                  <w:shd w:val="clear" w:color="auto" w:fill="FFFFFF"/>
                  <w:tcMar>
                    <w:top w:w="0" w:type="dxa"/>
                    <w:left w:w="0" w:type="dxa"/>
                    <w:bottom w:w="0" w:type="dxa"/>
                    <w:right w:w="0" w:type="dxa"/>
                  </w:tcMar>
                  <w:vAlign w:val="center"/>
                </w:tcPr>
                <w:p w14:paraId="235A8AF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74.7</w:t>
                  </w:r>
                </w:p>
              </w:tc>
              <w:tc>
                <w:tcPr>
                  <w:tcW w:w="195" w:type="pct"/>
                  <w:shd w:val="clear" w:color="auto" w:fill="FFFFFF"/>
                  <w:tcMar>
                    <w:top w:w="0" w:type="dxa"/>
                    <w:left w:w="0" w:type="dxa"/>
                    <w:bottom w:w="0" w:type="dxa"/>
                    <w:right w:w="0" w:type="dxa"/>
                  </w:tcMar>
                  <w:vAlign w:val="center"/>
                </w:tcPr>
                <w:p w14:paraId="13990B7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74.8</w:t>
                  </w:r>
                </w:p>
              </w:tc>
              <w:tc>
                <w:tcPr>
                  <w:tcW w:w="195" w:type="pct"/>
                  <w:shd w:val="clear" w:color="auto" w:fill="FFFFFF"/>
                  <w:tcMar>
                    <w:top w:w="0" w:type="dxa"/>
                    <w:left w:w="0" w:type="dxa"/>
                    <w:bottom w:w="0" w:type="dxa"/>
                    <w:right w:w="0" w:type="dxa"/>
                  </w:tcMar>
                  <w:vAlign w:val="center"/>
                </w:tcPr>
                <w:p w14:paraId="13403ED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74.9</w:t>
                  </w:r>
                </w:p>
              </w:tc>
              <w:tc>
                <w:tcPr>
                  <w:tcW w:w="196" w:type="pct"/>
                  <w:shd w:val="clear" w:color="auto" w:fill="FFFFFF"/>
                  <w:tcMar>
                    <w:top w:w="0" w:type="dxa"/>
                    <w:left w:w="0" w:type="dxa"/>
                    <w:bottom w:w="0" w:type="dxa"/>
                    <w:right w:w="0" w:type="dxa"/>
                  </w:tcMar>
                  <w:vAlign w:val="center"/>
                </w:tcPr>
                <w:p w14:paraId="65B0EB9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74.7</w:t>
                  </w:r>
                </w:p>
              </w:tc>
              <w:tc>
                <w:tcPr>
                  <w:tcW w:w="169" w:type="pct"/>
                  <w:shd w:val="clear" w:color="auto" w:fill="FFFFFF"/>
                  <w:tcMar>
                    <w:top w:w="0" w:type="dxa"/>
                    <w:left w:w="0" w:type="dxa"/>
                    <w:bottom w:w="0" w:type="dxa"/>
                    <w:right w:w="0" w:type="dxa"/>
                  </w:tcMar>
                  <w:vAlign w:val="center"/>
                </w:tcPr>
                <w:p w14:paraId="2BB47D8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24</w:t>
                  </w:r>
                </w:p>
              </w:tc>
              <w:tc>
                <w:tcPr>
                  <w:tcW w:w="189" w:type="pct"/>
                  <w:shd w:val="clear" w:color="auto" w:fill="FFFFFF"/>
                  <w:tcMar>
                    <w:top w:w="0" w:type="dxa"/>
                    <w:left w:w="0" w:type="dxa"/>
                    <w:bottom w:w="0" w:type="dxa"/>
                    <w:right w:w="0" w:type="dxa"/>
                  </w:tcMar>
                  <w:vAlign w:val="center"/>
                </w:tcPr>
                <w:p w14:paraId="3701900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504CDD8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5D86853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2BF534C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201" w:type="pct"/>
                  <w:shd w:val="clear" w:color="auto" w:fill="FFFFFF"/>
                  <w:tcMar>
                    <w:top w:w="0" w:type="dxa"/>
                    <w:left w:w="0" w:type="dxa"/>
                    <w:bottom w:w="0" w:type="dxa"/>
                    <w:right w:w="0" w:type="dxa"/>
                  </w:tcMar>
                  <w:vAlign w:val="center"/>
                </w:tcPr>
                <w:p w14:paraId="241172D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53.7</w:t>
                  </w:r>
                </w:p>
              </w:tc>
              <w:tc>
                <w:tcPr>
                  <w:tcW w:w="201" w:type="pct"/>
                  <w:shd w:val="clear" w:color="auto" w:fill="FFFFFF"/>
                  <w:tcMar>
                    <w:top w:w="0" w:type="dxa"/>
                    <w:left w:w="0" w:type="dxa"/>
                    <w:bottom w:w="0" w:type="dxa"/>
                    <w:right w:w="0" w:type="dxa"/>
                  </w:tcMar>
                  <w:vAlign w:val="center"/>
                </w:tcPr>
                <w:p w14:paraId="3CE4016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53.8</w:t>
                  </w:r>
                </w:p>
              </w:tc>
              <w:tc>
                <w:tcPr>
                  <w:tcW w:w="201" w:type="pct"/>
                  <w:shd w:val="clear" w:color="auto" w:fill="FFFFFF"/>
                  <w:tcMar>
                    <w:top w:w="0" w:type="dxa"/>
                    <w:left w:w="0" w:type="dxa"/>
                    <w:bottom w:w="0" w:type="dxa"/>
                    <w:right w:w="0" w:type="dxa"/>
                  </w:tcMar>
                  <w:vAlign w:val="center"/>
                </w:tcPr>
                <w:p w14:paraId="3AC03C4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53.9</w:t>
                  </w:r>
                </w:p>
              </w:tc>
              <w:tc>
                <w:tcPr>
                  <w:tcW w:w="202" w:type="pct"/>
                  <w:shd w:val="clear" w:color="auto" w:fill="FFFFFF"/>
                  <w:tcMar>
                    <w:top w:w="0" w:type="dxa"/>
                    <w:left w:w="0" w:type="dxa"/>
                    <w:bottom w:w="0" w:type="dxa"/>
                    <w:right w:w="0" w:type="dxa"/>
                  </w:tcMar>
                  <w:vAlign w:val="center"/>
                </w:tcPr>
                <w:p w14:paraId="7B05D51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53.7</w:t>
                  </w:r>
                </w:p>
              </w:tc>
              <w:tc>
                <w:tcPr>
                  <w:tcW w:w="279" w:type="pct"/>
                  <w:shd w:val="clear" w:color="auto" w:fill="FFFFFF"/>
                  <w:tcMar>
                    <w:top w:w="0" w:type="dxa"/>
                    <w:left w:w="0" w:type="dxa"/>
                    <w:bottom w:w="0" w:type="dxa"/>
                    <w:right w:w="0" w:type="dxa"/>
                  </w:tcMar>
                  <w:vAlign w:val="center"/>
                </w:tcPr>
                <w:p w14:paraId="1A95F72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14:paraId="5DCC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1" w:type="pct"/>
                  <w:shd w:val="clear" w:color="auto" w:fill="FFFFFF"/>
                  <w:tcMar>
                    <w:top w:w="0" w:type="dxa"/>
                    <w:left w:w="0" w:type="dxa"/>
                    <w:bottom w:w="0" w:type="dxa"/>
                    <w:right w:w="0" w:type="dxa"/>
                  </w:tcMar>
                  <w:vAlign w:val="center"/>
                </w:tcPr>
                <w:p w14:paraId="1B055EC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w:t>
                  </w:r>
                </w:p>
              </w:tc>
              <w:tc>
                <w:tcPr>
                  <w:tcW w:w="211" w:type="pct"/>
                  <w:shd w:val="clear" w:color="auto" w:fill="FFFFFF"/>
                  <w:tcMar>
                    <w:top w:w="0" w:type="dxa"/>
                    <w:left w:w="0" w:type="dxa"/>
                    <w:bottom w:w="0" w:type="dxa"/>
                    <w:right w:w="0" w:type="dxa"/>
                  </w:tcMar>
                  <w:vAlign w:val="center"/>
                </w:tcPr>
                <w:p w14:paraId="209BE2D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生物质制粒机</w:t>
                  </w:r>
                </w:p>
              </w:tc>
              <w:tc>
                <w:tcPr>
                  <w:tcW w:w="225" w:type="pct"/>
                  <w:shd w:val="clear" w:color="auto" w:fill="FFFFFF"/>
                  <w:tcMar>
                    <w:top w:w="0" w:type="dxa"/>
                    <w:left w:w="0" w:type="dxa"/>
                    <w:bottom w:w="0" w:type="dxa"/>
                    <w:right w:w="0" w:type="dxa"/>
                  </w:tcMar>
                  <w:vAlign w:val="center"/>
                </w:tcPr>
                <w:p w14:paraId="61EE989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242" w:type="pct"/>
                  <w:vMerge w:val="continue"/>
                  <w:shd w:val="clear" w:color="auto" w:fill="FFFFFF"/>
                  <w:tcMar>
                    <w:top w:w="0" w:type="dxa"/>
                    <w:left w:w="0" w:type="dxa"/>
                    <w:bottom w:w="0" w:type="dxa"/>
                    <w:right w:w="0" w:type="dxa"/>
                  </w:tcMar>
                  <w:vAlign w:val="center"/>
                </w:tcPr>
                <w:p w14:paraId="24E820A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83" w:type="pct"/>
                  <w:shd w:val="clear" w:color="auto" w:fill="FFFFFF"/>
                  <w:tcMar>
                    <w:top w:w="0" w:type="dxa"/>
                    <w:left w:w="0" w:type="dxa"/>
                    <w:bottom w:w="0" w:type="dxa"/>
                    <w:right w:w="0" w:type="dxa"/>
                  </w:tcMar>
                  <w:vAlign w:val="center"/>
                </w:tcPr>
                <w:p w14:paraId="2ACA98F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66.5</w:t>
                  </w:r>
                </w:p>
              </w:tc>
              <w:tc>
                <w:tcPr>
                  <w:tcW w:w="194" w:type="pct"/>
                  <w:shd w:val="clear" w:color="auto" w:fill="FFFFFF"/>
                  <w:tcMar>
                    <w:top w:w="0" w:type="dxa"/>
                    <w:left w:w="0" w:type="dxa"/>
                    <w:bottom w:w="0" w:type="dxa"/>
                    <w:right w:w="0" w:type="dxa"/>
                  </w:tcMar>
                  <w:vAlign w:val="center"/>
                </w:tcPr>
                <w:p w14:paraId="7EC0C11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-7.1</w:t>
                  </w:r>
                </w:p>
              </w:tc>
              <w:tc>
                <w:tcPr>
                  <w:tcW w:w="199" w:type="pct"/>
                  <w:shd w:val="clear" w:color="auto" w:fill="FFFFFF"/>
                  <w:tcMar>
                    <w:top w:w="0" w:type="dxa"/>
                    <w:left w:w="0" w:type="dxa"/>
                    <w:bottom w:w="0" w:type="dxa"/>
                    <w:right w:w="0" w:type="dxa"/>
                  </w:tcMar>
                  <w:vAlign w:val="center"/>
                </w:tcPr>
                <w:p w14:paraId="1BB409B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198" w:type="pct"/>
                  <w:shd w:val="clear" w:color="auto" w:fill="FFFFFF"/>
                  <w:tcMar>
                    <w:top w:w="0" w:type="dxa"/>
                    <w:left w:w="0" w:type="dxa"/>
                    <w:bottom w:w="0" w:type="dxa"/>
                    <w:right w:w="0" w:type="dxa"/>
                  </w:tcMar>
                  <w:vAlign w:val="center"/>
                </w:tcPr>
                <w:p w14:paraId="0630941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7.3</w:t>
                  </w:r>
                </w:p>
              </w:tc>
              <w:tc>
                <w:tcPr>
                  <w:tcW w:w="198" w:type="pct"/>
                  <w:shd w:val="clear" w:color="auto" w:fill="FFFFFF"/>
                  <w:tcMar>
                    <w:top w:w="0" w:type="dxa"/>
                    <w:left w:w="0" w:type="dxa"/>
                    <w:bottom w:w="0" w:type="dxa"/>
                    <w:right w:w="0" w:type="dxa"/>
                  </w:tcMar>
                  <w:vAlign w:val="center"/>
                </w:tcPr>
                <w:p w14:paraId="7CCFDC2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2.9</w:t>
                  </w:r>
                </w:p>
              </w:tc>
              <w:tc>
                <w:tcPr>
                  <w:tcW w:w="198" w:type="pct"/>
                  <w:shd w:val="clear" w:color="auto" w:fill="FFFFFF"/>
                  <w:tcMar>
                    <w:top w:w="0" w:type="dxa"/>
                    <w:left w:w="0" w:type="dxa"/>
                    <w:bottom w:w="0" w:type="dxa"/>
                    <w:right w:w="0" w:type="dxa"/>
                  </w:tcMar>
                  <w:vAlign w:val="center"/>
                </w:tcPr>
                <w:p w14:paraId="6AFEADD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15.9</w:t>
                  </w:r>
                </w:p>
              </w:tc>
              <w:tc>
                <w:tcPr>
                  <w:tcW w:w="199" w:type="pct"/>
                  <w:shd w:val="clear" w:color="auto" w:fill="FFFFFF"/>
                  <w:tcMar>
                    <w:top w:w="0" w:type="dxa"/>
                    <w:left w:w="0" w:type="dxa"/>
                    <w:bottom w:w="0" w:type="dxa"/>
                    <w:right w:w="0" w:type="dxa"/>
                  </w:tcMar>
                  <w:vAlign w:val="center"/>
                </w:tcPr>
                <w:p w14:paraId="13AF5C6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51.5</w:t>
                  </w:r>
                </w:p>
              </w:tc>
              <w:tc>
                <w:tcPr>
                  <w:tcW w:w="195" w:type="pct"/>
                  <w:shd w:val="clear" w:color="auto" w:fill="FFFFFF"/>
                  <w:tcMar>
                    <w:top w:w="0" w:type="dxa"/>
                    <w:left w:w="0" w:type="dxa"/>
                    <w:bottom w:w="0" w:type="dxa"/>
                    <w:right w:w="0" w:type="dxa"/>
                  </w:tcMar>
                  <w:vAlign w:val="center"/>
                </w:tcPr>
                <w:p w14:paraId="4CD2F31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59.9</w:t>
                  </w:r>
                </w:p>
              </w:tc>
              <w:tc>
                <w:tcPr>
                  <w:tcW w:w="195" w:type="pct"/>
                  <w:shd w:val="clear" w:color="auto" w:fill="FFFFFF"/>
                  <w:tcMar>
                    <w:top w:w="0" w:type="dxa"/>
                    <w:left w:w="0" w:type="dxa"/>
                    <w:bottom w:w="0" w:type="dxa"/>
                    <w:right w:w="0" w:type="dxa"/>
                  </w:tcMar>
                  <w:vAlign w:val="center"/>
                </w:tcPr>
                <w:p w14:paraId="13AE0AE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60.9</w:t>
                  </w:r>
                </w:p>
              </w:tc>
              <w:tc>
                <w:tcPr>
                  <w:tcW w:w="195" w:type="pct"/>
                  <w:shd w:val="clear" w:color="auto" w:fill="FFFFFF"/>
                  <w:tcMar>
                    <w:top w:w="0" w:type="dxa"/>
                    <w:left w:w="0" w:type="dxa"/>
                    <w:bottom w:w="0" w:type="dxa"/>
                    <w:right w:w="0" w:type="dxa"/>
                  </w:tcMar>
                  <w:vAlign w:val="center"/>
                </w:tcPr>
                <w:p w14:paraId="1293099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59.7</w:t>
                  </w:r>
                </w:p>
              </w:tc>
              <w:tc>
                <w:tcPr>
                  <w:tcW w:w="196" w:type="pct"/>
                  <w:shd w:val="clear" w:color="auto" w:fill="FFFFFF"/>
                  <w:tcMar>
                    <w:top w:w="0" w:type="dxa"/>
                    <w:left w:w="0" w:type="dxa"/>
                    <w:bottom w:w="0" w:type="dxa"/>
                    <w:right w:w="0" w:type="dxa"/>
                  </w:tcMar>
                  <w:vAlign w:val="center"/>
                </w:tcPr>
                <w:p w14:paraId="4D99615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59.7</w:t>
                  </w:r>
                </w:p>
              </w:tc>
              <w:tc>
                <w:tcPr>
                  <w:tcW w:w="169" w:type="pct"/>
                  <w:shd w:val="clear" w:color="auto" w:fill="FFFFFF"/>
                  <w:tcMar>
                    <w:top w:w="0" w:type="dxa"/>
                    <w:left w:w="0" w:type="dxa"/>
                    <w:bottom w:w="0" w:type="dxa"/>
                    <w:right w:w="0" w:type="dxa"/>
                  </w:tcMar>
                  <w:vAlign w:val="center"/>
                </w:tcPr>
                <w:p w14:paraId="01CEDDB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24</w:t>
                  </w:r>
                </w:p>
              </w:tc>
              <w:tc>
                <w:tcPr>
                  <w:tcW w:w="189" w:type="pct"/>
                  <w:shd w:val="clear" w:color="auto" w:fill="FFFFFF"/>
                  <w:tcMar>
                    <w:top w:w="0" w:type="dxa"/>
                    <w:left w:w="0" w:type="dxa"/>
                    <w:bottom w:w="0" w:type="dxa"/>
                    <w:right w:w="0" w:type="dxa"/>
                  </w:tcMar>
                  <w:vAlign w:val="center"/>
                </w:tcPr>
                <w:p w14:paraId="0D819B2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73A8B83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6AE13A0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15551AC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201" w:type="pct"/>
                  <w:shd w:val="clear" w:color="auto" w:fill="FFFFFF"/>
                  <w:tcMar>
                    <w:top w:w="0" w:type="dxa"/>
                    <w:left w:w="0" w:type="dxa"/>
                    <w:bottom w:w="0" w:type="dxa"/>
                    <w:right w:w="0" w:type="dxa"/>
                  </w:tcMar>
                  <w:vAlign w:val="center"/>
                </w:tcPr>
                <w:p w14:paraId="647A6C4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38.9</w:t>
                  </w:r>
                </w:p>
              </w:tc>
              <w:tc>
                <w:tcPr>
                  <w:tcW w:w="201" w:type="pct"/>
                  <w:shd w:val="clear" w:color="auto" w:fill="FFFFFF"/>
                  <w:tcMar>
                    <w:top w:w="0" w:type="dxa"/>
                    <w:left w:w="0" w:type="dxa"/>
                    <w:bottom w:w="0" w:type="dxa"/>
                    <w:right w:w="0" w:type="dxa"/>
                  </w:tcMar>
                  <w:vAlign w:val="center"/>
                </w:tcPr>
                <w:p w14:paraId="5B97464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39.9</w:t>
                  </w:r>
                </w:p>
              </w:tc>
              <w:tc>
                <w:tcPr>
                  <w:tcW w:w="201" w:type="pct"/>
                  <w:shd w:val="clear" w:color="auto" w:fill="FFFFFF"/>
                  <w:tcMar>
                    <w:top w:w="0" w:type="dxa"/>
                    <w:left w:w="0" w:type="dxa"/>
                    <w:bottom w:w="0" w:type="dxa"/>
                    <w:right w:w="0" w:type="dxa"/>
                  </w:tcMar>
                  <w:vAlign w:val="center"/>
                </w:tcPr>
                <w:p w14:paraId="2B1DFCE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38.7</w:t>
                  </w:r>
                </w:p>
              </w:tc>
              <w:tc>
                <w:tcPr>
                  <w:tcW w:w="202" w:type="pct"/>
                  <w:shd w:val="clear" w:color="auto" w:fill="FFFFFF"/>
                  <w:tcMar>
                    <w:top w:w="0" w:type="dxa"/>
                    <w:left w:w="0" w:type="dxa"/>
                    <w:bottom w:w="0" w:type="dxa"/>
                    <w:right w:w="0" w:type="dxa"/>
                  </w:tcMar>
                  <w:vAlign w:val="center"/>
                </w:tcPr>
                <w:p w14:paraId="0C2B424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38.7</w:t>
                  </w:r>
                </w:p>
              </w:tc>
              <w:tc>
                <w:tcPr>
                  <w:tcW w:w="279" w:type="pct"/>
                  <w:shd w:val="clear" w:color="auto" w:fill="FFFFFF"/>
                  <w:tcMar>
                    <w:top w:w="0" w:type="dxa"/>
                    <w:left w:w="0" w:type="dxa"/>
                    <w:bottom w:w="0" w:type="dxa"/>
                    <w:right w:w="0" w:type="dxa"/>
                  </w:tcMar>
                  <w:vAlign w:val="center"/>
                </w:tcPr>
                <w:p w14:paraId="7EE7C22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14:paraId="6382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1" w:type="pct"/>
                  <w:shd w:val="clear" w:color="auto" w:fill="FFFFFF"/>
                  <w:tcMar>
                    <w:top w:w="0" w:type="dxa"/>
                    <w:left w:w="0" w:type="dxa"/>
                    <w:bottom w:w="0" w:type="dxa"/>
                    <w:right w:w="0" w:type="dxa"/>
                  </w:tcMar>
                  <w:vAlign w:val="center"/>
                </w:tcPr>
                <w:p w14:paraId="471AF90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w:t>
                  </w:r>
                </w:p>
              </w:tc>
              <w:tc>
                <w:tcPr>
                  <w:tcW w:w="211" w:type="pct"/>
                  <w:shd w:val="clear" w:color="auto" w:fill="FFFFFF"/>
                  <w:tcMar>
                    <w:top w:w="0" w:type="dxa"/>
                    <w:left w:w="0" w:type="dxa"/>
                    <w:bottom w:w="0" w:type="dxa"/>
                    <w:right w:w="0" w:type="dxa"/>
                  </w:tcMar>
                  <w:vAlign w:val="center"/>
                </w:tcPr>
                <w:p w14:paraId="4CC9086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生物质制粒机</w:t>
                  </w:r>
                </w:p>
              </w:tc>
              <w:tc>
                <w:tcPr>
                  <w:tcW w:w="225" w:type="pct"/>
                  <w:shd w:val="clear" w:color="auto" w:fill="FFFFFF"/>
                  <w:tcMar>
                    <w:top w:w="0" w:type="dxa"/>
                    <w:left w:w="0" w:type="dxa"/>
                    <w:bottom w:w="0" w:type="dxa"/>
                    <w:right w:w="0" w:type="dxa"/>
                  </w:tcMar>
                  <w:vAlign w:val="center"/>
                </w:tcPr>
                <w:p w14:paraId="04F8660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242" w:type="pct"/>
                  <w:vMerge w:val="continue"/>
                  <w:shd w:val="clear" w:color="auto" w:fill="FFFFFF"/>
                  <w:tcMar>
                    <w:top w:w="0" w:type="dxa"/>
                    <w:left w:w="0" w:type="dxa"/>
                    <w:bottom w:w="0" w:type="dxa"/>
                    <w:right w:w="0" w:type="dxa"/>
                  </w:tcMar>
                  <w:vAlign w:val="center"/>
                </w:tcPr>
                <w:p w14:paraId="542A2E8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83" w:type="pct"/>
                  <w:shd w:val="clear" w:color="auto" w:fill="FFFFFF"/>
                  <w:tcMar>
                    <w:top w:w="0" w:type="dxa"/>
                    <w:left w:w="0" w:type="dxa"/>
                    <w:bottom w:w="0" w:type="dxa"/>
                    <w:right w:w="0" w:type="dxa"/>
                  </w:tcMar>
                  <w:vAlign w:val="center"/>
                </w:tcPr>
                <w:p w14:paraId="25AF63C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66.5</w:t>
                  </w:r>
                </w:p>
              </w:tc>
              <w:tc>
                <w:tcPr>
                  <w:tcW w:w="194" w:type="pct"/>
                  <w:shd w:val="clear" w:color="auto" w:fill="FFFFFF"/>
                  <w:tcMar>
                    <w:top w:w="0" w:type="dxa"/>
                    <w:left w:w="0" w:type="dxa"/>
                    <w:bottom w:w="0" w:type="dxa"/>
                    <w:right w:w="0" w:type="dxa"/>
                  </w:tcMar>
                  <w:vAlign w:val="center"/>
                </w:tcPr>
                <w:p w14:paraId="17133CC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-11.9</w:t>
                  </w:r>
                </w:p>
              </w:tc>
              <w:tc>
                <w:tcPr>
                  <w:tcW w:w="199" w:type="pct"/>
                  <w:shd w:val="clear" w:color="auto" w:fill="FFFFFF"/>
                  <w:tcMar>
                    <w:top w:w="0" w:type="dxa"/>
                    <w:left w:w="0" w:type="dxa"/>
                    <w:bottom w:w="0" w:type="dxa"/>
                    <w:right w:w="0" w:type="dxa"/>
                  </w:tcMar>
                  <w:vAlign w:val="center"/>
                </w:tcPr>
                <w:p w14:paraId="0A0C226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198" w:type="pct"/>
                  <w:shd w:val="clear" w:color="auto" w:fill="FFFFFF"/>
                  <w:tcMar>
                    <w:top w:w="0" w:type="dxa"/>
                    <w:left w:w="0" w:type="dxa"/>
                    <w:bottom w:w="0" w:type="dxa"/>
                    <w:right w:w="0" w:type="dxa"/>
                  </w:tcMar>
                  <w:vAlign w:val="center"/>
                </w:tcPr>
                <w:p w14:paraId="7378091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12.1</w:t>
                  </w:r>
                </w:p>
              </w:tc>
              <w:tc>
                <w:tcPr>
                  <w:tcW w:w="198" w:type="pct"/>
                  <w:shd w:val="clear" w:color="auto" w:fill="FFFFFF"/>
                  <w:tcMar>
                    <w:top w:w="0" w:type="dxa"/>
                    <w:left w:w="0" w:type="dxa"/>
                    <w:bottom w:w="0" w:type="dxa"/>
                    <w:right w:w="0" w:type="dxa"/>
                  </w:tcMar>
                  <w:vAlign w:val="center"/>
                </w:tcPr>
                <w:p w14:paraId="4D1D96F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2.9</w:t>
                  </w:r>
                </w:p>
              </w:tc>
              <w:tc>
                <w:tcPr>
                  <w:tcW w:w="198" w:type="pct"/>
                  <w:shd w:val="clear" w:color="auto" w:fill="FFFFFF"/>
                  <w:tcMar>
                    <w:top w:w="0" w:type="dxa"/>
                    <w:left w:w="0" w:type="dxa"/>
                    <w:bottom w:w="0" w:type="dxa"/>
                    <w:right w:w="0" w:type="dxa"/>
                  </w:tcMar>
                  <w:vAlign w:val="center"/>
                </w:tcPr>
                <w:p w14:paraId="112B3A7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15.9</w:t>
                  </w:r>
                </w:p>
              </w:tc>
              <w:tc>
                <w:tcPr>
                  <w:tcW w:w="199" w:type="pct"/>
                  <w:shd w:val="clear" w:color="auto" w:fill="FFFFFF"/>
                  <w:tcMar>
                    <w:top w:w="0" w:type="dxa"/>
                    <w:left w:w="0" w:type="dxa"/>
                    <w:bottom w:w="0" w:type="dxa"/>
                    <w:right w:w="0" w:type="dxa"/>
                  </w:tcMar>
                  <w:vAlign w:val="center"/>
                </w:tcPr>
                <w:p w14:paraId="74DD68C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56.3</w:t>
                  </w:r>
                </w:p>
              </w:tc>
              <w:tc>
                <w:tcPr>
                  <w:tcW w:w="195" w:type="pct"/>
                  <w:shd w:val="clear" w:color="auto" w:fill="FFFFFF"/>
                  <w:tcMar>
                    <w:top w:w="0" w:type="dxa"/>
                    <w:left w:w="0" w:type="dxa"/>
                    <w:bottom w:w="0" w:type="dxa"/>
                    <w:right w:w="0" w:type="dxa"/>
                  </w:tcMar>
                  <w:vAlign w:val="center"/>
                </w:tcPr>
                <w:p w14:paraId="7052C3D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59.8</w:t>
                  </w:r>
                </w:p>
              </w:tc>
              <w:tc>
                <w:tcPr>
                  <w:tcW w:w="195" w:type="pct"/>
                  <w:shd w:val="clear" w:color="auto" w:fill="FFFFFF"/>
                  <w:tcMar>
                    <w:top w:w="0" w:type="dxa"/>
                    <w:left w:w="0" w:type="dxa"/>
                    <w:bottom w:w="0" w:type="dxa"/>
                    <w:right w:w="0" w:type="dxa"/>
                  </w:tcMar>
                  <w:vAlign w:val="center"/>
                </w:tcPr>
                <w:p w14:paraId="05F4412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60.9</w:t>
                  </w:r>
                </w:p>
              </w:tc>
              <w:tc>
                <w:tcPr>
                  <w:tcW w:w="195" w:type="pct"/>
                  <w:shd w:val="clear" w:color="auto" w:fill="FFFFFF"/>
                  <w:tcMar>
                    <w:top w:w="0" w:type="dxa"/>
                    <w:left w:w="0" w:type="dxa"/>
                    <w:bottom w:w="0" w:type="dxa"/>
                    <w:right w:w="0" w:type="dxa"/>
                  </w:tcMar>
                  <w:vAlign w:val="center"/>
                </w:tcPr>
                <w:p w14:paraId="786771B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59.7</w:t>
                  </w:r>
                </w:p>
              </w:tc>
              <w:tc>
                <w:tcPr>
                  <w:tcW w:w="196" w:type="pct"/>
                  <w:shd w:val="clear" w:color="auto" w:fill="FFFFFF"/>
                  <w:tcMar>
                    <w:top w:w="0" w:type="dxa"/>
                    <w:left w:w="0" w:type="dxa"/>
                    <w:bottom w:w="0" w:type="dxa"/>
                    <w:right w:w="0" w:type="dxa"/>
                  </w:tcMar>
                  <w:vAlign w:val="center"/>
                </w:tcPr>
                <w:p w14:paraId="23A3053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59.7</w:t>
                  </w:r>
                </w:p>
              </w:tc>
              <w:tc>
                <w:tcPr>
                  <w:tcW w:w="169" w:type="pct"/>
                  <w:shd w:val="clear" w:color="auto" w:fill="FFFFFF"/>
                  <w:tcMar>
                    <w:top w:w="0" w:type="dxa"/>
                    <w:left w:w="0" w:type="dxa"/>
                    <w:bottom w:w="0" w:type="dxa"/>
                    <w:right w:w="0" w:type="dxa"/>
                  </w:tcMar>
                  <w:vAlign w:val="center"/>
                </w:tcPr>
                <w:p w14:paraId="76AC366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24</w:t>
                  </w:r>
                </w:p>
              </w:tc>
              <w:tc>
                <w:tcPr>
                  <w:tcW w:w="189" w:type="pct"/>
                  <w:shd w:val="clear" w:color="auto" w:fill="FFFFFF"/>
                  <w:tcMar>
                    <w:top w:w="0" w:type="dxa"/>
                    <w:left w:w="0" w:type="dxa"/>
                    <w:bottom w:w="0" w:type="dxa"/>
                    <w:right w:w="0" w:type="dxa"/>
                  </w:tcMar>
                  <w:vAlign w:val="center"/>
                </w:tcPr>
                <w:p w14:paraId="1879997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0EEB851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6A0D0AC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2F2CE8F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201" w:type="pct"/>
                  <w:shd w:val="clear" w:color="auto" w:fill="FFFFFF"/>
                  <w:tcMar>
                    <w:top w:w="0" w:type="dxa"/>
                    <w:left w:w="0" w:type="dxa"/>
                    <w:bottom w:w="0" w:type="dxa"/>
                    <w:right w:w="0" w:type="dxa"/>
                  </w:tcMar>
                  <w:vAlign w:val="center"/>
                </w:tcPr>
                <w:p w14:paraId="7383CBC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38.8</w:t>
                  </w:r>
                </w:p>
              </w:tc>
              <w:tc>
                <w:tcPr>
                  <w:tcW w:w="201" w:type="pct"/>
                  <w:shd w:val="clear" w:color="auto" w:fill="FFFFFF"/>
                  <w:tcMar>
                    <w:top w:w="0" w:type="dxa"/>
                    <w:left w:w="0" w:type="dxa"/>
                    <w:bottom w:w="0" w:type="dxa"/>
                    <w:right w:w="0" w:type="dxa"/>
                  </w:tcMar>
                  <w:vAlign w:val="center"/>
                </w:tcPr>
                <w:p w14:paraId="17033FF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39.9</w:t>
                  </w:r>
                </w:p>
              </w:tc>
              <w:tc>
                <w:tcPr>
                  <w:tcW w:w="201" w:type="pct"/>
                  <w:shd w:val="clear" w:color="auto" w:fill="FFFFFF"/>
                  <w:tcMar>
                    <w:top w:w="0" w:type="dxa"/>
                    <w:left w:w="0" w:type="dxa"/>
                    <w:bottom w:w="0" w:type="dxa"/>
                    <w:right w:w="0" w:type="dxa"/>
                  </w:tcMar>
                  <w:vAlign w:val="center"/>
                </w:tcPr>
                <w:p w14:paraId="7655DC9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38.7</w:t>
                  </w:r>
                </w:p>
              </w:tc>
              <w:tc>
                <w:tcPr>
                  <w:tcW w:w="202" w:type="pct"/>
                  <w:shd w:val="clear" w:color="auto" w:fill="FFFFFF"/>
                  <w:tcMar>
                    <w:top w:w="0" w:type="dxa"/>
                    <w:left w:w="0" w:type="dxa"/>
                    <w:bottom w:w="0" w:type="dxa"/>
                    <w:right w:w="0" w:type="dxa"/>
                  </w:tcMar>
                  <w:vAlign w:val="center"/>
                </w:tcPr>
                <w:p w14:paraId="1FDD872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38.7</w:t>
                  </w:r>
                </w:p>
              </w:tc>
              <w:tc>
                <w:tcPr>
                  <w:tcW w:w="279" w:type="pct"/>
                  <w:shd w:val="clear" w:color="auto" w:fill="FFFFFF"/>
                  <w:tcMar>
                    <w:top w:w="0" w:type="dxa"/>
                    <w:left w:w="0" w:type="dxa"/>
                    <w:bottom w:w="0" w:type="dxa"/>
                    <w:right w:w="0" w:type="dxa"/>
                  </w:tcMar>
                  <w:vAlign w:val="center"/>
                </w:tcPr>
                <w:p w14:paraId="32008F9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14:paraId="17A2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1" w:type="pct"/>
                  <w:shd w:val="clear" w:color="auto" w:fill="FFFFFF"/>
                  <w:tcMar>
                    <w:top w:w="0" w:type="dxa"/>
                    <w:left w:w="0" w:type="dxa"/>
                    <w:bottom w:w="0" w:type="dxa"/>
                    <w:right w:w="0" w:type="dxa"/>
                  </w:tcMar>
                  <w:vAlign w:val="center"/>
                </w:tcPr>
                <w:p w14:paraId="35CC573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w:t>
                  </w:r>
                </w:p>
              </w:tc>
              <w:tc>
                <w:tcPr>
                  <w:tcW w:w="211" w:type="pct"/>
                  <w:shd w:val="clear" w:color="auto" w:fill="FFFFFF"/>
                  <w:tcMar>
                    <w:top w:w="0" w:type="dxa"/>
                    <w:left w:w="0" w:type="dxa"/>
                    <w:bottom w:w="0" w:type="dxa"/>
                    <w:right w:w="0" w:type="dxa"/>
                  </w:tcMar>
                  <w:vAlign w:val="center"/>
                </w:tcPr>
                <w:p w14:paraId="5EC720A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破碎布袋除尘器</w:t>
                  </w:r>
                </w:p>
              </w:tc>
              <w:tc>
                <w:tcPr>
                  <w:tcW w:w="225" w:type="pct"/>
                  <w:shd w:val="clear" w:color="auto" w:fill="FFFFFF"/>
                  <w:tcMar>
                    <w:top w:w="0" w:type="dxa"/>
                    <w:left w:w="0" w:type="dxa"/>
                    <w:bottom w:w="0" w:type="dxa"/>
                    <w:right w:w="0" w:type="dxa"/>
                  </w:tcMar>
                  <w:vAlign w:val="center"/>
                </w:tcPr>
                <w:p w14:paraId="49E1550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242" w:type="pct"/>
                  <w:vMerge w:val="continue"/>
                  <w:shd w:val="clear" w:color="auto" w:fill="FFFFFF"/>
                  <w:tcMar>
                    <w:top w:w="0" w:type="dxa"/>
                    <w:left w:w="0" w:type="dxa"/>
                    <w:bottom w:w="0" w:type="dxa"/>
                    <w:right w:w="0" w:type="dxa"/>
                  </w:tcMar>
                  <w:vAlign w:val="center"/>
                </w:tcPr>
                <w:p w14:paraId="5782B20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83" w:type="pct"/>
                  <w:shd w:val="clear" w:color="auto" w:fill="FFFFFF"/>
                  <w:tcMar>
                    <w:top w:w="0" w:type="dxa"/>
                    <w:left w:w="0" w:type="dxa"/>
                    <w:bottom w:w="0" w:type="dxa"/>
                    <w:right w:w="0" w:type="dxa"/>
                  </w:tcMar>
                  <w:vAlign w:val="center"/>
                </w:tcPr>
                <w:p w14:paraId="6186055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9.8</w:t>
                  </w:r>
                </w:p>
              </w:tc>
              <w:tc>
                <w:tcPr>
                  <w:tcW w:w="194" w:type="pct"/>
                  <w:shd w:val="clear" w:color="auto" w:fill="FFFFFF"/>
                  <w:tcMar>
                    <w:top w:w="0" w:type="dxa"/>
                    <w:left w:w="0" w:type="dxa"/>
                    <w:bottom w:w="0" w:type="dxa"/>
                    <w:right w:w="0" w:type="dxa"/>
                  </w:tcMar>
                  <w:vAlign w:val="center"/>
                </w:tcPr>
                <w:p w14:paraId="11CA12F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-34.5</w:t>
                  </w:r>
                </w:p>
              </w:tc>
              <w:tc>
                <w:tcPr>
                  <w:tcW w:w="199" w:type="pct"/>
                  <w:shd w:val="clear" w:color="auto" w:fill="FFFFFF"/>
                  <w:tcMar>
                    <w:top w:w="0" w:type="dxa"/>
                    <w:left w:w="0" w:type="dxa"/>
                    <w:bottom w:w="0" w:type="dxa"/>
                    <w:right w:w="0" w:type="dxa"/>
                  </w:tcMar>
                  <w:vAlign w:val="center"/>
                </w:tcPr>
                <w:p w14:paraId="34CDAB4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198" w:type="pct"/>
                  <w:shd w:val="clear" w:color="auto" w:fill="FFFFFF"/>
                  <w:tcMar>
                    <w:top w:w="0" w:type="dxa"/>
                    <w:left w:w="0" w:type="dxa"/>
                    <w:bottom w:w="0" w:type="dxa"/>
                    <w:right w:w="0" w:type="dxa"/>
                  </w:tcMar>
                  <w:vAlign w:val="center"/>
                </w:tcPr>
                <w:p w14:paraId="16E43B6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w:t>
                  </w:r>
                </w:p>
              </w:tc>
              <w:tc>
                <w:tcPr>
                  <w:tcW w:w="198" w:type="pct"/>
                  <w:shd w:val="clear" w:color="auto" w:fill="FFFFFF"/>
                  <w:tcMar>
                    <w:top w:w="0" w:type="dxa"/>
                    <w:left w:w="0" w:type="dxa"/>
                    <w:bottom w:w="0" w:type="dxa"/>
                    <w:right w:w="0" w:type="dxa"/>
                  </w:tcMar>
                  <w:vAlign w:val="center"/>
                </w:tcPr>
                <w:p w14:paraId="2E8579A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7.2</w:t>
                  </w:r>
                </w:p>
              </w:tc>
              <w:tc>
                <w:tcPr>
                  <w:tcW w:w="198" w:type="pct"/>
                  <w:shd w:val="clear" w:color="auto" w:fill="FFFFFF"/>
                  <w:tcMar>
                    <w:top w:w="0" w:type="dxa"/>
                    <w:left w:w="0" w:type="dxa"/>
                    <w:bottom w:w="0" w:type="dxa"/>
                    <w:right w:w="0" w:type="dxa"/>
                  </w:tcMar>
                  <w:vAlign w:val="center"/>
                </w:tcPr>
                <w:p w14:paraId="4362650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41.2</w:t>
                  </w:r>
                </w:p>
              </w:tc>
              <w:tc>
                <w:tcPr>
                  <w:tcW w:w="199" w:type="pct"/>
                  <w:shd w:val="clear" w:color="auto" w:fill="FFFFFF"/>
                  <w:tcMar>
                    <w:top w:w="0" w:type="dxa"/>
                    <w:left w:w="0" w:type="dxa"/>
                    <w:bottom w:w="0" w:type="dxa"/>
                    <w:right w:w="0" w:type="dxa"/>
                  </w:tcMar>
                  <w:vAlign w:val="center"/>
                </w:tcPr>
                <w:p w14:paraId="5B13C31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w:t>
                  </w:r>
                </w:p>
              </w:tc>
              <w:tc>
                <w:tcPr>
                  <w:tcW w:w="195" w:type="pct"/>
                  <w:shd w:val="clear" w:color="auto" w:fill="FFFFFF"/>
                  <w:tcMar>
                    <w:top w:w="0" w:type="dxa"/>
                    <w:left w:w="0" w:type="dxa"/>
                    <w:bottom w:w="0" w:type="dxa"/>
                    <w:right w:w="0" w:type="dxa"/>
                  </w:tcMar>
                  <w:vAlign w:val="center"/>
                </w:tcPr>
                <w:p w14:paraId="74C569C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65.7</w:t>
                  </w:r>
                </w:p>
              </w:tc>
              <w:tc>
                <w:tcPr>
                  <w:tcW w:w="195" w:type="pct"/>
                  <w:shd w:val="clear" w:color="auto" w:fill="FFFFFF"/>
                  <w:tcMar>
                    <w:top w:w="0" w:type="dxa"/>
                    <w:left w:w="0" w:type="dxa"/>
                    <w:bottom w:w="0" w:type="dxa"/>
                    <w:right w:w="0" w:type="dxa"/>
                  </w:tcMar>
                  <w:vAlign w:val="center"/>
                </w:tcPr>
                <w:p w14:paraId="4AB3B51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65.0</w:t>
                  </w:r>
                </w:p>
              </w:tc>
              <w:tc>
                <w:tcPr>
                  <w:tcW w:w="195" w:type="pct"/>
                  <w:shd w:val="clear" w:color="auto" w:fill="FFFFFF"/>
                  <w:tcMar>
                    <w:top w:w="0" w:type="dxa"/>
                    <w:left w:w="0" w:type="dxa"/>
                    <w:bottom w:w="0" w:type="dxa"/>
                    <w:right w:w="0" w:type="dxa"/>
                  </w:tcMar>
                  <w:vAlign w:val="center"/>
                </w:tcPr>
                <w:p w14:paraId="5237B56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64.9</w:t>
                  </w:r>
                </w:p>
              </w:tc>
              <w:tc>
                <w:tcPr>
                  <w:tcW w:w="196" w:type="pct"/>
                  <w:shd w:val="clear" w:color="auto" w:fill="FFFFFF"/>
                  <w:tcMar>
                    <w:top w:w="0" w:type="dxa"/>
                    <w:left w:w="0" w:type="dxa"/>
                    <w:bottom w:w="0" w:type="dxa"/>
                    <w:right w:w="0" w:type="dxa"/>
                  </w:tcMar>
                  <w:vAlign w:val="center"/>
                </w:tcPr>
                <w:p w14:paraId="025AED9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65.4</w:t>
                  </w:r>
                </w:p>
              </w:tc>
              <w:tc>
                <w:tcPr>
                  <w:tcW w:w="169" w:type="pct"/>
                  <w:shd w:val="clear" w:color="auto" w:fill="FFFFFF"/>
                  <w:tcMar>
                    <w:top w:w="0" w:type="dxa"/>
                    <w:left w:w="0" w:type="dxa"/>
                    <w:bottom w:w="0" w:type="dxa"/>
                    <w:right w:w="0" w:type="dxa"/>
                  </w:tcMar>
                  <w:vAlign w:val="center"/>
                </w:tcPr>
                <w:p w14:paraId="5D70337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24</w:t>
                  </w:r>
                </w:p>
              </w:tc>
              <w:tc>
                <w:tcPr>
                  <w:tcW w:w="189" w:type="pct"/>
                  <w:shd w:val="clear" w:color="auto" w:fill="FFFFFF"/>
                  <w:tcMar>
                    <w:top w:w="0" w:type="dxa"/>
                    <w:left w:w="0" w:type="dxa"/>
                    <w:bottom w:w="0" w:type="dxa"/>
                    <w:right w:w="0" w:type="dxa"/>
                  </w:tcMar>
                  <w:vAlign w:val="center"/>
                </w:tcPr>
                <w:p w14:paraId="55B48A6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560EABF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1D01FB1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2E2B8BF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201" w:type="pct"/>
                  <w:shd w:val="clear" w:color="auto" w:fill="FFFFFF"/>
                  <w:tcMar>
                    <w:top w:w="0" w:type="dxa"/>
                    <w:left w:w="0" w:type="dxa"/>
                    <w:bottom w:w="0" w:type="dxa"/>
                    <w:right w:w="0" w:type="dxa"/>
                  </w:tcMar>
                  <w:vAlign w:val="center"/>
                </w:tcPr>
                <w:p w14:paraId="3845581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44.7</w:t>
                  </w:r>
                </w:p>
              </w:tc>
              <w:tc>
                <w:tcPr>
                  <w:tcW w:w="201" w:type="pct"/>
                  <w:shd w:val="clear" w:color="auto" w:fill="FFFFFF"/>
                  <w:tcMar>
                    <w:top w:w="0" w:type="dxa"/>
                    <w:left w:w="0" w:type="dxa"/>
                    <w:bottom w:w="0" w:type="dxa"/>
                    <w:right w:w="0" w:type="dxa"/>
                  </w:tcMar>
                  <w:vAlign w:val="center"/>
                </w:tcPr>
                <w:p w14:paraId="37B549B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44.0</w:t>
                  </w:r>
                </w:p>
              </w:tc>
              <w:tc>
                <w:tcPr>
                  <w:tcW w:w="201" w:type="pct"/>
                  <w:shd w:val="clear" w:color="auto" w:fill="FFFFFF"/>
                  <w:tcMar>
                    <w:top w:w="0" w:type="dxa"/>
                    <w:left w:w="0" w:type="dxa"/>
                    <w:bottom w:w="0" w:type="dxa"/>
                    <w:right w:w="0" w:type="dxa"/>
                  </w:tcMar>
                  <w:vAlign w:val="center"/>
                </w:tcPr>
                <w:p w14:paraId="1838CA5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43.9</w:t>
                  </w:r>
                </w:p>
              </w:tc>
              <w:tc>
                <w:tcPr>
                  <w:tcW w:w="202" w:type="pct"/>
                  <w:shd w:val="clear" w:color="auto" w:fill="FFFFFF"/>
                  <w:tcMar>
                    <w:top w:w="0" w:type="dxa"/>
                    <w:left w:w="0" w:type="dxa"/>
                    <w:bottom w:w="0" w:type="dxa"/>
                    <w:right w:w="0" w:type="dxa"/>
                  </w:tcMar>
                  <w:vAlign w:val="center"/>
                </w:tcPr>
                <w:p w14:paraId="09E9765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44.4</w:t>
                  </w:r>
                </w:p>
              </w:tc>
              <w:tc>
                <w:tcPr>
                  <w:tcW w:w="279" w:type="pct"/>
                  <w:shd w:val="clear" w:color="auto" w:fill="FFFFFF"/>
                  <w:tcMar>
                    <w:top w:w="0" w:type="dxa"/>
                    <w:left w:w="0" w:type="dxa"/>
                    <w:bottom w:w="0" w:type="dxa"/>
                    <w:right w:w="0" w:type="dxa"/>
                  </w:tcMar>
                  <w:vAlign w:val="center"/>
                </w:tcPr>
                <w:p w14:paraId="487688A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14:paraId="5BF8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1" w:type="pct"/>
                  <w:shd w:val="clear" w:color="auto" w:fill="FFFFFF"/>
                  <w:tcMar>
                    <w:top w:w="0" w:type="dxa"/>
                    <w:left w:w="0" w:type="dxa"/>
                    <w:bottom w:w="0" w:type="dxa"/>
                    <w:right w:w="0" w:type="dxa"/>
                  </w:tcMar>
                  <w:vAlign w:val="center"/>
                </w:tcPr>
                <w:p w14:paraId="3235DF4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w:t>
                  </w:r>
                </w:p>
              </w:tc>
              <w:tc>
                <w:tcPr>
                  <w:tcW w:w="211" w:type="pct"/>
                  <w:shd w:val="clear" w:color="auto" w:fill="FFFFFF"/>
                  <w:tcMar>
                    <w:top w:w="0" w:type="dxa"/>
                    <w:left w:w="0" w:type="dxa"/>
                    <w:bottom w:w="0" w:type="dxa"/>
                    <w:right w:w="0" w:type="dxa"/>
                  </w:tcMar>
                  <w:vAlign w:val="center"/>
                </w:tcPr>
                <w:p w14:paraId="120171F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粉碎布袋除尘器</w:t>
                  </w:r>
                </w:p>
              </w:tc>
              <w:tc>
                <w:tcPr>
                  <w:tcW w:w="225" w:type="pct"/>
                  <w:shd w:val="clear" w:color="auto" w:fill="FFFFFF"/>
                  <w:tcMar>
                    <w:top w:w="0" w:type="dxa"/>
                    <w:left w:w="0" w:type="dxa"/>
                    <w:bottom w:w="0" w:type="dxa"/>
                    <w:right w:w="0" w:type="dxa"/>
                  </w:tcMar>
                  <w:vAlign w:val="center"/>
                </w:tcPr>
                <w:p w14:paraId="2AF4871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242" w:type="pct"/>
                  <w:vMerge w:val="continue"/>
                  <w:shd w:val="clear" w:color="auto" w:fill="FFFFFF"/>
                  <w:tcMar>
                    <w:top w:w="0" w:type="dxa"/>
                    <w:left w:w="0" w:type="dxa"/>
                    <w:bottom w:w="0" w:type="dxa"/>
                    <w:right w:w="0" w:type="dxa"/>
                  </w:tcMar>
                  <w:vAlign w:val="center"/>
                </w:tcPr>
                <w:p w14:paraId="6907CCB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83" w:type="pct"/>
                  <w:shd w:val="clear" w:color="auto" w:fill="FFFFFF"/>
                  <w:tcMar>
                    <w:top w:w="0" w:type="dxa"/>
                    <w:left w:w="0" w:type="dxa"/>
                    <w:bottom w:w="0" w:type="dxa"/>
                    <w:right w:w="0" w:type="dxa"/>
                  </w:tcMar>
                  <w:vAlign w:val="center"/>
                </w:tcPr>
                <w:p w14:paraId="18F7071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54.1</w:t>
                  </w:r>
                </w:p>
              </w:tc>
              <w:tc>
                <w:tcPr>
                  <w:tcW w:w="194" w:type="pct"/>
                  <w:shd w:val="clear" w:color="auto" w:fill="FFFFFF"/>
                  <w:tcMar>
                    <w:top w:w="0" w:type="dxa"/>
                    <w:left w:w="0" w:type="dxa"/>
                    <w:bottom w:w="0" w:type="dxa"/>
                    <w:right w:w="0" w:type="dxa"/>
                  </w:tcMar>
                  <w:vAlign w:val="center"/>
                </w:tcPr>
                <w:p w14:paraId="2A82149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31.2</w:t>
                  </w:r>
                </w:p>
              </w:tc>
              <w:tc>
                <w:tcPr>
                  <w:tcW w:w="199" w:type="pct"/>
                  <w:shd w:val="clear" w:color="auto" w:fill="FFFFFF"/>
                  <w:tcMar>
                    <w:top w:w="0" w:type="dxa"/>
                    <w:left w:w="0" w:type="dxa"/>
                    <w:bottom w:w="0" w:type="dxa"/>
                    <w:right w:w="0" w:type="dxa"/>
                  </w:tcMar>
                  <w:vAlign w:val="center"/>
                </w:tcPr>
                <w:p w14:paraId="359158F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198" w:type="pct"/>
                  <w:shd w:val="clear" w:color="auto" w:fill="FFFFFF"/>
                  <w:tcMar>
                    <w:top w:w="0" w:type="dxa"/>
                    <w:left w:w="0" w:type="dxa"/>
                    <w:bottom w:w="0" w:type="dxa"/>
                    <w:right w:w="0" w:type="dxa"/>
                  </w:tcMar>
                  <w:vAlign w:val="center"/>
                </w:tcPr>
                <w:p w14:paraId="20193FC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31.6</w:t>
                  </w:r>
                </w:p>
              </w:tc>
              <w:tc>
                <w:tcPr>
                  <w:tcW w:w="198" w:type="pct"/>
                  <w:shd w:val="clear" w:color="auto" w:fill="FFFFFF"/>
                  <w:tcMar>
                    <w:top w:w="0" w:type="dxa"/>
                    <w:left w:w="0" w:type="dxa"/>
                    <w:bottom w:w="0" w:type="dxa"/>
                    <w:right w:w="0" w:type="dxa"/>
                  </w:tcMar>
                  <w:vAlign w:val="center"/>
                </w:tcPr>
                <w:p w14:paraId="5AFF80B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15.7</w:t>
                  </w:r>
                </w:p>
              </w:tc>
              <w:tc>
                <w:tcPr>
                  <w:tcW w:w="198" w:type="pct"/>
                  <w:shd w:val="clear" w:color="auto" w:fill="FFFFFF"/>
                  <w:tcMar>
                    <w:top w:w="0" w:type="dxa"/>
                    <w:left w:w="0" w:type="dxa"/>
                    <w:bottom w:w="0" w:type="dxa"/>
                    <w:right w:w="0" w:type="dxa"/>
                  </w:tcMar>
                  <w:vAlign w:val="center"/>
                </w:tcPr>
                <w:p w14:paraId="5D98545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3.5</w:t>
                  </w:r>
                </w:p>
              </w:tc>
              <w:tc>
                <w:tcPr>
                  <w:tcW w:w="199" w:type="pct"/>
                  <w:shd w:val="clear" w:color="auto" w:fill="FFFFFF"/>
                  <w:tcMar>
                    <w:top w:w="0" w:type="dxa"/>
                    <w:left w:w="0" w:type="dxa"/>
                    <w:bottom w:w="0" w:type="dxa"/>
                    <w:right w:w="0" w:type="dxa"/>
                  </w:tcMar>
                  <w:vAlign w:val="center"/>
                </w:tcPr>
                <w:p w14:paraId="6CDE09A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13.2</w:t>
                  </w:r>
                </w:p>
              </w:tc>
              <w:tc>
                <w:tcPr>
                  <w:tcW w:w="195" w:type="pct"/>
                  <w:shd w:val="clear" w:color="auto" w:fill="FFFFFF"/>
                  <w:tcMar>
                    <w:top w:w="0" w:type="dxa"/>
                    <w:left w:w="0" w:type="dxa"/>
                    <w:bottom w:w="0" w:type="dxa"/>
                    <w:right w:w="0" w:type="dxa"/>
                  </w:tcMar>
                  <w:vAlign w:val="center"/>
                </w:tcPr>
                <w:p w14:paraId="194F897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59.7</w:t>
                  </w:r>
                </w:p>
              </w:tc>
              <w:tc>
                <w:tcPr>
                  <w:tcW w:w="195" w:type="pct"/>
                  <w:shd w:val="clear" w:color="auto" w:fill="FFFFFF"/>
                  <w:tcMar>
                    <w:top w:w="0" w:type="dxa"/>
                    <w:left w:w="0" w:type="dxa"/>
                    <w:bottom w:w="0" w:type="dxa"/>
                    <w:right w:w="0" w:type="dxa"/>
                  </w:tcMar>
                  <w:vAlign w:val="center"/>
                </w:tcPr>
                <w:p w14:paraId="2026F50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59.7</w:t>
                  </w:r>
                </w:p>
              </w:tc>
              <w:tc>
                <w:tcPr>
                  <w:tcW w:w="195" w:type="pct"/>
                  <w:shd w:val="clear" w:color="auto" w:fill="FFFFFF"/>
                  <w:tcMar>
                    <w:top w:w="0" w:type="dxa"/>
                    <w:left w:w="0" w:type="dxa"/>
                    <w:bottom w:w="0" w:type="dxa"/>
                    <w:right w:w="0" w:type="dxa"/>
                  </w:tcMar>
                  <w:vAlign w:val="center"/>
                </w:tcPr>
                <w:p w14:paraId="00B9B81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60.5</w:t>
                  </w:r>
                </w:p>
              </w:tc>
              <w:tc>
                <w:tcPr>
                  <w:tcW w:w="196" w:type="pct"/>
                  <w:shd w:val="clear" w:color="auto" w:fill="FFFFFF"/>
                  <w:tcMar>
                    <w:top w:w="0" w:type="dxa"/>
                    <w:left w:w="0" w:type="dxa"/>
                    <w:bottom w:w="0" w:type="dxa"/>
                    <w:right w:w="0" w:type="dxa"/>
                  </w:tcMar>
                  <w:vAlign w:val="center"/>
                </w:tcPr>
                <w:p w14:paraId="4A24595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59.7</w:t>
                  </w:r>
                </w:p>
              </w:tc>
              <w:tc>
                <w:tcPr>
                  <w:tcW w:w="169" w:type="pct"/>
                  <w:shd w:val="clear" w:color="auto" w:fill="FFFFFF"/>
                  <w:tcMar>
                    <w:top w:w="0" w:type="dxa"/>
                    <w:left w:w="0" w:type="dxa"/>
                    <w:bottom w:w="0" w:type="dxa"/>
                    <w:right w:w="0" w:type="dxa"/>
                  </w:tcMar>
                  <w:vAlign w:val="center"/>
                </w:tcPr>
                <w:p w14:paraId="7754FDA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24</w:t>
                  </w:r>
                </w:p>
              </w:tc>
              <w:tc>
                <w:tcPr>
                  <w:tcW w:w="189" w:type="pct"/>
                  <w:shd w:val="clear" w:color="auto" w:fill="FFFFFF"/>
                  <w:tcMar>
                    <w:top w:w="0" w:type="dxa"/>
                    <w:left w:w="0" w:type="dxa"/>
                    <w:bottom w:w="0" w:type="dxa"/>
                    <w:right w:w="0" w:type="dxa"/>
                  </w:tcMar>
                  <w:vAlign w:val="center"/>
                </w:tcPr>
                <w:p w14:paraId="43F7F59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20F614B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0FC09E7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2F04A29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201" w:type="pct"/>
                  <w:shd w:val="clear" w:color="auto" w:fill="FFFFFF"/>
                  <w:tcMar>
                    <w:top w:w="0" w:type="dxa"/>
                    <w:left w:w="0" w:type="dxa"/>
                    <w:bottom w:w="0" w:type="dxa"/>
                    <w:right w:w="0" w:type="dxa"/>
                  </w:tcMar>
                  <w:vAlign w:val="center"/>
                </w:tcPr>
                <w:p w14:paraId="3911F3F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38.7</w:t>
                  </w:r>
                </w:p>
              </w:tc>
              <w:tc>
                <w:tcPr>
                  <w:tcW w:w="201" w:type="pct"/>
                  <w:shd w:val="clear" w:color="auto" w:fill="FFFFFF"/>
                  <w:tcMar>
                    <w:top w:w="0" w:type="dxa"/>
                    <w:left w:w="0" w:type="dxa"/>
                    <w:bottom w:w="0" w:type="dxa"/>
                    <w:right w:w="0" w:type="dxa"/>
                  </w:tcMar>
                  <w:vAlign w:val="center"/>
                </w:tcPr>
                <w:p w14:paraId="5FF84FB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38.7</w:t>
                  </w:r>
                </w:p>
              </w:tc>
              <w:tc>
                <w:tcPr>
                  <w:tcW w:w="201" w:type="pct"/>
                  <w:shd w:val="clear" w:color="auto" w:fill="FFFFFF"/>
                  <w:tcMar>
                    <w:top w:w="0" w:type="dxa"/>
                    <w:left w:w="0" w:type="dxa"/>
                    <w:bottom w:w="0" w:type="dxa"/>
                    <w:right w:w="0" w:type="dxa"/>
                  </w:tcMar>
                  <w:vAlign w:val="center"/>
                </w:tcPr>
                <w:p w14:paraId="0C64113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39.5</w:t>
                  </w:r>
                </w:p>
              </w:tc>
              <w:tc>
                <w:tcPr>
                  <w:tcW w:w="202" w:type="pct"/>
                  <w:shd w:val="clear" w:color="auto" w:fill="FFFFFF"/>
                  <w:tcMar>
                    <w:top w:w="0" w:type="dxa"/>
                    <w:left w:w="0" w:type="dxa"/>
                    <w:bottom w:w="0" w:type="dxa"/>
                    <w:right w:w="0" w:type="dxa"/>
                  </w:tcMar>
                  <w:vAlign w:val="center"/>
                </w:tcPr>
                <w:p w14:paraId="23C83FD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38.7</w:t>
                  </w:r>
                </w:p>
              </w:tc>
              <w:tc>
                <w:tcPr>
                  <w:tcW w:w="279" w:type="pct"/>
                  <w:shd w:val="clear" w:color="auto" w:fill="FFFFFF"/>
                  <w:tcMar>
                    <w:top w:w="0" w:type="dxa"/>
                    <w:left w:w="0" w:type="dxa"/>
                    <w:bottom w:w="0" w:type="dxa"/>
                    <w:right w:w="0" w:type="dxa"/>
                  </w:tcMar>
                  <w:vAlign w:val="center"/>
                </w:tcPr>
                <w:p w14:paraId="6C04037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14:paraId="6A96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1" w:type="pct"/>
                  <w:shd w:val="clear" w:color="auto" w:fill="FFFFFF"/>
                  <w:tcMar>
                    <w:top w:w="0" w:type="dxa"/>
                    <w:left w:w="0" w:type="dxa"/>
                    <w:bottom w:w="0" w:type="dxa"/>
                    <w:right w:w="0" w:type="dxa"/>
                  </w:tcMar>
                  <w:vAlign w:val="center"/>
                </w:tcPr>
                <w:p w14:paraId="630F4EF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w:t>
                  </w:r>
                </w:p>
              </w:tc>
              <w:tc>
                <w:tcPr>
                  <w:tcW w:w="211" w:type="pct"/>
                  <w:shd w:val="clear" w:color="auto" w:fill="FFFFFF"/>
                  <w:tcMar>
                    <w:top w:w="0" w:type="dxa"/>
                    <w:left w:w="0" w:type="dxa"/>
                    <w:bottom w:w="0" w:type="dxa"/>
                    <w:right w:w="0" w:type="dxa"/>
                  </w:tcMar>
                  <w:vAlign w:val="center"/>
                </w:tcPr>
                <w:p w14:paraId="7B103B0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有机废气处理设施</w:t>
                  </w:r>
                </w:p>
              </w:tc>
              <w:tc>
                <w:tcPr>
                  <w:tcW w:w="225" w:type="pct"/>
                  <w:shd w:val="clear" w:color="auto" w:fill="FFFFFF"/>
                  <w:tcMar>
                    <w:top w:w="0" w:type="dxa"/>
                    <w:left w:w="0" w:type="dxa"/>
                    <w:bottom w:w="0" w:type="dxa"/>
                    <w:right w:w="0" w:type="dxa"/>
                  </w:tcMar>
                  <w:vAlign w:val="center"/>
                </w:tcPr>
                <w:p w14:paraId="65D4F1C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242" w:type="pct"/>
                  <w:vMerge w:val="continue"/>
                  <w:shd w:val="clear" w:color="auto" w:fill="FFFFFF"/>
                  <w:tcMar>
                    <w:top w:w="0" w:type="dxa"/>
                    <w:left w:w="0" w:type="dxa"/>
                    <w:bottom w:w="0" w:type="dxa"/>
                    <w:right w:w="0" w:type="dxa"/>
                  </w:tcMar>
                  <w:vAlign w:val="center"/>
                </w:tcPr>
                <w:p w14:paraId="390842E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83" w:type="pct"/>
                  <w:shd w:val="clear" w:color="auto" w:fill="FFFFFF"/>
                  <w:tcMar>
                    <w:top w:w="0" w:type="dxa"/>
                    <w:left w:w="0" w:type="dxa"/>
                    <w:bottom w:w="0" w:type="dxa"/>
                    <w:right w:w="0" w:type="dxa"/>
                  </w:tcMar>
                  <w:vAlign w:val="center"/>
                </w:tcPr>
                <w:p w14:paraId="675F6B8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53.1</w:t>
                  </w:r>
                </w:p>
              </w:tc>
              <w:tc>
                <w:tcPr>
                  <w:tcW w:w="194" w:type="pct"/>
                  <w:shd w:val="clear" w:color="auto" w:fill="FFFFFF"/>
                  <w:tcMar>
                    <w:top w:w="0" w:type="dxa"/>
                    <w:left w:w="0" w:type="dxa"/>
                    <w:bottom w:w="0" w:type="dxa"/>
                    <w:right w:w="0" w:type="dxa"/>
                  </w:tcMar>
                  <w:vAlign w:val="center"/>
                </w:tcPr>
                <w:p w14:paraId="6FE87E6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-57.4</w:t>
                  </w:r>
                </w:p>
              </w:tc>
              <w:tc>
                <w:tcPr>
                  <w:tcW w:w="199" w:type="pct"/>
                  <w:shd w:val="clear" w:color="auto" w:fill="FFFFFF"/>
                  <w:tcMar>
                    <w:top w:w="0" w:type="dxa"/>
                    <w:left w:w="0" w:type="dxa"/>
                    <w:bottom w:w="0" w:type="dxa"/>
                    <w:right w:w="0" w:type="dxa"/>
                  </w:tcMar>
                  <w:vAlign w:val="center"/>
                </w:tcPr>
                <w:p w14:paraId="329D5D7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198" w:type="pct"/>
                  <w:shd w:val="clear" w:color="auto" w:fill="FFFFFF"/>
                  <w:tcMar>
                    <w:top w:w="0" w:type="dxa"/>
                    <w:left w:w="0" w:type="dxa"/>
                    <w:bottom w:w="0" w:type="dxa"/>
                    <w:right w:w="0" w:type="dxa"/>
                  </w:tcMar>
                  <w:vAlign w:val="center"/>
                </w:tcPr>
                <w:p w14:paraId="0DB4640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56.9</w:t>
                  </w:r>
                </w:p>
              </w:tc>
              <w:tc>
                <w:tcPr>
                  <w:tcW w:w="198" w:type="pct"/>
                  <w:shd w:val="clear" w:color="auto" w:fill="FFFFFF"/>
                  <w:tcMar>
                    <w:top w:w="0" w:type="dxa"/>
                    <w:left w:w="0" w:type="dxa"/>
                    <w:bottom w:w="0" w:type="dxa"/>
                    <w:right w:w="0" w:type="dxa"/>
                  </w:tcMar>
                  <w:vAlign w:val="center"/>
                </w:tcPr>
                <w:p w14:paraId="64DC146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15.9</w:t>
                  </w:r>
                </w:p>
              </w:tc>
              <w:tc>
                <w:tcPr>
                  <w:tcW w:w="198" w:type="pct"/>
                  <w:shd w:val="clear" w:color="auto" w:fill="FFFFFF"/>
                  <w:tcMar>
                    <w:top w:w="0" w:type="dxa"/>
                    <w:left w:w="0" w:type="dxa"/>
                    <w:bottom w:w="0" w:type="dxa"/>
                    <w:right w:w="0" w:type="dxa"/>
                  </w:tcMar>
                  <w:vAlign w:val="center"/>
                </w:tcPr>
                <w:p w14:paraId="33418EB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2.5</w:t>
                  </w:r>
                </w:p>
              </w:tc>
              <w:tc>
                <w:tcPr>
                  <w:tcW w:w="199" w:type="pct"/>
                  <w:shd w:val="clear" w:color="auto" w:fill="FFFFFF"/>
                  <w:tcMar>
                    <w:top w:w="0" w:type="dxa"/>
                    <w:left w:w="0" w:type="dxa"/>
                    <w:bottom w:w="0" w:type="dxa"/>
                    <w:right w:w="0" w:type="dxa"/>
                  </w:tcMar>
                  <w:vAlign w:val="center"/>
                </w:tcPr>
                <w:p w14:paraId="072EB15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101.8</w:t>
                  </w:r>
                </w:p>
              </w:tc>
              <w:tc>
                <w:tcPr>
                  <w:tcW w:w="195" w:type="pct"/>
                  <w:shd w:val="clear" w:color="auto" w:fill="FFFFFF"/>
                  <w:tcMar>
                    <w:top w:w="0" w:type="dxa"/>
                    <w:left w:w="0" w:type="dxa"/>
                    <w:bottom w:w="0" w:type="dxa"/>
                    <w:right w:w="0" w:type="dxa"/>
                  </w:tcMar>
                  <w:vAlign w:val="center"/>
                </w:tcPr>
                <w:p w14:paraId="464E179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59.7</w:t>
                  </w:r>
                </w:p>
              </w:tc>
              <w:tc>
                <w:tcPr>
                  <w:tcW w:w="195" w:type="pct"/>
                  <w:shd w:val="clear" w:color="auto" w:fill="FFFFFF"/>
                  <w:tcMar>
                    <w:top w:w="0" w:type="dxa"/>
                    <w:left w:w="0" w:type="dxa"/>
                    <w:bottom w:w="0" w:type="dxa"/>
                    <w:right w:w="0" w:type="dxa"/>
                  </w:tcMar>
                  <w:vAlign w:val="center"/>
                </w:tcPr>
                <w:p w14:paraId="1EB63E6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59.7</w:t>
                  </w:r>
                </w:p>
              </w:tc>
              <w:tc>
                <w:tcPr>
                  <w:tcW w:w="195" w:type="pct"/>
                  <w:shd w:val="clear" w:color="auto" w:fill="FFFFFF"/>
                  <w:tcMar>
                    <w:top w:w="0" w:type="dxa"/>
                    <w:left w:w="0" w:type="dxa"/>
                    <w:bottom w:w="0" w:type="dxa"/>
                    <w:right w:w="0" w:type="dxa"/>
                  </w:tcMar>
                  <w:vAlign w:val="center"/>
                </w:tcPr>
                <w:p w14:paraId="317317B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61.2</w:t>
                  </w:r>
                </w:p>
              </w:tc>
              <w:tc>
                <w:tcPr>
                  <w:tcW w:w="196" w:type="pct"/>
                  <w:shd w:val="clear" w:color="auto" w:fill="FFFFFF"/>
                  <w:tcMar>
                    <w:top w:w="0" w:type="dxa"/>
                    <w:left w:w="0" w:type="dxa"/>
                    <w:bottom w:w="0" w:type="dxa"/>
                    <w:right w:w="0" w:type="dxa"/>
                  </w:tcMar>
                  <w:vAlign w:val="center"/>
                </w:tcPr>
                <w:p w14:paraId="0EFD8B0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59.7</w:t>
                  </w:r>
                </w:p>
              </w:tc>
              <w:tc>
                <w:tcPr>
                  <w:tcW w:w="169" w:type="pct"/>
                  <w:shd w:val="clear" w:color="auto" w:fill="FFFFFF"/>
                  <w:tcMar>
                    <w:top w:w="0" w:type="dxa"/>
                    <w:left w:w="0" w:type="dxa"/>
                    <w:bottom w:w="0" w:type="dxa"/>
                    <w:right w:w="0" w:type="dxa"/>
                  </w:tcMar>
                  <w:vAlign w:val="center"/>
                </w:tcPr>
                <w:p w14:paraId="0C584A0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24</w:t>
                  </w:r>
                </w:p>
              </w:tc>
              <w:tc>
                <w:tcPr>
                  <w:tcW w:w="189" w:type="pct"/>
                  <w:shd w:val="clear" w:color="auto" w:fill="FFFFFF"/>
                  <w:tcMar>
                    <w:top w:w="0" w:type="dxa"/>
                    <w:left w:w="0" w:type="dxa"/>
                    <w:bottom w:w="0" w:type="dxa"/>
                    <w:right w:w="0" w:type="dxa"/>
                  </w:tcMar>
                  <w:vAlign w:val="center"/>
                </w:tcPr>
                <w:p w14:paraId="4836B13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6D843C0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33753E0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05C1545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201" w:type="pct"/>
                  <w:shd w:val="clear" w:color="auto" w:fill="FFFFFF"/>
                  <w:tcMar>
                    <w:top w:w="0" w:type="dxa"/>
                    <w:left w:w="0" w:type="dxa"/>
                    <w:bottom w:w="0" w:type="dxa"/>
                    <w:right w:w="0" w:type="dxa"/>
                  </w:tcMar>
                  <w:vAlign w:val="center"/>
                </w:tcPr>
                <w:p w14:paraId="2579480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38.7</w:t>
                  </w:r>
                </w:p>
              </w:tc>
              <w:tc>
                <w:tcPr>
                  <w:tcW w:w="201" w:type="pct"/>
                  <w:shd w:val="clear" w:color="auto" w:fill="FFFFFF"/>
                  <w:tcMar>
                    <w:top w:w="0" w:type="dxa"/>
                    <w:left w:w="0" w:type="dxa"/>
                    <w:bottom w:w="0" w:type="dxa"/>
                    <w:right w:w="0" w:type="dxa"/>
                  </w:tcMar>
                  <w:vAlign w:val="center"/>
                </w:tcPr>
                <w:p w14:paraId="2E7BF9F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38.7</w:t>
                  </w:r>
                </w:p>
              </w:tc>
              <w:tc>
                <w:tcPr>
                  <w:tcW w:w="201" w:type="pct"/>
                  <w:shd w:val="clear" w:color="auto" w:fill="FFFFFF"/>
                  <w:tcMar>
                    <w:top w:w="0" w:type="dxa"/>
                    <w:left w:w="0" w:type="dxa"/>
                    <w:bottom w:w="0" w:type="dxa"/>
                    <w:right w:w="0" w:type="dxa"/>
                  </w:tcMar>
                  <w:vAlign w:val="center"/>
                </w:tcPr>
                <w:p w14:paraId="67EA303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40.2</w:t>
                  </w:r>
                </w:p>
              </w:tc>
              <w:tc>
                <w:tcPr>
                  <w:tcW w:w="202" w:type="pct"/>
                  <w:shd w:val="clear" w:color="auto" w:fill="FFFFFF"/>
                  <w:tcMar>
                    <w:top w:w="0" w:type="dxa"/>
                    <w:left w:w="0" w:type="dxa"/>
                    <w:bottom w:w="0" w:type="dxa"/>
                    <w:right w:w="0" w:type="dxa"/>
                  </w:tcMar>
                  <w:vAlign w:val="center"/>
                </w:tcPr>
                <w:p w14:paraId="737F44F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38.7</w:t>
                  </w:r>
                </w:p>
              </w:tc>
              <w:tc>
                <w:tcPr>
                  <w:tcW w:w="279" w:type="pct"/>
                  <w:shd w:val="clear" w:color="auto" w:fill="FFFFFF"/>
                  <w:tcMar>
                    <w:top w:w="0" w:type="dxa"/>
                    <w:left w:w="0" w:type="dxa"/>
                    <w:bottom w:w="0" w:type="dxa"/>
                    <w:right w:w="0" w:type="dxa"/>
                  </w:tcMar>
                  <w:vAlign w:val="center"/>
                </w:tcPr>
                <w:p w14:paraId="124F04B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14:paraId="0245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1" w:type="pct"/>
                  <w:shd w:val="clear" w:color="auto" w:fill="FFFFFF"/>
                  <w:tcMar>
                    <w:top w:w="0" w:type="dxa"/>
                    <w:left w:w="0" w:type="dxa"/>
                    <w:bottom w:w="0" w:type="dxa"/>
                    <w:right w:w="0" w:type="dxa"/>
                  </w:tcMar>
                  <w:vAlign w:val="center"/>
                </w:tcPr>
                <w:p w14:paraId="4FAB6CC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9</w:t>
                  </w:r>
                </w:p>
              </w:tc>
              <w:tc>
                <w:tcPr>
                  <w:tcW w:w="211" w:type="pct"/>
                  <w:shd w:val="clear" w:color="auto" w:fill="FFFFFF"/>
                  <w:tcMar>
                    <w:top w:w="0" w:type="dxa"/>
                    <w:left w:w="0" w:type="dxa"/>
                    <w:bottom w:w="0" w:type="dxa"/>
                    <w:right w:w="0" w:type="dxa"/>
                  </w:tcMar>
                  <w:vAlign w:val="center"/>
                </w:tcPr>
                <w:p w14:paraId="1A967FC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锅炉废气处理设施</w:t>
                  </w:r>
                </w:p>
              </w:tc>
              <w:tc>
                <w:tcPr>
                  <w:tcW w:w="225" w:type="pct"/>
                  <w:shd w:val="clear" w:color="auto" w:fill="FFFFFF"/>
                  <w:tcMar>
                    <w:top w:w="0" w:type="dxa"/>
                    <w:left w:w="0" w:type="dxa"/>
                    <w:bottom w:w="0" w:type="dxa"/>
                    <w:right w:w="0" w:type="dxa"/>
                  </w:tcMar>
                  <w:vAlign w:val="center"/>
                </w:tcPr>
                <w:p w14:paraId="21DED86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242" w:type="pct"/>
                  <w:vMerge w:val="continue"/>
                  <w:shd w:val="clear" w:color="auto" w:fill="FFFFFF"/>
                  <w:tcMar>
                    <w:top w:w="0" w:type="dxa"/>
                    <w:left w:w="0" w:type="dxa"/>
                    <w:bottom w:w="0" w:type="dxa"/>
                    <w:right w:w="0" w:type="dxa"/>
                  </w:tcMar>
                  <w:vAlign w:val="center"/>
                </w:tcPr>
                <w:p w14:paraId="57ADB87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83" w:type="pct"/>
                  <w:shd w:val="clear" w:color="auto" w:fill="FFFFFF"/>
                  <w:tcMar>
                    <w:top w:w="0" w:type="dxa"/>
                    <w:left w:w="0" w:type="dxa"/>
                    <w:bottom w:w="0" w:type="dxa"/>
                    <w:right w:w="0" w:type="dxa"/>
                  </w:tcMar>
                  <w:vAlign w:val="center"/>
                </w:tcPr>
                <w:p w14:paraId="2175D54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26.4</w:t>
                  </w:r>
                </w:p>
              </w:tc>
              <w:tc>
                <w:tcPr>
                  <w:tcW w:w="194" w:type="pct"/>
                  <w:shd w:val="clear" w:color="auto" w:fill="FFFFFF"/>
                  <w:tcMar>
                    <w:top w:w="0" w:type="dxa"/>
                    <w:left w:w="0" w:type="dxa"/>
                    <w:bottom w:w="0" w:type="dxa"/>
                    <w:right w:w="0" w:type="dxa"/>
                  </w:tcMar>
                  <w:vAlign w:val="center"/>
                </w:tcPr>
                <w:p w14:paraId="243CDA9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-29.1</w:t>
                  </w:r>
                </w:p>
              </w:tc>
              <w:tc>
                <w:tcPr>
                  <w:tcW w:w="199" w:type="pct"/>
                  <w:shd w:val="clear" w:color="auto" w:fill="FFFFFF"/>
                  <w:tcMar>
                    <w:top w:w="0" w:type="dxa"/>
                    <w:left w:w="0" w:type="dxa"/>
                    <w:bottom w:w="0" w:type="dxa"/>
                    <w:right w:w="0" w:type="dxa"/>
                  </w:tcMar>
                  <w:vAlign w:val="center"/>
                </w:tcPr>
                <w:p w14:paraId="560B401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198" w:type="pct"/>
                  <w:shd w:val="clear" w:color="auto" w:fill="FFFFFF"/>
                  <w:tcMar>
                    <w:top w:w="0" w:type="dxa"/>
                    <w:left w:w="0" w:type="dxa"/>
                    <w:bottom w:w="0" w:type="dxa"/>
                    <w:right w:w="0" w:type="dxa"/>
                  </w:tcMar>
                  <w:vAlign w:val="center"/>
                </w:tcPr>
                <w:p w14:paraId="3E6740A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3.4</w:t>
                  </w:r>
                </w:p>
              </w:tc>
              <w:tc>
                <w:tcPr>
                  <w:tcW w:w="198" w:type="pct"/>
                  <w:shd w:val="clear" w:color="auto" w:fill="FFFFFF"/>
                  <w:tcMar>
                    <w:top w:w="0" w:type="dxa"/>
                    <w:left w:w="0" w:type="dxa"/>
                    <w:bottom w:w="0" w:type="dxa"/>
                    <w:right w:w="0" w:type="dxa"/>
                  </w:tcMar>
                  <w:vAlign w:val="center"/>
                </w:tcPr>
                <w:p w14:paraId="7C0C658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w:t>
                  </w:r>
                </w:p>
              </w:tc>
              <w:tc>
                <w:tcPr>
                  <w:tcW w:w="198" w:type="pct"/>
                  <w:shd w:val="clear" w:color="auto" w:fill="FFFFFF"/>
                  <w:tcMar>
                    <w:top w:w="0" w:type="dxa"/>
                    <w:left w:w="0" w:type="dxa"/>
                    <w:bottom w:w="0" w:type="dxa"/>
                    <w:right w:w="0" w:type="dxa"/>
                  </w:tcMar>
                  <w:vAlign w:val="center"/>
                </w:tcPr>
                <w:p w14:paraId="71578A9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57.7</w:t>
                  </w:r>
                </w:p>
              </w:tc>
              <w:tc>
                <w:tcPr>
                  <w:tcW w:w="199" w:type="pct"/>
                  <w:shd w:val="clear" w:color="auto" w:fill="FFFFFF"/>
                  <w:tcMar>
                    <w:top w:w="0" w:type="dxa"/>
                    <w:left w:w="0" w:type="dxa"/>
                    <w:bottom w:w="0" w:type="dxa"/>
                    <w:right w:w="0" w:type="dxa"/>
                  </w:tcMar>
                  <w:vAlign w:val="center"/>
                </w:tcPr>
                <w:p w14:paraId="67C4C68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7.3</w:t>
                  </w:r>
                </w:p>
              </w:tc>
              <w:tc>
                <w:tcPr>
                  <w:tcW w:w="195" w:type="pct"/>
                  <w:shd w:val="clear" w:color="auto" w:fill="FFFFFF"/>
                  <w:tcMar>
                    <w:top w:w="0" w:type="dxa"/>
                    <w:left w:w="0" w:type="dxa"/>
                    <w:bottom w:w="0" w:type="dxa"/>
                    <w:right w:w="0" w:type="dxa"/>
                  </w:tcMar>
                  <w:vAlign w:val="center"/>
                </w:tcPr>
                <w:p w14:paraId="15B59C1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62.9</w:t>
                  </w:r>
                </w:p>
              </w:tc>
              <w:tc>
                <w:tcPr>
                  <w:tcW w:w="195" w:type="pct"/>
                  <w:shd w:val="clear" w:color="auto" w:fill="FFFFFF"/>
                  <w:tcMar>
                    <w:top w:w="0" w:type="dxa"/>
                    <w:left w:w="0" w:type="dxa"/>
                    <w:bottom w:w="0" w:type="dxa"/>
                    <w:right w:w="0" w:type="dxa"/>
                  </w:tcMar>
                  <w:vAlign w:val="center"/>
                </w:tcPr>
                <w:p w14:paraId="5576A99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63.0</w:t>
                  </w:r>
                </w:p>
              </w:tc>
              <w:tc>
                <w:tcPr>
                  <w:tcW w:w="195" w:type="pct"/>
                  <w:shd w:val="clear" w:color="auto" w:fill="FFFFFF"/>
                  <w:tcMar>
                    <w:top w:w="0" w:type="dxa"/>
                    <w:left w:w="0" w:type="dxa"/>
                    <w:bottom w:w="0" w:type="dxa"/>
                    <w:right w:w="0" w:type="dxa"/>
                  </w:tcMar>
                  <w:vAlign w:val="center"/>
                </w:tcPr>
                <w:p w14:paraId="2BB5D57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62.4</w:t>
                  </w:r>
                </w:p>
              </w:tc>
              <w:tc>
                <w:tcPr>
                  <w:tcW w:w="196" w:type="pct"/>
                  <w:shd w:val="clear" w:color="auto" w:fill="FFFFFF"/>
                  <w:tcMar>
                    <w:top w:w="0" w:type="dxa"/>
                    <w:left w:w="0" w:type="dxa"/>
                    <w:bottom w:w="0" w:type="dxa"/>
                    <w:right w:w="0" w:type="dxa"/>
                  </w:tcMar>
                  <w:vAlign w:val="center"/>
                </w:tcPr>
                <w:p w14:paraId="4F87725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62.5</w:t>
                  </w:r>
                </w:p>
              </w:tc>
              <w:tc>
                <w:tcPr>
                  <w:tcW w:w="169" w:type="pct"/>
                  <w:shd w:val="clear" w:color="auto" w:fill="FFFFFF"/>
                  <w:tcMar>
                    <w:top w:w="0" w:type="dxa"/>
                    <w:left w:w="0" w:type="dxa"/>
                    <w:bottom w:w="0" w:type="dxa"/>
                    <w:right w:w="0" w:type="dxa"/>
                  </w:tcMar>
                  <w:vAlign w:val="center"/>
                </w:tcPr>
                <w:p w14:paraId="2AE7045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24</w:t>
                  </w:r>
                </w:p>
              </w:tc>
              <w:tc>
                <w:tcPr>
                  <w:tcW w:w="189" w:type="pct"/>
                  <w:shd w:val="clear" w:color="auto" w:fill="FFFFFF"/>
                  <w:tcMar>
                    <w:top w:w="0" w:type="dxa"/>
                    <w:left w:w="0" w:type="dxa"/>
                    <w:bottom w:w="0" w:type="dxa"/>
                    <w:right w:w="0" w:type="dxa"/>
                  </w:tcMar>
                  <w:vAlign w:val="center"/>
                </w:tcPr>
                <w:p w14:paraId="710849A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57323F6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1D37330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189" w:type="pct"/>
                  <w:shd w:val="clear" w:color="auto" w:fill="FFFFFF"/>
                  <w:tcMar>
                    <w:top w:w="0" w:type="dxa"/>
                    <w:left w:w="0" w:type="dxa"/>
                    <w:bottom w:w="0" w:type="dxa"/>
                    <w:right w:w="0" w:type="dxa"/>
                  </w:tcMar>
                  <w:vAlign w:val="center"/>
                </w:tcPr>
                <w:p w14:paraId="39573EA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21.0</w:t>
                  </w:r>
                </w:p>
              </w:tc>
              <w:tc>
                <w:tcPr>
                  <w:tcW w:w="201" w:type="pct"/>
                  <w:shd w:val="clear" w:color="auto" w:fill="FFFFFF"/>
                  <w:tcMar>
                    <w:top w:w="0" w:type="dxa"/>
                    <w:left w:w="0" w:type="dxa"/>
                    <w:bottom w:w="0" w:type="dxa"/>
                    <w:right w:w="0" w:type="dxa"/>
                  </w:tcMar>
                  <w:vAlign w:val="center"/>
                </w:tcPr>
                <w:p w14:paraId="101FBB3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41.9</w:t>
                  </w:r>
                </w:p>
              </w:tc>
              <w:tc>
                <w:tcPr>
                  <w:tcW w:w="201" w:type="pct"/>
                  <w:shd w:val="clear" w:color="auto" w:fill="FFFFFF"/>
                  <w:tcMar>
                    <w:top w:w="0" w:type="dxa"/>
                    <w:left w:w="0" w:type="dxa"/>
                    <w:bottom w:w="0" w:type="dxa"/>
                    <w:right w:w="0" w:type="dxa"/>
                  </w:tcMar>
                  <w:vAlign w:val="center"/>
                </w:tcPr>
                <w:p w14:paraId="43D7FF4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42.0</w:t>
                  </w:r>
                </w:p>
              </w:tc>
              <w:tc>
                <w:tcPr>
                  <w:tcW w:w="201" w:type="pct"/>
                  <w:shd w:val="clear" w:color="auto" w:fill="FFFFFF"/>
                  <w:tcMar>
                    <w:top w:w="0" w:type="dxa"/>
                    <w:left w:w="0" w:type="dxa"/>
                    <w:bottom w:w="0" w:type="dxa"/>
                    <w:right w:w="0" w:type="dxa"/>
                  </w:tcMar>
                  <w:vAlign w:val="center"/>
                </w:tcPr>
                <w:p w14:paraId="26D5F29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41.4</w:t>
                  </w:r>
                </w:p>
              </w:tc>
              <w:tc>
                <w:tcPr>
                  <w:tcW w:w="202" w:type="pct"/>
                  <w:shd w:val="clear" w:color="auto" w:fill="FFFFFF"/>
                  <w:tcMar>
                    <w:top w:w="0" w:type="dxa"/>
                    <w:left w:w="0" w:type="dxa"/>
                    <w:bottom w:w="0" w:type="dxa"/>
                    <w:right w:w="0" w:type="dxa"/>
                  </w:tcMar>
                  <w:vAlign w:val="center"/>
                </w:tcPr>
                <w:p w14:paraId="017C002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41.5</w:t>
                  </w:r>
                </w:p>
              </w:tc>
              <w:tc>
                <w:tcPr>
                  <w:tcW w:w="279" w:type="pct"/>
                  <w:shd w:val="clear" w:color="auto" w:fill="FFFFFF"/>
                  <w:tcMar>
                    <w:top w:w="0" w:type="dxa"/>
                    <w:left w:w="0" w:type="dxa"/>
                    <w:bottom w:w="0" w:type="dxa"/>
                    <w:right w:w="0" w:type="dxa"/>
                  </w:tcMar>
                  <w:vAlign w:val="center"/>
                </w:tcPr>
                <w:p w14:paraId="17EC9EA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bookmarkEnd w:id="3"/>
          </w:tbl>
          <w:p w14:paraId="0F5FEDE2">
            <w:pPr>
              <w:keepNext w:val="0"/>
              <w:keepLines w:val="0"/>
              <w:suppressLineNumbers w:val="0"/>
              <w:spacing w:before="0" w:beforeAutospacing="0" w:after="0" w:afterAutospacing="0" w:line="360" w:lineRule="auto"/>
              <w:ind w:left="0" w:right="0"/>
              <w:jc w:val="left"/>
              <w:outlineLvl w:val="0"/>
              <w:rPr>
                <w:rFonts w:hint="eastAsia" w:ascii="Times New Roman" w:hAnsi="Times New Roman" w:eastAsia="宋体" w:cs="Times New Roman"/>
                <w:b w:val="0"/>
                <w:bCs w:val="0"/>
                <w:color w:val="auto"/>
                <w:sz w:val="21"/>
                <w:szCs w:val="22"/>
                <w:lang w:eastAsia="zh-CN"/>
              </w:rPr>
            </w:pPr>
            <w:r>
              <w:rPr>
                <w:rFonts w:hint="default" w:ascii="Times New Roman" w:hAnsi="Times New Roman" w:cs="Times New Roman" w:eastAsiaTheme="minorEastAsia"/>
                <w:b w:val="0"/>
                <w:bCs/>
                <w:color w:val="auto"/>
                <w:sz w:val="21"/>
                <w:szCs w:val="21"/>
                <w:lang w:val="en-US" w:eastAsia="zh-CN"/>
              </w:rPr>
              <w:t>表中坐标以厂界中心（</w:t>
            </w:r>
            <w:bookmarkStart w:id="5" w:name="PO_7"/>
            <w:r>
              <w:rPr>
                <w:rFonts w:hint="default" w:ascii="Times New Roman" w:hAnsi="Times New Roman" w:cs="Times New Roman" w:eastAsiaTheme="minorEastAsia"/>
                <w:b w:val="0"/>
                <w:bCs/>
                <w:color w:val="auto"/>
                <w:sz w:val="21"/>
                <w:szCs w:val="21"/>
                <w:lang w:val="en-US" w:eastAsia="zh-CN"/>
              </w:rPr>
              <w:t>105.686615,30.740192</w:t>
            </w:r>
            <w:bookmarkEnd w:id="5"/>
            <w:r>
              <w:rPr>
                <w:rFonts w:hint="default" w:ascii="Times New Roman" w:hAnsi="Times New Roman" w:cs="Times New Roman" w:eastAsiaTheme="minorEastAsia"/>
                <w:b w:val="0"/>
                <w:bCs/>
                <w:color w:val="auto"/>
                <w:sz w:val="21"/>
                <w:szCs w:val="21"/>
                <w:lang w:val="en-US" w:eastAsia="zh-CN"/>
              </w:rPr>
              <w:t>）为坐标原点，正东向为X轴正方向，正北向为Y轴正方向</w:t>
            </w:r>
            <w:r>
              <w:rPr>
                <w:rFonts w:hint="eastAsia" w:ascii="Times New Roman" w:hAnsi="Times New Roman" w:eastAsia="宋体" w:cs="Times New Roman"/>
                <w:b w:val="0"/>
                <w:bCs w:val="0"/>
                <w:color w:val="auto"/>
                <w:sz w:val="21"/>
                <w:szCs w:val="22"/>
                <w:lang w:eastAsia="zh-CN"/>
              </w:rPr>
              <w:t>。</w:t>
            </w:r>
          </w:p>
          <w:p w14:paraId="524D4D62">
            <w:pPr>
              <w:keepNext w:val="0"/>
              <w:keepLines w:val="0"/>
              <w:suppressLineNumbers w:val="0"/>
              <w:spacing w:before="0" w:beforeAutospacing="0" w:after="0" w:afterAutospacing="0" w:line="360" w:lineRule="auto"/>
              <w:ind w:left="0" w:right="0"/>
              <w:jc w:val="center"/>
              <w:outlineLvl w:val="0"/>
              <w:rPr>
                <w:rFonts w:hint="default" w:ascii="Times New Roman" w:hAnsi="Times New Roman" w:eastAsia="宋体" w:cs="Times New Roman"/>
                <w:b/>
                <w:bCs/>
                <w:color w:val="auto"/>
                <w:sz w:val="21"/>
                <w:szCs w:val="22"/>
              </w:rPr>
            </w:pPr>
            <w:r>
              <w:rPr>
                <w:rFonts w:hint="default" w:ascii="Times New Roman" w:hAnsi="Times New Roman" w:eastAsia="宋体" w:cs="Times New Roman"/>
                <w:b/>
                <w:bCs/>
                <w:color w:val="auto"/>
                <w:sz w:val="21"/>
                <w:szCs w:val="22"/>
              </w:rPr>
              <w:t>表</w:t>
            </w:r>
            <w:r>
              <w:rPr>
                <w:rFonts w:hint="eastAsia" w:ascii="Times New Roman" w:hAnsi="Times New Roman" w:eastAsia="宋体" w:cs="Times New Roman"/>
                <w:b/>
                <w:bCs/>
                <w:color w:val="auto"/>
                <w:sz w:val="21"/>
                <w:szCs w:val="22"/>
                <w:lang w:val="en-US" w:eastAsia="zh-CN"/>
              </w:rPr>
              <w:t>4-13</w:t>
            </w:r>
            <w:r>
              <w:rPr>
                <w:rFonts w:hint="default" w:ascii="Times New Roman" w:hAnsi="Times New Roman" w:eastAsia="宋体" w:cs="Times New Roman"/>
                <w:b/>
                <w:bCs/>
                <w:color w:val="auto"/>
                <w:sz w:val="21"/>
                <w:szCs w:val="22"/>
              </w:rPr>
              <w:t xml:space="preserve">  项目设备噪声源强及治理措施</w:t>
            </w:r>
            <w:r>
              <w:rPr>
                <w:rFonts w:hint="eastAsia" w:ascii="Times New Roman" w:hAnsi="Times New Roman" w:eastAsia="宋体" w:cs="Times New Roman"/>
                <w:b/>
                <w:bCs/>
                <w:color w:val="auto"/>
                <w:sz w:val="21"/>
                <w:szCs w:val="22"/>
                <w:lang w:eastAsia="zh-CN"/>
              </w:rPr>
              <w:t>（</w:t>
            </w:r>
            <w:r>
              <w:rPr>
                <w:rFonts w:hint="eastAsia" w:ascii="Times New Roman" w:hAnsi="Times New Roman" w:eastAsia="宋体" w:cs="Times New Roman"/>
                <w:b/>
                <w:bCs/>
                <w:color w:val="auto"/>
                <w:sz w:val="21"/>
                <w:szCs w:val="22"/>
                <w:lang w:val="en-US" w:eastAsia="zh-CN"/>
              </w:rPr>
              <w:t>室外声源</w:t>
            </w:r>
            <w:r>
              <w:rPr>
                <w:rFonts w:hint="eastAsia" w:ascii="Times New Roman" w:hAnsi="Times New Roman" w:eastAsia="宋体" w:cs="Times New Roman"/>
                <w:b/>
                <w:bCs/>
                <w:color w:val="auto"/>
                <w:sz w:val="21"/>
                <w:szCs w:val="22"/>
                <w:lang w:eastAsia="zh-CN"/>
              </w:rPr>
              <w:t>）</w:t>
            </w:r>
            <w:r>
              <w:rPr>
                <w:rFonts w:hint="default" w:ascii="Times New Roman" w:hAnsi="Times New Roman" w:eastAsia="宋体" w:cs="Times New Roman"/>
                <w:b/>
                <w:bCs/>
                <w:color w:val="auto"/>
                <w:sz w:val="21"/>
                <w:szCs w:val="22"/>
              </w:rPr>
              <w:t xml:space="preserve"> 单位：dB（A）</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2040"/>
              <w:gridCol w:w="1751"/>
              <w:gridCol w:w="1634"/>
              <w:gridCol w:w="1382"/>
              <w:gridCol w:w="1282"/>
              <w:gridCol w:w="2819"/>
              <w:gridCol w:w="1699"/>
            </w:tblGrid>
            <w:tr w14:paraId="0E0693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restart"/>
                  <w:tcBorders>
                    <w:tl2br w:val="nil"/>
                    <w:tr2bl w:val="nil"/>
                  </w:tcBorders>
                  <w:noWrap w:val="0"/>
                  <w:vAlign w:val="center"/>
                </w:tcPr>
                <w:p w14:paraId="71B7A45F">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735" w:type="pct"/>
                  <w:vMerge w:val="restart"/>
                  <w:tcBorders>
                    <w:tl2br w:val="nil"/>
                    <w:tr2bl w:val="nil"/>
                  </w:tcBorders>
                  <w:noWrap w:val="0"/>
                  <w:vAlign w:val="center"/>
                </w:tcPr>
                <w:p w14:paraId="175297AF">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声源名称</w:t>
                  </w:r>
                </w:p>
              </w:tc>
              <w:tc>
                <w:tcPr>
                  <w:tcW w:w="631" w:type="pct"/>
                  <w:vMerge w:val="restart"/>
                  <w:tcBorders>
                    <w:tl2br w:val="nil"/>
                    <w:tr2bl w:val="nil"/>
                  </w:tcBorders>
                  <w:noWrap w:val="0"/>
                  <w:vAlign w:val="center"/>
                </w:tcPr>
                <w:p w14:paraId="5EAA92D4">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声源源强（dB（A）/m）</w:t>
                  </w:r>
                </w:p>
              </w:tc>
              <w:tc>
                <w:tcPr>
                  <w:tcW w:w="1549" w:type="pct"/>
                  <w:gridSpan w:val="3"/>
                  <w:tcBorders>
                    <w:tl2br w:val="nil"/>
                    <w:tr2bl w:val="nil"/>
                  </w:tcBorders>
                  <w:noWrap w:val="0"/>
                  <w:vAlign w:val="center"/>
                </w:tcPr>
                <w:p w14:paraId="76282E32">
                  <w:pPr>
                    <w:pStyle w:val="27"/>
                    <w:keepNext w:val="0"/>
                    <w:keepLines w:val="0"/>
                    <w:suppressLineNumbers w:val="0"/>
                    <w:spacing w:beforeAutospacing="0" w:afterAutospacing="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空间相对位置/m</w:t>
                  </w:r>
                </w:p>
              </w:tc>
              <w:tc>
                <w:tcPr>
                  <w:tcW w:w="1016" w:type="pct"/>
                  <w:vMerge w:val="restart"/>
                  <w:tcBorders>
                    <w:tl2br w:val="nil"/>
                    <w:tr2bl w:val="nil"/>
                  </w:tcBorders>
                  <w:noWrap w:val="0"/>
                  <w:vAlign w:val="center"/>
                </w:tcPr>
                <w:p w14:paraId="22F50E6D">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声源控制措施</w:t>
                  </w:r>
                </w:p>
              </w:tc>
              <w:tc>
                <w:tcPr>
                  <w:tcW w:w="612" w:type="pct"/>
                  <w:vMerge w:val="restart"/>
                  <w:tcBorders>
                    <w:tl2br w:val="nil"/>
                    <w:tr2bl w:val="nil"/>
                  </w:tcBorders>
                  <w:noWrap w:val="0"/>
                  <w:vAlign w:val="center"/>
                </w:tcPr>
                <w:p w14:paraId="6DF5F026">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运行时段</w:t>
                  </w:r>
                </w:p>
              </w:tc>
            </w:tr>
            <w:tr w14:paraId="5C54C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454" w:type="pct"/>
                  <w:vMerge w:val="continue"/>
                  <w:tcBorders>
                    <w:tl2br w:val="nil"/>
                    <w:tr2bl w:val="nil"/>
                  </w:tcBorders>
                  <w:noWrap w:val="0"/>
                  <w:vAlign w:val="center"/>
                </w:tcPr>
                <w:p w14:paraId="3A03B93F">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35" w:type="pct"/>
                  <w:vMerge w:val="continue"/>
                  <w:tcBorders>
                    <w:tl2br w:val="nil"/>
                    <w:tr2bl w:val="nil"/>
                  </w:tcBorders>
                  <w:noWrap w:val="0"/>
                  <w:vAlign w:val="center"/>
                </w:tcPr>
                <w:p w14:paraId="6A7636ED">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1" w:type="pct"/>
                  <w:vMerge w:val="continue"/>
                  <w:tcBorders>
                    <w:tl2br w:val="nil"/>
                    <w:tr2bl w:val="nil"/>
                  </w:tcBorders>
                  <w:noWrap w:val="0"/>
                  <w:vAlign w:val="center"/>
                </w:tcPr>
                <w:p w14:paraId="669AB829">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89" w:type="pct"/>
                  <w:tcBorders>
                    <w:tl2br w:val="nil"/>
                    <w:tr2bl w:val="nil"/>
                  </w:tcBorders>
                  <w:noWrap w:val="0"/>
                  <w:vAlign w:val="center"/>
                </w:tcPr>
                <w:p w14:paraId="3AD4C0CD">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X</w:t>
                  </w:r>
                </w:p>
              </w:tc>
              <w:tc>
                <w:tcPr>
                  <w:tcW w:w="498" w:type="pct"/>
                  <w:tcBorders>
                    <w:tl2br w:val="nil"/>
                    <w:tr2bl w:val="nil"/>
                  </w:tcBorders>
                  <w:noWrap w:val="0"/>
                  <w:vAlign w:val="center"/>
                </w:tcPr>
                <w:p w14:paraId="707D445C">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w:t>
                  </w:r>
                </w:p>
              </w:tc>
              <w:tc>
                <w:tcPr>
                  <w:tcW w:w="462" w:type="pct"/>
                  <w:tcBorders>
                    <w:tl2br w:val="nil"/>
                    <w:tr2bl w:val="nil"/>
                  </w:tcBorders>
                  <w:noWrap w:val="0"/>
                  <w:vAlign w:val="center"/>
                </w:tcPr>
                <w:p w14:paraId="318B9998">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w:t>
                  </w:r>
                </w:p>
              </w:tc>
              <w:tc>
                <w:tcPr>
                  <w:tcW w:w="1016" w:type="pct"/>
                  <w:vMerge w:val="continue"/>
                  <w:tcBorders>
                    <w:tl2br w:val="nil"/>
                    <w:tr2bl w:val="nil"/>
                  </w:tcBorders>
                  <w:noWrap w:val="0"/>
                  <w:vAlign w:val="center"/>
                </w:tcPr>
                <w:p w14:paraId="10523466">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612" w:type="pct"/>
                  <w:vMerge w:val="continue"/>
                  <w:tcBorders>
                    <w:tl2br w:val="nil"/>
                    <w:tr2bl w:val="nil"/>
                  </w:tcBorders>
                  <w:noWrap w:val="0"/>
                  <w:vAlign w:val="center"/>
                </w:tcPr>
                <w:p w14:paraId="03FE8B4B">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2358F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54" w:type="pct"/>
                  <w:tcBorders>
                    <w:tl2br w:val="nil"/>
                    <w:tr2bl w:val="nil"/>
                  </w:tcBorders>
                  <w:noWrap w:val="0"/>
                  <w:vAlign w:val="center"/>
                </w:tcPr>
                <w:p w14:paraId="7FBB6573">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35" w:type="pct"/>
                  <w:tcBorders>
                    <w:tl2br w:val="nil"/>
                    <w:tr2bl w:val="nil"/>
                  </w:tcBorders>
                  <w:noWrap w:val="0"/>
                  <w:vAlign w:val="center"/>
                </w:tcPr>
                <w:p w14:paraId="74F0CEC4">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闭式冷却塔</w:t>
                  </w:r>
                </w:p>
              </w:tc>
              <w:tc>
                <w:tcPr>
                  <w:tcW w:w="631" w:type="pct"/>
                  <w:tcBorders>
                    <w:tl2br w:val="nil"/>
                    <w:tr2bl w:val="nil"/>
                  </w:tcBorders>
                  <w:noWrap w:val="0"/>
                  <w:vAlign w:val="center"/>
                </w:tcPr>
                <w:p w14:paraId="5EFD2211">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pacing w:val="-2"/>
                      <w:kern w:val="0"/>
                      <w:sz w:val="21"/>
                      <w:szCs w:val="21"/>
                      <w:lang w:val="en-US" w:eastAsia="zh-CN"/>
                    </w:rPr>
                    <w:t>75</w:t>
                  </w:r>
                </w:p>
              </w:tc>
              <w:tc>
                <w:tcPr>
                  <w:tcW w:w="589" w:type="pct"/>
                  <w:tcBorders>
                    <w:tl2br w:val="nil"/>
                    <w:tr2bl w:val="nil"/>
                  </w:tcBorders>
                  <w:noWrap w:val="0"/>
                  <w:vAlign w:val="center"/>
                </w:tcPr>
                <w:p w14:paraId="7701F7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rPr>
                    <w:t>43.1</w:t>
                  </w:r>
                </w:p>
              </w:tc>
              <w:tc>
                <w:tcPr>
                  <w:tcW w:w="498" w:type="pct"/>
                  <w:tcBorders>
                    <w:tl2br w:val="nil"/>
                    <w:tr2bl w:val="nil"/>
                  </w:tcBorders>
                  <w:noWrap w:val="0"/>
                  <w:vAlign w:val="center"/>
                </w:tcPr>
                <w:p w14:paraId="7CE31A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rPr>
                    <w:t>-46.8</w:t>
                  </w:r>
                </w:p>
              </w:tc>
              <w:tc>
                <w:tcPr>
                  <w:tcW w:w="462" w:type="pct"/>
                  <w:tcBorders>
                    <w:tl2br w:val="nil"/>
                    <w:tr2bl w:val="nil"/>
                  </w:tcBorders>
                  <w:noWrap w:val="0"/>
                  <w:vAlign w:val="center"/>
                </w:tcPr>
                <w:p w14:paraId="6A426A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rPr>
                    <w:t>1.2</w:t>
                  </w:r>
                </w:p>
              </w:tc>
              <w:tc>
                <w:tcPr>
                  <w:tcW w:w="1016" w:type="pct"/>
                  <w:tcBorders>
                    <w:tl2br w:val="nil"/>
                    <w:tr2bl w:val="nil"/>
                  </w:tcBorders>
                  <w:noWrap w:val="0"/>
                  <w:vAlign w:val="center"/>
                </w:tcPr>
                <w:p w14:paraId="537982B3">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低噪声设备，设备封闭隔声，距离衰减</w:t>
                  </w:r>
                </w:p>
              </w:tc>
              <w:tc>
                <w:tcPr>
                  <w:tcW w:w="612" w:type="pct"/>
                  <w:tcBorders>
                    <w:tl2br w:val="nil"/>
                    <w:tr2bl w:val="nil"/>
                  </w:tcBorders>
                  <w:noWrap w:val="0"/>
                  <w:vAlign w:val="center"/>
                </w:tcPr>
                <w:p w14:paraId="380986A3">
                  <w:pPr>
                    <w:pStyle w:val="11"/>
                    <w:keepNext w:val="0"/>
                    <w:keepLines w:val="0"/>
                    <w:pageBreakBefore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r>
          </w:tbl>
          <w:p w14:paraId="62D20DE1">
            <w:pPr>
              <w:keepNext w:val="0"/>
              <w:keepLines w:val="0"/>
              <w:suppressLineNumbers w:val="0"/>
              <w:spacing w:before="0" w:beforeAutospacing="0" w:after="0" w:afterAutospacing="0" w:line="360" w:lineRule="auto"/>
              <w:ind w:left="0" w:right="0"/>
              <w:jc w:val="center"/>
              <w:outlineLvl w:val="0"/>
              <w:rPr>
                <w:rFonts w:hint="eastAsia" w:ascii="Times New Roman" w:hAnsi="Times New Roman" w:cs="Times New Roman"/>
                <w:color w:val="auto"/>
              </w:rPr>
            </w:pPr>
          </w:p>
          <w:p w14:paraId="47ED225B">
            <w:pPr>
              <w:keepNext w:val="0"/>
              <w:keepLines w:val="0"/>
              <w:suppressLineNumbers w:val="0"/>
              <w:spacing w:before="0" w:beforeAutospacing="0" w:after="0" w:afterAutospacing="0" w:line="360" w:lineRule="auto"/>
              <w:ind w:left="0" w:right="0"/>
              <w:jc w:val="both"/>
              <w:outlineLvl w:val="0"/>
              <w:rPr>
                <w:rFonts w:hint="eastAsia" w:ascii="Times New Roman" w:hAnsi="Times New Roman" w:cs="Times New Roman"/>
                <w:color w:val="auto"/>
              </w:rPr>
            </w:pPr>
          </w:p>
        </w:tc>
      </w:tr>
    </w:tbl>
    <w:p w14:paraId="00041CFB">
      <w:pPr>
        <w:pStyle w:val="16"/>
        <w:rPr>
          <w:rFonts w:hint="eastAsia"/>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8513"/>
      </w:tblGrid>
      <w:tr w14:paraId="7C5E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8" w:type="dxa"/>
            <w:noWrap w:val="0"/>
            <w:vAlign w:val="top"/>
          </w:tcPr>
          <w:p w14:paraId="5D56FB54">
            <w:pPr>
              <w:keepNext w:val="0"/>
              <w:keepLines w:val="0"/>
              <w:suppressLineNumbers w:val="0"/>
              <w:spacing w:before="0" w:beforeAutospacing="0" w:after="0" w:afterAutospacing="0"/>
              <w:ind w:left="0" w:right="0"/>
              <w:rPr>
                <w:rFonts w:hint="eastAsia" w:ascii="Times New Roman" w:hAnsi="Times New Roman" w:cs="Times New Roman"/>
                <w:color w:val="auto"/>
              </w:rPr>
            </w:pPr>
          </w:p>
        </w:tc>
        <w:tc>
          <w:tcPr>
            <w:tcW w:w="8513" w:type="dxa"/>
            <w:noWrap w:val="0"/>
            <w:vAlign w:val="top"/>
          </w:tcPr>
          <w:p w14:paraId="06055C5E">
            <w:pPr>
              <w:pStyle w:val="13"/>
              <w:keepNext w:val="0"/>
              <w:keepLines w:val="0"/>
              <w:suppressLineNumbers w:val="0"/>
              <w:adjustRightInd/>
              <w:snapToGrid/>
              <w:spacing w:before="0" w:beforeAutospacing="0" w:after="0" w:afterAutospacing="0" w:line="360" w:lineRule="auto"/>
              <w:ind w:left="0" w:right="0" w:firstLine="482" w:firstLineChars="200"/>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2、预测方法</w:t>
            </w:r>
          </w:p>
          <w:p w14:paraId="1BD44936">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评价采用《环境影响评价技术导则 声环境》(HJ2.4-2021)中推荐的模式—工业噪声预测计算模式进行预测。</w:t>
            </w:r>
          </w:p>
          <w:p w14:paraId="7B0D3BDB">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1）室内声源等效为室外声源的计算</w:t>
            </w:r>
          </w:p>
          <w:p w14:paraId="7B6D3726">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a、首先计算出某个室内靠近围护结构处的倍频带声压级</w:t>
            </w:r>
          </w:p>
          <w:p w14:paraId="13DB79CB">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drawing>
                <wp:inline distT="0" distB="0" distL="114300" distR="114300">
                  <wp:extent cx="2352675" cy="552450"/>
                  <wp:effectExtent l="0" t="0" r="9525"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3"/>
                          <a:stretch>
                            <a:fillRect/>
                          </a:stretch>
                        </pic:blipFill>
                        <pic:spPr>
                          <a:xfrm>
                            <a:off x="0" y="0"/>
                            <a:ext cx="2352675" cy="552450"/>
                          </a:xfrm>
                          <a:prstGeom prst="rect">
                            <a:avLst/>
                          </a:prstGeom>
                          <a:noFill/>
                          <a:ln>
                            <a:noFill/>
                          </a:ln>
                        </pic:spPr>
                      </pic:pic>
                    </a:graphicData>
                  </a:graphic>
                </wp:inline>
              </w:drawing>
            </w:r>
          </w:p>
          <w:p w14:paraId="706837C5">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w:t>
            </w:r>
          </w:p>
          <w:p w14:paraId="291CD23E">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L</w:t>
            </w:r>
            <w:r>
              <w:rPr>
                <w:rFonts w:hint="default" w:ascii="Times New Roman" w:hAnsi="Times New Roman" w:eastAsia="宋体" w:cs="Times New Roman"/>
                <w:color w:val="auto"/>
                <w:kern w:val="0"/>
                <w:sz w:val="24"/>
                <w:highlight w:val="none"/>
                <w:vertAlign w:val="subscript"/>
              </w:rPr>
              <w:t>P1</w:t>
            </w:r>
            <w:r>
              <w:rPr>
                <w:rFonts w:hint="default" w:ascii="Times New Roman" w:hAnsi="Times New Roman" w:eastAsia="宋体" w:cs="Times New Roman"/>
                <w:color w:val="auto"/>
                <w:kern w:val="0"/>
                <w:sz w:val="24"/>
                <w:highlight w:val="none"/>
              </w:rPr>
              <w:t>——某个室内声源在靠近围护结构处产生的倍频带声压级；</w:t>
            </w:r>
          </w:p>
          <w:p w14:paraId="30CCDE98">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L</w:t>
            </w:r>
            <w:r>
              <w:rPr>
                <w:rFonts w:hint="default" w:ascii="Times New Roman" w:hAnsi="Times New Roman" w:eastAsia="宋体" w:cs="Times New Roman"/>
                <w:color w:val="auto"/>
                <w:kern w:val="0"/>
                <w:sz w:val="24"/>
                <w:highlight w:val="none"/>
                <w:vertAlign w:val="subscript"/>
              </w:rPr>
              <w:t>W</w:t>
            </w:r>
            <w:r>
              <w:rPr>
                <w:rFonts w:hint="default" w:ascii="Times New Roman" w:hAnsi="Times New Roman" w:eastAsia="宋体" w:cs="Times New Roman"/>
                <w:color w:val="auto"/>
                <w:kern w:val="0"/>
                <w:sz w:val="24"/>
                <w:highlight w:val="none"/>
              </w:rPr>
              <w:t>——某个声源的倍频带声功率级，dB；</w:t>
            </w:r>
          </w:p>
          <w:p w14:paraId="253CCBCA">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r——某个声源靠近围护结构处的距离，m；</w:t>
            </w:r>
          </w:p>
          <w:p w14:paraId="590144CF">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R——房间常数，R=Sα/（1-α），S为房间内表面面积，m</w:t>
            </w:r>
            <w:r>
              <w:rPr>
                <w:rFonts w:hint="default" w:ascii="Times New Roman" w:hAnsi="Times New Roman" w:eastAsia="宋体" w:cs="Times New Roman"/>
                <w:color w:val="auto"/>
                <w:kern w:val="0"/>
                <w:sz w:val="24"/>
                <w:highlight w:val="none"/>
                <w:vertAlign w:val="superscript"/>
              </w:rPr>
              <w:t>2</w:t>
            </w:r>
            <w:r>
              <w:rPr>
                <w:rFonts w:hint="default" w:ascii="Times New Roman" w:hAnsi="Times New Roman" w:eastAsia="宋体" w:cs="Times New Roman"/>
                <w:color w:val="auto"/>
                <w:kern w:val="0"/>
                <w:sz w:val="24"/>
                <w:highlight w:val="none"/>
              </w:rPr>
              <w:t>；α为平均吸声系数；</w:t>
            </w:r>
          </w:p>
          <w:p w14:paraId="3CAAE239">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Q——指向性因子，通常对无指向性声源，当声源放在房间中心时，Q=1；当放在一面墙的中心时，Q=2；当放在两面墙夹角处时，Q=4；当放在三面墙夹角处时，Q=8；</w:t>
            </w:r>
          </w:p>
          <w:p w14:paraId="66D66BD0">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b、计算出所有室内声源在围护结构处产生的i倍频带叠加声压级</w:t>
            </w:r>
          </w:p>
          <w:p w14:paraId="33E3A611">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drawing>
                <wp:inline distT="0" distB="0" distL="114300" distR="114300">
                  <wp:extent cx="2200275" cy="588010"/>
                  <wp:effectExtent l="0" t="0" r="9525" b="254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4"/>
                          <a:stretch>
                            <a:fillRect/>
                          </a:stretch>
                        </pic:blipFill>
                        <pic:spPr>
                          <a:xfrm>
                            <a:off x="0" y="0"/>
                            <a:ext cx="2200275" cy="588010"/>
                          </a:xfrm>
                          <a:prstGeom prst="rect">
                            <a:avLst/>
                          </a:prstGeom>
                          <a:noFill/>
                          <a:ln>
                            <a:noFill/>
                          </a:ln>
                        </pic:spPr>
                      </pic:pic>
                    </a:graphicData>
                  </a:graphic>
                </wp:inline>
              </w:drawing>
            </w:r>
          </w:p>
          <w:p w14:paraId="3B33923E">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式中：L</w:t>
            </w:r>
            <w:r>
              <w:rPr>
                <w:rFonts w:hint="default" w:ascii="Times New Roman" w:hAnsi="Times New Roman" w:eastAsia="宋体" w:cs="Times New Roman"/>
                <w:color w:val="auto"/>
                <w:kern w:val="0"/>
                <w:sz w:val="24"/>
                <w:highlight w:val="none"/>
                <w:vertAlign w:val="subscript"/>
              </w:rPr>
              <w:t>P1i</w:t>
            </w:r>
            <w:r>
              <w:rPr>
                <w:rFonts w:hint="default" w:ascii="Times New Roman" w:hAnsi="Times New Roman" w:eastAsia="宋体" w:cs="Times New Roman"/>
                <w:color w:val="auto"/>
                <w:kern w:val="0"/>
                <w:sz w:val="24"/>
                <w:highlight w:val="none"/>
              </w:rPr>
              <w:t>（T）——靠近围护结构处N个室内声源产生的i倍频带的叠加声压级，dB；</w:t>
            </w:r>
          </w:p>
          <w:p w14:paraId="36951377">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L</w:t>
            </w:r>
            <w:r>
              <w:rPr>
                <w:rFonts w:hint="default" w:ascii="Times New Roman" w:hAnsi="Times New Roman" w:eastAsia="宋体" w:cs="Times New Roman"/>
                <w:color w:val="auto"/>
                <w:kern w:val="0"/>
                <w:sz w:val="24"/>
                <w:highlight w:val="none"/>
                <w:vertAlign w:val="subscript"/>
              </w:rPr>
              <w:t>P1ij</w:t>
            </w:r>
            <w:r>
              <w:rPr>
                <w:rFonts w:hint="default" w:ascii="Times New Roman" w:hAnsi="Times New Roman" w:eastAsia="宋体" w:cs="Times New Roman"/>
                <w:color w:val="auto"/>
                <w:kern w:val="0"/>
                <w:sz w:val="24"/>
                <w:highlight w:val="none"/>
              </w:rPr>
              <w:t>——室内j声源i倍频带的声压级，dB；</w:t>
            </w:r>
          </w:p>
          <w:p w14:paraId="71B54741">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N——室内声源总数；</w:t>
            </w:r>
          </w:p>
          <w:p w14:paraId="15243FE4">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c、计算出室外靠近</w:t>
            </w:r>
            <w:r>
              <w:rPr>
                <w:rFonts w:hint="eastAsia" w:cs="Times New Roman"/>
                <w:color w:val="auto"/>
                <w:kern w:val="0"/>
                <w:sz w:val="24"/>
                <w:highlight w:val="none"/>
                <w:lang w:eastAsia="zh-CN"/>
              </w:rPr>
              <w:t>围</w:t>
            </w:r>
            <w:r>
              <w:rPr>
                <w:rFonts w:hint="default" w:ascii="Times New Roman" w:hAnsi="Times New Roman" w:eastAsia="宋体" w:cs="Times New Roman"/>
                <w:color w:val="auto"/>
                <w:kern w:val="0"/>
                <w:sz w:val="24"/>
                <w:highlight w:val="none"/>
              </w:rPr>
              <w:t>护结构处的声压级</w:t>
            </w:r>
          </w:p>
          <w:p w14:paraId="4748C2CC">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drawing>
                <wp:inline distT="0" distB="0" distL="114300" distR="114300">
                  <wp:extent cx="2592705" cy="410845"/>
                  <wp:effectExtent l="0" t="0" r="17145" b="825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5"/>
                          <a:stretch>
                            <a:fillRect/>
                          </a:stretch>
                        </pic:blipFill>
                        <pic:spPr>
                          <a:xfrm>
                            <a:off x="0" y="0"/>
                            <a:ext cx="2592705" cy="410845"/>
                          </a:xfrm>
                          <a:prstGeom prst="rect">
                            <a:avLst/>
                          </a:prstGeom>
                          <a:noFill/>
                          <a:ln>
                            <a:noFill/>
                          </a:ln>
                        </pic:spPr>
                      </pic:pic>
                    </a:graphicData>
                  </a:graphic>
                </wp:inline>
              </w:drawing>
            </w:r>
          </w:p>
          <w:p w14:paraId="01C427C5">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式中：L</w:t>
            </w:r>
            <w:r>
              <w:rPr>
                <w:rFonts w:hint="default" w:ascii="Times New Roman" w:hAnsi="Times New Roman" w:eastAsia="宋体" w:cs="Times New Roman"/>
                <w:color w:val="auto"/>
                <w:kern w:val="0"/>
                <w:sz w:val="24"/>
                <w:highlight w:val="none"/>
                <w:vertAlign w:val="subscript"/>
              </w:rPr>
              <w:t>P2i</w:t>
            </w:r>
            <w:r>
              <w:rPr>
                <w:rFonts w:hint="default" w:ascii="Times New Roman" w:hAnsi="Times New Roman" w:eastAsia="宋体" w:cs="Times New Roman"/>
                <w:color w:val="auto"/>
                <w:kern w:val="0"/>
                <w:sz w:val="24"/>
                <w:highlight w:val="none"/>
              </w:rPr>
              <w:t>（T）——靠近围护结构处N个室外声源产生的i倍频带的叠加声压级，dB；</w:t>
            </w:r>
          </w:p>
          <w:p w14:paraId="477DF8BA">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TL</w:t>
            </w:r>
            <w:r>
              <w:rPr>
                <w:rFonts w:hint="default" w:ascii="Times New Roman" w:hAnsi="Times New Roman" w:eastAsia="宋体" w:cs="Times New Roman"/>
                <w:color w:val="auto"/>
                <w:kern w:val="0"/>
                <w:sz w:val="24"/>
                <w:highlight w:val="none"/>
                <w:vertAlign w:val="subscript"/>
              </w:rPr>
              <w:t>i</w:t>
            </w:r>
            <w:r>
              <w:rPr>
                <w:rFonts w:hint="default" w:ascii="Times New Roman" w:hAnsi="Times New Roman" w:eastAsia="宋体" w:cs="Times New Roman"/>
                <w:color w:val="auto"/>
                <w:kern w:val="0"/>
                <w:sz w:val="24"/>
                <w:highlight w:val="none"/>
              </w:rPr>
              <w:t>——</w:t>
            </w:r>
            <w:r>
              <w:rPr>
                <w:rFonts w:hint="eastAsia" w:cs="Times New Roman"/>
                <w:color w:val="auto"/>
                <w:kern w:val="0"/>
                <w:sz w:val="24"/>
                <w:highlight w:val="none"/>
                <w:lang w:eastAsia="zh-CN"/>
              </w:rPr>
              <w:t>围护结构</w:t>
            </w:r>
            <w:r>
              <w:rPr>
                <w:rFonts w:hint="default" w:ascii="Times New Roman" w:hAnsi="Times New Roman" w:eastAsia="宋体" w:cs="Times New Roman"/>
                <w:color w:val="auto"/>
                <w:kern w:val="0"/>
                <w:sz w:val="24"/>
                <w:highlight w:val="none"/>
              </w:rPr>
              <w:t>i倍频带的隔声量，dB；</w:t>
            </w:r>
          </w:p>
          <w:p w14:paraId="4403111D">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d、将室外声源的声压级和透声面积换算成等效的室外声源，计算出中心位置位于透声面积（S）处的等效声源的倍频带声功率级</w:t>
            </w:r>
          </w:p>
          <w:p w14:paraId="4D01EB14">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drawing>
                <wp:inline distT="0" distB="0" distL="114300" distR="114300">
                  <wp:extent cx="2343785" cy="419100"/>
                  <wp:effectExtent l="0" t="0" r="1841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6"/>
                          <a:stretch>
                            <a:fillRect/>
                          </a:stretch>
                        </pic:blipFill>
                        <pic:spPr>
                          <a:xfrm>
                            <a:off x="0" y="0"/>
                            <a:ext cx="2343785" cy="419100"/>
                          </a:xfrm>
                          <a:prstGeom prst="rect">
                            <a:avLst/>
                          </a:prstGeom>
                          <a:noFill/>
                          <a:ln>
                            <a:noFill/>
                          </a:ln>
                        </pic:spPr>
                      </pic:pic>
                    </a:graphicData>
                  </a:graphic>
                </wp:inline>
              </w:drawing>
            </w:r>
          </w:p>
          <w:p w14:paraId="76391D5D">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式中：S——透声面积，m</w:t>
            </w:r>
            <w:r>
              <w:rPr>
                <w:rFonts w:hint="default" w:ascii="Times New Roman" w:hAnsi="Times New Roman" w:eastAsia="宋体" w:cs="Times New Roman"/>
                <w:color w:val="auto"/>
                <w:kern w:val="0"/>
                <w:sz w:val="24"/>
                <w:highlight w:val="none"/>
                <w:vertAlign w:val="superscript"/>
              </w:rPr>
              <w:t>2</w:t>
            </w:r>
            <w:r>
              <w:rPr>
                <w:rFonts w:hint="default" w:ascii="Times New Roman" w:hAnsi="Times New Roman" w:eastAsia="宋体" w:cs="Times New Roman"/>
                <w:color w:val="auto"/>
                <w:kern w:val="0"/>
                <w:sz w:val="24"/>
                <w:highlight w:val="none"/>
              </w:rPr>
              <w:t>。</w:t>
            </w:r>
          </w:p>
          <w:p w14:paraId="77564CAE">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2）单个室外点声源在预测点产生的A声级的计算</w:t>
            </w:r>
          </w:p>
          <w:p w14:paraId="1DD72090">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drawing>
                <wp:inline distT="0" distB="0" distL="114300" distR="114300">
                  <wp:extent cx="4152900" cy="339725"/>
                  <wp:effectExtent l="0" t="0" r="0" b="317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37"/>
                          <a:stretch>
                            <a:fillRect/>
                          </a:stretch>
                        </pic:blipFill>
                        <pic:spPr>
                          <a:xfrm>
                            <a:off x="0" y="0"/>
                            <a:ext cx="4152900" cy="339725"/>
                          </a:xfrm>
                          <a:prstGeom prst="rect">
                            <a:avLst/>
                          </a:prstGeom>
                          <a:noFill/>
                          <a:ln>
                            <a:noFill/>
                          </a:ln>
                        </pic:spPr>
                      </pic:pic>
                    </a:graphicData>
                  </a:graphic>
                </wp:inline>
              </w:drawing>
            </w:r>
          </w:p>
          <w:p w14:paraId="627B3244">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式中：LA（r）——距声源r处的A声级，dB(A)；</w:t>
            </w:r>
          </w:p>
          <w:p w14:paraId="16FA8ED8">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LA（r</w:t>
            </w:r>
            <w:r>
              <w:rPr>
                <w:rFonts w:hint="default" w:ascii="Times New Roman" w:hAnsi="Times New Roman" w:eastAsia="宋体" w:cs="Times New Roman"/>
                <w:color w:val="auto"/>
                <w:kern w:val="0"/>
                <w:sz w:val="24"/>
                <w:highlight w:val="none"/>
                <w:vertAlign w:val="subscript"/>
              </w:rPr>
              <w:t>0</w:t>
            </w:r>
            <w:r>
              <w:rPr>
                <w:rFonts w:hint="default" w:ascii="Times New Roman" w:hAnsi="Times New Roman" w:eastAsia="宋体" w:cs="Times New Roman"/>
                <w:color w:val="auto"/>
                <w:kern w:val="0"/>
                <w:sz w:val="24"/>
                <w:highlight w:val="none"/>
              </w:rPr>
              <w:t>）——参考位置r</w:t>
            </w:r>
            <w:r>
              <w:rPr>
                <w:rFonts w:hint="default" w:ascii="Times New Roman" w:hAnsi="Times New Roman" w:eastAsia="宋体" w:cs="Times New Roman"/>
                <w:color w:val="auto"/>
                <w:kern w:val="0"/>
                <w:sz w:val="24"/>
                <w:highlight w:val="none"/>
                <w:vertAlign w:val="subscript"/>
              </w:rPr>
              <w:t>0</w:t>
            </w:r>
            <w:r>
              <w:rPr>
                <w:rFonts w:hint="default" w:ascii="Times New Roman" w:hAnsi="Times New Roman" w:eastAsia="宋体" w:cs="Times New Roman"/>
                <w:color w:val="auto"/>
                <w:kern w:val="0"/>
                <w:sz w:val="24"/>
                <w:highlight w:val="none"/>
              </w:rPr>
              <w:t>处的A声级，dB(A)；</w:t>
            </w:r>
          </w:p>
          <w:p w14:paraId="5760F781">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A</w:t>
            </w:r>
            <w:r>
              <w:rPr>
                <w:rFonts w:hint="default" w:ascii="Times New Roman" w:hAnsi="Times New Roman" w:eastAsia="宋体" w:cs="Times New Roman"/>
                <w:color w:val="auto"/>
                <w:kern w:val="0"/>
                <w:sz w:val="24"/>
                <w:highlight w:val="none"/>
                <w:vertAlign w:val="subscript"/>
              </w:rPr>
              <w:t>div</w:t>
            </w:r>
            <w:r>
              <w:rPr>
                <w:rFonts w:hint="default" w:ascii="Times New Roman" w:hAnsi="Times New Roman" w:eastAsia="宋体" w:cs="Times New Roman"/>
                <w:color w:val="auto"/>
                <w:kern w:val="0"/>
                <w:sz w:val="24"/>
                <w:highlight w:val="none"/>
              </w:rPr>
              <w:t>——几何发散引起的倍频带衰减，dB；</w:t>
            </w:r>
          </w:p>
          <w:p w14:paraId="118C1CA7">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A</w:t>
            </w:r>
            <w:r>
              <w:rPr>
                <w:rFonts w:hint="default" w:ascii="Times New Roman" w:hAnsi="Times New Roman" w:eastAsia="宋体" w:cs="Times New Roman"/>
                <w:color w:val="auto"/>
                <w:kern w:val="0"/>
                <w:sz w:val="24"/>
                <w:highlight w:val="none"/>
                <w:vertAlign w:val="subscript"/>
              </w:rPr>
              <w:t>atm</w:t>
            </w:r>
            <w:r>
              <w:rPr>
                <w:rFonts w:hint="default" w:ascii="Times New Roman" w:hAnsi="Times New Roman" w:eastAsia="宋体" w:cs="Times New Roman"/>
                <w:color w:val="auto"/>
                <w:kern w:val="0"/>
                <w:sz w:val="24"/>
                <w:highlight w:val="none"/>
              </w:rPr>
              <w:t>——大气吸收引起的倍频带衰减，dB；</w:t>
            </w:r>
          </w:p>
          <w:p w14:paraId="38EB00C2">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A</w:t>
            </w:r>
            <w:r>
              <w:rPr>
                <w:rFonts w:hint="default" w:ascii="Times New Roman" w:hAnsi="Times New Roman" w:eastAsia="宋体" w:cs="Times New Roman"/>
                <w:color w:val="auto"/>
                <w:kern w:val="0"/>
                <w:sz w:val="24"/>
                <w:highlight w:val="none"/>
                <w:vertAlign w:val="subscript"/>
              </w:rPr>
              <w:t>gr</w:t>
            </w:r>
            <w:r>
              <w:rPr>
                <w:rFonts w:hint="default" w:ascii="Times New Roman" w:hAnsi="Times New Roman" w:eastAsia="宋体" w:cs="Times New Roman"/>
                <w:color w:val="auto"/>
                <w:kern w:val="0"/>
                <w:sz w:val="24"/>
                <w:highlight w:val="none"/>
              </w:rPr>
              <w:t>——地面效应引起的倍频带衰减，dB；</w:t>
            </w:r>
          </w:p>
          <w:p w14:paraId="6069F466">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A</w:t>
            </w:r>
            <w:r>
              <w:rPr>
                <w:rFonts w:hint="default" w:ascii="Times New Roman" w:hAnsi="Times New Roman" w:eastAsia="宋体" w:cs="Times New Roman"/>
                <w:color w:val="auto"/>
                <w:kern w:val="0"/>
                <w:sz w:val="24"/>
                <w:highlight w:val="none"/>
                <w:vertAlign w:val="subscript"/>
              </w:rPr>
              <w:t>bar</w:t>
            </w:r>
            <w:r>
              <w:rPr>
                <w:rFonts w:hint="default" w:ascii="Times New Roman" w:hAnsi="Times New Roman" w:eastAsia="宋体" w:cs="Times New Roman"/>
                <w:color w:val="auto"/>
                <w:kern w:val="0"/>
                <w:sz w:val="24"/>
                <w:highlight w:val="none"/>
              </w:rPr>
              <w:t>——声屏障引起的倍频带衰减，dB；</w:t>
            </w:r>
          </w:p>
          <w:p w14:paraId="7409DAE1">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A</w:t>
            </w:r>
            <w:r>
              <w:rPr>
                <w:rFonts w:hint="default" w:ascii="Times New Roman" w:hAnsi="Times New Roman" w:eastAsia="宋体" w:cs="Times New Roman"/>
                <w:color w:val="auto"/>
                <w:kern w:val="0"/>
                <w:sz w:val="24"/>
                <w:highlight w:val="none"/>
                <w:vertAlign w:val="subscript"/>
              </w:rPr>
              <w:t>misc</w:t>
            </w:r>
            <w:r>
              <w:rPr>
                <w:rFonts w:hint="default" w:ascii="Times New Roman" w:hAnsi="Times New Roman" w:eastAsia="宋体" w:cs="Times New Roman"/>
                <w:color w:val="auto"/>
                <w:kern w:val="0"/>
                <w:sz w:val="24"/>
                <w:highlight w:val="none"/>
              </w:rPr>
              <w:t>——其他多方面效应引起的倍频带衰减，dB；</w:t>
            </w:r>
          </w:p>
          <w:p w14:paraId="678D8B04">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3）声源在预测点处噪声贡献值的计算</w:t>
            </w:r>
          </w:p>
          <w:p w14:paraId="290B2176">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设第i个声源在预测点处产生的A声级为LAi，在Ｔ时间内该声源工作时间为ti，则预测点的总声级为：</w:t>
            </w:r>
          </w:p>
          <w:p w14:paraId="742D3FFB">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drawing>
                <wp:inline distT="0" distB="0" distL="114300" distR="114300">
                  <wp:extent cx="3173095" cy="419735"/>
                  <wp:effectExtent l="0" t="0" r="8255" b="1841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38"/>
                          <a:stretch>
                            <a:fillRect/>
                          </a:stretch>
                        </pic:blipFill>
                        <pic:spPr>
                          <a:xfrm>
                            <a:off x="0" y="0"/>
                            <a:ext cx="3173095" cy="419735"/>
                          </a:xfrm>
                          <a:prstGeom prst="rect">
                            <a:avLst/>
                          </a:prstGeom>
                          <a:noFill/>
                          <a:ln>
                            <a:noFill/>
                          </a:ln>
                        </pic:spPr>
                      </pic:pic>
                    </a:graphicData>
                  </a:graphic>
                </wp:inline>
              </w:drawing>
            </w:r>
          </w:p>
          <w:p w14:paraId="0C3B6E13">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式中：T为计算等效声级的时间，N为声级的个数。</w:t>
            </w:r>
          </w:p>
          <w:p w14:paraId="438F562C">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4）参数的确定</w:t>
            </w:r>
          </w:p>
          <w:p w14:paraId="08173356">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a、声波几何发散引起的A声级衰减量(工业噪声源)：A</w:t>
            </w:r>
            <w:r>
              <w:rPr>
                <w:rFonts w:hint="default" w:ascii="Times New Roman" w:hAnsi="Times New Roman" w:eastAsia="宋体" w:cs="Times New Roman"/>
                <w:color w:val="auto"/>
                <w:kern w:val="0"/>
                <w:sz w:val="24"/>
                <w:highlight w:val="none"/>
                <w:vertAlign w:val="subscript"/>
              </w:rPr>
              <w:t>div</w:t>
            </w:r>
            <w:r>
              <w:rPr>
                <w:rFonts w:hint="default" w:ascii="Times New Roman" w:hAnsi="Times New Roman" w:eastAsia="宋体" w:cs="Times New Roman"/>
                <w:color w:val="auto"/>
                <w:kern w:val="0"/>
                <w:sz w:val="24"/>
                <w:highlight w:val="none"/>
              </w:rPr>
              <w:t>＝20Lg(r/r0)</w:t>
            </w:r>
          </w:p>
          <w:p w14:paraId="5668AA2D">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b、空气吸收引起的衰减量A</w:t>
            </w:r>
            <w:r>
              <w:rPr>
                <w:rFonts w:hint="default" w:ascii="Times New Roman" w:hAnsi="Times New Roman" w:eastAsia="宋体" w:cs="Times New Roman"/>
                <w:color w:val="auto"/>
                <w:kern w:val="0"/>
                <w:sz w:val="24"/>
                <w:highlight w:val="none"/>
                <w:vertAlign w:val="subscript"/>
              </w:rPr>
              <w:t>atm</w:t>
            </w:r>
          </w:p>
          <w:p w14:paraId="6513B9DE">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本工程噪声以中低频为主，空气吸收性衰减</w:t>
            </w:r>
            <w:r>
              <w:rPr>
                <w:rFonts w:hint="eastAsia" w:cs="Times New Roman"/>
                <w:color w:val="auto"/>
                <w:kern w:val="0"/>
                <w:sz w:val="24"/>
                <w:highlight w:val="none"/>
                <w:lang w:eastAsia="zh-CN"/>
              </w:rPr>
              <w:t>很小</w:t>
            </w:r>
            <w:r>
              <w:rPr>
                <w:rFonts w:hint="default" w:ascii="Times New Roman" w:hAnsi="Times New Roman" w:eastAsia="宋体" w:cs="Times New Roman"/>
                <w:color w:val="auto"/>
                <w:kern w:val="0"/>
                <w:sz w:val="24"/>
                <w:highlight w:val="none"/>
              </w:rPr>
              <w:t>，本次评价预测时忽略不计。</w:t>
            </w:r>
          </w:p>
          <w:p w14:paraId="151A9C00">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c、地面效应引起的衰减量A</w:t>
            </w:r>
            <w:r>
              <w:rPr>
                <w:rFonts w:hint="default" w:ascii="Times New Roman" w:hAnsi="Times New Roman" w:eastAsia="宋体" w:cs="Times New Roman"/>
                <w:color w:val="auto"/>
                <w:kern w:val="0"/>
                <w:sz w:val="24"/>
                <w:highlight w:val="none"/>
                <w:vertAlign w:val="subscript"/>
              </w:rPr>
              <w:t>gr</w:t>
            </w:r>
          </w:p>
          <w:p w14:paraId="5B0FC342">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本项目地面为水泥硬化地面，地面效应引起的衰减量很小，本次评价预测时忽略不计。</w:t>
            </w:r>
          </w:p>
          <w:p w14:paraId="793A8599">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d、屏障引起的衰减A</w:t>
            </w:r>
            <w:r>
              <w:rPr>
                <w:rFonts w:hint="default" w:ascii="Times New Roman" w:hAnsi="Times New Roman" w:eastAsia="宋体" w:cs="Times New Roman"/>
                <w:color w:val="auto"/>
                <w:kern w:val="0"/>
                <w:sz w:val="24"/>
                <w:highlight w:val="none"/>
                <w:vertAlign w:val="subscript"/>
              </w:rPr>
              <w:t>bar</w:t>
            </w:r>
          </w:p>
          <w:p w14:paraId="392AF629">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噪声在向外传播过程中将受到建筑或其他物体的阻挡影响，从而引起声能量的衰减，具体衰减根据不同声级的传播途径而定。</w:t>
            </w:r>
          </w:p>
          <w:p w14:paraId="1B4E3C51">
            <w:pPr>
              <w:pStyle w:val="13"/>
              <w:keepNext w:val="0"/>
              <w:keepLines w:val="0"/>
              <w:suppressLineNumbers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e、其他多方面原因引起的衰减量A</w:t>
            </w:r>
            <w:r>
              <w:rPr>
                <w:rFonts w:hint="default" w:ascii="Times New Roman" w:hAnsi="Times New Roman" w:eastAsia="宋体" w:cs="Times New Roman"/>
                <w:color w:val="auto"/>
                <w:kern w:val="0"/>
                <w:sz w:val="24"/>
                <w:highlight w:val="none"/>
                <w:vertAlign w:val="subscript"/>
              </w:rPr>
              <w:t>misc</w:t>
            </w:r>
            <w:r>
              <w:rPr>
                <w:rFonts w:hint="default" w:ascii="Times New Roman" w:hAnsi="Times New Roman" w:eastAsia="宋体" w:cs="Times New Roman"/>
                <w:color w:val="auto"/>
                <w:kern w:val="0"/>
                <w:sz w:val="24"/>
                <w:highlight w:val="none"/>
              </w:rPr>
              <w:t>。</w:t>
            </w:r>
          </w:p>
          <w:p w14:paraId="0ED049FC">
            <w:pPr>
              <w:pStyle w:val="13"/>
              <w:keepNext w:val="0"/>
              <w:keepLines w:val="0"/>
              <w:suppressLineNumbers w:val="0"/>
              <w:adjustRightInd/>
              <w:snapToGrid/>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3</w:t>
            </w:r>
            <w:r>
              <w:rPr>
                <w:rFonts w:hint="default" w:ascii="Times New Roman" w:hAnsi="Times New Roman" w:cs="Times New Roman"/>
                <w:b/>
                <w:bCs/>
                <w:color w:val="auto"/>
                <w:kern w:val="0"/>
                <w:sz w:val="24"/>
                <w:szCs w:val="24"/>
                <w:lang w:val="en-US" w:eastAsia="zh-CN"/>
              </w:rPr>
              <w:t>、噪声达标分析</w:t>
            </w:r>
          </w:p>
          <w:p w14:paraId="5DACB413">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据预测，本项目厂界噪声预测结果如下</w:t>
            </w:r>
            <w:r>
              <w:rPr>
                <w:rFonts w:hint="eastAsia" w:ascii="Times New Roman" w:hAnsi="Times New Roman" w:eastAsia="宋体" w:cs="Times New Roman"/>
                <w:color w:val="auto"/>
                <w:kern w:val="0"/>
                <w:sz w:val="24"/>
                <w:highlight w:val="none"/>
                <w:lang w:val="en-US" w:eastAsia="zh-CN"/>
              </w:rPr>
              <w:t>表</w:t>
            </w:r>
            <w:r>
              <w:rPr>
                <w:rFonts w:hint="eastAsia" w:ascii="Times New Roman" w:hAnsi="Times New Roman" w:eastAsia="宋体" w:cs="Times New Roman"/>
                <w:color w:val="auto"/>
                <w:kern w:val="0"/>
                <w:sz w:val="24"/>
                <w:highlight w:val="none"/>
              </w:rPr>
              <w:t>。</w:t>
            </w:r>
          </w:p>
          <w:p w14:paraId="4144F5E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kern w:val="0"/>
                <w:sz w:val="21"/>
                <w:szCs w:val="22"/>
              </w:rPr>
            </w:pPr>
            <w:r>
              <w:rPr>
                <w:rFonts w:hint="default" w:ascii="Times New Roman" w:hAnsi="Times New Roman" w:cs="Times New Roman"/>
                <w:b/>
                <w:bCs/>
                <w:color w:val="auto"/>
                <w:kern w:val="0"/>
                <w:sz w:val="21"/>
                <w:szCs w:val="22"/>
              </w:rPr>
              <w:t>表</w:t>
            </w:r>
            <w:r>
              <w:rPr>
                <w:rFonts w:hint="eastAsia" w:ascii="Times New Roman" w:hAnsi="Times New Roman" w:cs="Times New Roman"/>
                <w:b/>
                <w:bCs/>
                <w:color w:val="auto"/>
                <w:kern w:val="0"/>
                <w:sz w:val="21"/>
                <w:szCs w:val="22"/>
              </w:rPr>
              <w:t>4-</w:t>
            </w:r>
            <w:r>
              <w:rPr>
                <w:rFonts w:hint="eastAsia" w:ascii="Times New Roman" w:hAnsi="Times New Roman" w:cs="Times New Roman"/>
                <w:b/>
                <w:bCs/>
                <w:color w:val="auto"/>
                <w:kern w:val="0"/>
                <w:sz w:val="21"/>
                <w:szCs w:val="22"/>
                <w:lang w:val="en-US" w:eastAsia="zh-CN"/>
              </w:rPr>
              <w:t>14</w:t>
            </w:r>
            <w:r>
              <w:rPr>
                <w:rFonts w:hint="default" w:ascii="Times New Roman" w:hAnsi="Times New Roman" w:cs="Times New Roman"/>
                <w:b/>
                <w:bCs/>
                <w:color w:val="auto"/>
                <w:kern w:val="0"/>
                <w:sz w:val="21"/>
                <w:szCs w:val="22"/>
              </w:rPr>
              <w:t xml:space="preserve">  厂界噪声预测结果与达标分析表</w:t>
            </w:r>
            <w:bookmarkStart w:id="6" w:name="PT_7"/>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80"/>
              <w:gridCol w:w="2435"/>
              <w:gridCol w:w="1395"/>
              <w:gridCol w:w="1102"/>
            </w:tblGrid>
            <w:tr w14:paraId="7D877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180" w:type="dxa"/>
                  <w:tcBorders>
                    <w:tl2br w:val="nil"/>
                    <w:tr2bl w:val="nil"/>
                  </w:tcBorders>
                  <w:noWrap w:val="0"/>
                  <w:vAlign w:val="center"/>
                </w:tcPr>
                <w:p w14:paraId="7021945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highlight w:val="none"/>
                    </w:rPr>
                    <w:t>噪声预测点</w:t>
                  </w:r>
                </w:p>
              </w:tc>
              <w:tc>
                <w:tcPr>
                  <w:tcW w:w="2435" w:type="dxa"/>
                  <w:tcBorders>
                    <w:tl2br w:val="nil"/>
                    <w:tr2bl w:val="nil"/>
                  </w:tcBorders>
                  <w:noWrap w:val="0"/>
                  <w:vAlign w:val="center"/>
                </w:tcPr>
                <w:p w14:paraId="1D56D677">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highlight w:val="none"/>
                    </w:rPr>
                    <w:t>厂界噪声贡献值dB(A)</w:t>
                  </w:r>
                </w:p>
              </w:tc>
              <w:tc>
                <w:tcPr>
                  <w:tcW w:w="1395" w:type="dxa"/>
                  <w:tcBorders>
                    <w:tl2br w:val="nil"/>
                    <w:tr2bl w:val="nil"/>
                  </w:tcBorders>
                  <w:noWrap w:val="0"/>
                  <w:vAlign w:val="center"/>
                </w:tcPr>
                <w:p w14:paraId="59028F6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color w:val="auto"/>
                      <w:highlight w:val="none"/>
                      <w:lang w:val="en-US" w:eastAsia="zh-CN"/>
                    </w:rPr>
                  </w:pPr>
                  <w:r>
                    <w:rPr>
                      <w:rFonts w:hint="eastAsia" w:ascii="Times New Roman" w:hAnsi="Times New Roman" w:eastAsia="宋体" w:cs="Times New Roman"/>
                      <w:b/>
                      <w:color w:val="auto"/>
                      <w:highlight w:val="none"/>
                      <w:lang w:val="en-US" w:eastAsia="zh-CN"/>
                    </w:rPr>
                    <w:t>标准限值</w:t>
                  </w:r>
                </w:p>
              </w:tc>
              <w:tc>
                <w:tcPr>
                  <w:tcW w:w="1102" w:type="dxa"/>
                  <w:tcBorders>
                    <w:tl2br w:val="nil"/>
                    <w:tr2bl w:val="nil"/>
                  </w:tcBorders>
                  <w:noWrap w:val="0"/>
                  <w:vAlign w:val="center"/>
                </w:tcPr>
                <w:p w14:paraId="22AA362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color w:val="auto"/>
                      <w:highlight w:val="none"/>
                      <w:lang w:val="en-US" w:eastAsia="zh-CN"/>
                    </w:rPr>
                  </w:pPr>
                  <w:r>
                    <w:rPr>
                      <w:rFonts w:hint="eastAsia" w:ascii="Times New Roman" w:hAnsi="Times New Roman" w:eastAsia="宋体" w:cs="Times New Roman"/>
                      <w:b/>
                      <w:color w:val="auto"/>
                      <w:highlight w:val="none"/>
                      <w:lang w:val="en-US" w:eastAsia="zh-CN"/>
                    </w:rPr>
                    <w:t>达标情况</w:t>
                  </w:r>
                </w:p>
              </w:tc>
            </w:tr>
            <w:tr w14:paraId="6357F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80" w:type="dxa"/>
                  <w:tcBorders>
                    <w:tl2br w:val="nil"/>
                    <w:tr2bl w:val="nil"/>
                  </w:tcBorders>
                  <w:noWrap w:val="0"/>
                  <w:vAlign w:val="center"/>
                </w:tcPr>
                <w:p w14:paraId="4F45015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项目北面厂界</w:t>
                  </w:r>
                </w:p>
              </w:tc>
              <w:tc>
                <w:tcPr>
                  <w:tcW w:w="2435" w:type="dxa"/>
                  <w:tcBorders>
                    <w:tl2br w:val="nil"/>
                    <w:tr2bl w:val="nil"/>
                  </w:tcBorders>
                  <w:noWrap w:val="0"/>
                  <w:vAlign w:val="center"/>
                </w:tcPr>
                <w:p w14:paraId="163ED58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52.2</w:t>
                  </w:r>
                </w:p>
              </w:tc>
              <w:tc>
                <w:tcPr>
                  <w:tcW w:w="1395" w:type="dxa"/>
                  <w:tcBorders>
                    <w:tl2br w:val="nil"/>
                    <w:tr2bl w:val="nil"/>
                  </w:tcBorders>
                  <w:noWrap w:val="0"/>
                  <w:vAlign w:val="center"/>
                </w:tcPr>
                <w:p w14:paraId="6F5A3D77">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1102" w:type="dxa"/>
                  <w:tcBorders>
                    <w:tl2br w:val="nil"/>
                    <w:tr2bl w:val="nil"/>
                  </w:tcBorders>
                  <w:noWrap w:val="0"/>
                  <w:vAlign w:val="center"/>
                </w:tcPr>
                <w:p w14:paraId="0AECBED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达标</w:t>
                  </w:r>
                </w:p>
              </w:tc>
            </w:tr>
            <w:tr w14:paraId="3A4A2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80" w:type="dxa"/>
                  <w:tcBorders>
                    <w:tl2br w:val="nil"/>
                    <w:tr2bl w:val="nil"/>
                  </w:tcBorders>
                  <w:noWrap w:val="0"/>
                  <w:vAlign w:val="center"/>
                </w:tcPr>
                <w:p w14:paraId="5C08D4C7">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项目东面厂界</w:t>
                  </w:r>
                </w:p>
              </w:tc>
              <w:tc>
                <w:tcPr>
                  <w:tcW w:w="2435" w:type="dxa"/>
                  <w:tcBorders>
                    <w:tl2br w:val="nil"/>
                    <w:tr2bl w:val="nil"/>
                  </w:tcBorders>
                  <w:noWrap w:val="0"/>
                  <w:vAlign w:val="center"/>
                </w:tcPr>
                <w:p w14:paraId="3F0BF99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56.2</w:t>
                  </w:r>
                </w:p>
              </w:tc>
              <w:tc>
                <w:tcPr>
                  <w:tcW w:w="1395" w:type="dxa"/>
                  <w:tcBorders>
                    <w:tl2br w:val="nil"/>
                    <w:tr2bl w:val="nil"/>
                  </w:tcBorders>
                  <w:noWrap w:val="0"/>
                  <w:vAlign w:val="center"/>
                </w:tcPr>
                <w:p w14:paraId="0F26523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1102" w:type="dxa"/>
                  <w:tcBorders>
                    <w:tl2br w:val="nil"/>
                    <w:tr2bl w:val="nil"/>
                  </w:tcBorders>
                  <w:noWrap w:val="0"/>
                  <w:vAlign w:val="center"/>
                </w:tcPr>
                <w:p w14:paraId="41BA8BD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达标</w:t>
                  </w:r>
                </w:p>
              </w:tc>
            </w:tr>
            <w:tr w14:paraId="696EE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80" w:type="dxa"/>
                  <w:tcBorders>
                    <w:tl2br w:val="nil"/>
                    <w:tr2bl w:val="nil"/>
                  </w:tcBorders>
                  <w:noWrap w:val="0"/>
                  <w:vAlign w:val="center"/>
                </w:tcPr>
                <w:p w14:paraId="0AA8A06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项目南面厂界</w:t>
                  </w:r>
                </w:p>
              </w:tc>
              <w:tc>
                <w:tcPr>
                  <w:tcW w:w="2435" w:type="dxa"/>
                  <w:tcBorders>
                    <w:tl2br w:val="nil"/>
                    <w:tr2bl w:val="nil"/>
                  </w:tcBorders>
                  <w:noWrap w:val="0"/>
                  <w:vAlign w:val="center"/>
                </w:tcPr>
                <w:p w14:paraId="21A7DB0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59.4</w:t>
                  </w:r>
                </w:p>
              </w:tc>
              <w:tc>
                <w:tcPr>
                  <w:tcW w:w="1395" w:type="dxa"/>
                  <w:tcBorders>
                    <w:tl2br w:val="nil"/>
                    <w:tr2bl w:val="nil"/>
                  </w:tcBorders>
                  <w:noWrap w:val="0"/>
                  <w:vAlign w:val="center"/>
                </w:tcPr>
                <w:p w14:paraId="39AEAD6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1102" w:type="dxa"/>
                  <w:tcBorders>
                    <w:tl2br w:val="nil"/>
                    <w:tr2bl w:val="nil"/>
                  </w:tcBorders>
                  <w:noWrap w:val="0"/>
                  <w:vAlign w:val="center"/>
                </w:tcPr>
                <w:p w14:paraId="1F32F34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达标</w:t>
                  </w:r>
                </w:p>
              </w:tc>
            </w:tr>
            <w:tr w14:paraId="6DCE7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80" w:type="dxa"/>
                  <w:tcBorders>
                    <w:tl2br w:val="nil"/>
                    <w:tr2bl w:val="nil"/>
                  </w:tcBorders>
                  <w:noWrap w:val="0"/>
                  <w:vAlign w:val="center"/>
                </w:tcPr>
                <w:p w14:paraId="209B1AFE">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项目西面厂界</w:t>
                  </w:r>
                </w:p>
              </w:tc>
              <w:tc>
                <w:tcPr>
                  <w:tcW w:w="2435" w:type="dxa"/>
                  <w:tcBorders>
                    <w:tl2br w:val="nil"/>
                    <w:tr2bl w:val="nil"/>
                  </w:tcBorders>
                  <w:noWrap w:val="0"/>
                  <w:vAlign w:val="center"/>
                </w:tcPr>
                <w:p w14:paraId="3DA6A51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43.1</w:t>
                  </w:r>
                </w:p>
              </w:tc>
              <w:tc>
                <w:tcPr>
                  <w:tcW w:w="1395" w:type="dxa"/>
                  <w:tcBorders>
                    <w:tl2br w:val="nil"/>
                    <w:tr2bl w:val="nil"/>
                  </w:tcBorders>
                  <w:noWrap w:val="0"/>
                  <w:vAlign w:val="center"/>
                </w:tcPr>
                <w:p w14:paraId="1D197CF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1102" w:type="dxa"/>
                  <w:tcBorders>
                    <w:tl2br w:val="nil"/>
                    <w:tr2bl w:val="nil"/>
                  </w:tcBorders>
                  <w:noWrap w:val="0"/>
                  <w:vAlign w:val="center"/>
                </w:tcPr>
                <w:p w14:paraId="3D73C333">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达标</w:t>
                  </w:r>
                </w:p>
              </w:tc>
            </w:tr>
          </w:tbl>
          <w:p w14:paraId="298CED1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kern w:val="0"/>
                <w:sz w:val="21"/>
                <w:szCs w:val="22"/>
              </w:rPr>
            </w:pPr>
          </w:p>
          <w:bookmarkEnd w:id="6"/>
          <w:p w14:paraId="21F28F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Cs w:val="32"/>
              </w:rPr>
            </w:pPr>
            <w:r>
              <w:rPr>
                <w:rFonts w:hint="eastAsia" w:ascii="Times New Roman" w:hAnsi="Times New Roman" w:cs="Times New Roman"/>
                <w:color w:val="auto"/>
                <w:szCs w:val="32"/>
              </w:rPr>
              <w:t>综上</w:t>
            </w:r>
            <w:r>
              <w:rPr>
                <w:rFonts w:hint="default" w:ascii="Times New Roman" w:hAnsi="Times New Roman" w:cs="Times New Roman"/>
                <w:color w:val="auto"/>
                <w:szCs w:val="32"/>
              </w:rPr>
              <w:t>可知，项目</w:t>
            </w:r>
            <w:r>
              <w:rPr>
                <w:rFonts w:hint="eastAsia" w:ascii="Times New Roman" w:hAnsi="Times New Roman" w:cs="Times New Roman"/>
                <w:color w:val="auto"/>
                <w:szCs w:val="32"/>
                <w:lang w:val="en-US" w:eastAsia="zh-CN"/>
              </w:rPr>
              <w:t>仅昼间生产，</w:t>
            </w:r>
            <w:r>
              <w:rPr>
                <w:rFonts w:hint="default" w:ascii="Times New Roman" w:hAnsi="Times New Roman" w:cs="Times New Roman"/>
                <w:color w:val="auto"/>
                <w:szCs w:val="32"/>
              </w:rPr>
              <w:t>在营运过程中通过</w:t>
            </w:r>
            <w:r>
              <w:rPr>
                <w:rFonts w:hint="eastAsia" w:ascii="Times New Roman" w:hAnsi="Times New Roman" w:cs="Times New Roman"/>
                <w:color w:val="auto"/>
                <w:szCs w:val="32"/>
                <w:lang w:val="en-US" w:eastAsia="zh-CN"/>
              </w:rPr>
              <w:t>采用低噪声设备，</w:t>
            </w:r>
            <w:r>
              <w:rPr>
                <w:rFonts w:hint="default" w:ascii="Times New Roman" w:hAnsi="Times New Roman" w:cs="Times New Roman"/>
                <w:color w:val="auto"/>
                <w:szCs w:val="32"/>
              </w:rPr>
              <w:t>对设备基础减震</w:t>
            </w:r>
            <w:r>
              <w:rPr>
                <w:rFonts w:hint="eastAsia" w:ascii="Times New Roman" w:hAnsi="Times New Roman" w:cs="Times New Roman"/>
                <w:color w:val="auto"/>
                <w:szCs w:val="32"/>
                <w:lang w:eastAsia="zh-CN"/>
              </w:rPr>
              <w:t>，</w:t>
            </w:r>
            <w:r>
              <w:rPr>
                <w:rFonts w:hint="eastAsia" w:ascii="Times New Roman" w:hAnsi="Times New Roman" w:cs="Times New Roman"/>
                <w:color w:val="auto"/>
                <w:szCs w:val="32"/>
                <w:lang w:val="en-US" w:eastAsia="zh-CN"/>
              </w:rPr>
              <w:t>合理平面布局，距离衰减后</w:t>
            </w:r>
            <w:r>
              <w:rPr>
                <w:rFonts w:hint="default" w:ascii="Times New Roman" w:hAnsi="Times New Roman" w:cs="Times New Roman"/>
                <w:color w:val="auto"/>
                <w:szCs w:val="32"/>
              </w:rPr>
              <w:t>，厂界噪声预测值满足《工业企业厂界环境噪声排放标准》（GB12348-2008）中的</w:t>
            </w:r>
            <w:r>
              <w:rPr>
                <w:rFonts w:hint="eastAsia" w:ascii="Times New Roman" w:hAnsi="Times New Roman" w:cs="Times New Roman"/>
                <w:color w:val="auto"/>
                <w:szCs w:val="32"/>
              </w:rPr>
              <w:t>3</w:t>
            </w:r>
            <w:r>
              <w:rPr>
                <w:rFonts w:hint="default" w:ascii="Times New Roman" w:hAnsi="Times New Roman" w:cs="Times New Roman"/>
                <w:color w:val="auto"/>
                <w:szCs w:val="32"/>
              </w:rPr>
              <w:t>类标准限值要求（即昼间≤6</w:t>
            </w:r>
            <w:r>
              <w:rPr>
                <w:rFonts w:hint="eastAsia" w:ascii="Times New Roman" w:hAnsi="Times New Roman" w:cs="Times New Roman"/>
                <w:color w:val="auto"/>
                <w:szCs w:val="32"/>
              </w:rPr>
              <w:t>5</w:t>
            </w:r>
            <w:r>
              <w:rPr>
                <w:rFonts w:hint="default" w:ascii="Times New Roman" w:hAnsi="Times New Roman" w:cs="Times New Roman"/>
                <w:color w:val="auto"/>
                <w:szCs w:val="32"/>
              </w:rPr>
              <w:t>dB(A)</w:t>
            </w:r>
            <w:r>
              <w:rPr>
                <w:rFonts w:hint="eastAsia" w:ascii="Times New Roman" w:hAnsi="Times New Roman" w:cs="Times New Roman"/>
                <w:color w:val="auto"/>
                <w:szCs w:val="32"/>
                <w:lang w:eastAsia="zh-CN"/>
              </w:rPr>
              <w:t>）</w:t>
            </w:r>
            <w:r>
              <w:rPr>
                <w:rFonts w:hint="eastAsia" w:ascii="Times New Roman" w:hAnsi="Times New Roman" w:cs="Times New Roman"/>
                <w:color w:val="auto"/>
                <w:szCs w:val="32"/>
              </w:rPr>
              <w:t>。因此，本项目噪声能够</w:t>
            </w:r>
            <w:r>
              <w:rPr>
                <w:rFonts w:hint="default" w:ascii="Times New Roman" w:hAnsi="Times New Roman" w:cs="Times New Roman"/>
                <w:color w:val="auto"/>
                <w:szCs w:val="32"/>
              </w:rPr>
              <w:t>实现达标排放。</w:t>
            </w:r>
          </w:p>
          <w:p w14:paraId="22B7F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32"/>
                <w:lang w:val="en-US" w:eastAsia="zh-CN"/>
              </w:rPr>
            </w:pPr>
            <w:r>
              <w:rPr>
                <w:rFonts w:hint="eastAsia" w:ascii="Times New Roman" w:hAnsi="Times New Roman" w:cs="Times New Roman"/>
                <w:color w:val="auto"/>
                <w:szCs w:val="32"/>
                <w:lang w:val="en-US" w:eastAsia="zh-CN"/>
              </w:rPr>
              <w:t>项目厂界外50m范围内无噪声敏感点存在。</w:t>
            </w:r>
          </w:p>
          <w:p w14:paraId="5BE2DE76">
            <w:pPr>
              <w:pStyle w:val="13"/>
              <w:keepNext w:val="0"/>
              <w:keepLines w:val="0"/>
              <w:suppressLineNumbers w:val="0"/>
              <w:adjustRightInd/>
              <w:snapToGrid/>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4、</w:t>
            </w:r>
            <w:r>
              <w:rPr>
                <w:rFonts w:hint="default" w:ascii="Times New Roman" w:hAnsi="Times New Roman" w:eastAsia="宋体" w:cs="Times New Roman"/>
                <w:b/>
                <w:bCs/>
                <w:color w:val="auto"/>
                <w:kern w:val="0"/>
                <w:sz w:val="24"/>
                <w:szCs w:val="24"/>
                <w:lang w:val="en-US" w:eastAsia="zh-CN"/>
              </w:rPr>
              <w:t>监测计划</w:t>
            </w:r>
          </w:p>
          <w:p w14:paraId="21BF8BC4">
            <w:pPr>
              <w:keepNext w:val="0"/>
              <w:keepLines w:val="0"/>
              <w:suppressLineNumbers w:val="0"/>
              <w:spacing w:before="0" w:beforeAutospacing="0" w:after="0" w:afterAutospacing="0"/>
              <w:ind w:left="0" w:right="0" w:firstLine="480" w:firstLineChars="200"/>
              <w:rPr>
                <w:rFonts w:hint="default" w:ascii="Times New Roman" w:hAnsi="Times New Roman" w:cs="Times New Roman"/>
                <w:bCs/>
                <w:color w:val="auto"/>
              </w:rPr>
            </w:pPr>
            <w:r>
              <w:rPr>
                <w:rFonts w:hint="eastAsia" w:ascii="Times New Roman" w:hAnsi="Times New Roman" w:cs="Times New Roman"/>
                <w:bCs/>
                <w:color w:val="auto"/>
              </w:rPr>
              <w:t>根据《排污单位自行监测技术指南 总则》（HJ819-2017）的要求，“厂中厂”是否需要监测根据内部和外围排污单位协商确定</w:t>
            </w:r>
            <w:r>
              <w:rPr>
                <w:rFonts w:hint="eastAsia" w:ascii="Times New Roman" w:hAnsi="Times New Roman" w:cs="Times New Roman"/>
                <w:bCs/>
                <w:color w:val="auto"/>
                <w:lang w:eastAsia="zh-CN"/>
              </w:rPr>
              <w:t>，</w:t>
            </w:r>
            <w:r>
              <w:rPr>
                <w:rFonts w:hint="eastAsia" w:ascii="Times New Roman" w:hAnsi="Times New Roman" w:cs="Times New Roman"/>
                <w:bCs/>
                <w:color w:val="auto"/>
                <w:lang w:val="en-US" w:eastAsia="zh-CN"/>
              </w:rPr>
              <w:t>确定本项目厂界为</w:t>
            </w:r>
            <w:r>
              <w:rPr>
                <w:rFonts w:hint="eastAsia" w:cs="Times New Roman"/>
                <w:bCs/>
                <w:color w:val="auto"/>
                <w:lang w:val="en-US" w:eastAsia="zh-CN"/>
              </w:rPr>
              <w:t>中通建材公司</w:t>
            </w:r>
            <w:r>
              <w:rPr>
                <w:rFonts w:hint="eastAsia" w:ascii="Times New Roman" w:hAnsi="Times New Roman" w:cs="Times New Roman"/>
                <w:bCs/>
                <w:color w:val="auto"/>
                <w:lang w:val="en-US" w:eastAsia="zh-CN"/>
              </w:rPr>
              <w:t>厂界，监测由本项目及该公司协商确定，</w:t>
            </w:r>
            <w:r>
              <w:rPr>
                <w:rFonts w:hint="eastAsia" w:ascii="Times New Roman" w:hAnsi="Times New Roman" w:cs="Times New Roman"/>
                <w:bCs/>
                <w:color w:val="auto"/>
              </w:rPr>
              <w:t>项目噪声监测一览表如下：</w:t>
            </w:r>
          </w:p>
          <w:p w14:paraId="1709F40A">
            <w:pPr>
              <w:keepNext w:val="0"/>
              <w:keepLines w:val="0"/>
              <w:suppressLineNumbers w:val="0"/>
              <w:topLinePunct/>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rPr>
              <w:t>表4-</w:t>
            </w:r>
            <w:r>
              <w:rPr>
                <w:rFonts w:hint="eastAsia" w:ascii="Times New Roman" w:hAnsi="Times New Roman" w:cs="Times New Roman"/>
                <w:b/>
                <w:bCs/>
                <w:color w:val="auto"/>
                <w:sz w:val="21"/>
              </w:rPr>
              <w:t>1</w:t>
            </w:r>
            <w:r>
              <w:rPr>
                <w:rFonts w:hint="eastAsia" w:ascii="Times New Roman" w:hAnsi="Times New Roman" w:cs="Times New Roman"/>
                <w:b/>
                <w:bCs/>
                <w:color w:val="auto"/>
                <w:sz w:val="21"/>
                <w:lang w:val="en-US" w:eastAsia="zh-CN"/>
              </w:rPr>
              <w:t>5</w:t>
            </w:r>
            <w:r>
              <w:rPr>
                <w:rFonts w:hint="default" w:ascii="Times New Roman" w:hAnsi="Times New Roman" w:cs="Times New Roman"/>
                <w:b/>
                <w:bCs/>
                <w:color w:val="auto"/>
                <w:sz w:val="21"/>
              </w:rPr>
              <w:t xml:space="preserve">  项目营运期环境监测计划</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903"/>
              <w:gridCol w:w="1566"/>
              <w:gridCol w:w="1948"/>
              <w:gridCol w:w="1940"/>
            </w:tblGrid>
            <w:tr w14:paraId="56A38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noWrap w:val="0"/>
                  <w:vAlign w:val="center"/>
                </w:tcPr>
                <w:p w14:paraId="0A216997">
                  <w:pPr>
                    <w:keepNext w:val="0"/>
                    <w:keepLines w:val="0"/>
                    <w:suppressLineNumbers w:val="0"/>
                    <w:spacing w:before="0" w:beforeAutospacing="0" w:after="0" w:afterAutospacing="0" w:line="240" w:lineRule="auto"/>
                    <w:ind w:left="0" w:right="0"/>
                    <w:jc w:val="center"/>
                    <w:outlineLvl w:val="3"/>
                    <w:rPr>
                      <w:rFonts w:hint="default" w:ascii="Times New Roman" w:hAnsi="Times New Roman" w:cs="Times New Roman"/>
                      <w:b/>
                      <w:color w:val="auto"/>
                      <w:sz w:val="21"/>
                    </w:rPr>
                  </w:pPr>
                  <w:r>
                    <w:rPr>
                      <w:rFonts w:hint="default" w:ascii="Times New Roman" w:hAnsi="Times New Roman" w:cs="Times New Roman"/>
                      <w:b/>
                      <w:color w:val="auto"/>
                      <w:sz w:val="21"/>
                    </w:rPr>
                    <w:t>类别</w:t>
                  </w:r>
                </w:p>
              </w:tc>
              <w:tc>
                <w:tcPr>
                  <w:tcW w:w="1146" w:type="pct"/>
                  <w:noWrap w:val="0"/>
                  <w:vAlign w:val="center"/>
                </w:tcPr>
                <w:p w14:paraId="58D616A0">
                  <w:pPr>
                    <w:keepNext w:val="0"/>
                    <w:keepLines w:val="0"/>
                    <w:suppressLineNumbers w:val="0"/>
                    <w:spacing w:before="0" w:beforeAutospacing="0" w:after="0" w:afterAutospacing="0" w:line="240" w:lineRule="auto"/>
                    <w:ind w:left="0" w:right="0"/>
                    <w:jc w:val="center"/>
                    <w:outlineLvl w:val="3"/>
                    <w:rPr>
                      <w:rFonts w:hint="default" w:ascii="Times New Roman" w:hAnsi="Times New Roman" w:cs="Times New Roman"/>
                      <w:b/>
                      <w:color w:val="auto"/>
                      <w:sz w:val="21"/>
                    </w:rPr>
                  </w:pPr>
                  <w:r>
                    <w:rPr>
                      <w:rFonts w:hint="default" w:ascii="Times New Roman" w:hAnsi="Times New Roman" w:cs="Times New Roman"/>
                      <w:b/>
                      <w:color w:val="auto"/>
                      <w:sz w:val="21"/>
                    </w:rPr>
                    <w:t>污染源</w:t>
                  </w:r>
                </w:p>
              </w:tc>
              <w:tc>
                <w:tcPr>
                  <w:tcW w:w="943" w:type="pct"/>
                  <w:noWrap w:val="0"/>
                  <w:vAlign w:val="center"/>
                </w:tcPr>
                <w:p w14:paraId="76EACAC1">
                  <w:pPr>
                    <w:keepNext w:val="0"/>
                    <w:keepLines w:val="0"/>
                    <w:suppressLineNumbers w:val="0"/>
                    <w:spacing w:before="0" w:beforeAutospacing="0" w:after="0" w:afterAutospacing="0" w:line="240" w:lineRule="auto"/>
                    <w:ind w:left="0" w:right="0"/>
                    <w:jc w:val="center"/>
                    <w:outlineLvl w:val="3"/>
                    <w:rPr>
                      <w:rFonts w:hint="default" w:ascii="Times New Roman" w:hAnsi="Times New Roman" w:cs="Times New Roman"/>
                      <w:b/>
                      <w:color w:val="auto"/>
                      <w:sz w:val="21"/>
                    </w:rPr>
                  </w:pPr>
                  <w:r>
                    <w:rPr>
                      <w:rFonts w:hint="default" w:ascii="Times New Roman" w:hAnsi="Times New Roman" w:cs="Times New Roman"/>
                      <w:b/>
                      <w:color w:val="auto"/>
                      <w:sz w:val="21"/>
                    </w:rPr>
                    <w:t>监测项目</w:t>
                  </w:r>
                </w:p>
              </w:tc>
              <w:tc>
                <w:tcPr>
                  <w:tcW w:w="1173" w:type="pct"/>
                  <w:noWrap w:val="0"/>
                  <w:vAlign w:val="center"/>
                </w:tcPr>
                <w:p w14:paraId="6A500124">
                  <w:pPr>
                    <w:keepNext w:val="0"/>
                    <w:keepLines w:val="0"/>
                    <w:suppressLineNumbers w:val="0"/>
                    <w:spacing w:before="0" w:beforeAutospacing="0" w:after="0" w:afterAutospacing="0" w:line="240" w:lineRule="auto"/>
                    <w:ind w:left="0" w:right="0"/>
                    <w:jc w:val="center"/>
                    <w:outlineLvl w:val="3"/>
                    <w:rPr>
                      <w:rFonts w:hint="default" w:ascii="Times New Roman" w:hAnsi="Times New Roman" w:cs="Times New Roman"/>
                      <w:b/>
                      <w:color w:val="auto"/>
                      <w:sz w:val="21"/>
                    </w:rPr>
                  </w:pPr>
                  <w:r>
                    <w:rPr>
                      <w:rFonts w:hint="default" w:ascii="Times New Roman" w:hAnsi="Times New Roman" w:cs="Times New Roman"/>
                      <w:b/>
                      <w:color w:val="auto"/>
                      <w:sz w:val="21"/>
                    </w:rPr>
                    <w:t>监测点位</w:t>
                  </w:r>
                </w:p>
              </w:tc>
              <w:tc>
                <w:tcPr>
                  <w:tcW w:w="1169" w:type="pct"/>
                  <w:noWrap w:val="0"/>
                  <w:vAlign w:val="center"/>
                </w:tcPr>
                <w:p w14:paraId="46CA62A7">
                  <w:pPr>
                    <w:keepNext w:val="0"/>
                    <w:keepLines w:val="0"/>
                    <w:suppressLineNumbers w:val="0"/>
                    <w:spacing w:before="0" w:beforeAutospacing="0" w:after="0" w:afterAutospacing="0" w:line="240" w:lineRule="auto"/>
                    <w:ind w:left="0" w:right="0"/>
                    <w:jc w:val="center"/>
                    <w:outlineLvl w:val="3"/>
                    <w:rPr>
                      <w:rFonts w:hint="default" w:ascii="Times New Roman" w:hAnsi="Times New Roman" w:cs="Times New Roman"/>
                      <w:b/>
                      <w:color w:val="auto"/>
                      <w:sz w:val="21"/>
                    </w:rPr>
                  </w:pPr>
                  <w:r>
                    <w:rPr>
                      <w:rFonts w:hint="default" w:ascii="Times New Roman" w:hAnsi="Times New Roman" w:cs="Times New Roman"/>
                      <w:b/>
                      <w:color w:val="auto"/>
                      <w:sz w:val="21"/>
                    </w:rPr>
                    <w:t>监测频次</w:t>
                  </w:r>
                </w:p>
              </w:tc>
            </w:tr>
            <w:tr w14:paraId="57DBF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66" w:type="pct"/>
                  <w:noWrap w:val="0"/>
                  <w:vAlign w:val="center"/>
                </w:tcPr>
                <w:p w14:paraId="764EC9AF">
                  <w:pPr>
                    <w:keepNext w:val="0"/>
                    <w:keepLines w:val="0"/>
                    <w:suppressLineNumbers w:val="0"/>
                    <w:spacing w:before="0" w:beforeAutospacing="0" w:after="0" w:afterAutospacing="0" w:line="240" w:lineRule="auto"/>
                    <w:ind w:left="0" w:right="0"/>
                    <w:jc w:val="center"/>
                    <w:outlineLvl w:val="3"/>
                    <w:rPr>
                      <w:rFonts w:hint="default" w:ascii="Times New Roman" w:hAnsi="Times New Roman" w:cs="Times New Roman"/>
                      <w:color w:val="auto"/>
                      <w:sz w:val="21"/>
                    </w:rPr>
                  </w:pPr>
                  <w:r>
                    <w:rPr>
                      <w:rFonts w:hint="default" w:ascii="Times New Roman" w:hAnsi="Times New Roman" w:cs="Times New Roman"/>
                      <w:color w:val="auto"/>
                      <w:sz w:val="21"/>
                    </w:rPr>
                    <w:t>噪声</w:t>
                  </w:r>
                </w:p>
              </w:tc>
              <w:tc>
                <w:tcPr>
                  <w:tcW w:w="1146" w:type="pct"/>
                  <w:noWrap w:val="0"/>
                  <w:vAlign w:val="center"/>
                </w:tcPr>
                <w:p w14:paraId="1C60F841">
                  <w:pPr>
                    <w:keepNext w:val="0"/>
                    <w:keepLines w:val="0"/>
                    <w:suppressLineNumbers w:val="0"/>
                    <w:spacing w:before="0" w:beforeAutospacing="0" w:after="0" w:afterAutospacing="0" w:line="240" w:lineRule="auto"/>
                    <w:ind w:left="0" w:right="0"/>
                    <w:jc w:val="center"/>
                    <w:outlineLvl w:val="3"/>
                    <w:rPr>
                      <w:rFonts w:hint="default" w:ascii="Times New Roman" w:hAnsi="Times New Roman" w:cs="Times New Roman"/>
                      <w:color w:val="auto"/>
                      <w:sz w:val="21"/>
                    </w:rPr>
                  </w:pPr>
                  <w:r>
                    <w:rPr>
                      <w:rFonts w:hint="default" w:ascii="Times New Roman" w:hAnsi="Times New Roman" w:cs="Times New Roman"/>
                      <w:color w:val="auto"/>
                      <w:sz w:val="21"/>
                    </w:rPr>
                    <w:t>设备运行噪声</w:t>
                  </w:r>
                </w:p>
              </w:tc>
              <w:tc>
                <w:tcPr>
                  <w:tcW w:w="943" w:type="pct"/>
                  <w:noWrap w:val="0"/>
                  <w:vAlign w:val="center"/>
                </w:tcPr>
                <w:p w14:paraId="6B32FEA9">
                  <w:pPr>
                    <w:keepNext w:val="0"/>
                    <w:keepLines w:val="0"/>
                    <w:suppressLineNumbers w:val="0"/>
                    <w:spacing w:before="0" w:beforeAutospacing="0" w:after="0" w:afterAutospacing="0" w:line="240" w:lineRule="auto"/>
                    <w:ind w:left="0" w:right="0"/>
                    <w:jc w:val="center"/>
                    <w:outlineLvl w:val="3"/>
                    <w:rPr>
                      <w:rFonts w:hint="default" w:ascii="Times New Roman" w:hAnsi="Times New Roman" w:cs="Times New Roman"/>
                      <w:color w:val="auto"/>
                      <w:sz w:val="21"/>
                    </w:rPr>
                  </w:pPr>
                  <w:r>
                    <w:rPr>
                      <w:rFonts w:hint="default" w:ascii="Times New Roman" w:hAnsi="Times New Roman" w:cs="Times New Roman"/>
                      <w:color w:val="auto"/>
                      <w:sz w:val="21"/>
                    </w:rPr>
                    <w:t>噪声</w:t>
                  </w:r>
                </w:p>
              </w:tc>
              <w:tc>
                <w:tcPr>
                  <w:tcW w:w="1173" w:type="pct"/>
                  <w:noWrap w:val="0"/>
                  <w:vAlign w:val="center"/>
                </w:tcPr>
                <w:p w14:paraId="7FCD1A1D">
                  <w:pPr>
                    <w:keepNext w:val="0"/>
                    <w:keepLines w:val="0"/>
                    <w:suppressLineNumbers w:val="0"/>
                    <w:spacing w:before="0" w:beforeAutospacing="0" w:after="0" w:afterAutospacing="0" w:line="240" w:lineRule="auto"/>
                    <w:ind w:left="0" w:right="0"/>
                    <w:jc w:val="center"/>
                    <w:outlineLvl w:val="3"/>
                    <w:rPr>
                      <w:rFonts w:hint="default" w:ascii="Times New Roman" w:hAnsi="Times New Roman" w:cs="Times New Roman"/>
                      <w:color w:val="auto"/>
                      <w:sz w:val="21"/>
                    </w:rPr>
                  </w:pPr>
                  <w:r>
                    <w:rPr>
                      <w:rFonts w:hint="default" w:ascii="Times New Roman" w:hAnsi="Times New Roman" w:cs="Times New Roman"/>
                      <w:color w:val="auto"/>
                      <w:sz w:val="21"/>
                    </w:rPr>
                    <w:t>四周厂界外1m处</w:t>
                  </w:r>
                </w:p>
              </w:tc>
              <w:tc>
                <w:tcPr>
                  <w:tcW w:w="1169" w:type="pct"/>
                  <w:noWrap w:val="0"/>
                  <w:vAlign w:val="center"/>
                </w:tcPr>
                <w:p w14:paraId="37F9E2BC">
                  <w:pPr>
                    <w:keepNext w:val="0"/>
                    <w:keepLines w:val="0"/>
                    <w:suppressLineNumbers w:val="0"/>
                    <w:spacing w:before="0" w:beforeAutospacing="0" w:after="0" w:afterAutospacing="0" w:line="240" w:lineRule="auto"/>
                    <w:ind w:left="0" w:right="0"/>
                    <w:jc w:val="center"/>
                    <w:outlineLvl w:val="3"/>
                    <w:rPr>
                      <w:rFonts w:hint="default" w:ascii="Times New Roman" w:hAnsi="Times New Roman" w:cs="Times New Roman"/>
                      <w:color w:val="auto"/>
                      <w:sz w:val="21"/>
                    </w:rPr>
                  </w:pPr>
                  <w:r>
                    <w:rPr>
                      <w:rFonts w:hint="eastAsia" w:ascii="Times New Roman" w:hAnsi="Times New Roman" w:cs="Times New Roman"/>
                      <w:color w:val="auto"/>
                      <w:sz w:val="21"/>
                      <w:lang w:val="en-US" w:eastAsia="zh-CN"/>
                    </w:rPr>
                    <w:t>1</w:t>
                  </w:r>
                  <w:r>
                    <w:rPr>
                      <w:rFonts w:hint="default" w:ascii="Times New Roman" w:hAnsi="Times New Roman" w:cs="Times New Roman"/>
                      <w:color w:val="auto"/>
                      <w:sz w:val="21"/>
                    </w:rPr>
                    <w:t>次/</w:t>
                  </w:r>
                  <w:r>
                    <w:rPr>
                      <w:rFonts w:hint="eastAsia" w:ascii="Times New Roman" w:hAnsi="Times New Roman" w:cs="Times New Roman"/>
                      <w:color w:val="auto"/>
                      <w:sz w:val="21"/>
                      <w:lang w:val="en-US" w:eastAsia="zh-CN"/>
                    </w:rPr>
                    <w:t>每季度</w:t>
                  </w:r>
                  <w:r>
                    <w:rPr>
                      <w:rFonts w:hint="default" w:ascii="Times New Roman" w:hAnsi="Times New Roman" w:cs="Times New Roman"/>
                      <w:color w:val="auto"/>
                      <w:sz w:val="21"/>
                    </w:rPr>
                    <w:t>，每天昼间1次</w:t>
                  </w:r>
                </w:p>
              </w:tc>
            </w:tr>
          </w:tbl>
          <w:p w14:paraId="4D3CB864">
            <w:pPr>
              <w:pStyle w:val="16"/>
              <w:keepNext w:val="0"/>
              <w:keepLines w:val="0"/>
              <w:suppressLineNumbers w:val="0"/>
              <w:spacing w:before="120" w:beforeLines="50" w:beforeAutospacing="0" w:after="0" w:afterAutospacing="0" w:line="360" w:lineRule="auto"/>
              <w:ind w:left="0" w:right="0" w:firstLine="482" w:firstLineChars="200"/>
              <w:rPr>
                <w:rFonts w:hint="default" w:ascii="Times New Roman" w:hAnsi="Times New Roman" w:cs="Times New Roman"/>
                <w:b/>
                <w:color w:val="auto"/>
              </w:rPr>
            </w:pPr>
            <w:r>
              <w:rPr>
                <w:rFonts w:hint="eastAsia" w:ascii="Times New Roman" w:hAnsi="Times New Roman" w:cs="Times New Roman"/>
                <w:b/>
                <w:color w:val="auto"/>
              </w:rPr>
              <w:t>四</w:t>
            </w:r>
            <w:r>
              <w:rPr>
                <w:rFonts w:hint="default" w:ascii="Times New Roman" w:hAnsi="Times New Roman" w:cs="Times New Roman"/>
                <w:b/>
                <w:color w:val="auto"/>
              </w:rPr>
              <w:t>、固体废物</w:t>
            </w:r>
          </w:p>
          <w:p w14:paraId="6A6297F9">
            <w:pPr>
              <w:pStyle w:val="16"/>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rPr>
            </w:pPr>
            <w:r>
              <w:rPr>
                <w:rFonts w:hint="default" w:ascii="Times New Roman" w:hAnsi="Times New Roman" w:cs="Times New Roman"/>
                <w:color w:val="auto"/>
                <w:szCs w:val="32"/>
              </w:rPr>
              <w:t>本项目在营运期主要产生</w:t>
            </w:r>
            <w:r>
              <w:rPr>
                <w:rFonts w:hint="eastAsia" w:ascii="Times New Roman" w:hAnsi="Times New Roman" w:cs="Times New Roman"/>
                <w:color w:val="auto"/>
                <w:szCs w:val="32"/>
              </w:rPr>
              <w:t>的一般固体</w:t>
            </w:r>
            <w:r>
              <w:rPr>
                <w:rFonts w:hint="default" w:ascii="Times New Roman" w:hAnsi="Times New Roman" w:cs="Times New Roman"/>
                <w:color w:val="auto"/>
                <w:szCs w:val="32"/>
              </w:rPr>
              <w:t>废物</w:t>
            </w:r>
            <w:r>
              <w:rPr>
                <w:rFonts w:hint="eastAsia" w:ascii="Times New Roman" w:hAnsi="Times New Roman" w:cs="Times New Roman"/>
                <w:color w:val="auto"/>
                <w:szCs w:val="32"/>
              </w:rPr>
              <w:t>主要为：</w:t>
            </w:r>
            <w:r>
              <w:rPr>
                <w:rFonts w:hint="eastAsia" w:ascii="Times New Roman" w:hAnsi="Times New Roman" w:cs="Times New Roman"/>
                <w:color w:val="auto"/>
              </w:rPr>
              <w:t>废包装袋、</w:t>
            </w:r>
            <w:r>
              <w:rPr>
                <w:rFonts w:hint="eastAsia" w:ascii="Times New Roman" w:hAnsi="Times New Roman" w:cs="Times New Roman"/>
                <w:color w:val="auto"/>
                <w:lang w:val="en-US" w:eastAsia="zh-CN"/>
              </w:rPr>
              <w:t>灰渣、除尘灰、</w:t>
            </w:r>
            <w:r>
              <w:rPr>
                <w:rFonts w:hint="eastAsia" w:ascii="Times New Roman" w:hAnsi="Times New Roman" w:eastAsia="宋体" w:cs="Times New Roman"/>
                <w:color w:val="auto"/>
                <w:sz w:val="24"/>
                <w:szCs w:val="24"/>
                <w:lang w:val="en-US" w:eastAsia="zh-CN"/>
              </w:rPr>
              <w:t>废离子交换树脂、</w:t>
            </w:r>
            <w:r>
              <w:rPr>
                <w:rFonts w:hint="eastAsia" w:cs="Times New Roman"/>
                <w:color w:val="auto"/>
                <w:sz w:val="24"/>
                <w:szCs w:val="24"/>
                <w:lang w:val="en-US" w:eastAsia="zh-CN"/>
              </w:rPr>
              <w:t>废</w:t>
            </w:r>
            <w:r>
              <w:rPr>
                <w:rFonts w:hint="eastAsia" w:ascii="Times New Roman" w:hAnsi="Times New Roman" w:cs="Times New Roman"/>
                <w:color w:val="auto"/>
              </w:rPr>
              <w:t>吸油布、废活性炭、</w:t>
            </w:r>
            <w:r>
              <w:rPr>
                <w:rFonts w:hint="eastAsia" w:ascii="Times New Roman" w:hAnsi="Times New Roman" w:cs="Times New Roman"/>
                <w:color w:val="auto"/>
                <w:lang w:val="en-US" w:eastAsia="zh-CN"/>
              </w:rPr>
              <w:t>废机油、</w:t>
            </w:r>
            <w:r>
              <w:rPr>
                <w:rFonts w:hint="eastAsia" w:ascii="Times New Roman" w:hAnsi="Times New Roman" w:cs="Times New Roman"/>
                <w:color w:val="auto"/>
              </w:rPr>
              <w:t>生活垃圾。</w:t>
            </w:r>
          </w:p>
          <w:p w14:paraId="76C25189">
            <w:pPr>
              <w:pStyle w:val="16"/>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rPr>
            </w:pPr>
            <w:r>
              <w:rPr>
                <w:rFonts w:hint="eastAsia" w:ascii="Times New Roman" w:hAnsi="Times New Roman" w:cs="Times New Roman"/>
                <w:b/>
                <w:color w:val="auto"/>
              </w:rPr>
              <w:t>1、产生情况</w:t>
            </w:r>
          </w:p>
          <w:p w14:paraId="6428D820">
            <w:pPr>
              <w:pStyle w:val="16"/>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rPr>
            </w:pPr>
            <w:r>
              <w:rPr>
                <w:rFonts w:hint="default" w:ascii="Times New Roman" w:hAnsi="Times New Roman" w:cs="Times New Roman"/>
                <w:b/>
                <w:color w:val="auto"/>
              </w:rPr>
              <w:t>（1）一般固体废物</w:t>
            </w:r>
          </w:p>
          <w:p w14:paraId="5BE7F4DC">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eastAsia" w:ascii="Times New Roman" w:hAnsi="Times New Roman" w:cs="Times New Roman"/>
                <w:color w:val="auto"/>
              </w:rPr>
              <w:t>①</w:t>
            </w:r>
            <w:r>
              <w:rPr>
                <w:rFonts w:hint="default" w:ascii="Times New Roman" w:hAnsi="Times New Roman" w:cs="Times New Roman"/>
                <w:color w:val="auto"/>
              </w:rPr>
              <w:t>生活垃圾</w:t>
            </w:r>
          </w:p>
          <w:p w14:paraId="57C3489E">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项目运营后，共有</w:t>
            </w:r>
            <w:r>
              <w:rPr>
                <w:rFonts w:hint="eastAsia" w:ascii="Times New Roman" w:hAnsi="Times New Roman" w:cs="Times New Roman"/>
                <w:color w:val="auto"/>
                <w:lang w:eastAsia="zh-CN"/>
              </w:rPr>
              <w:t>20人</w:t>
            </w:r>
            <w:r>
              <w:rPr>
                <w:rFonts w:hint="default" w:ascii="Times New Roman" w:hAnsi="Times New Roman" w:cs="Times New Roman"/>
                <w:color w:val="auto"/>
              </w:rPr>
              <w:t>，按照每人每天产生垃圾0.5kg，工作日以</w:t>
            </w:r>
            <w:r>
              <w:rPr>
                <w:rFonts w:hint="eastAsia" w:ascii="Times New Roman" w:hAnsi="Times New Roman" w:cs="Times New Roman"/>
                <w:color w:val="auto"/>
              </w:rPr>
              <w:t>300</w:t>
            </w:r>
            <w:r>
              <w:rPr>
                <w:rFonts w:hint="default" w:ascii="Times New Roman" w:hAnsi="Times New Roman" w:cs="Times New Roman"/>
                <w:color w:val="auto"/>
              </w:rPr>
              <w:t>天计算，则生活垃圾的产生量为</w:t>
            </w:r>
            <w:r>
              <w:rPr>
                <w:rFonts w:hint="eastAsia" w:ascii="Times New Roman" w:hAnsi="Times New Roman" w:cs="Times New Roman"/>
                <w:color w:val="auto"/>
                <w:lang w:val="en-US" w:eastAsia="zh-CN"/>
              </w:rPr>
              <w:t>3</w:t>
            </w:r>
            <w:r>
              <w:rPr>
                <w:rFonts w:hint="default" w:ascii="Times New Roman" w:hAnsi="Times New Roman" w:cs="Times New Roman"/>
                <w:color w:val="auto"/>
              </w:rPr>
              <w:t>t/a。产生的生活垃圾定点袋装后，由环卫部门及时统一清运处理。</w:t>
            </w:r>
          </w:p>
          <w:p w14:paraId="0386C61E">
            <w:pPr>
              <w:keepNext w:val="0"/>
              <w:keepLines w:val="0"/>
              <w:suppressLineNumbers w:val="0"/>
              <w:spacing w:before="0" w:beforeAutospacing="0" w:after="0" w:afterAutospacing="0"/>
              <w:ind w:left="0" w:right="0" w:firstLine="480" w:firstLineChars="200"/>
              <w:rPr>
                <w:rFonts w:hint="eastAsia" w:ascii="Times New Roman" w:hAnsi="Times New Roman" w:cs="Times New Roman"/>
                <w:color w:val="auto"/>
              </w:rPr>
            </w:pPr>
            <w:r>
              <w:rPr>
                <w:rFonts w:hint="eastAsia" w:ascii="Times New Roman" w:hAnsi="Times New Roman" w:cs="Times New Roman"/>
                <w:color w:val="auto"/>
              </w:rPr>
              <w:t>②废包装袋</w:t>
            </w:r>
          </w:p>
          <w:p w14:paraId="07EE885E">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eastAsia" w:ascii="Times New Roman" w:hAnsi="Times New Roman" w:cs="Times New Roman"/>
                <w:color w:val="auto"/>
              </w:rPr>
              <w:t>本项目袋装生物质颗粒时，会产生一定量的废包装袋，产生量为</w:t>
            </w:r>
            <w:r>
              <w:rPr>
                <w:rFonts w:hint="eastAsia" w:ascii="Times New Roman" w:hAnsi="Times New Roman" w:cs="Times New Roman"/>
                <w:color w:val="auto"/>
                <w:lang w:val="en-US" w:eastAsia="zh-CN"/>
              </w:rPr>
              <w:t>0.01t/a</w:t>
            </w:r>
            <w:r>
              <w:rPr>
                <w:rFonts w:hint="eastAsia" w:ascii="Times New Roman" w:hAnsi="Times New Roman" w:cs="Times New Roman"/>
                <w:color w:val="auto"/>
              </w:rPr>
              <w:t>，外售给废品回收站。</w:t>
            </w:r>
          </w:p>
          <w:p w14:paraId="17A4644A">
            <w:pPr>
              <w:keepNext w:val="0"/>
              <w:keepLines w:val="0"/>
              <w:suppressLineNumbers w:val="0"/>
              <w:spacing w:before="0" w:beforeAutospacing="0" w:after="0" w:afterAutospacing="0"/>
              <w:ind w:left="0" w:right="0" w:firstLine="480" w:firstLineChars="200"/>
              <w:rPr>
                <w:rFonts w:hint="eastAsia" w:ascii="Times New Roman" w:hAnsi="Times New Roman" w:cs="Times New Roman"/>
                <w:color w:val="auto"/>
              </w:rPr>
            </w:pPr>
            <w:r>
              <w:rPr>
                <w:rFonts w:hint="eastAsia" w:ascii="Times New Roman" w:hAnsi="Times New Roman" w:cs="Times New Roman"/>
                <w:color w:val="auto"/>
              </w:rPr>
              <w:t>③</w:t>
            </w:r>
            <w:r>
              <w:rPr>
                <w:rFonts w:hint="eastAsia" w:ascii="Times New Roman" w:hAnsi="Times New Roman" w:cs="Times New Roman"/>
                <w:color w:val="auto"/>
                <w:lang w:val="en-US" w:eastAsia="zh-CN"/>
              </w:rPr>
              <w:t>锅炉燃烧灰渣</w:t>
            </w:r>
          </w:p>
          <w:p w14:paraId="6BC79AF8">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eastAsia" w:ascii="Times New Roman" w:hAnsi="Times New Roman" w:cs="Times New Roman"/>
                <w:color w:val="auto"/>
                <w:lang w:val="en-US" w:eastAsia="zh-CN"/>
              </w:rPr>
              <w:t>本项目年使用生物质颗粒</w:t>
            </w:r>
            <w:r>
              <w:rPr>
                <w:rFonts w:hint="eastAsia" w:cs="Times New Roman"/>
                <w:color w:val="auto"/>
                <w:lang w:val="en-US" w:eastAsia="zh-CN"/>
              </w:rPr>
              <w:t>约2040</w:t>
            </w:r>
            <w:r>
              <w:rPr>
                <w:rFonts w:hint="eastAsia" w:ascii="Times New Roman" w:hAnsi="Times New Roman" w:cs="Times New Roman"/>
                <w:color w:val="auto"/>
                <w:lang w:val="en-US" w:eastAsia="zh-CN"/>
              </w:rPr>
              <w:t>t，灰渣产生量约为原料量的</w:t>
            </w:r>
            <w:r>
              <w:rPr>
                <w:rFonts w:hint="eastAsia" w:ascii="Times New Roman" w:hAnsi="Times New Roman" w:cs="Times New Roman"/>
                <w:color w:val="auto"/>
                <w:highlight w:val="none"/>
                <w:lang w:val="en-US" w:eastAsia="zh-CN"/>
              </w:rPr>
              <w:t>3~</w:t>
            </w:r>
            <w:r>
              <w:rPr>
                <w:rFonts w:hint="eastAsia" w:cs="Times New Roman"/>
                <w:color w:val="auto"/>
                <w:highlight w:val="none"/>
                <w:lang w:val="en-US" w:eastAsia="zh-CN"/>
              </w:rPr>
              <w:t>6</w:t>
            </w: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lang w:val="en-US" w:eastAsia="zh-CN"/>
              </w:rPr>
              <w:t>，本项目以</w:t>
            </w:r>
            <w:r>
              <w:rPr>
                <w:rFonts w:hint="eastAsia" w:cs="Times New Roman"/>
                <w:color w:val="auto"/>
                <w:lang w:val="en-US" w:eastAsia="zh-CN"/>
              </w:rPr>
              <w:t>6</w:t>
            </w:r>
            <w:r>
              <w:rPr>
                <w:rFonts w:hint="eastAsia" w:ascii="Times New Roman" w:hAnsi="Times New Roman" w:cs="Times New Roman"/>
                <w:color w:val="auto"/>
                <w:lang w:val="en-US" w:eastAsia="zh-CN"/>
              </w:rPr>
              <w:t>%计，则锅炉灰渣</w:t>
            </w:r>
            <w:r>
              <w:rPr>
                <w:rFonts w:hint="eastAsia" w:ascii="Times New Roman" w:hAnsi="Times New Roman" w:cs="Times New Roman"/>
                <w:color w:val="auto"/>
              </w:rPr>
              <w:t>产生量为</w:t>
            </w:r>
            <w:r>
              <w:rPr>
                <w:rFonts w:hint="eastAsia" w:cs="Times New Roman"/>
                <w:color w:val="auto"/>
                <w:lang w:val="en-US" w:eastAsia="zh-CN"/>
              </w:rPr>
              <w:t>122.4</w:t>
            </w:r>
            <w:r>
              <w:rPr>
                <w:rFonts w:hint="default" w:ascii="Times New Roman" w:hAnsi="Times New Roman" w:cs="Times New Roman"/>
                <w:color w:val="auto"/>
              </w:rPr>
              <w:t>t/a</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灰渣外卖有机肥厂作为原料或交由农户作为肥料使用</w:t>
            </w:r>
            <w:r>
              <w:rPr>
                <w:rFonts w:hint="default" w:ascii="Times New Roman" w:hAnsi="Times New Roman" w:cs="Times New Roman"/>
                <w:color w:val="auto"/>
              </w:rPr>
              <w:t>。</w:t>
            </w:r>
          </w:p>
          <w:p w14:paraId="22ED5E9A">
            <w:pPr>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color w:val="auto"/>
                <w:lang w:eastAsia="zh-CN"/>
              </w:rPr>
            </w:pPr>
            <w:r>
              <w:rPr>
                <w:rFonts w:hint="eastAsia" w:ascii="Times New Roman" w:hAnsi="Times New Roman" w:cs="Times New Roman"/>
                <w:color w:val="auto"/>
              </w:rPr>
              <w:t>④</w:t>
            </w:r>
            <w:r>
              <w:rPr>
                <w:rFonts w:hint="eastAsia" w:ascii="Times New Roman" w:hAnsi="Times New Roman" w:cs="Times New Roman"/>
                <w:color w:val="auto"/>
                <w:lang w:val="en-US" w:eastAsia="zh-CN"/>
              </w:rPr>
              <w:t>除尘灰</w:t>
            </w:r>
          </w:p>
          <w:p w14:paraId="14AC187C">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根据项目产排污核算，项目破碎</w:t>
            </w:r>
            <w:r>
              <w:rPr>
                <w:rFonts w:hint="eastAsia" w:ascii="Times New Roman" w:cs="Times New Roman"/>
                <w:color w:val="auto"/>
                <w:sz w:val="24"/>
                <w:szCs w:val="24"/>
                <w:lang w:val="en-US" w:eastAsia="zh-CN"/>
              </w:rPr>
              <w:t>及制粒</w:t>
            </w:r>
            <w:r>
              <w:rPr>
                <w:rFonts w:hint="eastAsia" w:ascii="Times New Roman" w:hAnsi="Times New Roman" w:cs="Times New Roman"/>
                <w:color w:val="auto"/>
                <w:sz w:val="24"/>
                <w:szCs w:val="24"/>
                <w:lang w:val="en-US" w:eastAsia="zh-CN"/>
              </w:rPr>
              <w:t>粉尘除尘器收集除尘灰</w:t>
            </w:r>
            <w:r>
              <w:rPr>
                <w:rFonts w:hint="eastAsia" w:ascii="Times New Roman" w:cs="Times New Roman"/>
                <w:color w:val="auto"/>
                <w:sz w:val="24"/>
                <w:szCs w:val="24"/>
                <w:lang w:val="en-US" w:eastAsia="zh-CN"/>
              </w:rPr>
              <w:t>4.886</w:t>
            </w:r>
            <w:r>
              <w:rPr>
                <w:rFonts w:hint="eastAsia" w:ascii="Times New Roman" w:hAnsi="Times New Roman" w:cs="Times New Roman"/>
                <w:color w:val="auto"/>
                <w:sz w:val="24"/>
                <w:szCs w:val="24"/>
                <w:lang w:val="en-US" w:eastAsia="zh-CN"/>
              </w:rPr>
              <w:t>t/a，该部分除尘灰主要成分为木屑，直接回用于生产；锅炉废气处理收集除尘灰产生量为76.397 t/a，主要成分为生物质燃烧后的灰渣，与灰渣一同处理</w:t>
            </w:r>
            <w:r>
              <w:rPr>
                <w:rFonts w:hint="default" w:ascii="Times New Roman" w:hAnsi="Times New Roman" w:cs="Calibri"/>
                <w:color w:val="auto"/>
                <w:sz w:val="24"/>
                <w:szCs w:val="24"/>
              </w:rPr>
              <w:t>。</w:t>
            </w:r>
          </w:p>
          <w:p w14:paraId="07DBBF1F">
            <w:pPr>
              <w:pStyle w:val="13"/>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rPr>
              <w:t>⑤</w:t>
            </w:r>
            <w:r>
              <w:rPr>
                <w:rFonts w:hint="eastAsia" w:ascii="Times New Roman" w:hAnsi="Times New Roman" w:eastAsia="宋体" w:cs="Times New Roman"/>
                <w:color w:val="auto"/>
                <w:sz w:val="24"/>
                <w:szCs w:val="24"/>
                <w:lang w:val="en-US" w:eastAsia="zh-CN"/>
              </w:rPr>
              <w:t>废离子交换树脂</w:t>
            </w:r>
          </w:p>
          <w:p w14:paraId="2E754351">
            <w:pPr>
              <w:pStyle w:val="13"/>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项目软水制备采用离子交换树脂，厂内每3天反冲洗一次进行再生，无法再生后作为固废处理，离子交换树脂每两年更换一次，废离子交换树脂产生量约为0.3t/a，由厂家回收处理。</w:t>
            </w:r>
          </w:p>
          <w:p w14:paraId="2C75412F">
            <w:pPr>
              <w:keepNext w:val="0"/>
              <w:keepLines w:val="0"/>
              <w:suppressLineNumbers w:val="0"/>
              <w:adjustRightInd w:val="0"/>
              <w:snapToGrid w:val="0"/>
              <w:spacing w:before="0" w:beforeAutospacing="0" w:after="0" w:afterAutospacing="0"/>
              <w:ind w:left="0" w:right="0" w:firstLine="482" w:firstLineChars="200"/>
              <w:rPr>
                <w:rFonts w:hint="default" w:ascii="Times New Roman" w:hAnsi="Times New Roman" w:cs="Times New Roman"/>
                <w:b/>
                <w:bCs/>
                <w:color w:val="auto"/>
              </w:rPr>
            </w:pPr>
            <w:r>
              <w:rPr>
                <w:rFonts w:hint="eastAsia" w:ascii="Times New Roman" w:hAnsi="Times New Roman" w:cs="Times New Roman"/>
                <w:b/>
                <w:bCs/>
                <w:color w:val="auto"/>
              </w:rPr>
              <w:t>（2）</w:t>
            </w:r>
            <w:r>
              <w:rPr>
                <w:rFonts w:hint="default" w:ascii="Times New Roman" w:hAnsi="Times New Roman" w:cs="Times New Roman"/>
                <w:b/>
                <w:bCs/>
                <w:color w:val="auto"/>
              </w:rPr>
              <w:t>危险废物</w:t>
            </w:r>
          </w:p>
          <w:p w14:paraId="2CCE7533">
            <w:pPr>
              <w:pStyle w:val="13"/>
              <w:keepNext w:val="0"/>
              <w:keepLines w:val="0"/>
              <w:suppressLineNumbers w:val="0"/>
              <w:spacing w:before="0" w:beforeAutospacing="0" w:after="0" w:afterAutospacing="0" w:line="360" w:lineRule="auto"/>
              <w:ind w:left="0" w:right="0" w:firstLine="540" w:firstLineChars="200"/>
              <w:rPr>
                <w:rFonts w:hint="eastAsia" w:ascii="宋体" w:hAnsi="宋体" w:eastAsia="宋体" w:cs="宋体"/>
                <w:color w:val="auto"/>
                <w:sz w:val="24"/>
                <w:szCs w:val="24"/>
                <w:lang w:val="en-US" w:eastAsia="zh-CN"/>
              </w:rPr>
            </w:pPr>
            <w:r>
              <w:rPr>
                <w:rFonts w:hint="eastAsia" w:ascii="宋体" w:hAnsi="宋体" w:eastAsia="宋体" w:cs="宋体"/>
                <w:color w:val="auto"/>
                <w:kern w:val="0"/>
              </w:rPr>
              <w:t>①</w:t>
            </w:r>
            <w:r>
              <w:rPr>
                <w:rFonts w:hint="eastAsia" w:ascii="宋体" w:hAnsi="宋体" w:eastAsia="宋体" w:cs="宋体"/>
                <w:color w:val="auto"/>
                <w:sz w:val="24"/>
                <w:szCs w:val="24"/>
                <w:lang w:val="en-US" w:eastAsia="zh-CN"/>
              </w:rPr>
              <w:t>废吸油布</w:t>
            </w:r>
          </w:p>
          <w:p w14:paraId="72E3A225">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项目在油水分离过程中将产生</w:t>
            </w:r>
            <w:r>
              <w:rPr>
                <w:rFonts w:hint="eastAsia" w:ascii="Times New Roman" w:hAnsi="Times New Roman" w:eastAsia="宋体" w:cs="Times New Roman"/>
                <w:color w:val="auto"/>
                <w:sz w:val="24"/>
                <w:szCs w:val="24"/>
                <w:lang w:val="en-US" w:eastAsia="zh-CN"/>
              </w:rPr>
              <w:t>废</w:t>
            </w:r>
            <w:r>
              <w:rPr>
                <w:rFonts w:hint="default" w:ascii="Times New Roman" w:hAnsi="Times New Roman" w:eastAsia="宋体" w:cs="Times New Roman"/>
                <w:color w:val="auto"/>
                <w:sz w:val="24"/>
                <w:szCs w:val="24"/>
                <w:lang w:val="en-US" w:eastAsia="zh-CN"/>
              </w:rPr>
              <w:t>吸油布，产生量约为0.15t/a，</w:t>
            </w:r>
            <w:r>
              <w:rPr>
                <w:rFonts w:hint="default" w:ascii="Times New Roman" w:hAnsi="Times New Roman" w:eastAsia="宋体" w:cs="Times New Roman"/>
                <w:b w:val="0"/>
                <w:bCs w:val="0"/>
                <w:color w:val="auto"/>
                <w:sz w:val="24"/>
                <w:szCs w:val="24"/>
                <w:vertAlign w:val="baseline"/>
                <w:lang w:eastAsia="zh-CN"/>
              </w:rPr>
              <w:t>《国家危险废物名录》（</w:t>
            </w:r>
            <w:r>
              <w:rPr>
                <w:rFonts w:hint="eastAsia" w:ascii="Times New Roman" w:hAnsi="Times New Roman" w:eastAsia="宋体" w:cs="Times New Roman"/>
                <w:b w:val="0"/>
                <w:bCs w:val="0"/>
                <w:color w:val="auto"/>
                <w:sz w:val="24"/>
                <w:szCs w:val="24"/>
                <w:vertAlign w:val="baseline"/>
                <w:lang w:val="en-US" w:eastAsia="zh-CN"/>
              </w:rPr>
              <w:t>2021</w:t>
            </w:r>
            <w:r>
              <w:rPr>
                <w:rFonts w:hint="default" w:ascii="Times New Roman" w:hAnsi="Times New Roman" w:eastAsia="宋体" w:cs="Times New Roman"/>
                <w:b w:val="0"/>
                <w:bCs w:val="0"/>
                <w:color w:val="auto"/>
                <w:sz w:val="24"/>
                <w:szCs w:val="24"/>
                <w:vertAlign w:val="baseline"/>
                <w:lang w:eastAsia="zh-CN"/>
              </w:rPr>
              <w:t>）</w:t>
            </w:r>
            <w:r>
              <w:rPr>
                <w:rFonts w:hint="eastAsia" w:ascii="Times New Roman" w:hAnsi="Times New Roman" w:eastAsia="宋体" w:cs="Times New Roman"/>
                <w:b w:val="0"/>
                <w:bCs w:val="0"/>
                <w:color w:val="auto"/>
                <w:sz w:val="24"/>
                <w:szCs w:val="24"/>
                <w:vertAlign w:val="baseline"/>
                <w:lang w:eastAsia="zh-CN"/>
              </w:rPr>
              <w:t>，</w:t>
            </w:r>
            <w:r>
              <w:rPr>
                <w:rFonts w:hint="default" w:ascii="Times New Roman" w:hAnsi="Times New Roman" w:eastAsia="宋体" w:cs="Times New Roman"/>
                <w:b w:val="0"/>
                <w:bCs w:val="0"/>
                <w:color w:val="auto"/>
                <w:sz w:val="24"/>
                <w:szCs w:val="24"/>
                <w:vertAlign w:val="baseline"/>
                <w:lang w:eastAsia="zh-CN"/>
              </w:rPr>
              <w:t>废</w:t>
            </w:r>
            <w:r>
              <w:rPr>
                <w:rFonts w:hint="default" w:ascii="Times New Roman" w:hAnsi="Times New Roman" w:eastAsia="宋体" w:cs="Times New Roman"/>
                <w:color w:val="auto"/>
                <w:sz w:val="24"/>
                <w:szCs w:val="24"/>
                <w:lang w:val="en-US" w:eastAsia="zh-CN"/>
              </w:rPr>
              <w:t>吸油布</w:t>
            </w:r>
            <w:r>
              <w:rPr>
                <w:rFonts w:hint="default" w:ascii="Times New Roman" w:hAnsi="Times New Roman" w:eastAsia="宋体" w:cs="Times New Roman"/>
                <w:b w:val="0"/>
                <w:bCs w:val="0"/>
                <w:color w:val="auto"/>
                <w:sz w:val="24"/>
                <w:szCs w:val="24"/>
                <w:vertAlign w:val="baseline"/>
                <w:lang w:eastAsia="zh-CN"/>
              </w:rPr>
              <w:t>为危险废物，危险废物代码HW49 900-041-49中所列含有或沾染毒性、感染性危险废物的废弃包装物、容器、过滤吸附介质</w:t>
            </w:r>
            <w:r>
              <w:rPr>
                <w:rFonts w:hint="default" w:ascii="Times New Roman" w:hAnsi="Times New Roman" w:eastAsia="宋体" w:cs="Times New Roman"/>
                <w:color w:val="auto"/>
                <w:sz w:val="24"/>
                <w:szCs w:val="24"/>
                <w:lang w:val="en-US" w:eastAsia="zh-CN"/>
              </w:rPr>
              <w:t>。</w:t>
            </w:r>
          </w:p>
          <w:p w14:paraId="5B661DB9">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cs="Times New Roman"/>
                <w:color w:val="auto"/>
                <w:kern w:val="0"/>
                <w:lang w:val="en-US" w:eastAsia="zh-CN"/>
              </w:rPr>
            </w:pPr>
            <w:r>
              <w:rPr>
                <w:rFonts w:hint="eastAsia" w:ascii="宋体" w:hAnsi="宋体" w:eastAsia="宋体" w:cs="宋体"/>
                <w:color w:val="auto"/>
                <w:kern w:val="0"/>
                <w:lang w:val="en-US" w:eastAsia="zh-CN"/>
              </w:rPr>
              <w:t>②</w:t>
            </w:r>
            <w:r>
              <w:rPr>
                <w:rFonts w:hint="eastAsia" w:ascii="Times New Roman" w:hAnsi="Times New Roman" w:cs="Times New Roman"/>
                <w:color w:val="auto"/>
                <w:kern w:val="0"/>
              </w:rPr>
              <w:t>废</w:t>
            </w:r>
            <w:r>
              <w:rPr>
                <w:rFonts w:hint="eastAsia" w:ascii="Times New Roman" w:hAnsi="Times New Roman" w:cs="Times New Roman"/>
                <w:color w:val="auto"/>
                <w:kern w:val="0"/>
                <w:lang w:val="en-US" w:eastAsia="zh-CN"/>
              </w:rPr>
              <w:t>活性炭</w:t>
            </w:r>
          </w:p>
          <w:p w14:paraId="5EA0CE80">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eastAsia="宋体" w:cs="Times New Roman"/>
                <w:b w:val="0"/>
                <w:bCs w:val="0"/>
                <w:color w:val="auto"/>
                <w:sz w:val="24"/>
                <w:szCs w:val="24"/>
                <w:vertAlign w:val="baseline"/>
                <w:lang w:eastAsia="zh-CN"/>
              </w:rPr>
            </w:pPr>
            <w:r>
              <w:rPr>
                <w:rFonts w:hint="eastAsia" w:ascii="Times New Roman" w:hAnsi="Times New Roman" w:cs="Times New Roman"/>
                <w:color w:val="auto"/>
                <w:kern w:val="0"/>
                <w:lang w:val="en-US" w:eastAsia="zh-CN"/>
              </w:rPr>
              <w:t>项目采用两级活性炭对有机废气进行处理，</w:t>
            </w:r>
            <w:r>
              <w:rPr>
                <w:rFonts w:hint="eastAsia" w:cs="Times New Roman"/>
                <w:color w:val="auto"/>
                <w:kern w:val="0"/>
                <w:lang w:val="en-US" w:eastAsia="zh-CN"/>
              </w:rPr>
              <w:t>将产生废活性炭，</w:t>
            </w:r>
            <w:r>
              <w:rPr>
                <w:rFonts w:hint="default" w:ascii="Times New Roman" w:hAnsi="Times New Roman" w:eastAsia="宋体" w:cs="Times New Roman"/>
                <w:b w:val="0"/>
                <w:bCs w:val="0"/>
                <w:color w:val="auto"/>
                <w:sz w:val="24"/>
                <w:szCs w:val="24"/>
                <w:vertAlign w:val="baseline"/>
                <w:lang w:eastAsia="zh-CN"/>
              </w:rPr>
              <w:t>根据《国家危险废物名录》（</w:t>
            </w:r>
            <w:r>
              <w:rPr>
                <w:rFonts w:hint="eastAsia" w:ascii="Times New Roman" w:hAnsi="Times New Roman" w:eastAsia="宋体" w:cs="Times New Roman"/>
                <w:b w:val="0"/>
                <w:bCs w:val="0"/>
                <w:color w:val="auto"/>
                <w:sz w:val="24"/>
                <w:szCs w:val="24"/>
                <w:vertAlign w:val="baseline"/>
                <w:lang w:val="en-US" w:eastAsia="zh-CN"/>
              </w:rPr>
              <w:t>2021</w:t>
            </w:r>
            <w:r>
              <w:rPr>
                <w:rFonts w:hint="default" w:ascii="Times New Roman" w:hAnsi="Times New Roman" w:eastAsia="宋体" w:cs="Times New Roman"/>
                <w:b w:val="0"/>
                <w:bCs w:val="0"/>
                <w:color w:val="auto"/>
                <w:sz w:val="24"/>
                <w:szCs w:val="24"/>
                <w:vertAlign w:val="baseline"/>
                <w:lang w:eastAsia="zh-CN"/>
              </w:rPr>
              <w:t>）</w:t>
            </w:r>
            <w:r>
              <w:rPr>
                <w:rFonts w:hint="eastAsia" w:ascii="Times New Roman" w:hAnsi="Times New Roman" w:eastAsia="宋体" w:cs="Times New Roman"/>
                <w:b w:val="0"/>
                <w:bCs w:val="0"/>
                <w:color w:val="auto"/>
                <w:sz w:val="24"/>
                <w:szCs w:val="24"/>
                <w:vertAlign w:val="baseline"/>
                <w:lang w:eastAsia="zh-CN"/>
              </w:rPr>
              <w:t>，</w:t>
            </w:r>
            <w:r>
              <w:rPr>
                <w:rFonts w:hint="default" w:ascii="Times New Roman" w:hAnsi="Times New Roman" w:eastAsia="宋体" w:cs="Times New Roman"/>
                <w:b w:val="0"/>
                <w:bCs w:val="0"/>
                <w:color w:val="auto"/>
                <w:sz w:val="24"/>
                <w:szCs w:val="24"/>
                <w:vertAlign w:val="baseline"/>
                <w:lang w:eastAsia="zh-CN"/>
              </w:rPr>
              <w:t>废活性炭为危险废物，危险废物代码HW49 900-041-49中所列含有或沾染毒性、感染性危险废物的废弃包装物、容器、过滤吸附介质。</w:t>
            </w:r>
          </w:p>
          <w:p w14:paraId="2A07B6A8">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eastAsia="宋体" w:cs="Times New Roman"/>
                <w:b w:val="0"/>
                <w:bCs w:val="0"/>
                <w:color w:val="auto"/>
                <w:sz w:val="24"/>
                <w:szCs w:val="24"/>
                <w:vertAlign w:val="baseline"/>
                <w:lang w:val="en-US" w:eastAsia="zh-CN"/>
              </w:rPr>
            </w:pPr>
            <w:r>
              <w:rPr>
                <w:rFonts w:hint="eastAsia"/>
                <w:color w:val="auto"/>
                <w:lang w:eastAsia="zh-CN"/>
              </w:rPr>
              <w:t>本次评价参考《工业有机废气治理活性炭使用管理手册》（2023年6月）</w:t>
            </w:r>
            <w:r>
              <w:rPr>
                <w:rFonts w:hint="eastAsia"/>
                <w:color w:val="auto"/>
                <w:lang w:val="en-US" w:eastAsia="zh-CN"/>
              </w:rPr>
              <w:t>进行计算，活性炭填充量与每小时处理废气量体积之比宜不小于 1:7000。本项目废气量5200m</w:t>
            </w:r>
            <w:r>
              <w:rPr>
                <w:rFonts w:hint="eastAsia"/>
                <w:color w:val="auto"/>
                <w:vertAlign w:val="superscript"/>
                <w:lang w:val="en-US" w:eastAsia="zh-CN"/>
              </w:rPr>
              <w:t>3</w:t>
            </w:r>
            <w:r>
              <w:rPr>
                <w:rFonts w:hint="eastAsia"/>
                <w:color w:val="auto"/>
                <w:vertAlign w:val="baseline"/>
                <w:lang w:val="en-US" w:eastAsia="zh-CN"/>
              </w:rPr>
              <w:t>/h，活性炭密度约为0.35~0.65g/cm</w:t>
            </w:r>
            <w:r>
              <w:rPr>
                <w:rFonts w:hint="eastAsia"/>
                <w:color w:val="auto"/>
                <w:vertAlign w:val="superscript"/>
                <w:lang w:val="en-US" w:eastAsia="zh-CN"/>
              </w:rPr>
              <w:t>3</w:t>
            </w:r>
            <w:r>
              <w:rPr>
                <w:rFonts w:hint="eastAsia"/>
                <w:color w:val="auto"/>
                <w:vertAlign w:val="baseline"/>
                <w:lang w:val="en-US" w:eastAsia="zh-CN"/>
              </w:rPr>
              <w:t>，本项目取0.65g/cm</w:t>
            </w:r>
            <w:r>
              <w:rPr>
                <w:rFonts w:hint="eastAsia"/>
                <w:color w:val="auto"/>
                <w:vertAlign w:val="superscript"/>
                <w:lang w:val="en-US" w:eastAsia="zh-CN"/>
              </w:rPr>
              <w:t>3</w:t>
            </w:r>
            <w:r>
              <w:rPr>
                <w:rFonts w:hint="eastAsia"/>
                <w:color w:val="auto"/>
                <w:vertAlign w:val="baseline"/>
                <w:lang w:val="en-US" w:eastAsia="zh-CN"/>
              </w:rPr>
              <w:t>，则</w:t>
            </w:r>
            <w:r>
              <w:rPr>
                <w:rFonts w:hint="eastAsia"/>
                <w:color w:val="auto"/>
                <w:lang w:val="en-US" w:eastAsia="zh-CN"/>
              </w:rPr>
              <w:t>活性炭填充量483kg，本环评要求</w:t>
            </w:r>
            <w:r>
              <w:rPr>
                <w:rFonts w:hint="default" w:ascii="Times New Roman" w:hAnsi="Times New Roman" w:eastAsia="宋体" w:cs="Times New Roman"/>
                <w:b w:val="0"/>
                <w:bCs w:val="0"/>
                <w:color w:val="auto"/>
                <w:sz w:val="24"/>
                <w:szCs w:val="24"/>
                <w:vertAlign w:val="baseline"/>
                <w:lang w:val="en-US" w:eastAsia="zh-CN"/>
              </w:rPr>
              <w:t>项目活性炭</w:t>
            </w:r>
            <w:r>
              <w:rPr>
                <w:rFonts w:hint="eastAsia" w:ascii="Times New Roman" w:hAnsi="Times New Roman" w:eastAsia="宋体" w:cs="Times New Roman"/>
                <w:b w:val="0"/>
                <w:bCs w:val="0"/>
                <w:color w:val="auto"/>
                <w:sz w:val="24"/>
                <w:szCs w:val="24"/>
                <w:vertAlign w:val="baseline"/>
                <w:lang w:val="en-US" w:eastAsia="zh-CN"/>
              </w:rPr>
              <w:t>一次</w:t>
            </w:r>
            <w:r>
              <w:rPr>
                <w:rFonts w:hint="default" w:ascii="Times New Roman" w:hAnsi="Times New Roman" w:eastAsia="宋体" w:cs="Times New Roman"/>
                <w:b w:val="0"/>
                <w:bCs w:val="0"/>
                <w:color w:val="auto"/>
                <w:sz w:val="24"/>
                <w:szCs w:val="24"/>
                <w:vertAlign w:val="baseline"/>
                <w:lang w:val="en-US" w:eastAsia="zh-CN"/>
              </w:rPr>
              <w:t>填充量为</w:t>
            </w:r>
            <w:r>
              <w:rPr>
                <w:rFonts w:hint="eastAsia" w:cs="Times New Roman"/>
                <w:b w:val="0"/>
                <w:bCs w:val="0"/>
                <w:color w:val="auto"/>
                <w:sz w:val="24"/>
                <w:szCs w:val="24"/>
                <w:vertAlign w:val="baseline"/>
                <w:lang w:val="en-US" w:eastAsia="zh-CN"/>
              </w:rPr>
              <w:t>500</w:t>
            </w:r>
            <w:r>
              <w:rPr>
                <w:rFonts w:hint="eastAsia" w:ascii="Times New Roman" w:hAnsi="Times New Roman" w:eastAsia="宋体" w:cs="Times New Roman"/>
                <w:b w:val="0"/>
                <w:bCs w:val="0"/>
                <w:color w:val="auto"/>
                <w:sz w:val="24"/>
                <w:szCs w:val="24"/>
                <w:vertAlign w:val="baseline"/>
                <w:lang w:val="en-US" w:eastAsia="zh-CN"/>
              </w:rPr>
              <w:t>kg</w:t>
            </w:r>
            <w:r>
              <w:rPr>
                <w:rFonts w:hint="eastAsia" w:cs="Times New Roman"/>
                <w:b w:val="0"/>
                <w:bCs w:val="0"/>
                <w:color w:val="auto"/>
                <w:sz w:val="24"/>
                <w:szCs w:val="24"/>
                <w:vertAlign w:val="baseline"/>
                <w:lang w:val="en-US" w:eastAsia="zh-CN"/>
              </w:rPr>
              <w:t>。同时根据手册要求，应合理</w:t>
            </w:r>
            <w:r>
              <w:rPr>
                <w:rFonts w:hint="eastAsia"/>
                <w:color w:val="auto"/>
                <w:lang w:eastAsia="zh-CN"/>
              </w:rPr>
              <w:t>设置活性炭的更换周期，</w:t>
            </w:r>
            <w:r>
              <w:rPr>
                <w:rFonts w:hint="eastAsia"/>
                <w:b/>
                <w:bCs/>
                <w:color w:val="auto"/>
                <w:lang w:eastAsia="zh-CN"/>
              </w:rPr>
              <w:t>当出口废气浓度&gt;排放限值的70%时，及时更换活性炭，并做好相应台账更换记录及危废入库记录。原则上活性炭更换周期一般不应超过累计运行500小时或3个月，</w:t>
            </w:r>
            <w:r>
              <w:rPr>
                <w:rFonts w:hint="eastAsia"/>
                <w:b/>
                <w:bCs/>
                <w:color w:val="auto"/>
                <w:lang w:val="en-US" w:eastAsia="zh-CN"/>
              </w:rPr>
              <w:t>本项目更换周期确定为3个月，则废活性炭产生量2t/a。</w:t>
            </w:r>
          </w:p>
          <w:p w14:paraId="673E8F18">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eastAsia="宋体" w:cs="Times New Roman"/>
                <w:color w:val="auto"/>
                <w:kern w:val="0"/>
                <w:lang w:val="en-US" w:eastAsia="zh-CN"/>
              </w:rPr>
            </w:pPr>
            <w:r>
              <w:rPr>
                <w:rFonts w:hint="eastAsia" w:ascii="宋体" w:hAnsi="宋体" w:eastAsia="宋体" w:cs="宋体"/>
                <w:color w:val="auto"/>
                <w:kern w:val="0"/>
                <w:lang w:val="en-US" w:eastAsia="zh-CN"/>
              </w:rPr>
              <w:t>③</w:t>
            </w:r>
            <w:r>
              <w:rPr>
                <w:rFonts w:hint="eastAsia" w:ascii="Times New Roman" w:hAnsi="Times New Roman" w:eastAsia="宋体" w:cs="Times New Roman"/>
                <w:color w:val="auto"/>
                <w:kern w:val="0"/>
                <w:lang w:val="en-US" w:eastAsia="zh-CN"/>
              </w:rPr>
              <w:t>废机油</w:t>
            </w:r>
          </w:p>
          <w:p w14:paraId="3AF89558">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本项目</w:t>
            </w:r>
            <w:r>
              <w:rPr>
                <w:rFonts w:hint="eastAsia" w:ascii="Times New Roman" w:hAnsi="Times New Roman" w:eastAsia="宋体" w:cs="Times New Roman"/>
                <w:b w:val="0"/>
                <w:bCs w:val="0"/>
                <w:color w:val="auto"/>
                <w:sz w:val="24"/>
                <w:szCs w:val="24"/>
                <w:vertAlign w:val="baseline"/>
                <w:lang w:val="en-US" w:eastAsia="zh-CN"/>
              </w:rPr>
              <w:t>生产</w:t>
            </w:r>
            <w:r>
              <w:rPr>
                <w:rFonts w:hint="eastAsia" w:ascii="Times New Roman" w:hAnsi="Times New Roman" w:eastAsia="宋体" w:cs="Times New Roman"/>
                <w:b w:val="0"/>
                <w:bCs w:val="0"/>
                <w:color w:val="auto"/>
                <w:sz w:val="24"/>
                <w:szCs w:val="24"/>
                <w:vertAlign w:val="baseline"/>
                <w:lang w:eastAsia="zh-CN"/>
              </w:rPr>
              <w:t>设备维护及检修</w:t>
            </w:r>
            <w:r>
              <w:rPr>
                <w:rFonts w:hint="default" w:ascii="Times New Roman" w:hAnsi="Times New Roman" w:eastAsia="宋体" w:cs="Times New Roman"/>
                <w:b w:val="0"/>
                <w:bCs w:val="0"/>
                <w:color w:val="auto"/>
                <w:sz w:val="24"/>
                <w:szCs w:val="24"/>
                <w:vertAlign w:val="baseline"/>
                <w:lang w:eastAsia="zh-CN"/>
              </w:rPr>
              <w:t>产生的</w:t>
            </w:r>
            <w:r>
              <w:rPr>
                <w:rFonts w:hint="eastAsia" w:ascii="Times New Roman" w:hAnsi="Times New Roman" w:eastAsia="宋体" w:cs="Times New Roman"/>
                <w:b w:val="0"/>
                <w:bCs w:val="0"/>
                <w:color w:val="auto"/>
                <w:sz w:val="24"/>
                <w:szCs w:val="24"/>
                <w:vertAlign w:val="baseline"/>
                <w:lang w:eastAsia="zh-CN"/>
              </w:rPr>
              <w:t>废机油，</w:t>
            </w:r>
            <w:r>
              <w:rPr>
                <w:rFonts w:hint="default" w:ascii="Times New Roman" w:hAnsi="Times New Roman" w:eastAsia="宋体" w:cs="Times New Roman"/>
                <w:b w:val="0"/>
                <w:bCs w:val="0"/>
                <w:color w:val="auto"/>
                <w:sz w:val="24"/>
                <w:szCs w:val="24"/>
                <w:vertAlign w:val="baseline"/>
                <w:lang w:eastAsia="zh-CN"/>
              </w:rPr>
              <w:t>产生量约为</w:t>
            </w:r>
            <w:r>
              <w:rPr>
                <w:rFonts w:hint="eastAsia" w:ascii="Times New Roman" w:hAnsi="Times New Roman" w:eastAsia="宋体" w:cs="Times New Roman"/>
                <w:b w:val="0"/>
                <w:bCs w:val="0"/>
                <w:color w:val="auto"/>
                <w:sz w:val="24"/>
                <w:szCs w:val="24"/>
                <w:vertAlign w:val="baseline"/>
                <w:lang w:eastAsia="zh-CN"/>
              </w:rPr>
              <w:t>0.0</w:t>
            </w:r>
            <w:r>
              <w:rPr>
                <w:rFonts w:hint="eastAsia" w:ascii="Times New Roman" w:hAnsi="Times New Roman" w:eastAsia="宋体" w:cs="Times New Roman"/>
                <w:b w:val="0"/>
                <w:bCs w:val="0"/>
                <w:color w:val="auto"/>
                <w:sz w:val="24"/>
                <w:szCs w:val="24"/>
                <w:vertAlign w:val="baseline"/>
                <w:lang w:val="en-US" w:eastAsia="zh-CN"/>
              </w:rPr>
              <w:t>1</w:t>
            </w:r>
            <w:r>
              <w:rPr>
                <w:rFonts w:hint="default" w:ascii="Times New Roman" w:hAnsi="Times New Roman" w:eastAsia="宋体" w:cs="Times New Roman"/>
                <w:b w:val="0"/>
                <w:bCs w:val="0"/>
                <w:color w:val="auto"/>
                <w:sz w:val="24"/>
                <w:szCs w:val="24"/>
                <w:vertAlign w:val="baseline"/>
                <w:lang w:eastAsia="zh-CN"/>
              </w:rPr>
              <w:t>t/a</w:t>
            </w:r>
            <w:r>
              <w:rPr>
                <w:rFonts w:hint="eastAsia" w:ascii="Times New Roman" w:hAnsi="Times New Roman" w:eastAsia="宋体" w:cs="Times New Roman"/>
                <w:b w:val="0"/>
                <w:bCs w:val="0"/>
                <w:color w:val="auto"/>
                <w:sz w:val="24"/>
                <w:szCs w:val="24"/>
                <w:vertAlign w:val="baseline"/>
                <w:lang w:eastAsia="zh-CN"/>
              </w:rPr>
              <w:t>，</w:t>
            </w:r>
            <w:r>
              <w:rPr>
                <w:rFonts w:hint="eastAsia" w:ascii="Times New Roman" w:hAnsi="Times New Roman" w:eastAsia="宋体" w:cs="Times New Roman"/>
                <w:b w:val="0"/>
                <w:bCs w:val="0"/>
                <w:color w:val="auto"/>
                <w:sz w:val="24"/>
                <w:szCs w:val="24"/>
                <w:vertAlign w:val="baseline"/>
                <w:lang w:val="en-US" w:eastAsia="zh-CN"/>
              </w:rPr>
              <w:t>机械车辆等设备在专业维修厂进行维修，不在厂内进行维修</w:t>
            </w:r>
            <w:r>
              <w:rPr>
                <w:rFonts w:hint="default" w:ascii="Times New Roman" w:hAnsi="Times New Roman" w:eastAsia="宋体" w:cs="Times New Roman"/>
                <w:b w:val="0"/>
                <w:bCs w:val="0"/>
                <w:color w:val="auto"/>
                <w:sz w:val="24"/>
                <w:szCs w:val="24"/>
                <w:vertAlign w:val="baseline"/>
                <w:lang w:eastAsia="zh-CN"/>
              </w:rPr>
              <w:t>。该类废物属于《国家危险废物名录》（</w:t>
            </w:r>
            <w:r>
              <w:rPr>
                <w:rFonts w:hint="eastAsia" w:ascii="Times New Roman" w:hAnsi="Times New Roman" w:eastAsia="宋体" w:cs="Times New Roman"/>
                <w:b w:val="0"/>
                <w:bCs w:val="0"/>
                <w:color w:val="auto"/>
                <w:sz w:val="24"/>
                <w:szCs w:val="24"/>
                <w:vertAlign w:val="baseline"/>
                <w:lang w:val="en-US" w:eastAsia="zh-CN"/>
              </w:rPr>
              <w:t>2021</w:t>
            </w:r>
            <w:r>
              <w:rPr>
                <w:rFonts w:hint="default" w:ascii="Times New Roman" w:hAnsi="Times New Roman" w:eastAsia="宋体" w:cs="Times New Roman"/>
                <w:b w:val="0"/>
                <w:bCs w:val="0"/>
                <w:color w:val="auto"/>
                <w:sz w:val="24"/>
                <w:szCs w:val="24"/>
                <w:vertAlign w:val="baseline"/>
                <w:lang w:eastAsia="zh-CN"/>
              </w:rPr>
              <w:t>）中HW08号：废矿物油与含矿物油废物，其废物代码属于：900-249-08其他生产、销售、使用过程中产生的废矿物油及含矿物油废物。</w:t>
            </w:r>
          </w:p>
          <w:p w14:paraId="58C90612">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eastAsia" w:ascii="Times New Roman" w:hAnsi="Times New Roman" w:cs="Times New Roman"/>
                <w:color w:val="auto"/>
              </w:rPr>
              <w:t>危险废物在交有资质单位处置前，应按照危险废物暂存要求在厂内危废暂存间暂存。危废暂存间设计、建设、使用必须严格落实《危险废物贮存污染控制标准》（GB13271-2001）的要求。</w:t>
            </w:r>
          </w:p>
          <w:p w14:paraId="6C52B7C6">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Cs w:val="32"/>
              </w:rPr>
            </w:pPr>
            <w:r>
              <w:rPr>
                <w:rFonts w:hint="default" w:ascii="Times New Roman" w:hAnsi="Times New Roman" w:cs="Times New Roman"/>
                <w:color w:val="auto"/>
                <w:szCs w:val="32"/>
              </w:rPr>
              <w:t>本项目固体废物产生及治理情况一览表：</w:t>
            </w:r>
          </w:p>
          <w:p w14:paraId="4CEBF03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eastAsia" w:ascii="Times New Roman" w:hAnsi="Times New Roman" w:cs="Times New Roman"/>
                <w:b/>
                <w:bCs/>
                <w:color w:val="auto"/>
                <w:sz w:val="21"/>
                <w:szCs w:val="21"/>
              </w:rPr>
              <w:t>1</w:t>
            </w:r>
            <w:r>
              <w:rPr>
                <w:rFonts w:hint="eastAsia" w:ascii="Times New Roman" w:hAnsi="Times New Roman" w:cs="Times New Roman"/>
                <w:b/>
                <w:bCs/>
                <w:color w:val="auto"/>
                <w:sz w:val="21"/>
                <w:szCs w:val="21"/>
                <w:lang w:val="en-US" w:eastAsia="zh-CN"/>
              </w:rPr>
              <w:t>6</w:t>
            </w:r>
            <w:r>
              <w:rPr>
                <w:rFonts w:hint="default" w:ascii="Times New Roman" w:hAnsi="Times New Roman" w:cs="Times New Roman"/>
                <w:b/>
                <w:bCs/>
                <w:color w:val="auto"/>
                <w:sz w:val="21"/>
                <w:szCs w:val="21"/>
              </w:rPr>
              <w:t xml:space="preserve">  项目固体废物产生及治理措施情况一览表</w:t>
            </w:r>
          </w:p>
          <w:tbl>
            <w:tblPr>
              <w:tblStyle w:val="28"/>
              <w:tblW w:w="502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732"/>
              <w:gridCol w:w="1080"/>
              <w:gridCol w:w="914"/>
              <w:gridCol w:w="1277"/>
              <w:gridCol w:w="569"/>
              <w:gridCol w:w="2766"/>
            </w:tblGrid>
            <w:tr w14:paraId="73073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38" w:type="pct"/>
                  <w:noWrap w:val="0"/>
                  <w:vAlign w:val="center"/>
                </w:tcPr>
                <w:p w14:paraId="43C6A6F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废物名称</w:t>
                  </w:r>
                </w:p>
              </w:tc>
              <w:tc>
                <w:tcPr>
                  <w:tcW w:w="647" w:type="pct"/>
                  <w:noWrap w:val="0"/>
                  <w:vAlign w:val="center"/>
                </w:tcPr>
                <w:p w14:paraId="2236A3A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属性</w:t>
                  </w:r>
                </w:p>
              </w:tc>
              <w:tc>
                <w:tcPr>
                  <w:tcW w:w="548" w:type="pct"/>
                  <w:noWrap w:val="0"/>
                  <w:vAlign w:val="center"/>
                </w:tcPr>
                <w:p w14:paraId="672B6DC4">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rPr>
                    <w:t>产生量</w:t>
                  </w:r>
                  <w:r>
                    <w:rPr>
                      <w:rFonts w:hint="eastAsia" w:ascii="Times New Roman" w:hAnsi="Times New Roman" w:cs="Times New Roman"/>
                      <w:b/>
                      <w:color w:val="auto"/>
                      <w:sz w:val="21"/>
                      <w:szCs w:val="21"/>
                      <w:lang w:eastAsia="zh-CN"/>
                    </w:rPr>
                    <w:t>（t/a）</w:t>
                  </w:r>
                </w:p>
              </w:tc>
              <w:tc>
                <w:tcPr>
                  <w:tcW w:w="765" w:type="pct"/>
                  <w:noWrap w:val="0"/>
                  <w:vAlign w:val="center"/>
                </w:tcPr>
                <w:p w14:paraId="4D5BADB1">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rPr>
                    <w:t>产生工序</w:t>
                  </w:r>
                </w:p>
              </w:tc>
              <w:tc>
                <w:tcPr>
                  <w:tcW w:w="341" w:type="pct"/>
                  <w:noWrap w:val="0"/>
                  <w:vAlign w:val="center"/>
                </w:tcPr>
                <w:p w14:paraId="51DF9C40">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rPr>
                    <w:t>形态</w:t>
                  </w:r>
                </w:p>
              </w:tc>
              <w:tc>
                <w:tcPr>
                  <w:tcW w:w="1658" w:type="pct"/>
                  <w:noWrap w:val="0"/>
                  <w:vAlign w:val="center"/>
                </w:tcPr>
                <w:p w14:paraId="096D153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处置方式</w:t>
                  </w:r>
                </w:p>
              </w:tc>
            </w:tr>
            <w:tr w14:paraId="0E74B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38" w:type="pct"/>
                  <w:noWrap w:val="0"/>
                  <w:vAlign w:val="center"/>
                </w:tcPr>
                <w:p w14:paraId="53DFDED1">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生活垃圾</w:t>
                  </w:r>
                </w:p>
              </w:tc>
              <w:tc>
                <w:tcPr>
                  <w:tcW w:w="647" w:type="pct"/>
                  <w:noWrap w:val="0"/>
                  <w:vAlign w:val="center"/>
                </w:tcPr>
                <w:p w14:paraId="77FF7B78">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548" w:type="pct"/>
                  <w:noWrap w:val="0"/>
                  <w:vAlign w:val="center"/>
                </w:tcPr>
                <w:p w14:paraId="3DD4111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p>
              </w:tc>
              <w:tc>
                <w:tcPr>
                  <w:tcW w:w="765" w:type="pct"/>
                  <w:noWrap w:val="0"/>
                  <w:vAlign w:val="center"/>
                </w:tcPr>
                <w:p w14:paraId="1391B7D9">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办公生活</w:t>
                  </w:r>
                </w:p>
              </w:tc>
              <w:tc>
                <w:tcPr>
                  <w:tcW w:w="341" w:type="pct"/>
                  <w:noWrap w:val="0"/>
                  <w:vAlign w:val="center"/>
                </w:tcPr>
                <w:p w14:paraId="633E6DD6">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固态</w:t>
                  </w:r>
                </w:p>
              </w:tc>
              <w:tc>
                <w:tcPr>
                  <w:tcW w:w="1658" w:type="pct"/>
                  <w:noWrap w:val="0"/>
                  <w:vAlign w:val="center"/>
                </w:tcPr>
                <w:p w14:paraId="1C68D75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环卫部门清运</w:t>
                  </w:r>
                </w:p>
              </w:tc>
            </w:tr>
            <w:tr w14:paraId="60216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038" w:type="pct"/>
                  <w:noWrap w:val="0"/>
                  <w:vAlign w:val="center"/>
                </w:tcPr>
                <w:p w14:paraId="67699A3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废包装袋</w:t>
                  </w:r>
                </w:p>
              </w:tc>
              <w:tc>
                <w:tcPr>
                  <w:tcW w:w="647" w:type="pct"/>
                  <w:vMerge w:val="restart"/>
                  <w:noWrap w:val="0"/>
                  <w:vAlign w:val="center"/>
                </w:tcPr>
                <w:p w14:paraId="6C972E12">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548" w:type="pct"/>
                  <w:noWrap w:val="0"/>
                  <w:vAlign w:val="center"/>
                </w:tcPr>
                <w:p w14:paraId="0C5A9D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w:t>
                  </w:r>
                </w:p>
              </w:tc>
              <w:tc>
                <w:tcPr>
                  <w:tcW w:w="765" w:type="pct"/>
                  <w:noWrap w:val="0"/>
                  <w:vAlign w:val="center"/>
                </w:tcPr>
                <w:p w14:paraId="04543B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包装工序</w:t>
                  </w:r>
                </w:p>
              </w:tc>
              <w:tc>
                <w:tcPr>
                  <w:tcW w:w="341" w:type="pct"/>
                  <w:noWrap w:val="0"/>
                  <w:vAlign w:val="center"/>
                </w:tcPr>
                <w:p w14:paraId="45A46A0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rPr>
                    <w:t>固态</w:t>
                  </w:r>
                </w:p>
              </w:tc>
              <w:tc>
                <w:tcPr>
                  <w:tcW w:w="1658" w:type="pct"/>
                  <w:noWrap w:val="0"/>
                  <w:vAlign w:val="center"/>
                </w:tcPr>
                <w:p w14:paraId="64F1609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rPr>
                    <w:t>外售给废品回收站</w:t>
                  </w:r>
                </w:p>
              </w:tc>
            </w:tr>
            <w:tr w14:paraId="38581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38" w:type="pct"/>
                  <w:noWrap w:val="0"/>
                  <w:vAlign w:val="center"/>
                </w:tcPr>
                <w:p w14:paraId="0C5A2951">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rPr>
                    <w:t>锅炉燃烧灰渣</w:t>
                  </w:r>
                </w:p>
              </w:tc>
              <w:tc>
                <w:tcPr>
                  <w:tcW w:w="647" w:type="pct"/>
                  <w:vMerge w:val="continue"/>
                  <w:noWrap w:val="0"/>
                  <w:vAlign w:val="center"/>
                </w:tcPr>
                <w:p w14:paraId="0407A21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548" w:type="pct"/>
                  <w:noWrap w:val="0"/>
                  <w:vAlign w:val="center"/>
                </w:tcPr>
                <w:p w14:paraId="1BF2B32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122.4</w:t>
                  </w:r>
                </w:p>
              </w:tc>
              <w:tc>
                <w:tcPr>
                  <w:tcW w:w="765" w:type="pct"/>
                  <w:noWrap w:val="0"/>
                  <w:vAlign w:val="center"/>
                </w:tcPr>
                <w:p w14:paraId="57946C7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锅炉供蒸汽</w:t>
                  </w:r>
                </w:p>
              </w:tc>
              <w:tc>
                <w:tcPr>
                  <w:tcW w:w="341" w:type="pct"/>
                  <w:noWrap w:val="0"/>
                  <w:vAlign w:val="center"/>
                </w:tcPr>
                <w:p w14:paraId="62DD006C">
                  <w:pPr>
                    <w:keepNext w:val="0"/>
                    <w:keepLines w:val="0"/>
                    <w:suppressLineNumbers w:val="0"/>
                    <w:adjustRightInd w:val="0"/>
                    <w:spacing w:before="0" w:beforeAutospacing="0" w:after="0" w:afterAutospacing="0" w:line="240" w:lineRule="auto"/>
                    <w:ind w:left="0" w:right="0"/>
                    <w:jc w:val="center"/>
                    <w:rPr>
                      <w:rFonts w:hint="eastAsia" w:ascii="Times New Roman" w:hAnsi="Times New Roman" w:cs="Times New Roman"/>
                      <w:bCs/>
                      <w:color w:val="auto"/>
                      <w:kern w:val="0"/>
                      <w:sz w:val="21"/>
                      <w:szCs w:val="21"/>
                    </w:rPr>
                  </w:pPr>
                  <w:r>
                    <w:rPr>
                      <w:rFonts w:hint="eastAsia" w:ascii="Times New Roman" w:hAnsi="Times New Roman" w:cs="Times New Roman"/>
                      <w:bCs/>
                      <w:color w:val="auto"/>
                      <w:sz w:val="21"/>
                      <w:szCs w:val="21"/>
                    </w:rPr>
                    <w:t>固态</w:t>
                  </w:r>
                </w:p>
              </w:tc>
              <w:tc>
                <w:tcPr>
                  <w:tcW w:w="1658" w:type="pct"/>
                  <w:noWrap w:val="0"/>
                  <w:vAlign w:val="center"/>
                </w:tcPr>
                <w:p w14:paraId="4DDFC724">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rPr>
                    <w:t>外卖有机肥厂作为原料或交由农户作为肥料使用</w:t>
                  </w:r>
                </w:p>
              </w:tc>
            </w:tr>
            <w:tr w14:paraId="1489E0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38" w:type="pct"/>
                  <w:noWrap w:val="0"/>
                  <w:vAlign w:val="center"/>
                </w:tcPr>
                <w:p w14:paraId="4C541BB2">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破碎</w:t>
                  </w:r>
                  <w:r>
                    <w:rPr>
                      <w:rFonts w:hint="eastAsia" w:cs="Times New Roman"/>
                      <w:color w:val="auto"/>
                      <w:sz w:val="21"/>
                      <w:szCs w:val="21"/>
                      <w:lang w:val="en-US" w:eastAsia="zh-CN"/>
                    </w:rPr>
                    <w:t>、制粒</w:t>
                  </w:r>
                  <w:r>
                    <w:rPr>
                      <w:rFonts w:hint="eastAsia" w:ascii="Times New Roman" w:hAnsi="Times New Roman" w:cs="Times New Roman"/>
                      <w:color w:val="auto"/>
                      <w:sz w:val="21"/>
                      <w:szCs w:val="21"/>
                    </w:rPr>
                    <w:t>除尘灰</w:t>
                  </w:r>
                </w:p>
              </w:tc>
              <w:tc>
                <w:tcPr>
                  <w:tcW w:w="647" w:type="pct"/>
                  <w:vMerge w:val="continue"/>
                  <w:noWrap w:val="0"/>
                  <w:vAlign w:val="center"/>
                </w:tcPr>
                <w:p w14:paraId="558CF9B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548" w:type="pct"/>
                  <w:noWrap w:val="0"/>
                  <w:vAlign w:val="center"/>
                </w:tcPr>
                <w:p w14:paraId="38316CA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4.886</w:t>
                  </w:r>
                </w:p>
              </w:tc>
              <w:tc>
                <w:tcPr>
                  <w:tcW w:w="765" w:type="pct"/>
                  <w:noWrap w:val="0"/>
                  <w:vAlign w:val="center"/>
                </w:tcPr>
                <w:p w14:paraId="0F7CC9D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粉碎</w:t>
                  </w:r>
                  <w:r>
                    <w:rPr>
                      <w:rFonts w:hint="eastAsia" w:cs="Times New Roman"/>
                      <w:color w:val="auto"/>
                      <w:sz w:val="21"/>
                      <w:szCs w:val="21"/>
                      <w:lang w:val="en-US" w:eastAsia="zh-CN"/>
                    </w:rPr>
                    <w:t>、制粒</w:t>
                  </w:r>
                  <w:r>
                    <w:rPr>
                      <w:rFonts w:hint="eastAsia" w:ascii="Times New Roman" w:hAnsi="Times New Roman" w:cs="Times New Roman"/>
                      <w:color w:val="auto"/>
                      <w:sz w:val="21"/>
                      <w:szCs w:val="21"/>
                      <w:lang w:val="en-US" w:eastAsia="zh-CN"/>
                    </w:rPr>
                    <w:t>工序</w:t>
                  </w:r>
                </w:p>
              </w:tc>
              <w:tc>
                <w:tcPr>
                  <w:tcW w:w="341" w:type="pct"/>
                  <w:noWrap w:val="0"/>
                  <w:vAlign w:val="center"/>
                </w:tcPr>
                <w:p w14:paraId="1E343A2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固态</w:t>
                  </w:r>
                </w:p>
              </w:tc>
              <w:tc>
                <w:tcPr>
                  <w:tcW w:w="1658" w:type="pct"/>
                  <w:noWrap w:val="0"/>
                  <w:vAlign w:val="center"/>
                </w:tcPr>
                <w:p w14:paraId="7C5D661F">
                  <w:pPr>
                    <w:keepNext w:val="0"/>
                    <w:keepLines w:val="0"/>
                    <w:suppressLineNumbers w:val="0"/>
                    <w:adjustRightInd w:val="0"/>
                    <w:spacing w:before="0" w:beforeAutospacing="0" w:after="0" w:afterAutospacing="0" w:line="240" w:lineRule="auto"/>
                    <w:ind w:left="0" w:right="0"/>
                    <w:jc w:val="center"/>
                    <w:rPr>
                      <w:rFonts w:hint="eastAsia"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rPr>
                    <w:t>回用于生产</w:t>
                  </w:r>
                </w:p>
              </w:tc>
            </w:tr>
            <w:tr w14:paraId="15F4B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38" w:type="pct"/>
                  <w:noWrap w:val="0"/>
                  <w:vAlign w:val="center"/>
                </w:tcPr>
                <w:p w14:paraId="483DCD17">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锅炉废气处理除尘灰</w:t>
                  </w:r>
                </w:p>
              </w:tc>
              <w:tc>
                <w:tcPr>
                  <w:tcW w:w="647" w:type="pct"/>
                  <w:vMerge w:val="continue"/>
                  <w:noWrap w:val="0"/>
                  <w:vAlign w:val="center"/>
                </w:tcPr>
                <w:p w14:paraId="3F04BE8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548" w:type="pct"/>
                  <w:noWrap w:val="0"/>
                  <w:vAlign w:val="center"/>
                </w:tcPr>
                <w:p w14:paraId="6F70C49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 xml:space="preserve">76.397 </w:t>
                  </w:r>
                </w:p>
              </w:tc>
              <w:tc>
                <w:tcPr>
                  <w:tcW w:w="765" w:type="pct"/>
                  <w:noWrap w:val="0"/>
                  <w:vAlign w:val="center"/>
                </w:tcPr>
                <w:p w14:paraId="1935143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锅炉废气处理</w:t>
                  </w:r>
                </w:p>
              </w:tc>
              <w:tc>
                <w:tcPr>
                  <w:tcW w:w="341" w:type="pct"/>
                  <w:noWrap w:val="0"/>
                  <w:vAlign w:val="center"/>
                </w:tcPr>
                <w:p w14:paraId="4111A01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固态</w:t>
                  </w:r>
                </w:p>
              </w:tc>
              <w:tc>
                <w:tcPr>
                  <w:tcW w:w="1658" w:type="pct"/>
                  <w:noWrap w:val="0"/>
                  <w:vAlign w:val="center"/>
                </w:tcPr>
                <w:p w14:paraId="3FED2AA6">
                  <w:pPr>
                    <w:keepNext w:val="0"/>
                    <w:keepLines w:val="0"/>
                    <w:suppressLineNumbers w:val="0"/>
                    <w:adjustRightInd w:val="0"/>
                    <w:spacing w:before="0" w:beforeAutospacing="0" w:after="0" w:afterAutospacing="0" w:line="240" w:lineRule="auto"/>
                    <w:ind w:left="0" w:right="0"/>
                    <w:jc w:val="center"/>
                    <w:rPr>
                      <w:rFonts w:hint="eastAsia"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rPr>
                    <w:t>与灰渣一同处理</w:t>
                  </w:r>
                </w:p>
              </w:tc>
            </w:tr>
            <w:tr w14:paraId="48AC6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38" w:type="pct"/>
                  <w:noWrap w:val="0"/>
                  <w:vAlign w:val="center"/>
                </w:tcPr>
                <w:p w14:paraId="6BEC260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离子交换树脂</w:t>
                  </w:r>
                </w:p>
              </w:tc>
              <w:tc>
                <w:tcPr>
                  <w:tcW w:w="647" w:type="pct"/>
                  <w:vMerge w:val="continue"/>
                  <w:noWrap w:val="0"/>
                  <w:vAlign w:val="center"/>
                </w:tcPr>
                <w:p w14:paraId="51B2ABE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548" w:type="pct"/>
                  <w:noWrap w:val="0"/>
                  <w:vAlign w:val="center"/>
                </w:tcPr>
                <w:p w14:paraId="3308FCD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w:t>
                  </w:r>
                </w:p>
              </w:tc>
              <w:tc>
                <w:tcPr>
                  <w:tcW w:w="765" w:type="pct"/>
                  <w:noWrap w:val="0"/>
                  <w:vAlign w:val="center"/>
                </w:tcPr>
                <w:p w14:paraId="2A6FB4EE">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软水制备</w:t>
                  </w:r>
                </w:p>
              </w:tc>
              <w:tc>
                <w:tcPr>
                  <w:tcW w:w="341" w:type="pct"/>
                  <w:noWrap w:val="0"/>
                  <w:vAlign w:val="center"/>
                </w:tcPr>
                <w:p w14:paraId="1A8AA3F9">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固态</w:t>
                  </w:r>
                </w:p>
              </w:tc>
              <w:tc>
                <w:tcPr>
                  <w:tcW w:w="1658" w:type="pct"/>
                  <w:noWrap w:val="0"/>
                  <w:vAlign w:val="center"/>
                </w:tcPr>
                <w:p w14:paraId="35CB7EA2">
                  <w:pPr>
                    <w:keepNext w:val="0"/>
                    <w:keepLines w:val="0"/>
                    <w:suppressLineNumbers w:val="0"/>
                    <w:adjustRightInd w:val="0"/>
                    <w:spacing w:before="0" w:beforeAutospacing="0" w:after="0" w:afterAutospacing="0" w:line="240" w:lineRule="auto"/>
                    <w:ind w:left="0" w:right="0"/>
                    <w:jc w:val="center"/>
                    <w:rPr>
                      <w:rFonts w:hint="eastAsia"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rPr>
                    <w:t>由厂家回收处理</w:t>
                  </w:r>
                </w:p>
              </w:tc>
            </w:tr>
            <w:tr w14:paraId="5865F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9" w:hRule="atLeast"/>
              </w:trPr>
              <w:tc>
                <w:tcPr>
                  <w:tcW w:w="1038" w:type="pct"/>
                  <w:noWrap w:val="0"/>
                  <w:vAlign w:val="center"/>
                </w:tcPr>
                <w:p w14:paraId="0CB6B21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Calibri"/>
                      <w:color w:val="auto"/>
                      <w:sz w:val="21"/>
                      <w:szCs w:val="21"/>
                    </w:rPr>
                  </w:pPr>
                  <w:r>
                    <w:rPr>
                      <w:rFonts w:hint="eastAsia" w:ascii="Times New Roman" w:hAnsi="Times New Roman" w:cs="Calibri"/>
                      <w:color w:val="auto"/>
                      <w:sz w:val="21"/>
                      <w:szCs w:val="21"/>
                    </w:rPr>
                    <w:t>废吸油布</w:t>
                  </w:r>
                </w:p>
              </w:tc>
              <w:tc>
                <w:tcPr>
                  <w:tcW w:w="647" w:type="pct"/>
                  <w:vMerge w:val="restart"/>
                  <w:noWrap w:val="0"/>
                  <w:vAlign w:val="center"/>
                </w:tcPr>
                <w:p w14:paraId="22E5D01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Calibri"/>
                      <w:color w:val="auto"/>
                      <w:sz w:val="21"/>
                      <w:szCs w:val="21"/>
                    </w:rPr>
                  </w:pPr>
                  <w:r>
                    <w:rPr>
                      <w:rFonts w:hint="eastAsia" w:ascii="Times New Roman" w:hAnsi="Times New Roman" w:cs="Calibri"/>
                      <w:color w:val="auto"/>
                      <w:sz w:val="21"/>
                      <w:szCs w:val="21"/>
                    </w:rPr>
                    <w:t>危险</w:t>
                  </w:r>
                </w:p>
                <w:p w14:paraId="6E8A7A64">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Calibri"/>
                      <w:color w:val="auto"/>
                      <w:sz w:val="21"/>
                      <w:szCs w:val="21"/>
                    </w:rPr>
                  </w:pPr>
                  <w:r>
                    <w:rPr>
                      <w:rFonts w:hint="eastAsia" w:ascii="Times New Roman" w:hAnsi="Times New Roman" w:cs="Calibri"/>
                      <w:color w:val="auto"/>
                      <w:sz w:val="21"/>
                      <w:szCs w:val="21"/>
                    </w:rPr>
                    <w:t>废物</w:t>
                  </w:r>
                </w:p>
              </w:tc>
              <w:tc>
                <w:tcPr>
                  <w:tcW w:w="548" w:type="pct"/>
                  <w:shd w:val="clear" w:color="auto" w:fill="auto"/>
                  <w:noWrap w:val="0"/>
                  <w:vAlign w:val="center"/>
                </w:tcPr>
                <w:p w14:paraId="2B6EC803">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Calibri"/>
                      <w:color w:val="auto"/>
                      <w:kern w:val="2"/>
                      <w:sz w:val="21"/>
                      <w:szCs w:val="21"/>
                      <w:lang w:val="en-US" w:eastAsia="zh-CN" w:bidi="ar-SA"/>
                    </w:rPr>
                  </w:pPr>
                  <w:r>
                    <w:rPr>
                      <w:rFonts w:hint="eastAsia" w:ascii="Times New Roman" w:hAnsi="Times New Roman" w:cs="Calibri"/>
                      <w:color w:val="auto"/>
                      <w:kern w:val="2"/>
                      <w:sz w:val="21"/>
                      <w:szCs w:val="21"/>
                      <w:lang w:val="en-US" w:eastAsia="zh-CN" w:bidi="ar-SA"/>
                    </w:rPr>
                    <w:t>0.15</w:t>
                  </w:r>
                </w:p>
              </w:tc>
              <w:tc>
                <w:tcPr>
                  <w:tcW w:w="765" w:type="pct"/>
                  <w:shd w:val="clear" w:color="auto" w:fill="auto"/>
                  <w:noWrap w:val="0"/>
                  <w:vAlign w:val="center"/>
                </w:tcPr>
                <w:p w14:paraId="7AC6AFB0">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Calibri"/>
                      <w:color w:val="auto"/>
                      <w:kern w:val="2"/>
                      <w:sz w:val="21"/>
                      <w:szCs w:val="21"/>
                      <w:lang w:val="en-US" w:eastAsia="zh-CN" w:bidi="ar-SA"/>
                    </w:rPr>
                  </w:pPr>
                  <w:r>
                    <w:rPr>
                      <w:rFonts w:hint="eastAsia" w:ascii="Times New Roman" w:hAnsi="Times New Roman" w:cs="Calibri"/>
                      <w:color w:val="auto"/>
                      <w:sz w:val="21"/>
                      <w:szCs w:val="21"/>
                      <w:lang w:val="en-US" w:eastAsia="zh-CN"/>
                    </w:rPr>
                    <w:t>油水分离</w:t>
                  </w:r>
                </w:p>
              </w:tc>
              <w:tc>
                <w:tcPr>
                  <w:tcW w:w="341" w:type="pct"/>
                  <w:shd w:val="clear" w:color="auto" w:fill="auto"/>
                  <w:noWrap w:val="0"/>
                  <w:vAlign w:val="center"/>
                </w:tcPr>
                <w:p w14:paraId="4FDCC945">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固态</w:t>
                  </w:r>
                </w:p>
              </w:tc>
              <w:tc>
                <w:tcPr>
                  <w:tcW w:w="1658" w:type="pct"/>
                  <w:vMerge w:val="restart"/>
                  <w:noWrap w:val="0"/>
                  <w:vAlign w:val="center"/>
                </w:tcPr>
                <w:p w14:paraId="177D72A1">
                  <w:pPr>
                    <w:keepNext w:val="0"/>
                    <w:keepLines w:val="0"/>
                    <w:suppressLineNumbers w:val="0"/>
                    <w:adjustRightInd w:val="0"/>
                    <w:spacing w:before="0" w:beforeAutospacing="0" w:after="0" w:afterAutospacing="0" w:line="240" w:lineRule="auto"/>
                    <w:ind w:left="0" w:right="0"/>
                    <w:jc w:val="center"/>
                    <w:rPr>
                      <w:rFonts w:hint="eastAsia"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lang w:val="en-US" w:eastAsia="zh-CN"/>
                    </w:rPr>
                    <w:t>暂存于</w:t>
                  </w:r>
                  <w:r>
                    <w:rPr>
                      <w:rFonts w:hint="eastAsia" w:ascii="Times New Roman" w:hAnsi="Times New Roman" w:cs="Times New Roman"/>
                      <w:bCs/>
                      <w:color w:val="auto"/>
                      <w:kern w:val="0"/>
                      <w:sz w:val="21"/>
                      <w:szCs w:val="21"/>
                    </w:rPr>
                    <w:t>危废暂存间，</w:t>
                  </w:r>
                  <w:r>
                    <w:rPr>
                      <w:rFonts w:hint="eastAsia" w:ascii="Times New Roman" w:hAnsi="Times New Roman" w:cs="Times New Roman"/>
                      <w:bCs/>
                      <w:color w:val="auto"/>
                      <w:kern w:val="0"/>
                      <w:sz w:val="21"/>
                      <w:szCs w:val="21"/>
                      <w:lang w:val="en-US" w:eastAsia="zh-CN"/>
                    </w:rPr>
                    <w:t>定期交由</w:t>
                  </w:r>
                  <w:r>
                    <w:rPr>
                      <w:rFonts w:hint="eastAsia" w:ascii="Times New Roman" w:hAnsi="Times New Roman" w:cs="Times New Roman"/>
                      <w:bCs/>
                      <w:color w:val="auto"/>
                      <w:kern w:val="0"/>
                      <w:sz w:val="21"/>
                      <w:szCs w:val="21"/>
                    </w:rPr>
                    <w:t>资质单位</w:t>
                  </w:r>
                  <w:r>
                    <w:rPr>
                      <w:rFonts w:hint="eastAsia" w:ascii="Times New Roman" w:hAnsi="Times New Roman" w:cs="Times New Roman"/>
                      <w:bCs/>
                      <w:color w:val="auto"/>
                      <w:kern w:val="0"/>
                      <w:sz w:val="21"/>
                      <w:szCs w:val="21"/>
                      <w:lang w:val="en-US" w:eastAsia="zh-CN"/>
                    </w:rPr>
                    <w:t>处理</w:t>
                  </w:r>
                  <w:r>
                    <w:rPr>
                      <w:rFonts w:hint="eastAsia" w:ascii="Times New Roman" w:hAnsi="Times New Roman" w:cs="Times New Roman"/>
                      <w:bCs/>
                      <w:color w:val="auto"/>
                      <w:kern w:val="0"/>
                      <w:sz w:val="21"/>
                      <w:szCs w:val="21"/>
                    </w:rPr>
                    <w:t>处置</w:t>
                  </w:r>
                </w:p>
              </w:tc>
            </w:tr>
            <w:tr w14:paraId="1AD7F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9" w:hRule="atLeast"/>
              </w:trPr>
              <w:tc>
                <w:tcPr>
                  <w:tcW w:w="1038" w:type="pct"/>
                  <w:noWrap w:val="0"/>
                  <w:vAlign w:val="center"/>
                </w:tcPr>
                <w:p w14:paraId="3DF28D0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废活性炭</w:t>
                  </w:r>
                </w:p>
              </w:tc>
              <w:tc>
                <w:tcPr>
                  <w:tcW w:w="647" w:type="pct"/>
                  <w:vMerge w:val="continue"/>
                  <w:noWrap w:val="0"/>
                  <w:vAlign w:val="center"/>
                </w:tcPr>
                <w:p w14:paraId="3314A792">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Calibri"/>
                      <w:color w:val="auto"/>
                      <w:sz w:val="21"/>
                      <w:szCs w:val="21"/>
                    </w:rPr>
                  </w:pPr>
                </w:p>
              </w:tc>
              <w:tc>
                <w:tcPr>
                  <w:tcW w:w="548" w:type="pct"/>
                  <w:shd w:val="clear" w:color="auto" w:fill="auto"/>
                  <w:noWrap w:val="0"/>
                  <w:vAlign w:val="center"/>
                </w:tcPr>
                <w:p w14:paraId="798825A3">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Calibri"/>
                      <w:color w:val="auto"/>
                      <w:kern w:val="2"/>
                      <w:sz w:val="21"/>
                      <w:szCs w:val="21"/>
                      <w:lang w:val="en-US" w:eastAsia="zh-CN" w:bidi="ar-SA"/>
                    </w:rPr>
                  </w:pPr>
                  <w:r>
                    <w:rPr>
                      <w:rFonts w:hint="eastAsia" w:cs="Calibri"/>
                      <w:color w:val="auto"/>
                      <w:sz w:val="21"/>
                      <w:szCs w:val="21"/>
                      <w:lang w:val="en-US" w:eastAsia="zh-CN"/>
                    </w:rPr>
                    <w:t>2</w:t>
                  </w:r>
                </w:p>
              </w:tc>
              <w:tc>
                <w:tcPr>
                  <w:tcW w:w="765" w:type="pct"/>
                  <w:shd w:val="clear" w:color="auto" w:fill="auto"/>
                  <w:noWrap w:val="0"/>
                  <w:vAlign w:val="center"/>
                </w:tcPr>
                <w:p w14:paraId="2BC5FDB9">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Calibri"/>
                      <w:color w:val="auto"/>
                      <w:kern w:val="2"/>
                      <w:sz w:val="21"/>
                      <w:szCs w:val="21"/>
                      <w:lang w:val="en-US" w:eastAsia="zh-CN" w:bidi="ar-SA"/>
                    </w:rPr>
                  </w:pPr>
                  <w:r>
                    <w:rPr>
                      <w:rFonts w:hint="eastAsia" w:ascii="Times New Roman" w:hAnsi="Times New Roman" w:cs="Calibri"/>
                      <w:color w:val="auto"/>
                      <w:sz w:val="21"/>
                      <w:szCs w:val="21"/>
                      <w:lang w:val="en-US" w:eastAsia="zh-CN"/>
                    </w:rPr>
                    <w:t>有机废气处理</w:t>
                  </w:r>
                </w:p>
              </w:tc>
              <w:tc>
                <w:tcPr>
                  <w:tcW w:w="341" w:type="pct"/>
                  <w:shd w:val="clear" w:color="auto" w:fill="auto"/>
                  <w:noWrap w:val="0"/>
                  <w:vAlign w:val="center"/>
                </w:tcPr>
                <w:p w14:paraId="470AFA53">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固态</w:t>
                  </w:r>
                </w:p>
              </w:tc>
              <w:tc>
                <w:tcPr>
                  <w:tcW w:w="1658" w:type="pct"/>
                  <w:vMerge w:val="continue"/>
                  <w:noWrap w:val="0"/>
                  <w:vAlign w:val="center"/>
                </w:tcPr>
                <w:p w14:paraId="70380BB4">
                  <w:pPr>
                    <w:keepNext w:val="0"/>
                    <w:keepLines w:val="0"/>
                    <w:suppressLineNumbers w:val="0"/>
                    <w:adjustRightInd w:val="0"/>
                    <w:spacing w:before="0" w:beforeAutospacing="0" w:after="0" w:afterAutospacing="0" w:line="240" w:lineRule="auto"/>
                    <w:ind w:left="0" w:right="0"/>
                    <w:jc w:val="center"/>
                    <w:rPr>
                      <w:rFonts w:hint="eastAsia" w:ascii="Times New Roman" w:hAnsi="Times New Roman" w:cs="Times New Roman"/>
                      <w:bCs/>
                      <w:color w:val="auto"/>
                      <w:kern w:val="0"/>
                      <w:sz w:val="21"/>
                      <w:szCs w:val="21"/>
                      <w:lang w:val="en-US" w:eastAsia="zh-CN"/>
                    </w:rPr>
                  </w:pPr>
                </w:p>
              </w:tc>
            </w:tr>
            <w:tr w14:paraId="4411F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1038" w:type="pct"/>
                  <w:noWrap w:val="0"/>
                  <w:vAlign w:val="center"/>
                </w:tcPr>
                <w:p w14:paraId="35DD738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eastAsia="zh-CN"/>
                    </w:rPr>
                    <w:t>废机油</w:t>
                  </w:r>
                </w:p>
              </w:tc>
              <w:tc>
                <w:tcPr>
                  <w:tcW w:w="647" w:type="pct"/>
                  <w:vMerge w:val="continue"/>
                  <w:noWrap w:val="0"/>
                  <w:vAlign w:val="center"/>
                </w:tcPr>
                <w:p w14:paraId="6764B0A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Calibri"/>
                      <w:color w:val="auto"/>
                      <w:sz w:val="21"/>
                      <w:szCs w:val="21"/>
                    </w:rPr>
                  </w:pPr>
                </w:p>
              </w:tc>
              <w:tc>
                <w:tcPr>
                  <w:tcW w:w="548" w:type="pct"/>
                  <w:noWrap w:val="0"/>
                  <w:vAlign w:val="center"/>
                </w:tcPr>
                <w:p w14:paraId="42B6F344">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Calibri"/>
                      <w:color w:val="auto"/>
                      <w:sz w:val="21"/>
                      <w:szCs w:val="21"/>
                      <w:lang w:val="en-US" w:eastAsia="zh-CN"/>
                    </w:rPr>
                  </w:pPr>
                  <w:r>
                    <w:rPr>
                      <w:rFonts w:hint="eastAsia" w:ascii="Times New Roman" w:hAnsi="Times New Roman" w:cs="Calibri"/>
                      <w:color w:val="auto"/>
                      <w:sz w:val="21"/>
                      <w:szCs w:val="21"/>
                      <w:lang w:val="en-US" w:eastAsia="zh-CN"/>
                    </w:rPr>
                    <w:t>0.01</w:t>
                  </w:r>
                </w:p>
              </w:tc>
              <w:tc>
                <w:tcPr>
                  <w:tcW w:w="765" w:type="pct"/>
                  <w:noWrap w:val="0"/>
                  <w:vAlign w:val="center"/>
                </w:tcPr>
                <w:p w14:paraId="0ED0FAE1">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Calibri"/>
                      <w:color w:val="auto"/>
                      <w:sz w:val="21"/>
                      <w:szCs w:val="21"/>
                      <w:lang w:val="en-US" w:eastAsia="zh-CN"/>
                    </w:rPr>
                  </w:pPr>
                  <w:r>
                    <w:rPr>
                      <w:rFonts w:hint="eastAsia" w:ascii="Times New Roman" w:hAnsi="Times New Roman" w:cs="Calibri"/>
                      <w:color w:val="auto"/>
                      <w:sz w:val="21"/>
                      <w:szCs w:val="21"/>
                      <w:lang w:val="en-US" w:eastAsia="zh-CN"/>
                    </w:rPr>
                    <w:t>设备维护、检修</w:t>
                  </w:r>
                </w:p>
              </w:tc>
              <w:tc>
                <w:tcPr>
                  <w:tcW w:w="341" w:type="pct"/>
                  <w:noWrap w:val="0"/>
                  <w:vAlign w:val="center"/>
                </w:tcPr>
                <w:p w14:paraId="7EC76BE2">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液态</w:t>
                  </w:r>
                </w:p>
              </w:tc>
              <w:tc>
                <w:tcPr>
                  <w:tcW w:w="1658" w:type="pct"/>
                  <w:vMerge w:val="continue"/>
                  <w:noWrap w:val="0"/>
                  <w:vAlign w:val="center"/>
                </w:tcPr>
                <w:p w14:paraId="669B53C4">
                  <w:pPr>
                    <w:keepNext w:val="0"/>
                    <w:keepLines w:val="0"/>
                    <w:suppressLineNumbers w:val="0"/>
                    <w:adjustRightInd w:val="0"/>
                    <w:spacing w:before="0" w:beforeAutospacing="0" w:after="0" w:afterAutospacing="0" w:line="240" w:lineRule="auto"/>
                    <w:ind w:left="0" w:right="0"/>
                    <w:jc w:val="center"/>
                    <w:rPr>
                      <w:rFonts w:hint="eastAsia" w:ascii="Times New Roman" w:hAnsi="Times New Roman" w:cs="Times New Roman"/>
                      <w:bCs/>
                      <w:color w:val="auto"/>
                      <w:kern w:val="0"/>
                      <w:sz w:val="21"/>
                      <w:szCs w:val="21"/>
                      <w:lang w:val="en-US" w:eastAsia="zh-CN"/>
                    </w:rPr>
                  </w:pPr>
                </w:p>
              </w:tc>
            </w:tr>
            <w:tr w14:paraId="243A5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1038" w:type="pct"/>
                  <w:noWrap w:val="0"/>
                  <w:vAlign w:val="center"/>
                </w:tcPr>
                <w:p w14:paraId="6354AC4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合计</w:t>
                  </w:r>
                </w:p>
              </w:tc>
              <w:tc>
                <w:tcPr>
                  <w:tcW w:w="647" w:type="pct"/>
                  <w:noWrap w:val="0"/>
                  <w:vAlign w:val="center"/>
                </w:tcPr>
                <w:p w14:paraId="78D2F1DC">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cs="Calibri"/>
                      <w:color w:val="auto"/>
                      <w:kern w:val="2"/>
                      <w:sz w:val="21"/>
                      <w:szCs w:val="21"/>
                      <w:lang w:val="en-US" w:eastAsia="zh-CN" w:bidi="ar-SA"/>
                    </w:rPr>
                  </w:pPr>
                  <w:r>
                    <w:rPr>
                      <w:rFonts w:hint="eastAsia" w:ascii="Times New Roman" w:hAnsi="Times New Roman" w:cs="Calibri"/>
                      <w:color w:val="auto"/>
                      <w:kern w:val="2"/>
                      <w:sz w:val="21"/>
                      <w:szCs w:val="21"/>
                      <w:lang w:val="en-US" w:eastAsia="zh-CN" w:bidi="ar-SA"/>
                    </w:rPr>
                    <w:t>/</w:t>
                  </w:r>
                </w:p>
              </w:tc>
              <w:tc>
                <w:tcPr>
                  <w:tcW w:w="548" w:type="pct"/>
                  <w:shd w:val="clear" w:color="auto" w:fill="auto"/>
                  <w:noWrap w:val="0"/>
                  <w:vAlign w:val="center"/>
                </w:tcPr>
                <w:p w14:paraId="337615D5">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ascii="Times New Roman" w:hAnsi="Times New Roman" w:cs="Calibri"/>
                      <w:color w:val="auto"/>
                      <w:kern w:val="2"/>
                      <w:sz w:val="21"/>
                      <w:szCs w:val="21"/>
                      <w:lang w:val="en-US" w:eastAsia="zh-CN" w:bidi="ar-SA"/>
                    </w:rPr>
                  </w:pPr>
                  <w:r>
                    <w:rPr>
                      <w:rFonts w:hint="eastAsia" w:cs="Calibri"/>
                      <w:color w:val="auto"/>
                      <w:kern w:val="2"/>
                      <w:sz w:val="21"/>
                      <w:szCs w:val="21"/>
                      <w:lang w:val="en-US" w:eastAsia="zh-CN" w:bidi="ar-SA"/>
                    </w:rPr>
                    <w:t>209.153</w:t>
                  </w:r>
                </w:p>
              </w:tc>
              <w:tc>
                <w:tcPr>
                  <w:tcW w:w="765" w:type="pct"/>
                  <w:noWrap w:val="0"/>
                  <w:vAlign w:val="center"/>
                </w:tcPr>
                <w:p w14:paraId="083F6D41">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Calibri"/>
                      <w:color w:val="auto"/>
                      <w:sz w:val="21"/>
                      <w:szCs w:val="21"/>
                      <w:lang w:val="en-US" w:eastAsia="zh-CN"/>
                    </w:rPr>
                  </w:pPr>
                  <w:r>
                    <w:rPr>
                      <w:rFonts w:hint="eastAsia" w:ascii="Times New Roman" w:hAnsi="Times New Roman" w:cs="Calibri"/>
                      <w:color w:val="auto"/>
                      <w:sz w:val="21"/>
                      <w:szCs w:val="21"/>
                      <w:lang w:val="en-US" w:eastAsia="zh-CN"/>
                    </w:rPr>
                    <w:t>/</w:t>
                  </w:r>
                </w:p>
              </w:tc>
              <w:tc>
                <w:tcPr>
                  <w:tcW w:w="341" w:type="pct"/>
                  <w:noWrap w:val="0"/>
                  <w:vAlign w:val="center"/>
                </w:tcPr>
                <w:p w14:paraId="310158D6">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658" w:type="pct"/>
                  <w:noWrap w:val="0"/>
                  <w:vAlign w:val="center"/>
                </w:tcPr>
                <w:p w14:paraId="1FCC049A">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w:t>
                  </w:r>
                </w:p>
              </w:tc>
            </w:tr>
          </w:tbl>
          <w:p w14:paraId="0B61A554">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b/>
                <w:bCs/>
                <w:color w:val="auto"/>
                <w:sz w:val="21"/>
                <w:szCs w:val="21"/>
              </w:rPr>
            </w:pPr>
            <w:r>
              <w:rPr>
                <w:rFonts w:hint="default" w:ascii="Times New Roman" w:hAnsi="Times New Roman" w:cs="Times New Roman"/>
                <w:bCs/>
                <w:color w:val="auto"/>
              </w:rPr>
              <w:t>项目危险废物污染防治措施情况汇总和危险废物贮存场所基本情况见下表：</w:t>
            </w:r>
          </w:p>
          <w:p w14:paraId="1A3E4BC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表4-</w:t>
            </w:r>
            <w:r>
              <w:rPr>
                <w:rFonts w:hint="eastAsia" w:ascii="Times New Roman" w:hAnsi="Times New Roman" w:cs="Times New Roman"/>
                <w:b/>
                <w:bCs/>
                <w:color w:val="auto"/>
                <w:sz w:val="21"/>
                <w:szCs w:val="21"/>
              </w:rPr>
              <w:t>1</w:t>
            </w:r>
            <w:r>
              <w:rPr>
                <w:rFonts w:hint="eastAsia" w:ascii="Times New Roman" w:hAnsi="Times New Roman" w:cs="Times New Roman"/>
                <w:b/>
                <w:bCs/>
                <w:color w:val="auto"/>
                <w:sz w:val="21"/>
                <w:szCs w:val="21"/>
                <w:lang w:val="en-US" w:eastAsia="zh-CN"/>
              </w:rPr>
              <w:t>7</w:t>
            </w:r>
            <w:r>
              <w:rPr>
                <w:rFonts w:hint="default" w:ascii="Times New Roman" w:hAnsi="Times New Roman" w:cs="Times New Roman"/>
                <w:b/>
                <w:bCs/>
                <w:color w:val="auto"/>
                <w:sz w:val="21"/>
                <w:szCs w:val="21"/>
              </w:rPr>
              <w:t xml:space="preserve">  危险废物</w:t>
            </w:r>
            <w:r>
              <w:rPr>
                <w:rFonts w:hint="eastAsia" w:ascii="Times New Roman" w:hAnsi="Times New Roman" w:cs="Times New Roman"/>
                <w:b/>
                <w:bCs/>
                <w:color w:val="auto"/>
                <w:sz w:val="21"/>
                <w:szCs w:val="21"/>
                <w:lang w:val="en-US" w:eastAsia="zh-CN"/>
              </w:rPr>
              <w:t>产生及处置情况</w:t>
            </w:r>
          </w:p>
          <w:tbl>
            <w:tblPr>
              <w:tblStyle w:val="28"/>
              <w:tblW w:w="82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2"/>
              <w:gridCol w:w="777"/>
              <w:gridCol w:w="672"/>
              <w:gridCol w:w="761"/>
              <w:gridCol w:w="788"/>
              <w:gridCol w:w="886"/>
              <w:gridCol w:w="477"/>
              <w:gridCol w:w="699"/>
              <w:gridCol w:w="681"/>
              <w:gridCol w:w="698"/>
              <w:gridCol w:w="642"/>
              <w:gridCol w:w="656"/>
            </w:tblGrid>
            <w:tr w14:paraId="77089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02" w:type="dxa"/>
                  <w:tcBorders>
                    <w:tl2br w:val="nil"/>
                    <w:tr2bl w:val="nil"/>
                  </w:tcBorders>
                  <w:noWrap w:val="0"/>
                  <w:vAlign w:val="center"/>
                </w:tcPr>
                <w:p w14:paraId="4D7821A7">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序号</w:t>
                  </w:r>
                </w:p>
              </w:tc>
              <w:tc>
                <w:tcPr>
                  <w:tcW w:w="777" w:type="dxa"/>
                  <w:tcBorders>
                    <w:tl2br w:val="nil"/>
                    <w:tr2bl w:val="nil"/>
                  </w:tcBorders>
                  <w:noWrap w:val="0"/>
                  <w:vAlign w:val="center"/>
                </w:tcPr>
                <w:p w14:paraId="2007E54D">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危险废物名称</w:t>
                  </w:r>
                </w:p>
              </w:tc>
              <w:tc>
                <w:tcPr>
                  <w:tcW w:w="672" w:type="dxa"/>
                  <w:tcBorders>
                    <w:tl2br w:val="nil"/>
                    <w:tr2bl w:val="nil"/>
                  </w:tcBorders>
                  <w:noWrap w:val="0"/>
                  <w:vAlign w:val="center"/>
                </w:tcPr>
                <w:p w14:paraId="5184567F">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危险废物类别</w:t>
                  </w:r>
                </w:p>
              </w:tc>
              <w:tc>
                <w:tcPr>
                  <w:tcW w:w="761" w:type="dxa"/>
                  <w:tcBorders>
                    <w:tl2br w:val="nil"/>
                    <w:tr2bl w:val="nil"/>
                  </w:tcBorders>
                  <w:noWrap w:val="0"/>
                  <w:vAlign w:val="center"/>
                </w:tcPr>
                <w:p w14:paraId="5E7F07C1">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危险废物代码</w:t>
                  </w:r>
                </w:p>
              </w:tc>
              <w:tc>
                <w:tcPr>
                  <w:tcW w:w="788" w:type="dxa"/>
                  <w:tcBorders>
                    <w:tl2br w:val="nil"/>
                    <w:tr2bl w:val="nil"/>
                  </w:tcBorders>
                  <w:noWrap w:val="0"/>
                  <w:vAlign w:val="center"/>
                </w:tcPr>
                <w:p w14:paraId="74867A52">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产生量（吨/年）</w:t>
                  </w:r>
                </w:p>
              </w:tc>
              <w:tc>
                <w:tcPr>
                  <w:tcW w:w="886" w:type="dxa"/>
                  <w:tcBorders>
                    <w:tl2br w:val="nil"/>
                    <w:tr2bl w:val="nil"/>
                  </w:tcBorders>
                  <w:noWrap w:val="0"/>
                  <w:vAlign w:val="center"/>
                </w:tcPr>
                <w:p w14:paraId="5F0772DC">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产生工序及装置</w:t>
                  </w:r>
                </w:p>
              </w:tc>
              <w:tc>
                <w:tcPr>
                  <w:tcW w:w="477" w:type="dxa"/>
                  <w:tcBorders>
                    <w:tl2br w:val="nil"/>
                    <w:tr2bl w:val="nil"/>
                  </w:tcBorders>
                  <w:noWrap w:val="0"/>
                  <w:vAlign w:val="center"/>
                </w:tcPr>
                <w:p w14:paraId="5FED5683">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形态</w:t>
                  </w:r>
                </w:p>
              </w:tc>
              <w:tc>
                <w:tcPr>
                  <w:tcW w:w="699" w:type="dxa"/>
                  <w:tcBorders>
                    <w:tl2br w:val="nil"/>
                    <w:tr2bl w:val="nil"/>
                  </w:tcBorders>
                  <w:noWrap w:val="0"/>
                  <w:vAlign w:val="center"/>
                </w:tcPr>
                <w:p w14:paraId="6EA5F227">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主要成分</w:t>
                  </w:r>
                </w:p>
              </w:tc>
              <w:tc>
                <w:tcPr>
                  <w:tcW w:w="681" w:type="dxa"/>
                  <w:tcBorders>
                    <w:tl2br w:val="nil"/>
                    <w:tr2bl w:val="nil"/>
                  </w:tcBorders>
                  <w:noWrap w:val="0"/>
                  <w:vAlign w:val="center"/>
                </w:tcPr>
                <w:p w14:paraId="7F0BCDD7">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有害成分</w:t>
                  </w:r>
                </w:p>
              </w:tc>
              <w:tc>
                <w:tcPr>
                  <w:tcW w:w="698" w:type="dxa"/>
                  <w:tcBorders>
                    <w:tl2br w:val="nil"/>
                    <w:tr2bl w:val="nil"/>
                  </w:tcBorders>
                  <w:noWrap w:val="0"/>
                  <w:vAlign w:val="center"/>
                </w:tcPr>
                <w:p w14:paraId="67A0F669">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产废周期</w:t>
                  </w:r>
                </w:p>
              </w:tc>
              <w:tc>
                <w:tcPr>
                  <w:tcW w:w="642" w:type="dxa"/>
                  <w:tcBorders>
                    <w:tl2br w:val="nil"/>
                    <w:tr2bl w:val="nil"/>
                  </w:tcBorders>
                  <w:noWrap w:val="0"/>
                  <w:vAlign w:val="center"/>
                </w:tcPr>
                <w:p w14:paraId="74167BD9">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危险</w:t>
                  </w:r>
                </w:p>
                <w:p w14:paraId="3DF0BAF5">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特性</w:t>
                  </w:r>
                </w:p>
              </w:tc>
              <w:tc>
                <w:tcPr>
                  <w:tcW w:w="656" w:type="dxa"/>
                  <w:tcBorders>
                    <w:tl2br w:val="nil"/>
                    <w:tr2bl w:val="nil"/>
                  </w:tcBorders>
                  <w:noWrap w:val="0"/>
                  <w:vAlign w:val="center"/>
                </w:tcPr>
                <w:p w14:paraId="79D8FEB4">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污染防治措施</w:t>
                  </w:r>
                </w:p>
              </w:tc>
            </w:tr>
            <w:tr w14:paraId="7730D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02" w:type="dxa"/>
                  <w:tcBorders>
                    <w:tl2br w:val="nil"/>
                    <w:tr2bl w:val="nil"/>
                  </w:tcBorders>
                  <w:noWrap w:val="0"/>
                  <w:vAlign w:val="center"/>
                </w:tcPr>
                <w:p w14:paraId="230A8362">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1</w:t>
                  </w:r>
                </w:p>
              </w:tc>
              <w:tc>
                <w:tcPr>
                  <w:tcW w:w="777" w:type="dxa"/>
                  <w:tcBorders>
                    <w:tl2br w:val="nil"/>
                    <w:tr2bl w:val="nil"/>
                  </w:tcBorders>
                  <w:noWrap w:val="0"/>
                  <w:vAlign w:val="center"/>
                </w:tcPr>
                <w:p w14:paraId="1D0D306E">
                  <w:pPr>
                    <w:keepNext w:val="0"/>
                    <w:keepLines w:val="0"/>
                    <w:widowControl/>
                    <w:suppressLineNumbers w:val="0"/>
                    <w:adjustRightInd w:val="0"/>
                    <w:snapToGrid w:val="0"/>
                    <w:spacing w:before="0" w:beforeAutospacing="0" w:after="0" w:afterAutospacing="0" w:line="240" w:lineRule="auto"/>
                    <w:ind w:left="0" w:right="0" w:firstLine="33" w:firstLineChars="16"/>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Calibri"/>
                      <w:color w:val="auto"/>
                      <w:sz w:val="21"/>
                      <w:szCs w:val="21"/>
                    </w:rPr>
                    <w:t>废吸油布</w:t>
                  </w:r>
                </w:p>
              </w:tc>
              <w:tc>
                <w:tcPr>
                  <w:tcW w:w="672" w:type="dxa"/>
                  <w:tcBorders>
                    <w:tl2br w:val="nil"/>
                    <w:tr2bl w:val="nil"/>
                  </w:tcBorders>
                  <w:noWrap w:val="0"/>
                  <w:vAlign w:val="center"/>
                </w:tcPr>
                <w:p w14:paraId="160D8E22">
                  <w:pPr>
                    <w:keepNext w:val="0"/>
                    <w:keepLines w:val="0"/>
                    <w:suppressLineNumbers w:val="0"/>
                    <w:topLinePunct/>
                    <w:adjustRightInd w:val="0"/>
                    <w:snapToGrid w:val="0"/>
                    <w:spacing w:before="0" w:beforeAutospacing="0" w:after="0" w:afterAutospacing="0" w:line="240" w:lineRule="auto"/>
                    <w:ind w:left="0" w:leftChars="0" w:right="0" w:rightChars="0"/>
                    <w:jc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宋体" w:cs="Times New Roman"/>
                      <w:color w:val="auto"/>
                      <w:sz w:val="21"/>
                      <w:szCs w:val="21"/>
                      <w:highlight w:val="none"/>
                    </w:rPr>
                    <w:t>HW49</w:t>
                  </w:r>
                </w:p>
              </w:tc>
              <w:tc>
                <w:tcPr>
                  <w:tcW w:w="761" w:type="dxa"/>
                  <w:tcBorders>
                    <w:tl2br w:val="nil"/>
                    <w:tr2bl w:val="nil"/>
                  </w:tcBorders>
                  <w:noWrap w:val="0"/>
                  <w:vAlign w:val="center"/>
                </w:tcPr>
                <w:p w14:paraId="1BAF2142">
                  <w:pPr>
                    <w:keepNext w:val="0"/>
                    <w:keepLines w:val="0"/>
                    <w:suppressLineNumbers w:val="0"/>
                    <w:topLinePunct/>
                    <w:adjustRightInd w:val="0"/>
                    <w:snapToGrid w:val="0"/>
                    <w:spacing w:before="0" w:beforeAutospacing="0" w:after="0" w:afterAutospacing="0" w:line="240" w:lineRule="auto"/>
                    <w:ind w:left="0" w:leftChars="0" w:right="0" w:rightChars="0"/>
                    <w:jc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宋体" w:cs="Times New Roman"/>
                      <w:color w:val="auto"/>
                      <w:sz w:val="21"/>
                      <w:szCs w:val="21"/>
                      <w:highlight w:val="none"/>
                    </w:rPr>
                    <w:t>900-041-49</w:t>
                  </w:r>
                </w:p>
              </w:tc>
              <w:tc>
                <w:tcPr>
                  <w:tcW w:w="788" w:type="dxa"/>
                  <w:tcBorders>
                    <w:tl2br w:val="nil"/>
                    <w:tr2bl w:val="nil"/>
                  </w:tcBorders>
                  <w:noWrap w:val="0"/>
                  <w:vAlign w:val="center"/>
                </w:tcPr>
                <w:p w14:paraId="77292D3B">
                  <w:pPr>
                    <w:keepNext w:val="0"/>
                    <w:keepLines w:val="0"/>
                    <w:suppressLineNumbers w:val="0"/>
                    <w:adjustRightInd w:val="0"/>
                    <w:snapToGrid w:val="0"/>
                    <w:spacing w:before="0" w:beforeAutospacing="0" w:after="0" w:afterAutospacing="0" w:line="240" w:lineRule="auto"/>
                    <w:ind w:left="0" w:right="0" w:firstLine="31" w:firstLineChars="15"/>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0.15</w:t>
                  </w:r>
                </w:p>
              </w:tc>
              <w:tc>
                <w:tcPr>
                  <w:tcW w:w="886" w:type="dxa"/>
                  <w:tcBorders>
                    <w:tl2br w:val="nil"/>
                    <w:tr2bl w:val="nil"/>
                  </w:tcBorders>
                  <w:noWrap w:val="0"/>
                  <w:vAlign w:val="center"/>
                </w:tcPr>
                <w:p w14:paraId="0C4F83E4">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Calibri"/>
                      <w:color w:val="auto"/>
                      <w:sz w:val="21"/>
                      <w:szCs w:val="21"/>
                      <w:lang w:val="en-US" w:eastAsia="zh-CN"/>
                    </w:rPr>
                    <w:t>油水分离</w:t>
                  </w:r>
                </w:p>
              </w:tc>
              <w:tc>
                <w:tcPr>
                  <w:tcW w:w="477" w:type="dxa"/>
                  <w:tcBorders>
                    <w:tl2br w:val="nil"/>
                    <w:tr2bl w:val="nil"/>
                  </w:tcBorders>
                  <w:noWrap w:val="0"/>
                  <w:vAlign w:val="center"/>
                </w:tcPr>
                <w:p w14:paraId="7B85BB6B">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sz w:val="21"/>
                      <w:szCs w:val="21"/>
                    </w:rPr>
                    <w:t>固态</w:t>
                  </w:r>
                </w:p>
              </w:tc>
              <w:tc>
                <w:tcPr>
                  <w:tcW w:w="699" w:type="dxa"/>
                  <w:tcBorders>
                    <w:tl2br w:val="nil"/>
                    <w:tr2bl w:val="nil"/>
                  </w:tcBorders>
                  <w:noWrap w:val="0"/>
                  <w:vAlign w:val="center"/>
                </w:tcPr>
                <w:p w14:paraId="438BBBC3">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柏木油</w:t>
                  </w:r>
                </w:p>
              </w:tc>
              <w:tc>
                <w:tcPr>
                  <w:tcW w:w="681" w:type="dxa"/>
                  <w:tcBorders>
                    <w:tl2br w:val="nil"/>
                    <w:tr2bl w:val="nil"/>
                  </w:tcBorders>
                  <w:noWrap w:val="0"/>
                  <w:vAlign w:val="center"/>
                </w:tcPr>
                <w:p w14:paraId="39F9639C">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 xml:space="preserve"> 柏木油</w:t>
                  </w:r>
                </w:p>
              </w:tc>
              <w:tc>
                <w:tcPr>
                  <w:tcW w:w="698" w:type="dxa"/>
                  <w:tcBorders>
                    <w:tl2br w:val="nil"/>
                    <w:tr2bl w:val="nil"/>
                  </w:tcBorders>
                  <w:noWrap w:val="0"/>
                  <w:vAlign w:val="center"/>
                </w:tcPr>
                <w:p w14:paraId="0ED016ED">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每天</w:t>
                  </w:r>
                </w:p>
              </w:tc>
              <w:tc>
                <w:tcPr>
                  <w:tcW w:w="642" w:type="dxa"/>
                  <w:tcBorders>
                    <w:tl2br w:val="nil"/>
                    <w:tr2bl w:val="nil"/>
                  </w:tcBorders>
                  <w:noWrap w:val="0"/>
                  <w:vAlign w:val="center"/>
                </w:tcPr>
                <w:p w14:paraId="20D870F6">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rPr>
                    <w:t>T/I</w:t>
                  </w:r>
                </w:p>
              </w:tc>
              <w:tc>
                <w:tcPr>
                  <w:tcW w:w="656" w:type="dxa"/>
                  <w:vMerge w:val="restart"/>
                  <w:tcBorders>
                    <w:tl2br w:val="nil"/>
                    <w:tr2bl w:val="nil"/>
                  </w:tcBorders>
                  <w:noWrap w:val="0"/>
                  <w:vAlign w:val="center"/>
                </w:tcPr>
                <w:p w14:paraId="32701788">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lang w:eastAsia="zh-CN"/>
                    </w:rPr>
                    <w:t>交由资质单位处理</w:t>
                  </w:r>
                </w:p>
              </w:tc>
            </w:tr>
            <w:tr w14:paraId="72C44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2" w:type="dxa"/>
                  <w:tcBorders>
                    <w:tl2br w:val="nil"/>
                    <w:tr2bl w:val="nil"/>
                  </w:tcBorders>
                  <w:noWrap w:val="0"/>
                  <w:vAlign w:val="center"/>
                </w:tcPr>
                <w:p w14:paraId="4DB25130">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777" w:type="dxa"/>
                  <w:tcBorders>
                    <w:tl2br w:val="nil"/>
                    <w:tr2bl w:val="nil"/>
                  </w:tcBorders>
                  <w:shd w:val="clear" w:color="auto" w:fill="auto"/>
                  <w:noWrap w:val="0"/>
                  <w:vAlign w:val="center"/>
                </w:tcPr>
                <w:p w14:paraId="73AACB14">
                  <w:pPr>
                    <w:keepNext w:val="0"/>
                    <w:keepLines w:val="0"/>
                    <w:widowControl/>
                    <w:suppressLineNumbers w:val="0"/>
                    <w:adjustRightInd w:val="0"/>
                    <w:snapToGrid w:val="0"/>
                    <w:spacing w:before="0" w:beforeAutospacing="0" w:after="0" w:afterAutospacing="0" w:line="240" w:lineRule="auto"/>
                    <w:ind w:left="0" w:leftChars="0" w:right="0" w:rightChars="0" w:firstLine="33" w:firstLineChars="16"/>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rPr>
                    <w:t>废活性炭</w:t>
                  </w:r>
                </w:p>
              </w:tc>
              <w:tc>
                <w:tcPr>
                  <w:tcW w:w="672" w:type="dxa"/>
                  <w:tcBorders>
                    <w:tl2br w:val="nil"/>
                    <w:tr2bl w:val="nil"/>
                  </w:tcBorders>
                  <w:shd w:val="clear" w:color="auto" w:fill="auto"/>
                  <w:noWrap w:val="0"/>
                  <w:vAlign w:val="center"/>
                </w:tcPr>
                <w:p w14:paraId="3D37A539">
                  <w:pPr>
                    <w:keepNext w:val="0"/>
                    <w:keepLines w:val="0"/>
                    <w:suppressLineNumbers w:val="0"/>
                    <w:topLinePunct/>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宋体" w:cs="Times New Roman"/>
                      <w:color w:val="auto"/>
                      <w:sz w:val="21"/>
                      <w:szCs w:val="21"/>
                      <w:highlight w:val="none"/>
                    </w:rPr>
                    <w:t>HW49</w:t>
                  </w:r>
                </w:p>
              </w:tc>
              <w:tc>
                <w:tcPr>
                  <w:tcW w:w="761" w:type="dxa"/>
                  <w:tcBorders>
                    <w:tl2br w:val="nil"/>
                    <w:tr2bl w:val="nil"/>
                  </w:tcBorders>
                  <w:shd w:val="clear" w:color="auto" w:fill="auto"/>
                  <w:noWrap w:val="0"/>
                  <w:vAlign w:val="center"/>
                </w:tcPr>
                <w:p w14:paraId="0FCCD482">
                  <w:pPr>
                    <w:keepNext w:val="0"/>
                    <w:keepLines w:val="0"/>
                    <w:suppressLineNumbers w:val="0"/>
                    <w:topLinePunct/>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宋体" w:cs="Times New Roman"/>
                      <w:color w:val="auto"/>
                      <w:sz w:val="21"/>
                      <w:szCs w:val="21"/>
                      <w:highlight w:val="none"/>
                    </w:rPr>
                    <w:t>900-041-49</w:t>
                  </w:r>
                </w:p>
              </w:tc>
              <w:tc>
                <w:tcPr>
                  <w:tcW w:w="788" w:type="dxa"/>
                  <w:tcBorders>
                    <w:tl2br w:val="nil"/>
                    <w:tr2bl w:val="nil"/>
                  </w:tcBorders>
                  <w:shd w:val="clear" w:color="auto" w:fill="auto"/>
                  <w:noWrap w:val="0"/>
                  <w:vAlign w:val="center"/>
                </w:tcPr>
                <w:p w14:paraId="7F27B9DF">
                  <w:pPr>
                    <w:keepNext w:val="0"/>
                    <w:keepLines w:val="0"/>
                    <w:suppressLineNumbers w:val="0"/>
                    <w:adjustRightInd w:val="0"/>
                    <w:snapToGrid w:val="0"/>
                    <w:spacing w:before="0" w:beforeAutospacing="0" w:after="0" w:afterAutospacing="0" w:line="240" w:lineRule="auto"/>
                    <w:ind w:left="0" w:leftChars="0" w:right="0" w:rightChars="0" w:firstLine="31" w:firstLineChars="15"/>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886" w:type="dxa"/>
                  <w:tcBorders>
                    <w:tl2br w:val="nil"/>
                    <w:tr2bl w:val="nil"/>
                  </w:tcBorders>
                  <w:shd w:val="clear" w:color="auto" w:fill="auto"/>
                  <w:noWrap w:val="0"/>
                  <w:vAlign w:val="center"/>
                </w:tcPr>
                <w:p w14:paraId="78445313">
                  <w:pPr>
                    <w:keepNext w:val="0"/>
                    <w:keepLines w:val="0"/>
                    <w:suppressLineNumbers w:val="0"/>
                    <w:topLinePunct/>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rPr>
                    <w:t>废气处理</w:t>
                  </w:r>
                </w:p>
              </w:tc>
              <w:tc>
                <w:tcPr>
                  <w:tcW w:w="477" w:type="dxa"/>
                  <w:tcBorders>
                    <w:tl2br w:val="nil"/>
                    <w:tr2bl w:val="nil"/>
                  </w:tcBorders>
                  <w:shd w:val="clear" w:color="auto" w:fill="auto"/>
                  <w:noWrap w:val="0"/>
                  <w:vAlign w:val="center"/>
                </w:tcPr>
                <w:p w14:paraId="7C0F182F">
                  <w:pPr>
                    <w:keepNext w:val="0"/>
                    <w:keepLines w:val="0"/>
                    <w:suppressLineNumbers w:val="0"/>
                    <w:topLinePunct/>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rPr>
                    <w:t>固态</w:t>
                  </w:r>
                </w:p>
              </w:tc>
              <w:tc>
                <w:tcPr>
                  <w:tcW w:w="699" w:type="dxa"/>
                  <w:tcBorders>
                    <w:tl2br w:val="nil"/>
                    <w:tr2bl w:val="nil"/>
                  </w:tcBorders>
                  <w:shd w:val="clear" w:color="auto" w:fill="auto"/>
                  <w:noWrap w:val="0"/>
                  <w:vAlign w:val="center"/>
                </w:tcPr>
                <w:p w14:paraId="10EA08FA">
                  <w:pPr>
                    <w:keepNext w:val="0"/>
                    <w:keepLines w:val="0"/>
                    <w:suppressLineNumbers w:val="0"/>
                    <w:topLinePunct/>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rPr>
                    <w:t>C</w:t>
                  </w:r>
                </w:p>
              </w:tc>
              <w:tc>
                <w:tcPr>
                  <w:tcW w:w="681" w:type="dxa"/>
                  <w:tcBorders>
                    <w:tl2br w:val="nil"/>
                    <w:tr2bl w:val="nil"/>
                  </w:tcBorders>
                  <w:shd w:val="clear" w:color="auto" w:fill="auto"/>
                  <w:noWrap w:val="0"/>
                  <w:vAlign w:val="center"/>
                </w:tcPr>
                <w:p w14:paraId="67717BD1">
                  <w:pPr>
                    <w:keepNext w:val="0"/>
                    <w:keepLines w:val="0"/>
                    <w:suppressLineNumbers w:val="0"/>
                    <w:topLinePunct/>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rPr>
                    <w:t>有机废气</w:t>
                  </w:r>
                </w:p>
              </w:tc>
              <w:tc>
                <w:tcPr>
                  <w:tcW w:w="698" w:type="dxa"/>
                  <w:tcBorders>
                    <w:tl2br w:val="nil"/>
                    <w:tr2bl w:val="nil"/>
                  </w:tcBorders>
                  <w:shd w:val="clear" w:color="auto" w:fill="auto"/>
                  <w:noWrap w:val="0"/>
                  <w:vAlign w:val="center"/>
                </w:tcPr>
                <w:p w14:paraId="4BFBDDC3">
                  <w:pPr>
                    <w:keepNext w:val="0"/>
                    <w:keepLines w:val="0"/>
                    <w:suppressLineNumbers w:val="0"/>
                    <w:topLinePunct/>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rPr>
                    <w:t>每3个月</w:t>
                  </w:r>
                </w:p>
              </w:tc>
              <w:tc>
                <w:tcPr>
                  <w:tcW w:w="642" w:type="dxa"/>
                  <w:tcBorders>
                    <w:tl2br w:val="nil"/>
                    <w:tr2bl w:val="nil"/>
                  </w:tcBorders>
                  <w:shd w:val="clear" w:color="auto" w:fill="auto"/>
                  <w:noWrap w:val="0"/>
                  <w:vAlign w:val="center"/>
                </w:tcPr>
                <w:p w14:paraId="06FF9185">
                  <w:pPr>
                    <w:keepNext w:val="0"/>
                    <w:keepLines w:val="0"/>
                    <w:suppressLineNumbers w:val="0"/>
                    <w:topLinePunct/>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rPr>
                    <w:t>T/I</w:t>
                  </w:r>
                </w:p>
              </w:tc>
              <w:tc>
                <w:tcPr>
                  <w:tcW w:w="656" w:type="dxa"/>
                  <w:vMerge w:val="continue"/>
                  <w:tcBorders>
                    <w:tl2br w:val="nil"/>
                    <w:tr2bl w:val="nil"/>
                  </w:tcBorders>
                  <w:noWrap w:val="0"/>
                  <w:vAlign w:val="center"/>
                </w:tcPr>
                <w:p w14:paraId="721501D3">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lang w:eastAsia="zh-CN"/>
                    </w:rPr>
                  </w:pPr>
                </w:p>
              </w:tc>
            </w:tr>
            <w:tr w14:paraId="7439E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2" w:type="dxa"/>
                  <w:tcBorders>
                    <w:tl2br w:val="nil"/>
                    <w:tr2bl w:val="nil"/>
                  </w:tcBorders>
                  <w:noWrap w:val="0"/>
                  <w:vAlign w:val="center"/>
                </w:tcPr>
                <w:p w14:paraId="1A076306">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3</w:t>
                  </w:r>
                </w:p>
              </w:tc>
              <w:tc>
                <w:tcPr>
                  <w:tcW w:w="777" w:type="dxa"/>
                  <w:tcBorders>
                    <w:tl2br w:val="nil"/>
                    <w:tr2bl w:val="nil"/>
                  </w:tcBorders>
                  <w:noWrap w:val="0"/>
                  <w:vAlign w:val="center"/>
                </w:tcPr>
                <w:p w14:paraId="53FC489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lang w:eastAsia="zh-CN"/>
                    </w:rPr>
                    <w:t>废机油</w:t>
                  </w:r>
                </w:p>
              </w:tc>
              <w:tc>
                <w:tcPr>
                  <w:tcW w:w="672" w:type="dxa"/>
                  <w:tcBorders>
                    <w:tl2br w:val="nil"/>
                    <w:tr2bl w:val="nil"/>
                  </w:tcBorders>
                  <w:noWrap w:val="0"/>
                  <w:vAlign w:val="center"/>
                </w:tcPr>
                <w:p w14:paraId="62CAE229">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eastAsia" w:ascii="Times New Roman" w:hAnsi="宋体" w:cs="Times New Roman"/>
                      <w:color w:val="auto"/>
                      <w:sz w:val="21"/>
                      <w:szCs w:val="21"/>
                      <w:highlight w:val="none"/>
                    </w:rPr>
                  </w:pPr>
                  <w:r>
                    <w:rPr>
                      <w:rFonts w:hint="default" w:ascii="Times New Roman" w:hAnsi="Times New Roman" w:cs="Times New Roman"/>
                      <w:color w:val="auto"/>
                      <w:kern w:val="0"/>
                      <w:sz w:val="21"/>
                      <w:szCs w:val="21"/>
                    </w:rPr>
                    <w:t>HW08</w:t>
                  </w:r>
                </w:p>
              </w:tc>
              <w:tc>
                <w:tcPr>
                  <w:tcW w:w="761" w:type="dxa"/>
                  <w:tcBorders>
                    <w:tl2br w:val="nil"/>
                    <w:tr2bl w:val="nil"/>
                  </w:tcBorders>
                  <w:noWrap w:val="0"/>
                  <w:vAlign w:val="center"/>
                </w:tcPr>
                <w:p w14:paraId="74943128">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eastAsia" w:ascii="Times New Roman" w:hAnsi="宋体" w:cs="Times New Roman"/>
                      <w:color w:val="auto"/>
                      <w:sz w:val="21"/>
                      <w:szCs w:val="21"/>
                      <w:highlight w:val="none"/>
                    </w:rPr>
                  </w:pPr>
                  <w:r>
                    <w:rPr>
                      <w:rFonts w:hint="default" w:ascii="Times New Roman" w:hAnsi="Times New Roman" w:cs="Times New Roman"/>
                      <w:color w:val="auto"/>
                      <w:kern w:val="0"/>
                      <w:sz w:val="21"/>
                      <w:szCs w:val="21"/>
                    </w:rPr>
                    <w:t>900-214-08</w:t>
                  </w:r>
                </w:p>
              </w:tc>
              <w:tc>
                <w:tcPr>
                  <w:tcW w:w="788" w:type="dxa"/>
                  <w:tcBorders>
                    <w:tl2br w:val="nil"/>
                    <w:tr2bl w:val="nil"/>
                  </w:tcBorders>
                  <w:noWrap w:val="0"/>
                  <w:vAlign w:val="center"/>
                </w:tcPr>
                <w:p w14:paraId="003E4A11">
                  <w:pPr>
                    <w:keepNext w:val="0"/>
                    <w:keepLines w:val="0"/>
                    <w:suppressLineNumbers w:val="0"/>
                    <w:adjustRightInd w:val="0"/>
                    <w:snapToGrid w:val="0"/>
                    <w:spacing w:before="0" w:beforeAutospacing="0" w:after="0" w:afterAutospacing="0" w:line="240" w:lineRule="auto"/>
                    <w:ind w:left="0" w:right="0" w:firstLine="31" w:firstLineChars="15"/>
                    <w:jc w:val="center"/>
                    <w:rPr>
                      <w:rFonts w:hint="default" w:ascii="Times New Roman" w:hAnsi="宋体" w:cs="Times New Roman"/>
                      <w:color w:val="auto"/>
                      <w:sz w:val="21"/>
                      <w:szCs w:val="21"/>
                      <w:highlight w:val="none"/>
                      <w:lang w:val="en-US" w:eastAsia="zh-CN"/>
                    </w:rPr>
                  </w:pPr>
                  <w:r>
                    <w:rPr>
                      <w:rFonts w:hint="eastAsia" w:ascii="Times New Roman" w:hAnsi="宋体" w:cs="Times New Roman"/>
                      <w:color w:val="auto"/>
                      <w:sz w:val="21"/>
                      <w:szCs w:val="21"/>
                      <w:highlight w:val="none"/>
                      <w:lang w:val="en-US" w:eastAsia="zh-CN"/>
                    </w:rPr>
                    <w:t>0.01</w:t>
                  </w:r>
                </w:p>
              </w:tc>
              <w:tc>
                <w:tcPr>
                  <w:tcW w:w="886" w:type="dxa"/>
                  <w:tcBorders>
                    <w:tl2br w:val="nil"/>
                    <w:tr2bl w:val="nil"/>
                  </w:tcBorders>
                  <w:noWrap w:val="0"/>
                  <w:vAlign w:val="center"/>
                </w:tcPr>
                <w:p w14:paraId="07317A94">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废气处理</w:t>
                  </w:r>
                </w:p>
              </w:tc>
              <w:tc>
                <w:tcPr>
                  <w:tcW w:w="477" w:type="dxa"/>
                  <w:tcBorders>
                    <w:tl2br w:val="nil"/>
                    <w:tr2bl w:val="nil"/>
                  </w:tcBorders>
                  <w:noWrap w:val="0"/>
                  <w:vAlign w:val="center"/>
                </w:tcPr>
                <w:p w14:paraId="734F4A01">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液态</w:t>
                  </w:r>
                </w:p>
              </w:tc>
              <w:tc>
                <w:tcPr>
                  <w:tcW w:w="699" w:type="dxa"/>
                  <w:tcBorders>
                    <w:tl2br w:val="nil"/>
                    <w:tr2bl w:val="nil"/>
                  </w:tcBorders>
                  <w:noWrap w:val="0"/>
                  <w:vAlign w:val="center"/>
                </w:tcPr>
                <w:p w14:paraId="00FF0AC1">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olor w:val="auto"/>
                      <w:sz w:val="21"/>
                      <w:szCs w:val="21"/>
                      <w:lang w:val="en-US" w:eastAsia="zh-CN"/>
                    </w:rPr>
                    <w:t>矿物油</w:t>
                  </w:r>
                </w:p>
              </w:tc>
              <w:tc>
                <w:tcPr>
                  <w:tcW w:w="681" w:type="dxa"/>
                  <w:tcBorders>
                    <w:tl2br w:val="nil"/>
                    <w:tr2bl w:val="nil"/>
                  </w:tcBorders>
                  <w:noWrap w:val="0"/>
                  <w:vAlign w:val="center"/>
                </w:tcPr>
                <w:p w14:paraId="59275C08">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val="en-US" w:eastAsia="zh-CN"/>
                    </w:rPr>
                  </w:pPr>
                  <w:r>
                    <w:rPr>
                      <w:rFonts w:hint="eastAsia"/>
                      <w:color w:val="auto"/>
                      <w:sz w:val="21"/>
                      <w:szCs w:val="21"/>
                      <w:lang w:val="en-US" w:eastAsia="zh-CN"/>
                    </w:rPr>
                    <w:t xml:space="preserve"> 矿物油</w:t>
                  </w:r>
                </w:p>
              </w:tc>
              <w:tc>
                <w:tcPr>
                  <w:tcW w:w="698" w:type="dxa"/>
                  <w:tcBorders>
                    <w:tl2br w:val="nil"/>
                    <w:tr2bl w:val="nil"/>
                  </w:tcBorders>
                  <w:noWrap w:val="0"/>
                  <w:vAlign w:val="center"/>
                </w:tcPr>
                <w:p w14:paraId="6F8F79B9">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每3个月</w:t>
                  </w:r>
                </w:p>
              </w:tc>
              <w:tc>
                <w:tcPr>
                  <w:tcW w:w="642" w:type="dxa"/>
                  <w:tcBorders>
                    <w:tl2br w:val="nil"/>
                    <w:tr2bl w:val="nil"/>
                  </w:tcBorders>
                  <w:noWrap w:val="0"/>
                  <w:vAlign w:val="center"/>
                </w:tcPr>
                <w:p w14:paraId="2423C1F6">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T/I</w:t>
                  </w:r>
                </w:p>
              </w:tc>
              <w:tc>
                <w:tcPr>
                  <w:tcW w:w="656" w:type="dxa"/>
                  <w:vMerge w:val="continue"/>
                  <w:tcBorders>
                    <w:tl2br w:val="nil"/>
                    <w:tr2bl w:val="nil"/>
                  </w:tcBorders>
                  <w:noWrap w:val="0"/>
                  <w:vAlign w:val="center"/>
                </w:tcPr>
                <w:p w14:paraId="564B6520">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lang w:eastAsia="zh-CN"/>
                    </w:rPr>
                  </w:pPr>
                </w:p>
              </w:tc>
            </w:tr>
          </w:tbl>
          <w:p w14:paraId="2DC03B11">
            <w:pPr>
              <w:keepNext w:val="0"/>
              <w:keepLines w:val="0"/>
              <w:suppressLineNumbers w:val="0"/>
              <w:topLinePunct/>
              <w:adjustRightInd w:val="0"/>
              <w:snapToGrid w:val="0"/>
              <w:spacing w:before="0" w:beforeAutospacing="0" w:after="187" w:afterLines="60" w:afterAutospacing="0" w:line="240" w:lineRule="auto"/>
              <w:ind w:left="0" w:right="0"/>
              <w:jc w:val="center"/>
              <w:rPr>
                <w:rFonts w:hint="eastAsia" w:ascii="T" w:hAnsi="T" w:eastAsia="宋体" w:cs="Times New Roman"/>
                <w:b/>
                <w:color w:val="auto"/>
                <w:sz w:val="21"/>
                <w:szCs w:val="21"/>
                <w:highlight w:val="none"/>
              </w:rPr>
            </w:pPr>
            <w:r>
              <w:rPr>
                <w:rFonts w:hint="eastAsia" w:ascii="T" w:hAnsi="T" w:eastAsia="宋体" w:cs="Times New Roman"/>
                <w:b/>
                <w:color w:val="auto"/>
                <w:sz w:val="21"/>
                <w:szCs w:val="21"/>
                <w:highlight w:val="none"/>
              </w:rPr>
              <w:t>表4-1</w:t>
            </w:r>
            <w:r>
              <w:rPr>
                <w:rFonts w:hint="eastAsia" w:ascii="T" w:hAnsi="T" w:eastAsia="宋体" w:cs="Times New Roman"/>
                <w:b/>
                <w:color w:val="auto"/>
                <w:sz w:val="21"/>
                <w:szCs w:val="21"/>
                <w:highlight w:val="none"/>
                <w:lang w:val="en-US" w:eastAsia="zh-CN"/>
              </w:rPr>
              <w:t>8</w:t>
            </w:r>
            <w:r>
              <w:rPr>
                <w:rFonts w:hint="eastAsia" w:ascii="仿宋_GB2312" w:hAnsi="Times New Roman" w:eastAsia="仿宋_GB2312" w:cs="Times New Roman"/>
                <w:b/>
                <w:color w:val="auto"/>
                <w:sz w:val="24"/>
                <w:highlight w:val="none"/>
              </w:rPr>
              <w:t xml:space="preserve">  </w:t>
            </w:r>
            <w:r>
              <w:rPr>
                <w:rFonts w:hint="eastAsia" w:ascii="T" w:hAnsi="T" w:eastAsia="宋体" w:cs="Times New Roman"/>
                <w:b/>
                <w:color w:val="auto"/>
                <w:sz w:val="21"/>
                <w:szCs w:val="21"/>
                <w:highlight w:val="none"/>
              </w:rPr>
              <w:t>建设项目危险废物贮存场所（设施）基本情况表</w:t>
            </w:r>
          </w:p>
          <w:tbl>
            <w:tblPr>
              <w:tblStyle w:val="28"/>
              <w:tblW w:w="82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2"/>
              <w:gridCol w:w="1012"/>
              <w:gridCol w:w="1056"/>
              <w:gridCol w:w="877"/>
              <w:gridCol w:w="745"/>
              <w:gridCol w:w="745"/>
              <w:gridCol w:w="697"/>
              <w:gridCol w:w="1189"/>
              <w:gridCol w:w="717"/>
              <w:gridCol w:w="709"/>
            </w:tblGrid>
            <w:tr w14:paraId="1536C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522" w:type="dxa"/>
                  <w:tcBorders>
                    <w:tl2br w:val="nil"/>
                    <w:tr2bl w:val="nil"/>
                  </w:tcBorders>
                  <w:noWrap w:val="0"/>
                  <w:vAlign w:val="center"/>
                </w:tcPr>
                <w:p w14:paraId="0AD68E65">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012" w:type="dxa"/>
                  <w:tcBorders>
                    <w:tl2br w:val="nil"/>
                    <w:tr2bl w:val="nil"/>
                  </w:tcBorders>
                  <w:noWrap w:val="0"/>
                  <w:vAlign w:val="center"/>
                </w:tcPr>
                <w:p w14:paraId="4BFAFE2F">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贮存场所（设施）</w:t>
                  </w:r>
                </w:p>
                <w:p w14:paraId="0A90E841">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名称</w:t>
                  </w:r>
                </w:p>
              </w:tc>
              <w:tc>
                <w:tcPr>
                  <w:tcW w:w="1056" w:type="dxa"/>
                  <w:tcBorders>
                    <w:tl2br w:val="nil"/>
                    <w:tr2bl w:val="nil"/>
                  </w:tcBorders>
                  <w:noWrap w:val="0"/>
                  <w:vAlign w:val="center"/>
                </w:tcPr>
                <w:p w14:paraId="34F0D9C2">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危险废物名称</w:t>
                  </w:r>
                </w:p>
              </w:tc>
              <w:tc>
                <w:tcPr>
                  <w:tcW w:w="877" w:type="dxa"/>
                  <w:tcBorders>
                    <w:tl2br w:val="nil"/>
                    <w:tr2bl w:val="nil"/>
                  </w:tcBorders>
                  <w:noWrap w:val="0"/>
                  <w:vAlign w:val="center"/>
                </w:tcPr>
                <w:p w14:paraId="6F2E8331">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危险废物类别</w:t>
                  </w:r>
                </w:p>
              </w:tc>
              <w:tc>
                <w:tcPr>
                  <w:tcW w:w="745" w:type="dxa"/>
                  <w:tcBorders>
                    <w:tl2br w:val="nil"/>
                    <w:tr2bl w:val="nil"/>
                  </w:tcBorders>
                  <w:noWrap w:val="0"/>
                  <w:vAlign w:val="center"/>
                </w:tcPr>
                <w:p w14:paraId="117B773A">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危险废物代码</w:t>
                  </w:r>
                </w:p>
              </w:tc>
              <w:tc>
                <w:tcPr>
                  <w:tcW w:w="745" w:type="dxa"/>
                  <w:tcBorders>
                    <w:tl2br w:val="nil"/>
                    <w:tr2bl w:val="nil"/>
                  </w:tcBorders>
                  <w:noWrap w:val="0"/>
                  <w:vAlign w:val="center"/>
                </w:tcPr>
                <w:p w14:paraId="371A0687">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位置</w:t>
                  </w:r>
                </w:p>
              </w:tc>
              <w:tc>
                <w:tcPr>
                  <w:tcW w:w="697" w:type="dxa"/>
                  <w:tcBorders>
                    <w:tl2br w:val="nil"/>
                    <w:tr2bl w:val="nil"/>
                  </w:tcBorders>
                  <w:noWrap w:val="0"/>
                  <w:vAlign w:val="center"/>
                </w:tcPr>
                <w:p w14:paraId="1E1CF7B5">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占地面积</w:t>
                  </w:r>
                </w:p>
              </w:tc>
              <w:tc>
                <w:tcPr>
                  <w:tcW w:w="1189" w:type="dxa"/>
                  <w:tcBorders>
                    <w:tl2br w:val="nil"/>
                    <w:tr2bl w:val="nil"/>
                  </w:tcBorders>
                  <w:noWrap w:val="0"/>
                  <w:vAlign w:val="center"/>
                </w:tcPr>
                <w:p w14:paraId="57DE4DEB">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贮存方式</w:t>
                  </w:r>
                </w:p>
              </w:tc>
              <w:tc>
                <w:tcPr>
                  <w:tcW w:w="717" w:type="dxa"/>
                  <w:tcBorders>
                    <w:tl2br w:val="nil"/>
                    <w:tr2bl w:val="nil"/>
                  </w:tcBorders>
                  <w:noWrap w:val="0"/>
                  <w:vAlign w:val="center"/>
                </w:tcPr>
                <w:p w14:paraId="4B2E8A4D">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贮存</w:t>
                  </w:r>
                </w:p>
                <w:p w14:paraId="2E00CC3C">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能力</w:t>
                  </w:r>
                </w:p>
              </w:tc>
              <w:tc>
                <w:tcPr>
                  <w:tcW w:w="709" w:type="dxa"/>
                  <w:tcBorders>
                    <w:tl2br w:val="nil"/>
                    <w:tr2bl w:val="nil"/>
                  </w:tcBorders>
                  <w:noWrap w:val="0"/>
                  <w:vAlign w:val="center"/>
                </w:tcPr>
                <w:p w14:paraId="7173185A">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贮存</w:t>
                  </w:r>
                </w:p>
                <w:p w14:paraId="05F3CEAD">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周期</w:t>
                  </w:r>
                </w:p>
              </w:tc>
            </w:tr>
            <w:tr w14:paraId="2AEE8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522" w:type="dxa"/>
                  <w:tcBorders>
                    <w:tl2br w:val="nil"/>
                    <w:tr2bl w:val="nil"/>
                  </w:tcBorders>
                  <w:noWrap w:val="0"/>
                  <w:vAlign w:val="center"/>
                </w:tcPr>
                <w:p w14:paraId="35ACD61C">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1</w:t>
                  </w:r>
                </w:p>
              </w:tc>
              <w:tc>
                <w:tcPr>
                  <w:tcW w:w="1012" w:type="dxa"/>
                  <w:vMerge w:val="restart"/>
                  <w:tcBorders>
                    <w:tl2br w:val="nil"/>
                    <w:tr2bl w:val="nil"/>
                  </w:tcBorders>
                  <w:noWrap w:val="0"/>
                  <w:vAlign w:val="center"/>
                </w:tcPr>
                <w:p w14:paraId="74024B86">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危险废物暂存间</w:t>
                  </w:r>
                </w:p>
              </w:tc>
              <w:tc>
                <w:tcPr>
                  <w:tcW w:w="1056" w:type="dxa"/>
                  <w:tcBorders>
                    <w:tl2br w:val="nil"/>
                    <w:tr2bl w:val="nil"/>
                  </w:tcBorders>
                  <w:noWrap w:val="0"/>
                  <w:vAlign w:val="center"/>
                </w:tcPr>
                <w:p w14:paraId="06F31155">
                  <w:pPr>
                    <w:keepNext w:val="0"/>
                    <w:keepLines w:val="0"/>
                    <w:widowControl/>
                    <w:suppressLineNumbers w:val="0"/>
                    <w:adjustRightInd w:val="0"/>
                    <w:snapToGrid w:val="0"/>
                    <w:spacing w:before="0" w:beforeAutospacing="0" w:after="0" w:afterAutospacing="0" w:line="240" w:lineRule="auto"/>
                    <w:ind w:left="0" w:leftChars="0" w:right="0" w:rightChars="0" w:firstLine="33" w:firstLineChars="16"/>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Calibri"/>
                      <w:color w:val="auto"/>
                      <w:sz w:val="21"/>
                      <w:szCs w:val="21"/>
                    </w:rPr>
                    <w:t>废吸油布</w:t>
                  </w:r>
                </w:p>
              </w:tc>
              <w:tc>
                <w:tcPr>
                  <w:tcW w:w="877" w:type="dxa"/>
                  <w:tcBorders>
                    <w:tl2br w:val="nil"/>
                    <w:tr2bl w:val="nil"/>
                  </w:tcBorders>
                  <w:noWrap w:val="0"/>
                  <w:vAlign w:val="center"/>
                </w:tcPr>
                <w:p w14:paraId="743F3F61">
                  <w:pPr>
                    <w:keepNext w:val="0"/>
                    <w:keepLines w:val="0"/>
                    <w:suppressLineNumbers w:val="0"/>
                    <w:topLinePunct/>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宋体" w:cs="Times New Roman"/>
                      <w:color w:val="auto"/>
                      <w:sz w:val="21"/>
                      <w:szCs w:val="21"/>
                      <w:highlight w:val="none"/>
                    </w:rPr>
                    <w:t>HW49</w:t>
                  </w:r>
                </w:p>
              </w:tc>
              <w:tc>
                <w:tcPr>
                  <w:tcW w:w="745" w:type="dxa"/>
                  <w:tcBorders>
                    <w:tl2br w:val="nil"/>
                    <w:tr2bl w:val="nil"/>
                  </w:tcBorders>
                  <w:noWrap w:val="0"/>
                  <w:vAlign w:val="center"/>
                </w:tcPr>
                <w:p w14:paraId="0796DA62">
                  <w:pPr>
                    <w:keepNext w:val="0"/>
                    <w:keepLines w:val="0"/>
                    <w:suppressLineNumbers w:val="0"/>
                    <w:topLinePunct/>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宋体" w:cs="Times New Roman"/>
                      <w:color w:val="auto"/>
                      <w:sz w:val="21"/>
                      <w:szCs w:val="21"/>
                      <w:highlight w:val="none"/>
                    </w:rPr>
                    <w:t>900-041-49</w:t>
                  </w:r>
                </w:p>
              </w:tc>
              <w:tc>
                <w:tcPr>
                  <w:tcW w:w="745" w:type="dxa"/>
                  <w:vMerge w:val="restart"/>
                  <w:tcBorders>
                    <w:tl2br w:val="nil"/>
                    <w:tr2bl w:val="nil"/>
                  </w:tcBorders>
                  <w:noWrap w:val="0"/>
                  <w:vAlign w:val="center"/>
                </w:tcPr>
                <w:p w14:paraId="1A83214F">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生产车间</w:t>
                  </w:r>
                  <w:r>
                    <w:rPr>
                      <w:rFonts w:hint="eastAsia" w:ascii="Times New Roman" w:hAnsi="Times New Roman" w:eastAsia="宋体" w:cs="Times New Roman"/>
                      <w:color w:val="auto"/>
                      <w:kern w:val="0"/>
                      <w:sz w:val="21"/>
                      <w:szCs w:val="21"/>
                      <w:highlight w:val="none"/>
                      <w:lang w:val="en-US" w:eastAsia="zh-CN"/>
                    </w:rPr>
                    <w:t>西北</w:t>
                  </w:r>
                  <w:r>
                    <w:rPr>
                      <w:rFonts w:hint="eastAsia" w:ascii="Times New Roman" w:hAnsi="Times New Roman" w:eastAsia="宋体" w:cs="Times New Roman"/>
                      <w:color w:val="auto"/>
                      <w:kern w:val="0"/>
                      <w:sz w:val="21"/>
                      <w:szCs w:val="21"/>
                      <w:highlight w:val="none"/>
                    </w:rPr>
                    <w:t>面</w:t>
                  </w:r>
                </w:p>
              </w:tc>
              <w:tc>
                <w:tcPr>
                  <w:tcW w:w="697" w:type="dxa"/>
                  <w:vMerge w:val="restart"/>
                  <w:tcBorders>
                    <w:tl2br w:val="nil"/>
                    <w:tr2bl w:val="nil"/>
                  </w:tcBorders>
                  <w:noWrap w:val="0"/>
                  <w:vAlign w:val="center"/>
                </w:tcPr>
                <w:p w14:paraId="759D6F45">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8</w:t>
                  </w:r>
                  <w:r>
                    <w:rPr>
                      <w:rFonts w:hint="eastAsia" w:ascii="Times New Roman" w:hAnsi="Times New Roman" w:eastAsia="宋体" w:cs="Times New Roman"/>
                      <w:color w:val="auto"/>
                      <w:kern w:val="0"/>
                      <w:sz w:val="21"/>
                      <w:szCs w:val="21"/>
                      <w:highlight w:val="none"/>
                      <w:lang w:eastAsia="zh-CN"/>
                    </w:rPr>
                    <w:t>m</w:t>
                  </w:r>
                  <w:r>
                    <w:rPr>
                      <w:rFonts w:hint="eastAsia" w:ascii="Times New Roman" w:hAnsi="Times New Roman" w:eastAsia="宋体" w:cs="Times New Roman"/>
                      <w:color w:val="auto"/>
                      <w:kern w:val="0"/>
                      <w:sz w:val="21"/>
                      <w:szCs w:val="21"/>
                      <w:highlight w:val="none"/>
                      <w:vertAlign w:val="superscript"/>
                    </w:rPr>
                    <w:t>2</w:t>
                  </w:r>
                </w:p>
              </w:tc>
              <w:tc>
                <w:tcPr>
                  <w:tcW w:w="1189" w:type="dxa"/>
                  <w:vMerge w:val="restart"/>
                  <w:tcBorders>
                    <w:tl2br w:val="nil"/>
                    <w:tr2bl w:val="nil"/>
                  </w:tcBorders>
                  <w:noWrap w:val="0"/>
                  <w:vAlign w:val="center"/>
                </w:tcPr>
                <w:p w14:paraId="4B58358D">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rPr>
                    <w:t>分类收集，液体桶装</w:t>
                  </w:r>
                  <w:r>
                    <w:rPr>
                      <w:rFonts w:hint="eastAsia" w:cs="Times New Roman"/>
                      <w:color w:val="auto"/>
                      <w:kern w:val="0"/>
                      <w:sz w:val="21"/>
                      <w:szCs w:val="21"/>
                      <w:highlight w:val="none"/>
                      <w:lang w:val="en-US" w:eastAsia="zh-CN"/>
                    </w:rPr>
                    <w:t>放置于托盘上</w:t>
                  </w:r>
                  <w:r>
                    <w:rPr>
                      <w:rFonts w:hint="eastAsia" w:ascii="Times New Roman" w:hAnsi="Times New Roman" w:eastAsia="宋体" w:cs="Times New Roman"/>
                      <w:color w:val="auto"/>
                      <w:kern w:val="0"/>
                      <w:sz w:val="21"/>
                      <w:szCs w:val="21"/>
                      <w:highlight w:val="none"/>
                    </w:rPr>
                    <w:t>，其余放置于防渗漏容器内</w:t>
                  </w:r>
                </w:p>
              </w:tc>
              <w:tc>
                <w:tcPr>
                  <w:tcW w:w="717" w:type="dxa"/>
                  <w:vMerge w:val="restart"/>
                  <w:tcBorders>
                    <w:tl2br w:val="nil"/>
                    <w:tr2bl w:val="nil"/>
                  </w:tcBorders>
                  <w:noWrap w:val="0"/>
                  <w:vAlign w:val="center"/>
                </w:tcPr>
                <w:p w14:paraId="0968C43B">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rPr>
                  </w:pPr>
                  <w:r>
                    <w:rPr>
                      <w:rFonts w:hint="eastAsia" w:cs="Times New Roman"/>
                      <w:color w:val="auto"/>
                      <w:kern w:val="0"/>
                      <w:sz w:val="21"/>
                      <w:szCs w:val="21"/>
                      <w:highlight w:val="none"/>
                      <w:lang w:val="en-US" w:eastAsia="zh-CN"/>
                    </w:rPr>
                    <w:t>5</w:t>
                  </w:r>
                  <w:r>
                    <w:rPr>
                      <w:rFonts w:hint="eastAsia" w:ascii="Times New Roman" w:hAnsi="Times New Roman" w:eastAsia="宋体" w:cs="Times New Roman"/>
                      <w:color w:val="auto"/>
                      <w:kern w:val="0"/>
                      <w:sz w:val="21"/>
                      <w:szCs w:val="21"/>
                      <w:highlight w:val="none"/>
                      <w:lang w:val="en-US" w:eastAsia="zh-CN"/>
                    </w:rPr>
                    <w:t>t</w:t>
                  </w:r>
                </w:p>
              </w:tc>
              <w:tc>
                <w:tcPr>
                  <w:tcW w:w="709" w:type="dxa"/>
                  <w:vMerge w:val="restart"/>
                  <w:tcBorders>
                    <w:tl2br w:val="nil"/>
                    <w:tr2bl w:val="nil"/>
                  </w:tcBorders>
                  <w:noWrap w:val="0"/>
                  <w:vAlign w:val="center"/>
                </w:tcPr>
                <w:p w14:paraId="7494AF39">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一年</w:t>
                  </w:r>
                </w:p>
              </w:tc>
            </w:tr>
            <w:tr w14:paraId="366B2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522" w:type="dxa"/>
                  <w:tcBorders>
                    <w:tl2br w:val="nil"/>
                    <w:tr2bl w:val="nil"/>
                  </w:tcBorders>
                  <w:noWrap w:val="0"/>
                  <w:vAlign w:val="center"/>
                </w:tcPr>
                <w:p w14:paraId="1BD22124">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1012" w:type="dxa"/>
                  <w:vMerge w:val="continue"/>
                  <w:tcBorders>
                    <w:tl2br w:val="nil"/>
                    <w:tr2bl w:val="nil"/>
                  </w:tcBorders>
                  <w:noWrap w:val="0"/>
                  <w:vAlign w:val="center"/>
                </w:tcPr>
                <w:p w14:paraId="0A375517">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rPr>
                  </w:pPr>
                </w:p>
              </w:tc>
              <w:tc>
                <w:tcPr>
                  <w:tcW w:w="1056" w:type="dxa"/>
                  <w:tcBorders>
                    <w:tl2br w:val="nil"/>
                    <w:tr2bl w:val="nil"/>
                  </w:tcBorders>
                  <w:shd w:val="clear" w:color="auto" w:fill="auto"/>
                  <w:noWrap w:val="0"/>
                  <w:vAlign w:val="center"/>
                </w:tcPr>
                <w:p w14:paraId="757D51A8">
                  <w:pPr>
                    <w:keepNext w:val="0"/>
                    <w:keepLines w:val="0"/>
                    <w:widowControl/>
                    <w:suppressLineNumbers w:val="0"/>
                    <w:adjustRightInd w:val="0"/>
                    <w:snapToGrid w:val="0"/>
                    <w:spacing w:before="0" w:beforeAutospacing="0" w:after="0" w:afterAutospacing="0" w:line="240" w:lineRule="auto"/>
                    <w:ind w:left="0" w:leftChars="0" w:right="0" w:rightChars="0" w:firstLine="33" w:firstLineChars="16"/>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废活性炭</w:t>
                  </w:r>
                </w:p>
              </w:tc>
              <w:tc>
                <w:tcPr>
                  <w:tcW w:w="877" w:type="dxa"/>
                  <w:tcBorders>
                    <w:tl2br w:val="nil"/>
                    <w:tr2bl w:val="nil"/>
                  </w:tcBorders>
                  <w:shd w:val="clear" w:color="auto" w:fill="auto"/>
                  <w:noWrap w:val="0"/>
                  <w:vAlign w:val="center"/>
                </w:tcPr>
                <w:p w14:paraId="7D3D2CE9">
                  <w:pPr>
                    <w:keepNext w:val="0"/>
                    <w:keepLines w:val="0"/>
                    <w:suppressLineNumbers w:val="0"/>
                    <w:topLinePunct/>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宋体" w:eastAsia="宋体" w:cs="Times New Roman"/>
                      <w:color w:val="auto"/>
                      <w:sz w:val="21"/>
                      <w:szCs w:val="21"/>
                      <w:highlight w:val="none"/>
                    </w:rPr>
                    <w:t>HW49</w:t>
                  </w:r>
                </w:p>
              </w:tc>
              <w:tc>
                <w:tcPr>
                  <w:tcW w:w="745" w:type="dxa"/>
                  <w:tcBorders>
                    <w:tl2br w:val="nil"/>
                    <w:tr2bl w:val="nil"/>
                  </w:tcBorders>
                  <w:shd w:val="clear" w:color="auto" w:fill="auto"/>
                  <w:noWrap w:val="0"/>
                  <w:vAlign w:val="center"/>
                </w:tcPr>
                <w:p w14:paraId="1F2BE643">
                  <w:pPr>
                    <w:keepNext w:val="0"/>
                    <w:keepLines w:val="0"/>
                    <w:suppressLineNumbers w:val="0"/>
                    <w:topLinePunct/>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宋体" w:eastAsia="宋体" w:cs="Times New Roman"/>
                      <w:color w:val="auto"/>
                      <w:sz w:val="21"/>
                      <w:szCs w:val="21"/>
                      <w:highlight w:val="none"/>
                    </w:rPr>
                    <w:t>900-041-49</w:t>
                  </w:r>
                </w:p>
              </w:tc>
              <w:tc>
                <w:tcPr>
                  <w:tcW w:w="745" w:type="dxa"/>
                  <w:vMerge w:val="continue"/>
                  <w:tcBorders>
                    <w:tl2br w:val="nil"/>
                    <w:tr2bl w:val="nil"/>
                  </w:tcBorders>
                  <w:noWrap w:val="0"/>
                  <w:vAlign w:val="center"/>
                </w:tcPr>
                <w:p w14:paraId="687FDD82">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rPr>
                  </w:pPr>
                </w:p>
              </w:tc>
              <w:tc>
                <w:tcPr>
                  <w:tcW w:w="697" w:type="dxa"/>
                  <w:vMerge w:val="continue"/>
                  <w:tcBorders>
                    <w:tl2br w:val="nil"/>
                    <w:tr2bl w:val="nil"/>
                  </w:tcBorders>
                  <w:noWrap w:val="0"/>
                  <w:vAlign w:val="center"/>
                </w:tcPr>
                <w:p w14:paraId="41C11405">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val="en-US" w:eastAsia="zh-CN"/>
                    </w:rPr>
                  </w:pPr>
                </w:p>
              </w:tc>
              <w:tc>
                <w:tcPr>
                  <w:tcW w:w="1189" w:type="dxa"/>
                  <w:vMerge w:val="continue"/>
                  <w:tcBorders>
                    <w:tl2br w:val="nil"/>
                    <w:tr2bl w:val="nil"/>
                  </w:tcBorders>
                  <w:noWrap w:val="0"/>
                  <w:vAlign w:val="center"/>
                </w:tcPr>
                <w:p w14:paraId="3CAC712A">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rPr>
                  </w:pPr>
                </w:p>
              </w:tc>
              <w:tc>
                <w:tcPr>
                  <w:tcW w:w="717" w:type="dxa"/>
                  <w:vMerge w:val="continue"/>
                  <w:tcBorders>
                    <w:tl2br w:val="nil"/>
                    <w:tr2bl w:val="nil"/>
                  </w:tcBorders>
                  <w:noWrap w:val="0"/>
                  <w:vAlign w:val="center"/>
                </w:tcPr>
                <w:p w14:paraId="3AEDF00C">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val="en-US" w:eastAsia="zh-CN"/>
                    </w:rPr>
                  </w:pPr>
                </w:p>
              </w:tc>
              <w:tc>
                <w:tcPr>
                  <w:tcW w:w="709" w:type="dxa"/>
                  <w:vMerge w:val="continue"/>
                  <w:tcBorders>
                    <w:tl2br w:val="nil"/>
                    <w:tr2bl w:val="nil"/>
                  </w:tcBorders>
                  <w:noWrap w:val="0"/>
                  <w:vAlign w:val="center"/>
                </w:tcPr>
                <w:p w14:paraId="7F5A7209">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eastAsia="zh-CN"/>
                    </w:rPr>
                  </w:pPr>
                </w:p>
              </w:tc>
            </w:tr>
            <w:tr w14:paraId="02F33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22" w:type="dxa"/>
                  <w:tcBorders>
                    <w:tl2br w:val="nil"/>
                    <w:tr2bl w:val="nil"/>
                  </w:tcBorders>
                  <w:noWrap w:val="0"/>
                  <w:vAlign w:val="center"/>
                </w:tcPr>
                <w:p w14:paraId="03D04C86">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w:t>
                  </w:r>
                </w:p>
              </w:tc>
              <w:tc>
                <w:tcPr>
                  <w:tcW w:w="1012" w:type="dxa"/>
                  <w:vMerge w:val="continue"/>
                  <w:tcBorders>
                    <w:tl2br w:val="nil"/>
                    <w:tr2bl w:val="nil"/>
                  </w:tcBorders>
                  <w:noWrap w:val="0"/>
                  <w:vAlign w:val="center"/>
                </w:tcPr>
                <w:p w14:paraId="46F4579B">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rPr>
                  </w:pPr>
                </w:p>
              </w:tc>
              <w:tc>
                <w:tcPr>
                  <w:tcW w:w="1056" w:type="dxa"/>
                  <w:tcBorders>
                    <w:tl2br w:val="nil"/>
                    <w:tr2bl w:val="nil"/>
                  </w:tcBorders>
                  <w:noWrap w:val="0"/>
                  <w:vAlign w:val="center"/>
                </w:tcPr>
                <w:p w14:paraId="5E46EBC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lang w:eastAsia="zh-CN"/>
                    </w:rPr>
                    <w:t>废机油</w:t>
                  </w:r>
                </w:p>
              </w:tc>
              <w:tc>
                <w:tcPr>
                  <w:tcW w:w="877" w:type="dxa"/>
                  <w:tcBorders>
                    <w:tl2br w:val="nil"/>
                    <w:tr2bl w:val="nil"/>
                  </w:tcBorders>
                  <w:noWrap w:val="0"/>
                  <w:vAlign w:val="center"/>
                </w:tcPr>
                <w:p w14:paraId="726744C8">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eastAsia" w:ascii="Times New Roman" w:hAnsi="宋体" w:eastAsia="宋体" w:cs="Times New Roman"/>
                      <w:color w:val="auto"/>
                      <w:sz w:val="21"/>
                      <w:szCs w:val="21"/>
                      <w:highlight w:val="none"/>
                    </w:rPr>
                  </w:pPr>
                  <w:r>
                    <w:rPr>
                      <w:rFonts w:hint="default" w:ascii="Times New Roman" w:hAnsi="Times New Roman" w:cs="Times New Roman"/>
                      <w:color w:val="auto"/>
                      <w:kern w:val="0"/>
                      <w:sz w:val="21"/>
                      <w:szCs w:val="21"/>
                    </w:rPr>
                    <w:t>HW08</w:t>
                  </w:r>
                </w:p>
              </w:tc>
              <w:tc>
                <w:tcPr>
                  <w:tcW w:w="745" w:type="dxa"/>
                  <w:tcBorders>
                    <w:tl2br w:val="nil"/>
                    <w:tr2bl w:val="nil"/>
                  </w:tcBorders>
                  <w:noWrap w:val="0"/>
                  <w:vAlign w:val="center"/>
                </w:tcPr>
                <w:p w14:paraId="5C00CD93">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eastAsia" w:ascii="Times New Roman" w:hAnsi="宋体" w:eastAsia="宋体" w:cs="Times New Roman"/>
                      <w:color w:val="auto"/>
                      <w:sz w:val="21"/>
                      <w:szCs w:val="21"/>
                      <w:highlight w:val="none"/>
                    </w:rPr>
                  </w:pPr>
                  <w:r>
                    <w:rPr>
                      <w:rFonts w:hint="default" w:ascii="Times New Roman" w:hAnsi="Times New Roman" w:cs="Times New Roman"/>
                      <w:color w:val="auto"/>
                      <w:kern w:val="0"/>
                      <w:sz w:val="21"/>
                      <w:szCs w:val="21"/>
                    </w:rPr>
                    <w:t>900-214-08</w:t>
                  </w:r>
                </w:p>
              </w:tc>
              <w:tc>
                <w:tcPr>
                  <w:tcW w:w="745" w:type="dxa"/>
                  <w:vMerge w:val="continue"/>
                  <w:tcBorders>
                    <w:tl2br w:val="nil"/>
                    <w:tr2bl w:val="nil"/>
                  </w:tcBorders>
                  <w:noWrap w:val="0"/>
                  <w:vAlign w:val="center"/>
                </w:tcPr>
                <w:p w14:paraId="3B679C22">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rPr>
                  </w:pPr>
                </w:p>
              </w:tc>
              <w:tc>
                <w:tcPr>
                  <w:tcW w:w="697" w:type="dxa"/>
                  <w:vMerge w:val="continue"/>
                  <w:tcBorders>
                    <w:tl2br w:val="nil"/>
                    <w:tr2bl w:val="nil"/>
                  </w:tcBorders>
                  <w:noWrap w:val="0"/>
                  <w:vAlign w:val="center"/>
                </w:tcPr>
                <w:p w14:paraId="010BE96F">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val="en-US" w:eastAsia="zh-CN"/>
                    </w:rPr>
                  </w:pPr>
                </w:p>
              </w:tc>
              <w:tc>
                <w:tcPr>
                  <w:tcW w:w="1189" w:type="dxa"/>
                  <w:vMerge w:val="continue"/>
                  <w:tcBorders>
                    <w:tl2br w:val="nil"/>
                    <w:tr2bl w:val="nil"/>
                  </w:tcBorders>
                  <w:noWrap w:val="0"/>
                  <w:vAlign w:val="center"/>
                </w:tcPr>
                <w:p w14:paraId="58194AD9">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rPr>
                  </w:pPr>
                </w:p>
              </w:tc>
              <w:tc>
                <w:tcPr>
                  <w:tcW w:w="717" w:type="dxa"/>
                  <w:vMerge w:val="continue"/>
                  <w:tcBorders>
                    <w:tl2br w:val="nil"/>
                    <w:tr2bl w:val="nil"/>
                  </w:tcBorders>
                  <w:noWrap w:val="0"/>
                  <w:vAlign w:val="center"/>
                </w:tcPr>
                <w:p w14:paraId="7C26F2F1">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val="en-US" w:eastAsia="zh-CN"/>
                    </w:rPr>
                  </w:pPr>
                </w:p>
              </w:tc>
              <w:tc>
                <w:tcPr>
                  <w:tcW w:w="709" w:type="dxa"/>
                  <w:vMerge w:val="continue"/>
                  <w:tcBorders>
                    <w:tl2br w:val="nil"/>
                    <w:tr2bl w:val="nil"/>
                  </w:tcBorders>
                  <w:noWrap w:val="0"/>
                  <w:vAlign w:val="center"/>
                </w:tcPr>
                <w:p w14:paraId="76ECB40E">
                  <w:pPr>
                    <w:keepNext w:val="0"/>
                    <w:keepLines w:val="0"/>
                    <w:suppressLineNumbers w:val="0"/>
                    <w:topLinePunct/>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eastAsia="zh-CN"/>
                    </w:rPr>
                  </w:pPr>
                </w:p>
              </w:tc>
            </w:tr>
          </w:tbl>
          <w:p w14:paraId="4F6BC56C">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cs="Times New Roman"/>
                <w:b/>
                <w:color w:val="auto"/>
                <w:sz w:val="24"/>
                <w:szCs w:val="24"/>
                <w:lang w:val="en-US"/>
              </w:rPr>
            </w:pPr>
            <w:r>
              <w:rPr>
                <w:rFonts w:hint="eastAsia" w:ascii="T" w:hAnsi="T" w:eastAsia="宋体" w:cs="TimesNewRomanPSMT"/>
                <w:color w:val="auto"/>
                <w:kern w:val="0"/>
                <w:sz w:val="24"/>
                <w:highlight w:val="none"/>
              </w:rPr>
              <w:t>项目设置</w:t>
            </w:r>
            <w:r>
              <w:rPr>
                <w:rFonts w:hint="default" w:ascii="T" w:hAnsi="T" w:eastAsia="宋体" w:cs="TimesNewRomanPSMT"/>
                <w:color w:val="auto"/>
                <w:kern w:val="0"/>
                <w:sz w:val="24"/>
                <w:highlight w:val="none"/>
              </w:rPr>
              <w:t>专用危险</w:t>
            </w:r>
            <w:r>
              <w:rPr>
                <w:rFonts w:hint="eastAsia" w:ascii="T" w:hAnsi="T" w:eastAsia="宋体" w:cs="TimesNewRomanPSMT"/>
                <w:color w:val="auto"/>
                <w:kern w:val="0"/>
                <w:sz w:val="24"/>
                <w:highlight w:val="none"/>
              </w:rPr>
              <w:t>废物暂存</w:t>
            </w:r>
            <w:r>
              <w:rPr>
                <w:rFonts w:hint="eastAsia" w:ascii="T" w:hAnsi="T" w:eastAsia="宋体" w:cs="TimesNewRomanPSMT"/>
                <w:color w:val="auto"/>
                <w:kern w:val="0"/>
                <w:sz w:val="24"/>
                <w:highlight w:val="none"/>
                <w:lang w:eastAsia="zh-CN"/>
              </w:rPr>
              <w:t>间（</w:t>
            </w:r>
            <w:r>
              <w:rPr>
                <w:rFonts w:hint="eastAsia" w:ascii="T" w:hAnsi="T" w:eastAsia="宋体" w:cs="TimesNewRomanPSMT"/>
                <w:color w:val="auto"/>
                <w:kern w:val="0"/>
                <w:sz w:val="24"/>
                <w:highlight w:val="none"/>
                <w:lang w:val="en-US" w:eastAsia="zh-CN"/>
              </w:rPr>
              <w:t>8m</w:t>
            </w:r>
            <w:r>
              <w:rPr>
                <w:rFonts w:hint="eastAsia" w:ascii="T" w:hAnsi="T" w:eastAsia="宋体" w:cs="TimesNewRomanPSMT"/>
                <w:color w:val="auto"/>
                <w:kern w:val="0"/>
                <w:sz w:val="24"/>
                <w:highlight w:val="none"/>
                <w:vertAlign w:val="superscript"/>
                <w:lang w:val="en-US" w:eastAsia="zh-CN"/>
              </w:rPr>
              <w:t>2</w:t>
            </w:r>
            <w:r>
              <w:rPr>
                <w:rFonts w:hint="eastAsia" w:ascii="T" w:hAnsi="T" w:eastAsia="宋体" w:cs="TimesNewRomanPSMT"/>
                <w:color w:val="auto"/>
                <w:kern w:val="0"/>
                <w:sz w:val="24"/>
                <w:highlight w:val="none"/>
                <w:lang w:eastAsia="zh-CN"/>
              </w:rPr>
              <w:t>）</w:t>
            </w:r>
            <w:r>
              <w:rPr>
                <w:rFonts w:hint="eastAsia" w:ascii="T" w:hAnsi="T" w:eastAsia="宋体" w:cs="TimesNewRomanPSMT"/>
                <w:color w:val="auto"/>
                <w:kern w:val="0"/>
                <w:sz w:val="24"/>
                <w:highlight w:val="none"/>
              </w:rPr>
              <w:t>，</w:t>
            </w:r>
            <w:r>
              <w:rPr>
                <w:rFonts w:hint="eastAsia" w:ascii="T" w:hAnsi="T" w:eastAsia="宋体" w:cs="TimesNewRomanPSMT"/>
                <w:color w:val="auto"/>
                <w:kern w:val="0"/>
                <w:sz w:val="24"/>
                <w:highlight w:val="none"/>
                <w:lang w:eastAsia="zh-CN"/>
              </w:rPr>
              <w:t>危废暂存间贮存能力</w:t>
            </w:r>
            <w:r>
              <w:rPr>
                <w:rFonts w:hint="eastAsia" w:ascii="T" w:hAnsi="T" w:cs="TimesNewRomanPSMT"/>
                <w:color w:val="auto"/>
                <w:kern w:val="0"/>
                <w:sz w:val="24"/>
                <w:highlight w:val="none"/>
                <w:lang w:val="en-US" w:eastAsia="zh-CN"/>
              </w:rPr>
              <w:t>5</w:t>
            </w:r>
            <w:r>
              <w:rPr>
                <w:rFonts w:hint="eastAsia" w:ascii="T" w:hAnsi="T" w:eastAsia="宋体" w:cs="TimesNewRomanPSMT"/>
                <w:color w:val="auto"/>
                <w:kern w:val="0"/>
                <w:sz w:val="24"/>
                <w:highlight w:val="none"/>
                <w:lang w:val="en-US" w:eastAsia="zh-CN"/>
              </w:rPr>
              <w:t>t，本项目危废产生量为</w:t>
            </w:r>
            <w:r>
              <w:rPr>
                <w:rFonts w:hint="eastAsia" w:ascii="T" w:hAnsi="T" w:cs="TimesNewRomanPSMT"/>
                <w:color w:val="auto"/>
                <w:kern w:val="0"/>
                <w:sz w:val="24"/>
                <w:highlight w:val="none"/>
                <w:lang w:val="en-US" w:eastAsia="zh-CN"/>
              </w:rPr>
              <w:t>2.16</w:t>
            </w:r>
            <w:r>
              <w:rPr>
                <w:rFonts w:hint="eastAsia" w:ascii="T" w:hAnsi="T" w:eastAsia="宋体" w:cs="TimesNewRomanPSMT"/>
                <w:color w:val="auto"/>
                <w:kern w:val="0"/>
                <w:sz w:val="24"/>
                <w:highlight w:val="none"/>
                <w:lang w:val="en-US" w:eastAsia="zh-CN"/>
              </w:rPr>
              <w:t>t/a，暂存间可以满足项目危废一年贮存需求。危险废物贮存应根据《危险废物贮存污染控制标准》（GB18597-2023）、《危险废物贮存处置管理规定》等严格执行以下要求：</w:t>
            </w:r>
          </w:p>
          <w:p w14:paraId="4ED0E024">
            <w:pPr>
              <w:keepNext w:val="0"/>
              <w:keepLines w:val="0"/>
              <w:suppressLineNumbers w:val="0"/>
              <w:spacing w:before="0" w:beforeAutospacing="0" w:after="0" w:afterAutospacing="0"/>
              <w:ind w:left="0" w:right="0" w:firstLine="482"/>
              <w:rPr>
                <w:rFonts w:hint="default" w:ascii="Times New Roman" w:hAnsi="Times New Roman" w:cs="Times New Roman"/>
                <w:b/>
                <w:bCs/>
                <w:color w:val="auto"/>
              </w:rPr>
            </w:pPr>
            <w:r>
              <w:rPr>
                <w:rFonts w:hint="default" w:ascii="Times New Roman" w:hAnsi="Times New Roman" w:cs="Times New Roman"/>
                <w:b/>
                <w:bCs/>
                <w:color w:val="auto"/>
              </w:rPr>
              <w:t>危废暂存间设置要求：</w:t>
            </w:r>
          </w:p>
          <w:p w14:paraId="0452BC37">
            <w:pPr>
              <w:keepNext w:val="0"/>
              <w:keepLines w:val="0"/>
              <w:suppressLineNumbers w:val="0"/>
              <w:spacing w:before="0" w:beforeAutospacing="0" w:after="0" w:afterAutospacing="0"/>
              <w:ind w:left="0" w:right="0" w:firstLine="480" w:firstLineChars="200"/>
              <w:jc w:val="left"/>
              <w:rPr>
                <w:rFonts w:hint="default" w:ascii="Times New Roman" w:hAnsi="Times New Roman" w:cs="Times New Roman"/>
                <w:color w:val="auto"/>
              </w:rPr>
            </w:pPr>
            <w:r>
              <w:rPr>
                <w:rFonts w:hint="default" w:ascii="Times New Roman" w:hAnsi="Times New Roman" w:cs="Times New Roman"/>
                <w:color w:val="auto"/>
              </w:rPr>
              <w:t>①危险废物贮存间</w:t>
            </w:r>
            <w:r>
              <w:rPr>
                <w:rFonts w:hint="eastAsia" w:ascii="Times New Roman" w:hAnsi="Times New Roman" w:cs="Times New Roman"/>
                <w:color w:val="auto"/>
                <w:lang w:eastAsia="zh-CN"/>
              </w:rPr>
              <w:t>必须</w:t>
            </w:r>
            <w:r>
              <w:rPr>
                <w:rFonts w:hint="default" w:ascii="Times New Roman" w:hAnsi="Times New Roman" w:cs="Times New Roman"/>
                <w:color w:val="auto"/>
              </w:rPr>
              <w:t>密闭建设，门口内侧设立围堰，地面应做好硬化及</w:t>
            </w:r>
            <w:r>
              <w:rPr>
                <w:rFonts w:hint="eastAsia" w:ascii="Times New Roman" w:hAnsi="Times New Roman" w:cs="Times New Roman"/>
                <w:color w:val="auto"/>
              </w:rPr>
              <w:t>“</w:t>
            </w:r>
            <w:r>
              <w:rPr>
                <w:rFonts w:hint="default" w:ascii="Times New Roman" w:hAnsi="Times New Roman" w:cs="Times New Roman"/>
                <w:color w:val="auto"/>
              </w:rPr>
              <w:t>四防</w:t>
            </w:r>
            <w:r>
              <w:rPr>
                <w:rFonts w:hint="eastAsia" w:ascii="Times New Roman" w:hAnsi="Times New Roman" w:cs="Times New Roman"/>
                <w:color w:val="auto"/>
              </w:rPr>
              <w:t>”</w:t>
            </w:r>
            <w:r>
              <w:rPr>
                <w:rFonts w:hint="default" w:ascii="Times New Roman" w:hAnsi="Times New Roman" w:cs="Times New Roman"/>
                <w:color w:val="auto"/>
              </w:rPr>
              <w:t>（防风、防雨、防晒、防渗漏）措施。</w:t>
            </w:r>
          </w:p>
          <w:p w14:paraId="3B006117">
            <w:pPr>
              <w:keepNext w:val="0"/>
              <w:keepLines w:val="0"/>
              <w:suppressLineNumbers w:val="0"/>
              <w:spacing w:before="0" w:beforeAutospacing="0" w:after="0" w:afterAutospacing="0"/>
              <w:ind w:left="0" w:right="0" w:firstLine="480" w:firstLineChars="200"/>
              <w:jc w:val="left"/>
              <w:rPr>
                <w:rFonts w:hint="eastAsia" w:ascii="Times New Roman" w:hAnsi="Times New Roman" w:cs="Times New Roman"/>
                <w:color w:val="auto"/>
              </w:rPr>
            </w:pPr>
            <w:r>
              <w:rPr>
                <w:rFonts w:hint="default" w:ascii="Times New Roman" w:hAnsi="Times New Roman" w:cs="Times New Roman"/>
                <w:color w:val="auto"/>
              </w:rPr>
              <w:t>②</w:t>
            </w:r>
            <w:r>
              <w:rPr>
                <w:rFonts w:hint="eastAsia" w:ascii="Times New Roman" w:hAnsi="Times New Roman" w:cs="Times New Roman"/>
                <w:color w:val="auto"/>
              </w:rPr>
              <w:t>危险废物贮存、利用、处置设施标志宜设置二维码，对设施使用情况进行信息化管理</w:t>
            </w:r>
            <w:r>
              <w:rPr>
                <w:rFonts w:hint="default" w:ascii="Times New Roman" w:hAnsi="Times New Roman" w:cs="Times New Roman"/>
                <w:color w:val="auto"/>
              </w:rPr>
              <w:t>。</w:t>
            </w:r>
            <w:r>
              <w:rPr>
                <w:rFonts w:hint="eastAsia" w:ascii="Times New Roman" w:hAnsi="Times New Roman" w:cs="Times New Roman"/>
                <w:color w:val="auto"/>
              </w:rPr>
              <w:t>危险废物贮存、利用、处置设施标志应包含三角形警告性图形标志和文字性辅助标志，其中三角形警告性图形标志应符合GB15562.2</w:t>
            </w:r>
            <w:r>
              <w:rPr>
                <w:rFonts w:hint="eastAsia" w:ascii="Times New Roman" w:hAnsi="Times New Roman" w:cs="Times New Roman"/>
                <w:color w:val="auto"/>
                <w:lang w:eastAsia="zh-CN"/>
              </w:rPr>
              <w:t>（含</w:t>
            </w:r>
            <w:r>
              <w:rPr>
                <w:rFonts w:hint="eastAsia" w:ascii="Times New Roman" w:hAnsi="Times New Roman" w:cs="Times New Roman"/>
                <w:color w:val="auto"/>
                <w:lang w:val="en-US" w:eastAsia="zh-CN"/>
              </w:rPr>
              <w:t>2023修改单</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HJ1276-2022</w:t>
            </w:r>
            <w:r>
              <w:rPr>
                <w:rFonts w:hint="eastAsia" w:ascii="Times New Roman" w:hAnsi="Times New Roman" w:cs="Times New Roman"/>
                <w:color w:val="auto"/>
              </w:rPr>
              <w:t>中的要求。</w:t>
            </w:r>
          </w:p>
          <w:p w14:paraId="27580C14">
            <w:pPr>
              <w:keepNext w:val="0"/>
              <w:keepLines w:val="0"/>
              <w:suppressLineNumbers w:val="0"/>
              <w:spacing w:before="0" w:beforeAutospacing="0" w:after="0" w:afterAutospacing="0"/>
              <w:ind w:left="0" w:right="0" w:firstLine="480" w:firstLineChars="200"/>
              <w:jc w:val="left"/>
              <w:rPr>
                <w:rFonts w:hint="default" w:ascii="Times New Roman" w:hAnsi="Times New Roman" w:cs="Times New Roman"/>
                <w:color w:val="auto"/>
              </w:rPr>
            </w:pPr>
            <w:r>
              <w:rPr>
                <w:rFonts w:hint="eastAsia" w:ascii="Times New Roman" w:hAnsi="Times New Roman" w:cs="Times New Roman"/>
                <w:color w:val="auto"/>
              </w:rPr>
              <w:t>危险废物贮存、利用、处置设施标志应以醒目的文字标注危险废物设施的类型。危险废物贮存、利用、处置设施标志还应包含危险废物设施所属的单位名称、设施编码、负责人及联系方式。</w:t>
            </w:r>
          </w:p>
          <w:p w14:paraId="14AC6B52">
            <w:pPr>
              <w:keepNext w:val="0"/>
              <w:keepLines w:val="0"/>
              <w:suppressLineNumbers w:val="0"/>
              <w:spacing w:before="0" w:beforeAutospacing="0" w:after="0" w:afterAutospacing="0"/>
              <w:ind w:left="0" w:right="0" w:firstLine="482"/>
              <w:jc w:val="left"/>
              <w:rPr>
                <w:rFonts w:hint="default" w:ascii="Times New Roman" w:hAnsi="Times New Roman" w:cs="Times New Roman"/>
                <w:color w:val="auto"/>
              </w:rPr>
            </w:pPr>
            <w:r>
              <w:rPr>
                <w:rFonts w:hint="default" w:ascii="Times New Roman" w:hAnsi="Times New Roman" w:cs="Times New Roman"/>
                <w:color w:val="auto"/>
              </w:rPr>
              <w:t>③危险废物贮存间应设置隔离安全门锁</w:t>
            </w:r>
            <w:r>
              <w:rPr>
                <w:rFonts w:hint="eastAsia" w:ascii="Times New Roman" w:hAnsi="Times New Roman" w:cs="Times New Roman"/>
                <w:color w:val="auto"/>
              </w:rPr>
              <w:t>。</w:t>
            </w:r>
          </w:p>
          <w:p w14:paraId="2FDDA807">
            <w:pPr>
              <w:keepNext w:val="0"/>
              <w:keepLines w:val="0"/>
              <w:suppressLineNumbers w:val="0"/>
              <w:spacing w:before="0" w:beforeAutospacing="0" w:after="0" w:afterAutospacing="0"/>
              <w:ind w:left="0" w:right="0" w:firstLine="482"/>
              <w:jc w:val="left"/>
              <w:rPr>
                <w:rFonts w:hint="default" w:ascii="Times New Roman" w:hAnsi="Times New Roman" w:cs="Times New Roman"/>
                <w:color w:val="auto"/>
              </w:rPr>
            </w:pPr>
            <w:r>
              <w:rPr>
                <w:rFonts w:hint="default" w:ascii="Times New Roman" w:hAnsi="Times New Roman" w:cs="Times New Roman"/>
                <w:color w:val="auto"/>
              </w:rPr>
              <w:t>④不同种类危险废物应有明显的过道划分，墙上张贴危废名称，液态危废需将</w:t>
            </w:r>
            <w:r>
              <w:rPr>
                <w:rFonts w:hint="eastAsia" w:ascii="Times New Roman" w:hAnsi="Times New Roman" w:cs="Times New Roman"/>
                <w:color w:val="auto"/>
                <w:lang w:eastAsia="zh-CN"/>
              </w:rPr>
              <w:t>盛装</w:t>
            </w:r>
            <w:r>
              <w:rPr>
                <w:rFonts w:hint="default" w:ascii="Times New Roman" w:hAnsi="Times New Roman" w:cs="Times New Roman"/>
                <w:color w:val="auto"/>
              </w:rPr>
              <w:t>容器放至防泄漏托盘内并在容器粘贴危险废物标签。</w:t>
            </w:r>
          </w:p>
          <w:p w14:paraId="2409F5B4">
            <w:pPr>
              <w:keepNext w:val="0"/>
              <w:keepLines w:val="0"/>
              <w:suppressLineNumbers w:val="0"/>
              <w:spacing w:before="0" w:beforeAutospacing="0" w:after="0" w:afterAutospacing="0"/>
              <w:ind w:left="0" w:right="0" w:firstLine="480" w:firstLineChars="200"/>
              <w:jc w:val="left"/>
              <w:rPr>
                <w:rFonts w:hint="default" w:ascii="Times New Roman" w:hAnsi="Times New Roman" w:cs="Times New Roman"/>
                <w:color w:val="auto"/>
              </w:rPr>
            </w:pPr>
            <w:r>
              <w:rPr>
                <w:rFonts w:hint="default" w:ascii="Times New Roman" w:hAnsi="Times New Roman" w:cs="Times New Roman"/>
                <w:color w:val="auto"/>
              </w:rPr>
              <w:t>⑤建立台账并悬挂于危废间内，转入及转出（处置、自利用）需要填写危废种类、数量、时间及负责人员姓名。</w:t>
            </w:r>
          </w:p>
          <w:p w14:paraId="00C2AB65">
            <w:pPr>
              <w:keepNext w:val="0"/>
              <w:keepLines w:val="0"/>
              <w:suppressLineNumbers w:val="0"/>
              <w:spacing w:before="0" w:beforeAutospacing="0" w:after="0" w:afterAutospacing="0"/>
              <w:ind w:left="0" w:right="0" w:firstLine="482"/>
              <w:jc w:val="left"/>
              <w:rPr>
                <w:rFonts w:hint="default" w:ascii="Times New Roman" w:hAnsi="Times New Roman" w:cs="Times New Roman"/>
                <w:color w:val="auto"/>
              </w:rPr>
            </w:pPr>
            <w:r>
              <w:rPr>
                <w:rFonts w:hint="default" w:ascii="Times New Roman" w:hAnsi="Times New Roman" w:cs="Times New Roman"/>
                <w:color w:val="auto"/>
              </w:rPr>
              <w:t>⑥危险废物贮存间内禁止存放除危险废物及应急工具以</w:t>
            </w:r>
            <w:r>
              <w:rPr>
                <w:rFonts w:hint="eastAsia" w:cs="Times New Roman"/>
                <w:color w:val="auto"/>
                <w:lang w:eastAsia="zh-CN"/>
              </w:rPr>
              <w:t>外</w:t>
            </w:r>
            <w:r>
              <w:rPr>
                <w:rFonts w:hint="default" w:ascii="Times New Roman" w:hAnsi="Times New Roman" w:cs="Times New Roman"/>
                <w:color w:val="auto"/>
              </w:rPr>
              <w:t>的其他物品。</w:t>
            </w:r>
          </w:p>
          <w:p w14:paraId="3BEB22AA">
            <w:pPr>
              <w:keepNext w:val="0"/>
              <w:keepLines w:val="0"/>
              <w:suppressLineNumbers w:val="0"/>
              <w:spacing w:before="0" w:beforeAutospacing="0" w:after="0" w:afterAutospacing="0"/>
              <w:ind w:left="0" w:right="0" w:firstLine="482"/>
              <w:rPr>
                <w:rFonts w:hint="default" w:ascii="Times New Roman" w:hAnsi="Times New Roman" w:cs="Times New Roman"/>
                <w:bCs/>
                <w:color w:val="auto"/>
              </w:rPr>
            </w:pPr>
            <w:r>
              <w:rPr>
                <w:rFonts w:hint="default" w:ascii="Times New Roman" w:hAnsi="Times New Roman" w:cs="Times New Roman"/>
                <w:bCs/>
                <w:color w:val="auto"/>
              </w:rPr>
              <w:t>根据《危险废物贮存处置管理规定》的相关规定，本次环评对本项目危险废物暂存另提出如下要求：</w:t>
            </w:r>
          </w:p>
          <w:p w14:paraId="42EA0A27">
            <w:pPr>
              <w:keepNext w:val="0"/>
              <w:keepLines w:val="0"/>
              <w:suppressLineNumbers w:val="0"/>
              <w:spacing w:before="0" w:beforeAutospacing="0" w:after="0" w:afterAutospacing="0"/>
              <w:ind w:left="0" w:right="0" w:firstLine="482"/>
              <w:rPr>
                <w:rFonts w:hint="default" w:ascii="Times New Roman" w:hAnsi="Times New Roman" w:cs="Times New Roman"/>
                <w:b/>
                <w:bCs/>
                <w:color w:val="auto"/>
              </w:rPr>
            </w:pPr>
            <w:r>
              <w:rPr>
                <w:rFonts w:hint="default" w:ascii="Times New Roman" w:hAnsi="Times New Roman" w:cs="Times New Roman"/>
                <w:b/>
                <w:bCs/>
                <w:color w:val="auto"/>
              </w:rPr>
              <w:t>危险废物收集和暂存：</w:t>
            </w:r>
          </w:p>
          <w:p w14:paraId="38BD8D50">
            <w:pPr>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①按废弃物类别配备相应的收集容器，容器不能有破损、盖子损坏</w:t>
            </w:r>
            <w:r>
              <w:rPr>
                <w:rFonts w:hint="eastAsia" w:ascii="Times New Roman" w:hAnsi="Times New Roman" w:cs="Times New Roman"/>
                <w:color w:val="auto"/>
                <w:lang w:eastAsia="zh-CN"/>
              </w:rPr>
              <w:t>或其他</w:t>
            </w:r>
            <w:r>
              <w:rPr>
                <w:rFonts w:hint="default" w:ascii="Times New Roman" w:hAnsi="Times New Roman" w:cs="Times New Roman"/>
                <w:color w:val="auto"/>
              </w:rPr>
              <w:t>可能导致废弃物泄漏的隐患。废弃物收集容器应粘贴危险废弃物标签，明显标示其中的废弃物名称、主要成分与性质，并保持清晰可见。</w:t>
            </w:r>
          </w:p>
          <w:p w14:paraId="413DFF60">
            <w:pPr>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②危险废弃物严格投放在相应的收集容器中，严禁将危险废弃物与生活垃圾混装。</w:t>
            </w:r>
          </w:p>
          <w:p w14:paraId="3E8D5034">
            <w:pPr>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③危险废弃物收集容器应存放在符合安全与环保要求的专门场所及室内特定区域，要避免高温、日晒、雨淋，远离火源。存放危险废弃物的场所应张贴危险废弃物标志、危险废物管理制度、危险化学品及危险废物意外事故防范措施和应急预案、危险废物储存库房管理规定等。</w:t>
            </w:r>
          </w:p>
          <w:p w14:paraId="3FCB0E7F">
            <w:pPr>
              <w:keepNext w:val="0"/>
              <w:keepLines w:val="0"/>
              <w:suppressLineNumbers w:val="0"/>
              <w:spacing w:before="0" w:beforeAutospacing="0" w:after="0" w:afterAutospacing="0"/>
              <w:ind w:left="0" w:right="0" w:firstLine="482"/>
              <w:rPr>
                <w:rFonts w:hint="default" w:ascii="Times New Roman" w:hAnsi="Times New Roman" w:cs="Times New Roman"/>
                <w:b/>
                <w:bCs/>
                <w:color w:val="auto"/>
              </w:rPr>
            </w:pPr>
            <w:r>
              <w:rPr>
                <w:rFonts w:hint="default" w:ascii="Times New Roman" w:hAnsi="Times New Roman" w:cs="Times New Roman"/>
                <w:b/>
                <w:bCs/>
                <w:color w:val="auto"/>
              </w:rPr>
              <w:t>危险废物转运和处理：</w:t>
            </w:r>
          </w:p>
          <w:p w14:paraId="5F942DFF">
            <w:pPr>
              <w:keepNext w:val="0"/>
              <w:keepLines w:val="0"/>
              <w:suppressLineNumbers w:val="0"/>
              <w:spacing w:before="0" w:beforeAutospacing="0" w:after="0" w:afterAutospacing="0"/>
              <w:ind w:left="0" w:right="0" w:firstLine="482"/>
              <w:rPr>
                <w:rFonts w:hint="eastAsia" w:ascii="Times New Roman" w:hAnsi="Times New Roman" w:cs="Times New Roman"/>
                <w:color w:val="auto"/>
              </w:rPr>
            </w:pPr>
            <w:r>
              <w:rPr>
                <w:rFonts w:hint="eastAsia" w:ascii="Times New Roman" w:hAnsi="Times New Roman" w:cs="Times New Roman"/>
                <w:color w:val="auto"/>
              </w:rPr>
              <w:t>危险废物的转移应严格按照2021年11月30日发布的《危险废物转移管理办法》</w:t>
            </w:r>
            <w:r>
              <w:rPr>
                <w:rFonts w:hint="eastAsia" w:cs="Times New Roman"/>
                <w:color w:val="auto"/>
                <w:lang w:eastAsia="zh-CN"/>
              </w:rPr>
              <w:t>（</w:t>
            </w:r>
            <w:r>
              <w:rPr>
                <w:rFonts w:hint="eastAsia" w:ascii="Times New Roman" w:hAnsi="Times New Roman" w:cs="Times New Roman"/>
                <w:color w:val="auto"/>
              </w:rPr>
              <w:t>生态环境部公安部交通运输部部令第23号)相关要求执行。</w:t>
            </w:r>
          </w:p>
          <w:p w14:paraId="37A60555">
            <w:pPr>
              <w:keepNext w:val="0"/>
              <w:keepLines w:val="0"/>
              <w:suppressLineNumbers w:val="0"/>
              <w:spacing w:before="0" w:beforeAutospacing="0" w:after="0" w:afterAutospacing="0"/>
              <w:ind w:left="0" w:right="0" w:firstLine="482"/>
              <w:rPr>
                <w:rFonts w:hint="default" w:ascii="Times New Roman" w:hAnsi="Times New Roman" w:cs="Times New Roman"/>
                <w:b/>
                <w:bCs/>
                <w:color w:val="auto"/>
              </w:rPr>
            </w:pPr>
            <w:r>
              <w:rPr>
                <w:rFonts w:hint="default" w:ascii="Times New Roman" w:hAnsi="Times New Roman" w:cs="Times New Roman"/>
                <w:b/>
                <w:bCs/>
                <w:color w:val="auto"/>
              </w:rPr>
              <w:t>危险废物管理制度：</w:t>
            </w:r>
          </w:p>
          <w:p w14:paraId="0E75E873">
            <w:pPr>
              <w:keepNext w:val="0"/>
              <w:keepLines w:val="0"/>
              <w:suppressLineNumbers w:val="0"/>
              <w:spacing w:before="0" w:beforeAutospacing="0" w:after="0" w:afterAutospacing="0"/>
              <w:ind w:left="0" w:right="0" w:firstLine="480"/>
              <w:jc w:val="left"/>
              <w:rPr>
                <w:rFonts w:hint="default" w:ascii="Times New Roman" w:hAnsi="Times New Roman" w:cs="Times New Roman"/>
                <w:color w:val="auto"/>
              </w:rPr>
            </w:pPr>
            <w:r>
              <w:rPr>
                <w:rFonts w:hint="default" w:ascii="Times New Roman" w:hAnsi="Times New Roman" w:cs="Times New Roman"/>
                <w:color w:val="auto"/>
              </w:rPr>
              <w:t>①危险废物的收集、暂存、转移、综合利用活动必须遵守国家和地方有关规定。</w:t>
            </w:r>
          </w:p>
          <w:p w14:paraId="540D84B4">
            <w:pPr>
              <w:keepNext w:val="0"/>
              <w:keepLines w:val="0"/>
              <w:suppressLineNumbers w:val="0"/>
              <w:spacing w:before="0" w:beforeAutospacing="0" w:after="0" w:afterAutospacing="0"/>
              <w:ind w:left="0" w:right="0" w:firstLine="480"/>
              <w:jc w:val="left"/>
              <w:rPr>
                <w:rFonts w:hint="default" w:ascii="Times New Roman" w:hAnsi="Times New Roman" w:cs="Times New Roman"/>
                <w:color w:val="auto"/>
              </w:rPr>
            </w:pPr>
            <w:r>
              <w:rPr>
                <w:rFonts w:hint="default" w:ascii="Times New Roman" w:hAnsi="Times New Roman" w:cs="Times New Roman"/>
                <w:color w:val="auto"/>
              </w:rPr>
              <w:t>②危险废物的容器和包装物以及收集、暂存、转移、处置危险废物的设施、场所，必须设置危险废物识别标志。</w:t>
            </w:r>
          </w:p>
          <w:p w14:paraId="6AE5EE8F">
            <w:pPr>
              <w:keepNext w:val="0"/>
              <w:keepLines w:val="0"/>
              <w:suppressLineNumbers w:val="0"/>
              <w:spacing w:before="0" w:beforeAutospacing="0" w:after="0" w:afterAutospacing="0"/>
              <w:ind w:left="0" w:right="0" w:firstLine="480"/>
              <w:jc w:val="left"/>
              <w:rPr>
                <w:rFonts w:hint="default" w:ascii="Times New Roman" w:hAnsi="Times New Roman" w:cs="Times New Roman"/>
                <w:color w:val="auto"/>
              </w:rPr>
            </w:pPr>
            <w:r>
              <w:rPr>
                <w:rFonts w:hint="default" w:ascii="Times New Roman" w:hAnsi="Times New Roman" w:cs="Times New Roman"/>
                <w:color w:val="auto"/>
              </w:rPr>
              <w:t>③对危险废物暂时贮存场所要加强管理，定期巡检，确保危险废物不扩散、不渗漏、不丢失等。</w:t>
            </w:r>
          </w:p>
          <w:p w14:paraId="597BBBBC">
            <w:pPr>
              <w:keepNext w:val="0"/>
              <w:keepLines w:val="0"/>
              <w:suppressLineNumbers w:val="0"/>
              <w:spacing w:before="0" w:beforeAutospacing="0" w:after="0" w:afterAutospacing="0"/>
              <w:ind w:left="0" w:right="0" w:firstLine="480"/>
              <w:jc w:val="left"/>
              <w:rPr>
                <w:rFonts w:hint="default" w:ascii="Times New Roman" w:hAnsi="Times New Roman" w:cs="Times New Roman"/>
                <w:color w:val="auto"/>
              </w:rPr>
            </w:pPr>
            <w:r>
              <w:rPr>
                <w:rFonts w:hint="default" w:ascii="Times New Roman" w:hAnsi="Times New Roman" w:cs="Times New Roman"/>
                <w:color w:val="auto"/>
              </w:rPr>
              <w:t>④制定危险废物管理计划，并向县</w:t>
            </w:r>
            <w:r>
              <w:rPr>
                <w:rFonts w:hint="eastAsia" w:cs="Times New Roman"/>
                <w:color w:val="auto"/>
                <w:lang w:val="en-US" w:eastAsia="zh-CN"/>
              </w:rPr>
              <w:t>生态</w:t>
            </w:r>
            <w:r>
              <w:rPr>
                <w:rFonts w:hint="default" w:ascii="Times New Roman" w:hAnsi="Times New Roman" w:cs="Times New Roman"/>
                <w:color w:val="auto"/>
              </w:rPr>
              <w:t>环境部门申报危险废物的种类、产生量、流向、贮存、处置等有关资料。</w:t>
            </w:r>
          </w:p>
          <w:p w14:paraId="49FD816A">
            <w:pPr>
              <w:keepNext w:val="0"/>
              <w:keepLines w:val="0"/>
              <w:suppressLineNumbers w:val="0"/>
              <w:spacing w:before="0" w:beforeAutospacing="0" w:after="0" w:afterAutospacing="0"/>
              <w:ind w:left="0" w:right="0" w:firstLine="480"/>
              <w:jc w:val="left"/>
              <w:rPr>
                <w:rFonts w:hint="default" w:ascii="Times New Roman" w:hAnsi="Times New Roman" w:cs="Times New Roman"/>
                <w:color w:val="auto"/>
              </w:rPr>
            </w:pPr>
            <w:r>
              <w:rPr>
                <w:rFonts w:hint="default" w:ascii="Times New Roman" w:hAnsi="Times New Roman" w:cs="Times New Roman"/>
                <w:color w:val="auto"/>
              </w:rPr>
              <w:t>⑤禁止向环境倾倒、堆置危险废物。</w:t>
            </w:r>
          </w:p>
          <w:p w14:paraId="3A3CFC50">
            <w:pPr>
              <w:keepNext w:val="0"/>
              <w:keepLines w:val="0"/>
              <w:suppressLineNumbers w:val="0"/>
              <w:spacing w:before="0" w:beforeAutospacing="0" w:after="0" w:afterAutospacing="0"/>
              <w:ind w:left="0" w:right="0" w:firstLine="480"/>
              <w:jc w:val="left"/>
              <w:rPr>
                <w:rFonts w:hint="default" w:ascii="Times New Roman" w:hAnsi="Times New Roman" w:cs="Times New Roman"/>
                <w:color w:val="auto"/>
              </w:rPr>
            </w:pPr>
            <w:r>
              <w:rPr>
                <w:rFonts w:hint="default" w:ascii="Times New Roman" w:hAnsi="Times New Roman" w:cs="Times New Roman"/>
                <w:color w:val="auto"/>
              </w:rPr>
              <w:t>⑥禁止将危险废物混入非危险废物中收集、暂存、转移、处置。</w:t>
            </w:r>
          </w:p>
          <w:p w14:paraId="04DB52CD">
            <w:pPr>
              <w:keepNext w:val="0"/>
              <w:keepLines w:val="0"/>
              <w:suppressLineNumbers w:val="0"/>
              <w:spacing w:before="0" w:beforeAutospacing="0" w:after="0" w:afterAutospacing="0"/>
              <w:ind w:left="0" w:right="0" w:firstLine="480"/>
              <w:jc w:val="left"/>
              <w:rPr>
                <w:rFonts w:hint="default" w:ascii="Times New Roman" w:hAnsi="Times New Roman" w:cs="Times New Roman"/>
                <w:color w:val="auto"/>
              </w:rPr>
            </w:pPr>
            <w:r>
              <w:rPr>
                <w:rFonts w:hint="default" w:ascii="Times New Roman" w:hAnsi="Times New Roman" w:cs="Times New Roman"/>
                <w:color w:val="auto"/>
              </w:rPr>
              <w:t>⑦需要转移危险废物时，严格对危险废物进行转移处置，必须按照相关规定办理危险废物转移联单，未经批准，不得进行转移。</w:t>
            </w:r>
          </w:p>
          <w:p w14:paraId="554EBAC4">
            <w:pPr>
              <w:keepNext w:val="0"/>
              <w:keepLines w:val="0"/>
              <w:suppressLineNumbers w:val="0"/>
              <w:spacing w:before="0" w:beforeAutospacing="0" w:after="0" w:afterAutospacing="0"/>
              <w:ind w:left="0" w:right="0" w:firstLine="480"/>
              <w:jc w:val="left"/>
              <w:rPr>
                <w:rFonts w:hint="default" w:ascii="Times New Roman" w:hAnsi="Times New Roman" w:cs="Times New Roman"/>
                <w:color w:val="auto"/>
              </w:rPr>
            </w:pPr>
            <w:r>
              <w:rPr>
                <w:rFonts w:hint="default" w:ascii="Times New Roman" w:hAnsi="Times New Roman" w:cs="Times New Roman"/>
                <w:color w:val="auto"/>
              </w:rPr>
              <w:t>⑧禁止将危险废物转移至无危险废物经营资质的单位。</w:t>
            </w:r>
          </w:p>
          <w:p w14:paraId="65FFA247">
            <w:pPr>
              <w:keepNext w:val="0"/>
              <w:keepLines w:val="0"/>
              <w:suppressLineNumbers w:val="0"/>
              <w:spacing w:before="0" w:beforeAutospacing="0" w:after="0" w:afterAutospacing="0"/>
              <w:ind w:left="0" w:right="0" w:firstLine="480"/>
              <w:jc w:val="left"/>
              <w:rPr>
                <w:rFonts w:hint="default" w:ascii="Times New Roman" w:hAnsi="Times New Roman" w:cs="Times New Roman"/>
                <w:color w:val="auto"/>
              </w:rPr>
            </w:pPr>
            <w:r>
              <w:rPr>
                <w:rFonts w:hint="default" w:ascii="Times New Roman" w:hAnsi="Times New Roman" w:cs="Times New Roman"/>
                <w:color w:val="auto"/>
              </w:rPr>
              <w:t>⑨运输危险废物，必须采取防止污染环境的措施，并遵守国家有关危险货物运输管理的规定。禁止将危险废物与旅客在同一运输工具上载运。</w:t>
            </w:r>
          </w:p>
          <w:p w14:paraId="47D0688C">
            <w:pPr>
              <w:keepNext w:val="0"/>
              <w:keepLines w:val="0"/>
              <w:suppressLineNumbers w:val="0"/>
              <w:spacing w:before="0" w:beforeAutospacing="0" w:after="0" w:afterAutospacing="0"/>
              <w:ind w:left="0" w:right="0" w:firstLine="480"/>
              <w:jc w:val="left"/>
              <w:rPr>
                <w:rFonts w:hint="default" w:ascii="Times New Roman" w:hAnsi="Times New Roman" w:cs="Times New Roman"/>
                <w:color w:val="auto"/>
              </w:rPr>
            </w:pPr>
            <w:r>
              <w:rPr>
                <w:rFonts w:hint="default" w:ascii="Times New Roman" w:hAnsi="Times New Roman" w:cs="Times New Roman"/>
                <w:color w:val="auto"/>
              </w:rPr>
              <w:t>⑩制定危险废物污染事故防范措施和应急预案，并报县生态环境部门进行备案，建立健全危险废物管理</w:t>
            </w:r>
            <w:r>
              <w:rPr>
                <w:rFonts w:hint="eastAsia" w:ascii="Times New Roman" w:hAnsi="Times New Roman" w:cs="Times New Roman"/>
                <w:color w:val="auto"/>
              </w:rPr>
              <w:t>台账</w:t>
            </w:r>
            <w:r>
              <w:rPr>
                <w:rFonts w:hint="default" w:ascii="Times New Roman" w:hAnsi="Times New Roman" w:cs="Times New Roman"/>
                <w:color w:val="auto"/>
              </w:rPr>
              <w:t>。</w:t>
            </w:r>
          </w:p>
          <w:p w14:paraId="49AD8552">
            <w:pPr>
              <w:keepNext w:val="0"/>
              <w:keepLines w:val="0"/>
              <w:suppressLineNumbers w:val="0"/>
              <w:spacing w:before="0" w:beforeAutospacing="0" w:after="0" w:afterAutospacing="0"/>
              <w:ind w:left="0" w:right="0" w:firstLine="480"/>
              <w:jc w:val="left"/>
              <w:rPr>
                <w:rFonts w:hint="default" w:ascii="Times New Roman" w:hAnsi="Times New Roman" w:cs="Times New Roman"/>
                <w:color w:val="auto"/>
              </w:rPr>
            </w:pPr>
            <w:r>
              <w:rPr>
                <w:rFonts w:hint="default" w:ascii="Times New Roman" w:hAnsi="Times New Roman" w:cs="Times New Roman"/>
                <w:color w:val="auto"/>
              </w:rPr>
              <w:t>⑪因发生事故或者其他突发性事件，造成危险废物严重污染环境时，必须立即采取措施消除或者减轻对环境的污染危害，及时通报可能受到污染危害的单位和居民，并向市生态环境部门和有关部门报告，接受调查处理。</w:t>
            </w:r>
          </w:p>
          <w:p w14:paraId="004128FA">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bCs/>
                <w:color w:val="auto"/>
              </w:rPr>
              <w:t>综上所述，在采取以上措施后，项目运营期产生的固体废弃物去向明确，处置合理，不会造成二次污染。</w:t>
            </w:r>
          </w:p>
          <w:p w14:paraId="591E6F15">
            <w:pPr>
              <w:pStyle w:val="13"/>
              <w:keepNext w:val="0"/>
              <w:keepLines w:val="0"/>
              <w:suppressLineNumbers w:val="0"/>
              <w:spacing w:before="0" w:beforeAutospacing="0" w:after="0" w:afterAutospacing="0" w:line="360" w:lineRule="auto"/>
              <w:ind w:left="0" w:firstLine="480" w:firstLineChars="200"/>
              <w:rPr>
                <w:rFonts w:hint="default" w:ascii="Times New Roman" w:hAnsi="Times New Roman" w:cs="Times New Roman"/>
                <w:bCs/>
                <w:color w:val="auto"/>
                <w:sz w:val="24"/>
                <w:szCs w:val="24"/>
                <w:highlight w:val="yellow"/>
              </w:rPr>
            </w:pPr>
            <w:r>
              <w:rPr>
                <w:rFonts w:hint="default" w:ascii="Times New Roman" w:hAnsi="Times New Roman" w:cs="Times New Roman"/>
                <w:bCs/>
                <w:color w:val="auto"/>
                <w:sz w:val="24"/>
                <w:szCs w:val="24"/>
              </w:rPr>
              <w:t>综上所述，本项目产生的各种固体废物均有合理可行处置去向，在厂内暂存时不会造成二次污染，不会对环境造成不利影响。</w:t>
            </w:r>
          </w:p>
          <w:p w14:paraId="164BE8FD">
            <w:pPr>
              <w:keepNext w:val="0"/>
              <w:keepLines w:val="0"/>
              <w:suppressLineNumbers w:val="0"/>
              <w:adjustRightInd w:val="0"/>
              <w:snapToGrid w:val="0"/>
              <w:spacing w:before="0" w:beforeAutospacing="0" w:after="0" w:afterAutospacing="0"/>
              <w:ind w:left="0" w:right="0" w:firstLine="482" w:firstLineChars="200"/>
              <w:rPr>
                <w:rFonts w:hint="default" w:ascii="Times New Roman" w:hAnsi="Times New Roman" w:cs="Times New Roman"/>
                <w:b/>
                <w:bCs/>
                <w:color w:val="auto"/>
              </w:rPr>
            </w:pPr>
            <w:r>
              <w:rPr>
                <w:rFonts w:hint="eastAsia" w:ascii="Times New Roman" w:hAnsi="Times New Roman" w:cs="Times New Roman"/>
                <w:b/>
                <w:bCs/>
                <w:color w:val="auto"/>
              </w:rPr>
              <w:t>五、地下水、土壤影响分析</w:t>
            </w:r>
          </w:p>
          <w:p w14:paraId="492591E3">
            <w:pPr>
              <w:keepNext w:val="0"/>
              <w:keepLines w:val="0"/>
              <w:suppressLineNumbers w:val="0"/>
              <w:autoSpaceDE w:val="0"/>
              <w:autoSpaceDN w:val="0"/>
              <w:adjustRightInd w:val="0"/>
              <w:snapToGrid w:val="0"/>
              <w:spacing w:before="0" w:beforeAutospacing="0" w:after="0" w:afterAutospacing="0"/>
              <w:ind w:left="0" w:right="0" w:firstLine="420"/>
              <w:rPr>
                <w:rFonts w:hint="default" w:ascii="Times New Roman" w:hAnsi="Times New Roman" w:cs="Times New Roman"/>
                <w:b/>
                <w:color w:val="auto"/>
              </w:rPr>
            </w:pPr>
            <w:r>
              <w:rPr>
                <w:rFonts w:hint="default" w:ascii="Times New Roman" w:hAnsi="Times New Roman" w:cs="Times New Roman"/>
                <w:b/>
                <w:color w:val="auto"/>
              </w:rPr>
              <w:t>（1）防治地下水污染控制措施的原则</w:t>
            </w:r>
          </w:p>
          <w:p w14:paraId="5B9BC7E5">
            <w:pPr>
              <w:keepNext w:val="0"/>
              <w:keepLines w:val="0"/>
              <w:suppressLineNumbers w:val="0"/>
              <w:autoSpaceDE w:val="0"/>
              <w:autoSpaceDN w:val="0"/>
              <w:adjustRightInd w:val="0"/>
              <w:snapToGrid w:val="0"/>
              <w:spacing w:before="0" w:beforeAutospacing="0" w:after="0" w:afterAutospacing="0"/>
              <w:ind w:left="0" w:right="0" w:firstLine="42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为防止项目建设对地下水环境造成污染，建设单位应坚持“源头控制、监管、应急响应”的原则，即采取主动控制和被动控制相结合的措施。</w:t>
            </w:r>
          </w:p>
          <w:p w14:paraId="5425A3A0">
            <w:pPr>
              <w:keepNext w:val="0"/>
              <w:keepLines w:val="0"/>
              <w:suppressLineNumbers w:val="0"/>
              <w:autoSpaceDE w:val="0"/>
              <w:autoSpaceDN w:val="0"/>
              <w:adjustRightInd w:val="0"/>
              <w:snapToGrid w:val="0"/>
              <w:spacing w:before="0" w:beforeAutospacing="0" w:after="0" w:afterAutospacing="0"/>
              <w:ind w:left="0" w:right="0" w:firstLine="420"/>
              <w:rPr>
                <w:rFonts w:hint="default" w:ascii="Times New Roman" w:hAnsi="Times New Roman" w:cs="Times New Roman"/>
                <w:color w:val="auto"/>
                <w:kern w:val="0"/>
                <w:szCs w:val="21"/>
              </w:rPr>
            </w:pPr>
            <w:r>
              <w:rPr>
                <w:rFonts w:hint="eastAsia" w:ascii="Times New Roman" w:hAnsi="Times New Roman" w:cs="宋体"/>
                <w:color w:val="auto"/>
                <w:kern w:val="0"/>
                <w:szCs w:val="21"/>
              </w:rPr>
              <w:t>①</w:t>
            </w:r>
            <w:r>
              <w:rPr>
                <w:rFonts w:hint="default" w:ascii="Times New Roman" w:hAnsi="Times New Roman" w:cs="Times New Roman"/>
                <w:color w:val="auto"/>
                <w:kern w:val="0"/>
                <w:szCs w:val="21"/>
              </w:rPr>
              <w:t>主动控制即从源头控制措施，将污染物泄漏的环境风险事故降到最低程度。</w:t>
            </w:r>
            <w:r>
              <w:rPr>
                <w:rFonts w:hint="eastAsia" w:ascii="Times New Roman" w:hAnsi="Times New Roman" w:cs="宋体"/>
                <w:color w:val="auto"/>
                <w:kern w:val="0"/>
                <w:szCs w:val="21"/>
              </w:rPr>
              <w:t>②</w:t>
            </w:r>
            <w:r>
              <w:rPr>
                <w:rFonts w:hint="default" w:ascii="Times New Roman" w:hAnsi="Times New Roman" w:cs="Times New Roman"/>
                <w:color w:val="auto"/>
                <w:kern w:val="0"/>
                <w:szCs w:val="21"/>
              </w:rPr>
              <w:t>被动控制即末端控制措施，主要包括厂区污染区地面的防渗措施和泄漏、渗漏污染物收集措施，即在污染区地面进行防渗处理，防止洒落地面的污染物渗入地下。</w:t>
            </w:r>
          </w:p>
          <w:p w14:paraId="5259B3C0">
            <w:pPr>
              <w:keepNext w:val="0"/>
              <w:keepLines w:val="0"/>
              <w:suppressLineNumbers w:val="0"/>
              <w:autoSpaceDE w:val="0"/>
              <w:autoSpaceDN w:val="0"/>
              <w:adjustRightInd w:val="0"/>
              <w:snapToGrid w:val="0"/>
              <w:spacing w:before="0" w:beforeAutospacing="0" w:after="0" w:afterAutospacing="0"/>
              <w:ind w:left="0" w:right="0" w:firstLine="420"/>
              <w:rPr>
                <w:rFonts w:hint="default" w:ascii="Times New Roman" w:hAnsi="Times New Roman" w:cs="宋体"/>
                <w:color w:val="auto"/>
                <w:kern w:val="0"/>
                <w:szCs w:val="21"/>
              </w:rPr>
            </w:pPr>
            <w:r>
              <w:rPr>
                <w:rFonts w:hint="eastAsia" w:ascii="Times New Roman" w:hAnsi="Times New Roman" w:cs="宋体"/>
                <w:color w:val="auto"/>
                <w:kern w:val="0"/>
                <w:szCs w:val="21"/>
              </w:rPr>
              <w:t>②</w:t>
            </w:r>
            <w:r>
              <w:rPr>
                <w:rFonts w:hint="default" w:ascii="Times New Roman" w:hAnsi="Times New Roman" w:cs="宋体"/>
                <w:color w:val="auto"/>
                <w:kern w:val="0"/>
                <w:szCs w:val="21"/>
              </w:rPr>
              <w:t>被动控制即末端控制措施，主要包括厂区污染区地面的防渗措施和泄漏、渗漏污染物收集措施，即在污染区地面进行防渗处理，防止洒落地面的污染物渗入地下。</w:t>
            </w:r>
          </w:p>
          <w:p w14:paraId="47E8D394">
            <w:pPr>
              <w:keepNext w:val="0"/>
              <w:keepLines w:val="0"/>
              <w:suppressLineNumbers w:val="0"/>
              <w:autoSpaceDE w:val="0"/>
              <w:autoSpaceDN w:val="0"/>
              <w:adjustRightInd w:val="0"/>
              <w:snapToGrid w:val="0"/>
              <w:spacing w:before="0" w:beforeAutospacing="0" w:after="0" w:afterAutospacing="0"/>
              <w:ind w:left="0" w:right="0" w:firstLine="420"/>
              <w:rPr>
                <w:rFonts w:hint="default" w:ascii="Times New Roman" w:hAnsi="Times New Roman" w:cs="宋体"/>
                <w:color w:val="auto"/>
                <w:kern w:val="0"/>
                <w:szCs w:val="21"/>
              </w:rPr>
            </w:pPr>
            <w:r>
              <w:rPr>
                <w:rFonts w:hint="eastAsia" w:ascii="Times New Roman" w:hAnsi="Times New Roman" w:cs="宋体"/>
                <w:color w:val="auto"/>
                <w:kern w:val="0"/>
                <w:szCs w:val="21"/>
              </w:rPr>
              <w:t>③</w:t>
            </w:r>
            <w:r>
              <w:rPr>
                <w:rFonts w:hint="default" w:ascii="Times New Roman" w:hAnsi="Times New Roman" w:cs="宋体"/>
                <w:color w:val="auto"/>
                <w:kern w:val="0"/>
                <w:szCs w:val="21"/>
              </w:rPr>
              <w:t>以重点装置区为主，一般生产区为辅</w:t>
            </w:r>
            <w:r>
              <w:rPr>
                <w:rFonts w:hint="eastAsia" w:ascii="Times New Roman" w:hAnsi="Times New Roman" w:cs="宋体"/>
                <w:color w:val="auto"/>
                <w:kern w:val="0"/>
                <w:szCs w:val="21"/>
              </w:rPr>
              <w:t>；</w:t>
            </w:r>
            <w:r>
              <w:rPr>
                <w:rFonts w:hint="default" w:ascii="Times New Roman" w:hAnsi="Times New Roman" w:cs="宋体"/>
                <w:color w:val="auto"/>
                <w:kern w:val="0"/>
                <w:szCs w:val="21"/>
              </w:rPr>
              <w:t>事故易发区为主，一般区为辅。</w:t>
            </w:r>
          </w:p>
          <w:p w14:paraId="1D2F2EFB">
            <w:pPr>
              <w:keepNext w:val="0"/>
              <w:keepLines w:val="0"/>
              <w:suppressLineNumbers w:val="0"/>
              <w:autoSpaceDE w:val="0"/>
              <w:autoSpaceDN w:val="0"/>
              <w:adjustRightInd w:val="0"/>
              <w:snapToGrid w:val="0"/>
              <w:spacing w:before="0" w:beforeAutospacing="0" w:after="0" w:afterAutospacing="0"/>
              <w:ind w:left="0" w:right="0" w:firstLine="420"/>
              <w:rPr>
                <w:rFonts w:hint="default" w:ascii="Times New Roman" w:hAnsi="Times New Roman" w:cs="宋体"/>
                <w:color w:val="auto"/>
                <w:kern w:val="0"/>
                <w:szCs w:val="21"/>
              </w:rPr>
            </w:pPr>
            <w:r>
              <w:rPr>
                <w:rFonts w:hint="eastAsia" w:ascii="Times New Roman" w:hAnsi="Times New Roman" w:cs="宋体"/>
                <w:color w:val="auto"/>
                <w:kern w:val="0"/>
                <w:szCs w:val="21"/>
              </w:rPr>
              <w:t>④</w:t>
            </w:r>
            <w:r>
              <w:rPr>
                <w:rFonts w:hint="default" w:ascii="Times New Roman" w:hAnsi="Times New Roman" w:cs="宋体"/>
                <w:color w:val="auto"/>
                <w:kern w:val="0"/>
                <w:szCs w:val="21"/>
              </w:rPr>
              <w:t>应急响应措施，包括一旦发现地下水污染事故，立即启动应急预案、采取应急措施控制地下水污染，并使污</w:t>
            </w:r>
            <w:r>
              <w:rPr>
                <w:rFonts w:hint="eastAsia" w:ascii="Times New Roman" w:hAnsi="Times New Roman" w:cs="宋体"/>
                <w:color w:val="auto"/>
                <w:kern w:val="0"/>
                <w:szCs w:val="21"/>
              </w:rPr>
              <w:t>染</w:t>
            </w:r>
            <w:r>
              <w:rPr>
                <w:rFonts w:hint="default" w:ascii="Times New Roman" w:hAnsi="Times New Roman" w:cs="宋体"/>
                <w:color w:val="auto"/>
                <w:kern w:val="0"/>
                <w:szCs w:val="21"/>
              </w:rPr>
              <w:t>得到治理</w:t>
            </w:r>
            <w:r>
              <w:rPr>
                <w:rFonts w:hint="eastAsia" w:ascii="Times New Roman" w:hAnsi="Times New Roman" w:cs="宋体"/>
                <w:color w:val="auto"/>
                <w:kern w:val="0"/>
                <w:szCs w:val="21"/>
              </w:rPr>
              <w:t>。</w:t>
            </w:r>
          </w:p>
          <w:p w14:paraId="2D5B3D41">
            <w:pPr>
              <w:keepNext w:val="0"/>
              <w:keepLines w:val="0"/>
              <w:suppressLineNumbers w:val="0"/>
              <w:wordWrap w:val="0"/>
              <w:spacing w:before="0" w:beforeAutospacing="0" w:after="0" w:afterAutospacing="0"/>
              <w:ind w:left="0" w:right="0" w:firstLine="482" w:firstLineChars="200"/>
              <w:jc w:val="left"/>
              <w:rPr>
                <w:rFonts w:hint="eastAsia" w:ascii="Times New Roman" w:hAnsi="Times New Roman" w:cs="宋体"/>
                <w:b/>
                <w:bCs/>
                <w:color w:val="auto"/>
                <w:kern w:val="0"/>
                <w:lang w:bidi="ar"/>
              </w:rPr>
            </w:pPr>
            <w:r>
              <w:rPr>
                <w:rFonts w:hint="eastAsia" w:ascii="Times New Roman" w:hAnsi="Times New Roman" w:cs="宋体"/>
                <w:b/>
                <w:bCs/>
                <w:color w:val="auto"/>
                <w:kern w:val="0"/>
                <w:lang w:bidi="ar"/>
              </w:rPr>
              <w:t>（</w:t>
            </w:r>
            <w:r>
              <w:rPr>
                <w:rFonts w:hint="eastAsia" w:cs="宋体"/>
                <w:b/>
                <w:bCs/>
                <w:color w:val="auto"/>
                <w:kern w:val="0"/>
                <w:lang w:val="en-US" w:eastAsia="zh-CN" w:bidi="ar"/>
              </w:rPr>
              <w:t>2</w:t>
            </w:r>
            <w:r>
              <w:rPr>
                <w:rFonts w:hint="eastAsia" w:ascii="Times New Roman" w:hAnsi="Times New Roman" w:cs="宋体"/>
                <w:b/>
                <w:bCs/>
                <w:color w:val="auto"/>
                <w:kern w:val="0"/>
                <w:lang w:bidi="ar"/>
              </w:rPr>
              <w:t>）源头控制措施</w:t>
            </w:r>
          </w:p>
          <w:p w14:paraId="4971AA22">
            <w:pPr>
              <w:keepNext w:val="0"/>
              <w:keepLines w:val="0"/>
              <w:suppressLineNumbers w:val="0"/>
              <w:wordWrap w:val="0"/>
              <w:spacing w:before="0" w:beforeAutospacing="0" w:after="0" w:afterAutospacing="0"/>
              <w:ind w:left="0" w:right="0" w:firstLine="480" w:firstLineChars="200"/>
              <w:jc w:val="left"/>
              <w:rPr>
                <w:rFonts w:hint="eastAsia" w:ascii="Times New Roman" w:hAnsi="Times New Roman" w:cs="宋体"/>
                <w:color w:val="auto"/>
                <w:kern w:val="0"/>
                <w:lang w:bidi="ar"/>
              </w:rPr>
            </w:pPr>
            <w:r>
              <w:rPr>
                <w:rFonts w:hint="eastAsia" w:ascii="Times New Roman" w:hAnsi="Times New Roman" w:cs="宋体"/>
                <w:color w:val="auto"/>
                <w:kern w:val="0"/>
                <w:lang w:bidi="ar"/>
              </w:rPr>
              <w:t>①积极推行实施清洁生产，实现废水的循环利用，减少污染物的排放量;</w:t>
            </w:r>
          </w:p>
          <w:p w14:paraId="547A5246">
            <w:pPr>
              <w:keepNext w:val="0"/>
              <w:keepLines w:val="0"/>
              <w:suppressLineNumbers w:val="0"/>
              <w:wordWrap w:val="0"/>
              <w:spacing w:before="0" w:beforeAutospacing="0" w:after="0" w:afterAutospacing="0"/>
              <w:ind w:left="0" w:right="0" w:firstLine="480" w:firstLineChars="200"/>
              <w:jc w:val="left"/>
              <w:rPr>
                <w:rFonts w:hint="eastAsia" w:ascii="Times New Roman" w:hAnsi="Times New Roman" w:cs="宋体"/>
                <w:color w:val="auto"/>
                <w:kern w:val="0"/>
                <w:lang w:bidi="ar"/>
              </w:rPr>
            </w:pPr>
            <w:r>
              <w:rPr>
                <w:rFonts w:hint="eastAsia" w:ascii="Times New Roman" w:hAnsi="Times New Roman" w:cs="宋体"/>
                <w:color w:val="auto"/>
                <w:kern w:val="0"/>
                <w:lang w:bidi="ar"/>
              </w:rPr>
              <w:t>②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14:paraId="578865F3">
            <w:pPr>
              <w:keepNext w:val="0"/>
              <w:keepLines w:val="0"/>
              <w:suppressLineNumbers w:val="0"/>
              <w:wordWrap w:val="0"/>
              <w:spacing w:before="0" w:beforeAutospacing="0" w:after="0" w:afterAutospacing="0"/>
              <w:ind w:left="0" w:right="0" w:firstLine="480" w:firstLineChars="200"/>
              <w:jc w:val="left"/>
              <w:rPr>
                <w:rFonts w:hint="eastAsia" w:ascii="Times New Roman" w:hAnsi="Times New Roman" w:cs="宋体"/>
                <w:color w:val="auto"/>
                <w:kern w:val="0"/>
                <w:lang w:bidi="ar"/>
              </w:rPr>
            </w:pPr>
            <w:r>
              <w:rPr>
                <w:rFonts w:hint="eastAsia" w:ascii="Times New Roman" w:hAnsi="Times New Roman" w:cs="宋体"/>
                <w:color w:val="auto"/>
                <w:kern w:val="0"/>
                <w:lang w:bidi="ar"/>
              </w:rPr>
              <w:t>③对工艺、管道、设备采取控制措施，防止污染物的跑、冒滴、漏，将污染物泄漏的环境风险事故降到最低限度。</w:t>
            </w:r>
          </w:p>
          <w:p w14:paraId="4716265E">
            <w:pPr>
              <w:keepNext w:val="0"/>
              <w:keepLines w:val="0"/>
              <w:widowControl/>
              <w:suppressLineNumbers w:val="0"/>
              <w:spacing w:before="0" w:beforeAutospacing="0" w:after="0" w:afterAutospacing="0"/>
              <w:ind w:left="0" w:right="0" w:firstLine="482" w:firstLineChars="200"/>
              <w:jc w:val="left"/>
              <w:rPr>
                <w:rFonts w:hint="default" w:ascii="Times New Roman" w:hAnsi="Times New Roman" w:cs="Times New Roman"/>
                <w:b/>
                <w:bCs/>
                <w:color w:val="auto"/>
              </w:rPr>
            </w:pPr>
            <w:r>
              <w:rPr>
                <w:rFonts w:hint="eastAsia" w:ascii="Times New Roman" w:hAnsi="Times New Roman" w:cs="Times New Roman"/>
                <w:b/>
                <w:bCs/>
                <w:color w:val="auto"/>
                <w:szCs w:val="22"/>
              </w:rPr>
              <w:t>（3）</w:t>
            </w:r>
            <w:r>
              <w:rPr>
                <w:rFonts w:hint="default" w:ascii="Times New Roman" w:hAnsi="Times New Roman" w:cs="Times New Roman"/>
                <w:b/>
                <w:bCs/>
                <w:color w:val="auto"/>
                <w:szCs w:val="22"/>
              </w:rPr>
              <w:t>防渗措施</w:t>
            </w:r>
          </w:p>
          <w:p w14:paraId="205E3D06">
            <w:pPr>
              <w:keepNext w:val="0"/>
              <w:keepLines w:val="0"/>
              <w:suppressLineNumbers w:val="0"/>
              <w:wordWrap w:val="0"/>
              <w:spacing w:before="0" w:beforeAutospacing="0" w:after="0" w:afterAutospacing="0"/>
              <w:ind w:left="0" w:right="0" w:firstLine="480" w:firstLineChars="200"/>
              <w:jc w:val="left"/>
              <w:rPr>
                <w:rFonts w:hint="default" w:ascii="Times New Roman" w:hAnsi="Times New Roman" w:cs="Times New Roman"/>
                <w:color w:val="auto"/>
                <w:szCs w:val="22"/>
              </w:rPr>
            </w:pPr>
            <w:r>
              <w:rPr>
                <w:rFonts w:hint="default" w:ascii="Times New Roman" w:hAnsi="Times New Roman" w:cs="Times New Roman"/>
                <w:color w:val="auto"/>
                <w:szCs w:val="22"/>
              </w:rPr>
              <w:t>为了降低本项目对地下水环境造成的影响，项目应严格按照《环境影响评价技术导则-地下水环境》（HJ610-2016）、《中华人民共和国水污染防治法》及《国务院关于印发土壤污染防治行动计划的通知》（国发〔2016〕31号）、《环境影响评价技术导则土壤环境（试行）》（HJ964-2018）的相关规定，按照“源头控制、分区防治、污染监控、应急响应”的原则进行地下水、土壤污染防治控制，本项目运营期产生</w:t>
            </w:r>
            <w:r>
              <w:rPr>
                <w:rFonts w:hint="eastAsia" w:ascii="Times New Roman" w:hAnsi="Times New Roman" w:cs="Times New Roman"/>
                <w:color w:val="auto"/>
                <w:szCs w:val="22"/>
              </w:rPr>
              <w:t>危废</w:t>
            </w:r>
            <w:r>
              <w:rPr>
                <w:rFonts w:hint="default" w:ascii="Times New Roman" w:hAnsi="Times New Roman" w:cs="Times New Roman"/>
                <w:color w:val="auto"/>
                <w:szCs w:val="22"/>
              </w:rPr>
              <w:t>和废水，如果管理不善，会因入渗而污染地下水。本项目产生的污水如果渗排、漏排，固体废物乱堆乱放，污染物经过土壤过滤、吸附、离子交换、沉淀、水解及生物积累等过程使部分污染物渗入地下，将对地下水造成严重污染。为保护该地下水，项目内防渗分区分为</w:t>
            </w:r>
            <w:r>
              <w:rPr>
                <w:rFonts w:hint="eastAsia" w:ascii="Times New Roman" w:hAnsi="Times New Roman" w:cs="Times New Roman"/>
                <w:color w:val="auto"/>
                <w:szCs w:val="22"/>
              </w:rPr>
              <w:t>重点防渗区、</w:t>
            </w:r>
            <w:r>
              <w:rPr>
                <w:rFonts w:hint="default" w:ascii="Times New Roman" w:hAnsi="Times New Roman" w:cs="Times New Roman"/>
                <w:color w:val="auto"/>
                <w:szCs w:val="22"/>
              </w:rPr>
              <w:t>一般防渗分区和简单防渗区。具体措施如下：</w:t>
            </w:r>
          </w:p>
          <w:p w14:paraId="6617ADDC">
            <w:pPr>
              <w:keepNext w:val="0"/>
              <w:keepLines w:val="0"/>
              <w:suppressLineNumbers w:val="0"/>
              <w:wordWrap w:val="0"/>
              <w:spacing w:before="0" w:beforeAutospacing="0" w:after="0" w:afterAutospacing="0"/>
              <w:ind w:left="0" w:right="0" w:firstLine="480" w:firstLineChars="200"/>
              <w:jc w:val="left"/>
              <w:rPr>
                <w:rFonts w:hint="default" w:ascii="Times New Roman" w:hAnsi="Times New Roman" w:cs="Times New Roman"/>
                <w:color w:val="auto"/>
                <w:szCs w:val="22"/>
              </w:rPr>
            </w:pPr>
            <w:r>
              <w:rPr>
                <w:rFonts w:hint="default" w:ascii="Times New Roman" w:hAnsi="Times New Roman" w:cs="Times New Roman"/>
                <w:color w:val="auto"/>
                <w:szCs w:val="22"/>
              </w:rPr>
              <w:t>①实施生产固体废物循环利用，减少污染物的排放量；防止污染物的跑冒漏滴，将污染物的泄</w:t>
            </w:r>
            <w:r>
              <w:rPr>
                <w:rFonts w:hint="eastAsia" w:ascii="Times New Roman" w:hAnsi="Times New Roman" w:cs="Times New Roman"/>
                <w:color w:val="auto"/>
                <w:szCs w:val="22"/>
                <w:lang w:eastAsia="zh-CN"/>
              </w:rPr>
              <w:t>漏</w:t>
            </w:r>
            <w:r>
              <w:rPr>
                <w:rFonts w:hint="default" w:ascii="Times New Roman" w:hAnsi="Times New Roman" w:cs="Times New Roman"/>
                <w:color w:val="auto"/>
                <w:szCs w:val="22"/>
              </w:rPr>
              <w:t>环境风险事故降到最低限度；</w:t>
            </w:r>
          </w:p>
          <w:p w14:paraId="6D8E58E0">
            <w:pPr>
              <w:keepNext w:val="0"/>
              <w:keepLines w:val="0"/>
              <w:suppressLineNumbers w:val="0"/>
              <w:wordWrap w:val="0"/>
              <w:spacing w:before="0" w:beforeAutospacing="0" w:after="0" w:afterAutospacing="0"/>
              <w:ind w:left="0" w:right="0" w:firstLine="480" w:firstLineChars="200"/>
              <w:jc w:val="left"/>
              <w:rPr>
                <w:rFonts w:hint="default" w:ascii="Times New Roman" w:hAnsi="Times New Roman" w:cs="Times New Roman"/>
                <w:color w:val="auto"/>
                <w:szCs w:val="22"/>
              </w:rPr>
            </w:pPr>
            <w:r>
              <w:rPr>
                <w:rFonts w:hint="default" w:ascii="Times New Roman" w:hAnsi="Times New Roman" w:cs="Times New Roman"/>
                <w:color w:val="auto"/>
                <w:szCs w:val="22"/>
              </w:rPr>
              <w:t>②生产区地面均采用水泥硬化；</w:t>
            </w:r>
          </w:p>
          <w:p w14:paraId="4AD2B28D">
            <w:pPr>
              <w:keepNext w:val="0"/>
              <w:keepLines w:val="0"/>
              <w:suppressLineNumbers w:val="0"/>
              <w:wordWrap w:val="0"/>
              <w:spacing w:before="0" w:beforeAutospacing="0" w:after="0" w:afterAutospacing="0"/>
              <w:ind w:left="0" w:right="0" w:firstLine="480" w:firstLineChars="200"/>
              <w:jc w:val="left"/>
              <w:rPr>
                <w:rFonts w:hint="eastAsia" w:ascii="Times New Roman" w:hAnsi="Times New Roman" w:cs="Times New Roman"/>
                <w:color w:val="auto"/>
                <w:szCs w:val="22"/>
              </w:rPr>
            </w:pPr>
            <w:r>
              <w:rPr>
                <w:rFonts w:hint="eastAsia" w:ascii="Times New Roman" w:hAnsi="Times New Roman" w:cs="Times New Roman"/>
                <w:color w:val="auto"/>
                <w:szCs w:val="22"/>
              </w:rPr>
              <w:t>③</w:t>
            </w:r>
            <w:r>
              <w:rPr>
                <w:rFonts w:hint="default" w:ascii="Times New Roman" w:hAnsi="Times New Roman" w:cs="Times New Roman"/>
                <w:color w:val="auto"/>
                <w:sz w:val="24"/>
                <w:szCs w:val="24"/>
                <w:highlight w:val="none"/>
                <w:lang w:val="en-US" w:eastAsia="zh-CN"/>
              </w:rPr>
              <w:t>对不同的区域进行分区防渗。</w:t>
            </w:r>
            <w:r>
              <w:rPr>
                <w:rFonts w:hint="eastAsia" w:ascii="Times New Roman" w:hAnsi="Times New Roman" w:cs="Times New Roman"/>
                <w:color w:val="auto"/>
                <w:sz w:val="24"/>
                <w:szCs w:val="24"/>
                <w:highlight w:val="none"/>
                <w:lang w:val="en-US" w:eastAsia="zh-CN"/>
              </w:rPr>
              <w:t>防止洒落地面的污染物渗入地下，并把滞留在地面的污染物收集起来，集中处置，从而避免对地下水及土壤的污染。污染防渗分区如下表：</w:t>
            </w:r>
          </w:p>
          <w:p w14:paraId="05ED4F9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Cs w:val="22"/>
              </w:rPr>
            </w:pPr>
            <w:r>
              <w:rPr>
                <w:rFonts w:hint="default" w:ascii="Times New Roman" w:hAnsi="Times New Roman" w:cs="Times New Roman"/>
                <w:b/>
                <w:bCs/>
                <w:color w:val="auto"/>
                <w:sz w:val="21"/>
                <w:szCs w:val="21"/>
              </w:rPr>
              <w:t>表4-1</w:t>
            </w:r>
            <w:r>
              <w:rPr>
                <w:rFonts w:hint="eastAsia" w:ascii="Times New Roman" w:hAnsi="Times New Roman" w:cs="Times New Roman"/>
                <w:b/>
                <w:bCs/>
                <w:color w:val="auto"/>
                <w:sz w:val="21"/>
                <w:szCs w:val="21"/>
                <w:lang w:val="en-US" w:eastAsia="zh-CN"/>
              </w:rPr>
              <w:t>9</w:t>
            </w:r>
            <w:r>
              <w:rPr>
                <w:rFonts w:hint="default" w:ascii="Times New Roman" w:hAnsi="Times New Roman" w:cs="Times New Roman"/>
                <w:b/>
                <w:bCs/>
                <w:color w:val="auto"/>
                <w:sz w:val="21"/>
                <w:szCs w:val="21"/>
              </w:rPr>
              <w:t xml:space="preserve">  项目分区防渗一览表</w:t>
            </w:r>
          </w:p>
          <w:tbl>
            <w:tblPr>
              <w:tblStyle w:val="29"/>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7"/>
              <w:gridCol w:w="2153"/>
              <w:gridCol w:w="5082"/>
            </w:tblGrid>
            <w:tr w14:paraId="47EA8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94" w:type="pct"/>
                  <w:tcBorders>
                    <w:tl2br w:val="nil"/>
                    <w:tr2bl w:val="nil"/>
                  </w:tcBorders>
                  <w:noWrap w:val="0"/>
                  <w:vAlign w:val="center"/>
                </w:tcPr>
                <w:p w14:paraId="07987232">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防渗分区</w:t>
                  </w:r>
                </w:p>
              </w:tc>
              <w:tc>
                <w:tcPr>
                  <w:tcW w:w="1311" w:type="pct"/>
                  <w:tcBorders>
                    <w:tl2br w:val="nil"/>
                    <w:tr2bl w:val="nil"/>
                  </w:tcBorders>
                  <w:noWrap w:val="0"/>
                  <w:vAlign w:val="center"/>
                </w:tcPr>
                <w:p w14:paraId="5076F394">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防渗区域</w:t>
                  </w:r>
                </w:p>
              </w:tc>
              <w:tc>
                <w:tcPr>
                  <w:tcW w:w="3094" w:type="pct"/>
                  <w:tcBorders>
                    <w:tl2br w:val="nil"/>
                    <w:tr2bl w:val="nil"/>
                  </w:tcBorders>
                  <w:noWrap w:val="0"/>
                  <w:vAlign w:val="center"/>
                </w:tcPr>
                <w:p w14:paraId="627478A0">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防渗技术要求</w:t>
                  </w:r>
                </w:p>
              </w:tc>
            </w:tr>
            <w:tr w14:paraId="3A78E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594" w:type="pct"/>
                  <w:vMerge w:val="restart"/>
                  <w:tcBorders>
                    <w:tl2br w:val="nil"/>
                    <w:tr2bl w:val="nil"/>
                  </w:tcBorders>
                  <w:noWrap w:val="0"/>
                  <w:vAlign w:val="center"/>
                </w:tcPr>
                <w:p w14:paraId="6B40149A">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重点防渗</w:t>
                  </w:r>
                </w:p>
              </w:tc>
              <w:tc>
                <w:tcPr>
                  <w:tcW w:w="1311" w:type="pct"/>
                  <w:tcBorders>
                    <w:tl2br w:val="nil"/>
                    <w:tr2bl w:val="nil"/>
                  </w:tcBorders>
                  <w:noWrap w:val="0"/>
                  <w:vAlign w:val="center"/>
                </w:tcPr>
                <w:p w14:paraId="415D88F9">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宋体" w:hAnsi="宋体" w:eastAsia="宋体" w:cs="宋体"/>
                      <w:color w:val="auto"/>
                      <w:kern w:val="0"/>
                      <w:sz w:val="21"/>
                      <w:szCs w:val="21"/>
                      <w:lang w:val="en-US" w:eastAsia="zh-CN" w:bidi="ar"/>
                    </w:rPr>
                    <w:t>危废暂存间</w:t>
                  </w:r>
                </w:p>
              </w:tc>
              <w:tc>
                <w:tcPr>
                  <w:tcW w:w="3094" w:type="pct"/>
                  <w:tcBorders>
                    <w:tl2br w:val="nil"/>
                    <w:tr2bl w:val="nil"/>
                  </w:tcBorders>
                  <w:noWrap w:val="0"/>
                  <w:vAlign w:val="center"/>
                </w:tcPr>
                <w:p w14:paraId="3EE22CBF">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b w:val="0"/>
                      <w:bCs/>
                      <w:color w:val="auto"/>
                      <w:sz w:val="21"/>
                      <w:szCs w:val="21"/>
                      <w:highlight w:val="none"/>
                    </w:rPr>
                  </w:pPr>
                  <w:r>
                    <w:rPr>
                      <w:rFonts w:hint="eastAsia" w:ascii="宋体" w:hAnsi="宋体" w:eastAsia="宋体" w:cs="宋体"/>
                      <w:color w:val="auto"/>
                      <w:kern w:val="0"/>
                      <w:sz w:val="21"/>
                      <w:szCs w:val="21"/>
                      <w:lang w:val="en-US" w:eastAsia="zh-CN" w:bidi="ar"/>
                    </w:rPr>
                    <w:t>采用</w:t>
                  </w:r>
                  <w:r>
                    <w:rPr>
                      <w:rFonts w:hint="eastAsia" w:ascii="宋体" w:hAnsi="宋体" w:cs="宋体"/>
                      <w:color w:val="auto"/>
                      <w:kern w:val="0"/>
                      <w:sz w:val="21"/>
                      <w:szCs w:val="21"/>
                      <w:lang w:val="en-US" w:eastAsia="zh-CN" w:bidi="ar"/>
                    </w:rPr>
                    <w:t>黏土铺底+</w:t>
                  </w:r>
                  <w:r>
                    <w:rPr>
                      <w:rFonts w:hint="eastAsia" w:ascii="宋体" w:hAnsi="宋体" w:eastAsia="宋体" w:cs="宋体"/>
                      <w:color w:val="auto"/>
                      <w:kern w:val="0"/>
                      <w:sz w:val="21"/>
                      <w:szCs w:val="21"/>
                      <w:lang w:val="en-US" w:eastAsia="zh-CN" w:bidi="ar"/>
                    </w:rPr>
                    <w:t>防渗混凝土</w:t>
                  </w:r>
                  <w:r>
                    <w:rPr>
                      <w:rFonts w:hint="default" w:ascii="Times New Roman" w:hAnsi="Times New Roman" w:eastAsia="宋体" w:cs="Times New Roman"/>
                      <w:color w:val="auto"/>
                      <w:kern w:val="0"/>
                      <w:sz w:val="21"/>
                      <w:szCs w:val="21"/>
                      <w:lang w:val="en-US" w:eastAsia="zh-CN" w:bidi="ar"/>
                    </w:rPr>
                    <w:t>+2mm</w:t>
                  </w:r>
                  <w:r>
                    <w:rPr>
                      <w:rFonts w:hint="eastAsia" w:ascii="宋体" w:hAnsi="宋体" w:eastAsia="宋体" w:cs="宋体"/>
                      <w:color w:val="auto"/>
                      <w:kern w:val="0"/>
                      <w:sz w:val="21"/>
                      <w:szCs w:val="21"/>
                      <w:lang w:val="en-US" w:eastAsia="zh-CN" w:bidi="ar"/>
                    </w:rPr>
                    <w:t>厚</w:t>
                  </w:r>
                  <w:r>
                    <w:rPr>
                      <w:rFonts w:hint="default" w:ascii="Times New Roman" w:hAnsi="Times New Roman" w:eastAsia="宋体" w:cs="Times New Roman"/>
                      <w:color w:val="auto"/>
                      <w:kern w:val="0"/>
                      <w:sz w:val="21"/>
                      <w:szCs w:val="21"/>
                      <w:lang w:val="en-US" w:eastAsia="zh-CN" w:bidi="ar"/>
                    </w:rPr>
                    <w:t>HDPE</w:t>
                  </w:r>
                  <w:r>
                    <w:rPr>
                      <w:rFonts w:hint="eastAsia" w:ascii="宋体" w:hAnsi="宋体" w:eastAsia="宋体" w:cs="宋体"/>
                      <w:color w:val="auto"/>
                      <w:kern w:val="0"/>
                      <w:sz w:val="21"/>
                      <w:szCs w:val="21"/>
                      <w:lang w:val="en-US" w:eastAsia="zh-CN" w:bidi="ar"/>
                    </w:rPr>
                    <w:t>人工防渗涂层</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渗透系数</w:t>
                  </w:r>
                  <w:r>
                    <w:rPr>
                      <w:rFonts w:hint="default" w:ascii="Times New Roman" w:hAnsi="Times New Roman" w:eastAsia="宋体" w:cs="Times New Roman"/>
                      <w:color w:val="auto"/>
                      <w:kern w:val="0"/>
                      <w:sz w:val="21"/>
                      <w:szCs w:val="21"/>
                      <w:lang w:val="en-US" w:eastAsia="zh-CN" w:bidi="ar"/>
                    </w:rPr>
                    <w:t>K≤10</w:t>
                  </w:r>
                  <w:r>
                    <w:rPr>
                      <w:rFonts w:hint="eastAsia" w:ascii="Times New Roman" w:hAnsi="Times New Roman" w:eastAsia="宋体" w:cs="Times New Roman"/>
                      <w:color w:val="auto"/>
                      <w:kern w:val="0"/>
                      <w:sz w:val="21"/>
                      <w:szCs w:val="21"/>
                      <w:vertAlign w:val="superscript"/>
                      <w:lang w:val="en-US" w:eastAsia="zh-CN" w:bidi="ar"/>
                    </w:rPr>
                    <w:t>-10</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w:t>
                  </w:r>
                </w:p>
              </w:tc>
            </w:tr>
            <w:tr w14:paraId="3407B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594" w:type="pct"/>
                  <w:vMerge w:val="continue"/>
                  <w:tcBorders>
                    <w:tl2br w:val="nil"/>
                    <w:tr2bl w:val="nil"/>
                  </w:tcBorders>
                  <w:noWrap w:val="0"/>
                  <w:vAlign w:val="center"/>
                </w:tcPr>
                <w:p w14:paraId="64CE543F">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ascii="Times New Roman" w:hAnsi="Times New Roman" w:cs="Times New Roman"/>
                      <w:color w:val="auto"/>
                      <w:sz w:val="21"/>
                      <w:szCs w:val="21"/>
                      <w:highlight w:val="none"/>
                    </w:rPr>
                  </w:pPr>
                </w:p>
              </w:tc>
              <w:tc>
                <w:tcPr>
                  <w:tcW w:w="1311" w:type="pct"/>
                  <w:tcBorders>
                    <w:tl2br w:val="nil"/>
                    <w:tr2bl w:val="nil"/>
                  </w:tcBorders>
                  <w:shd w:val="clear" w:color="auto" w:fill="auto"/>
                  <w:noWrap w:val="0"/>
                  <w:vAlign w:val="center"/>
                </w:tcPr>
                <w:p w14:paraId="2208B37C">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1"/>
                      <w:szCs w:val="21"/>
                      <w:lang w:val="en-US" w:eastAsia="zh-CN" w:bidi="ar"/>
                    </w:rPr>
                    <w:t>柏木油产品库、油水分离池、</w:t>
                  </w:r>
                  <w:r>
                    <w:rPr>
                      <w:rFonts w:hint="eastAsia" w:cs="宋体"/>
                      <w:color w:val="auto"/>
                      <w:kern w:val="0"/>
                      <w:sz w:val="21"/>
                      <w:szCs w:val="21"/>
                      <w:lang w:val="en-US" w:eastAsia="zh-CN" w:bidi="ar"/>
                    </w:rPr>
                    <w:t>厌氧池、</w:t>
                  </w:r>
                  <w:r>
                    <w:rPr>
                      <w:rFonts w:hint="eastAsia" w:ascii="宋体" w:hAnsi="宋体" w:eastAsia="宋体" w:cs="宋体"/>
                      <w:color w:val="auto"/>
                      <w:kern w:val="0"/>
                      <w:sz w:val="21"/>
                      <w:szCs w:val="21"/>
                      <w:lang w:val="en-US" w:eastAsia="zh-CN" w:bidi="ar"/>
                    </w:rPr>
                    <w:t>污水埋地管道</w:t>
                  </w:r>
                </w:p>
              </w:tc>
              <w:tc>
                <w:tcPr>
                  <w:tcW w:w="3094" w:type="pct"/>
                  <w:tcBorders>
                    <w:tl2br w:val="nil"/>
                    <w:tr2bl w:val="nil"/>
                  </w:tcBorders>
                  <w:shd w:val="clear" w:color="auto" w:fill="auto"/>
                  <w:noWrap w:val="0"/>
                  <w:vAlign w:val="center"/>
                </w:tcPr>
                <w:p w14:paraId="7AEE99F7">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宋体" w:hAnsi="宋体" w:eastAsia="宋体" w:cs="宋体"/>
                      <w:color w:val="auto"/>
                      <w:kern w:val="0"/>
                      <w:sz w:val="21"/>
                      <w:szCs w:val="21"/>
                      <w:lang w:val="en-US" w:eastAsia="zh-CN" w:bidi="ar"/>
                    </w:rPr>
                    <w:t>采用防渗混凝土</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人工防渗涂层。确保防渗层达到等效黏土防渗层</w:t>
                  </w:r>
                  <w:r>
                    <w:rPr>
                      <w:rFonts w:hint="default" w:ascii="Times New Roman" w:hAnsi="Times New Roman" w:eastAsia="宋体" w:cs="Times New Roman"/>
                      <w:color w:val="auto"/>
                      <w:kern w:val="0"/>
                      <w:sz w:val="21"/>
                      <w:szCs w:val="21"/>
                      <w:lang w:val="en-US" w:eastAsia="zh-CN" w:bidi="ar"/>
                    </w:rPr>
                    <w:t>Mb≥6.0m</w:t>
                  </w:r>
                  <w:r>
                    <w:rPr>
                      <w:rFonts w:hint="eastAsia" w:ascii="宋体" w:hAnsi="宋体" w:eastAsia="宋体" w:cs="宋体"/>
                      <w:color w:val="auto"/>
                      <w:kern w:val="0"/>
                      <w:sz w:val="21"/>
                      <w:szCs w:val="21"/>
                      <w:lang w:val="en-US" w:eastAsia="zh-CN" w:bidi="ar"/>
                    </w:rPr>
                    <w:t>、渗透系数</w:t>
                  </w:r>
                  <w:r>
                    <w:rPr>
                      <w:rFonts w:hint="default" w:ascii="Times New Roman" w:hAnsi="Times New Roman" w:eastAsia="宋体" w:cs="Times New Roman"/>
                      <w:color w:val="auto"/>
                      <w:kern w:val="0"/>
                      <w:sz w:val="21"/>
                      <w:szCs w:val="21"/>
                      <w:lang w:val="en-US" w:eastAsia="zh-CN" w:bidi="ar"/>
                    </w:rPr>
                    <w:t>K≤1.0×10</w:t>
                  </w:r>
                  <w:r>
                    <w:rPr>
                      <w:rFonts w:hint="eastAsia"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，其中危废暂存间渗透系数＜</w:t>
                  </w:r>
                  <w:r>
                    <w:rPr>
                      <w:rFonts w:hint="default" w:ascii="Times New Roman" w:hAnsi="Times New Roman" w:eastAsia="宋体" w:cs="Times New Roman"/>
                      <w:color w:val="auto"/>
                      <w:kern w:val="0"/>
                      <w:sz w:val="21"/>
                      <w:szCs w:val="21"/>
                      <w:lang w:val="en-US" w:eastAsia="zh-CN" w:bidi="ar"/>
                    </w:rPr>
                    <w:t>10</w:t>
                  </w:r>
                  <w:r>
                    <w:rPr>
                      <w:rFonts w:hint="eastAsia" w:ascii="Times New Roman" w:hAnsi="Times New Roman" w:eastAsia="宋体" w:cs="Times New Roman"/>
                      <w:color w:val="auto"/>
                      <w:kern w:val="0"/>
                      <w:sz w:val="21"/>
                      <w:szCs w:val="21"/>
                      <w:vertAlign w:val="superscript"/>
                      <w:lang w:val="en-US" w:eastAsia="zh-CN" w:bidi="ar"/>
                    </w:rPr>
                    <w:t>-10</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w:t>
                  </w:r>
                  <w:r>
                    <w:rPr>
                      <w:rFonts w:hint="eastAsia" w:cs="宋体"/>
                      <w:color w:val="auto"/>
                      <w:kern w:val="0"/>
                      <w:sz w:val="21"/>
                      <w:szCs w:val="21"/>
                      <w:lang w:val="en-US" w:eastAsia="zh-CN" w:bidi="ar"/>
                    </w:rPr>
                    <w:t>柏木油产品库</w:t>
                  </w:r>
                  <w:r>
                    <w:rPr>
                      <w:rFonts w:hint="eastAsia" w:ascii="宋体" w:hAnsi="宋体" w:eastAsia="宋体" w:cs="宋体"/>
                      <w:color w:val="auto"/>
                      <w:kern w:val="0"/>
                      <w:sz w:val="21"/>
                      <w:szCs w:val="21"/>
                      <w:lang w:val="en-US" w:eastAsia="zh-CN" w:bidi="ar"/>
                    </w:rPr>
                    <w:t>设置围堰。</w:t>
                  </w:r>
                </w:p>
              </w:tc>
            </w:tr>
            <w:tr w14:paraId="4ABB1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594" w:type="pct"/>
                  <w:tcBorders>
                    <w:tl2br w:val="nil"/>
                    <w:tr2bl w:val="nil"/>
                  </w:tcBorders>
                  <w:noWrap w:val="0"/>
                  <w:vAlign w:val="center"/>
                </w:tcPr>
                <w:p w14:paraId="2244FECA">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一般防渗</w:t>
                  </w:r>
                </w:p>
              </w:tc>
              <w:tc>
                <w:tcPr>
                  <w:tcW w:w="1311" w:type="pct"/>
                  <w:tcBorders>
                    <w:tl2br w:val="nil"/>
                    <w:tr2bl w:val="nil"/>
                  </w:tcBorders>
                  <w:noWrap w:val="0"/>
                  <w:vAlign w:val="center"/>
                </w:tcPr>
                <w:p w14:paraId="793D4350">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color w:val="auto"/>
                      <w:sz w:val="21"/>
                      <w:szCs w:val="21"/>
                      <w:highlight w:val="none"/>
                      <w:lang w:val="en-US" w:eastAsia="zh-CN"/>
                    </w:rPr>
                  </w:pPr>
                  <w:r>
                    <w:rPr>
                      <w:rFonts w:hint="eastAsia" w:cs="宋体"/>
                      <w:color w:val="auto"/>
                      <w:kern w:val="0"/>
                      <w:sz w:val="21"/>
                      <w:szCs w:val="21"/>
                      <w:lang w:val="en-US" w:eastAsia="zh-CN" w:bidi="ar"/>
                    </w:rPr>
                    <w:t>破碎间、锅炉房、生产车间</w:t>
                  </w:r>
                </w:p>
              </w:tc>
              <w:tc>
                <w:tcPr>
                  <w:tcW w:w="3094" w:type="pct"/>
                  <w:tcBorders>
                    <w:tl2br w:val="nil"/>
                    <w:tr2bl w:val="nil"/>
                  </w:tcBorders>
                  <w:noWrap w:val="0"/>
                  <w:vAlign w:val="center"/>
                </w:tcPr>
                <w:p w14:paraId="53E47FD0">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color w:val="auto"/>
                      <w:sz w:val="21"/>
                      <w:szCs w:val="21"/>
                      <w:highlight w:val="none"/>
                    </w:rPr>
                  </w:pPr>
                  <w:r>
                    <w:rPr>
                      <w:rFonts w:hint="eastAsia" w:ascii="宋体" w:hAnsi="宋体" w:eastAsia="宋体" w:cs="宋体"/>
                      <w:color w:val="auto"/>
                      <w:kern w:val="0"/>
                      <w:sz w:val="21"/>
                      <w:szCs w:val="21"/>
                      <w:lang w:val="en-US" w:eastAsia="zh-CN" w:bidi="ar"/>
                    </w:rPr>
                    <w:t>车间内采用防渗混凝土进行地面硬化，确保防渗层达到等效黏土防渗层</w:t>
                  </w:r>
                  <w:r>
                    <w:rPr>
                      <w:rFonts w:hint="default" w:ascii="Times New Roman" w:hAnsi="Times New Roman" w:eastAsia="宋体" w:cs="Times New Roman"/>
                      <w:color w:val="auto"/>
                      <w:kern w:val="0"/>
                      <w:sz w:val="21"/>
                      <w:szCs w:val="21"/>
                      <w:lang w:val="en-US" w:eastAsia="zh-CN" w:bidi="ar"/>
                    </w:rPr>
                    <w:t>Mb≥</w:t>
                  </w:r>
                  <w:r>
                    <w:rPr>
                      <w:rFonts w:hint="eastAsia" w:ascii="Times New Roman" w:hAnsi="Times New Roman" w:eastAsia="宋体" w:cs="Times New Roman"/>
                      <w:color w:val="auto"/>
                      <w:kern w:val="0"/>
                      <w:sz w:val="21"/>
                      <w:szCs w:val="21"/>
                      <w:lang w:val="en-US" w:eastAsia="zh-CN" w:bidi="ar"/>
                    </w:rPr>
                    <w:t>1.5</w:t>
                  </w:r>
                  <w:r>
                    <w:rPr>
                      <w:rFonts w:hint="default" w:ascii="Times New Roman" w:hAnsi="Times New Roman" w:eastAsia="宋体" w:cs="Times New Roman"/>
                      <w:color w:val="auto"/>
                      <w:kern w:val="0"/>
                      <w:sz w:val="21"/>
                      <w:szCs w:val="21"/>
                      <w:lang w:val="en-US" w:eastAsia="zh-CN" w:bidi="ar"/>
                    </w:rPr>
                    <w:t>m</w:t>
                  </w:r>
                  <w:r>
                    <w:rPr>
                      <w:rFonts w:hint="eastAsia" w:ascii="宋体" w:hAnsi="宋体" w:eastAsia="宋体" w:cs="宋体"/>
                      <w:color w:val="auto"/>
                      <w:kern w:val="0"/>
                      <w:sz w:val="21"/>
                      <w:szCs w:val="21"/>
                      <w:lang w:val="en-US" w:eastAsia="zh-CN" w:bidi="ar"/>
                    </w:rPr>
                    <w:t>、渗透系数</w:t>
                  </w:r>
                  <w:r>
                    <w:rPr>
                      <w:rFonts w:hint="default" w:ascii="Times New Roman" w:hAnsi="Times New Roman" w:eastAsia="宋体" w:cs="Times New Roman"/>
                      <w:color w:val="auto"/>
                      <w:kern w:val="0"/>
                      <w:sz w:val="21"/>
                      <w:szCs w:val="21"/>
                      <w:lang w:val="en-US" w:eastAsia="zh-CN" w:bidi="ar"/>
                    </w:rPr>
                    <w:t>K≤1.0×10</w:t>
                  </w:r>
                  <w:r>
                    <w:rPr>
                      <w:rFonts w:hint="eastAsia"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w:t>
                  </w:r>
                </w:p>
              </w:tc>
            </w:tr>
            <w:tr w14:paraId="6E18C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94" w:type="pct"/>
                  <w:tcBorders>
                    <w:tl2br w:val="nil"/>
                    <w:tr2bl w:val="nil"/>
                  </w:tcBorders>
                  <w:noWrap w:val="0"/>
                  <w:vAlign w:val="center"/>
                </w:tcPr>
                <w:p w14:paraId="76FE00A8">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简单防渗</w:t>
                  </w:r>
                </w:p>
              </w:tc>
              <w:tc>
                <w:tcPr>
                  <w:tcW w:w="1311" w:type="pct"/>
                  <w:tcBorders>
                    <w:tl2br w:val="nil"/>
                    <w:tr2bl w:val="nil"/>
                  </w:tcBorders>
                  <w:noWrap w:val="0"/>
                  <w:vAlign w:val="center"/>
                </w:tcPr>
                <w:p w14:paraId="55D108CA">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室外空坝</w:t>
                  </w:r>
                </w:p>
              </w:tc>
              <w:tc>
                <w:tcPr>
                  <w:tcW w:w="3094" w:type="pct"/>
                  <w:tcBorders>
                    <w:tl2br w:val="nil"/>
                    <w:tr2bl w:val="nil"/>
                  </w:tcBorders>
                  <w:noWrap w:val="0"/>
                  <w:vAlign w:val="center"/>
                </w:tcPr>
                <w:p w14:paraId="5DD061D9">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一般地面硬化</w:t>
                  </w:r>
                </w:p>
              </w:tc>
            </w:tr>
          </w:tbl>
          <w:p w14:paraId="086E2C48">
            <w:pPr>
              <w:keepNext w:val="0"/>
              <w:keepLines w:val="0"/>
              <w:numPr>
                <w:ilvl w:val="0"/>
                <w:numId w:val="0"/>
              </w:numPr>
              <w:suppressLineNumbers w:val="0"/>
              <w:bidi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地面防渗工程应符合以下设计原则：</w:t>
            </w:r>
          </w:p>
          <w:p w14:paraId="10B03654">
            <w:pPr>
              <w:keepNext w:val="0"/>
              <w:keepLines w:val="0"/>
              <w:numPr>
                <w:ilvl w:val="0"/>
                <w:numId w:val="8"/>
              </w:numPr>
              <w:suppressLineNumbers w:val="0"/>
              <w:bidi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采用国内先进的防渗材料、技术和实施手段，杜绝对区域内地下水、土壤的影响，确保不因项目运行而对区域地下水、土壤造成任何污染影响，确保现有地下水水体功能。</w:t>
            </w:r>
          </w:p>
          <w:p w14:paraId="55832699">
            <w:pPr>
              <w:keepNext w:val="0"/>
              <w:keepLines w:val="0"/>
              <w:numPr>
                <w:ilvl w:val="0"/>
                <w:numId w:val="8"/>
              </w:numPr>
              <w:suppressLineNumbers w:val="0"/>
              <w:bidi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坚持分区管理和控制原则，根据场址所在地的工程水文地质条件和全厂可能发生泄漏的物料性质，参照相应标准要求有针对性</w:t>
            </w:r>
            <w:r>
              <w:rPr>
                <w:rFonts w:hint="eastAsia" w:cs="Times New Roman"/>
                <w:color w:val="auto"/>
                <w:sz w:val="24"/>
                <w:szCs w:val="24"/>
                <w:highlight w:val="none"/>
                <w:lang w:val="en-US" w:eastAsia="zh-CN"/>
              </w:rPr>
              <w:t>地</w:t>
            </w:r>
            <w:r>
              <w:rPr>
                <w:rFonts w:hint="eastAsia" w:ascii="Times New Roman" w:hAnsi="Times New Roman" w:eastAsia="宋体" w:cs="Times New Roman"/>
                <w:color w:val="auto"/>
                <w:sz w:val="24"/>
                <w:szCs w:val="24"/>
                <w:highlight w:val="none"/>
                <w:lang w:val="en-US" w:eastAsia="zh-CN"/>
              </w:rPr>
              <w:t>分区，并分别设计地面防渗层结构。</w:t>
            </w:r>
          </w:p>
          <w:p w14:paraId="778725F8">
            <w:pPr>
              <w:keepNext w:val="0"/>
              <w:keepLines w:val="0"/>
              <w:numPr>
                <w:ilvl w:val="0"/>
                <w:numId w:val="8"/>
              </w:numPr>
              <w:suppressLineNumbers w:val="0"/>
              <w:bidi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坚持“可视化”原则，在满足工程和防渗层结构标准要求的前提下，尽量在地表面实施防渗措施，便于泄漏物质的收集和及时发现破损的防渗层。</w:t>
            </w:r>
          </w:p>
          <w:p w14:paraId="1334826E">
            <w:pPr>
              <w:keepNext w:val="0"/>
              <w:keepLines w:val="0"/>
              <w:numPr>
                <w:ilvl w:val="0"/>
                <w:numId w:val="8"/>
              </w:numPr>
              <w:suppressLineNumbers w:val="0"/>
              <w:bidi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eastAsia" w:ascii="Times New Roman" w:hAnsi="Times New Roman" w:eastAsia="宋体" w:cs="Times New Roman"/>
                <w:color w:val="auto"/>
                <w:sz w:val="24"/>
                <w:szCs w:val="24"/>
                <w:highlight w:val="none"/>
                <w:lang w:val="en-US" w:eastAsia="zh-CN"/>
              </w:rPr>
              <w:t>防渗层上渗漏污染物和防渗层内渗漏污染物收集系统与全厂“三废”处理措施统筹考虑，统一处理。</w:t>
            </w:r>
          </w:p>
          <w:p w14:paraId="68E658AB">
            <w:pPr>
              <w:keepNext w:val="0"/>
              <w:keepLines w:val="0"/>
              <w:numPr>
                <w:ilvl w:val="0"/>
                <w:numId w:val="8"/>
              </w:numPr>
              <w:suppressLineNumbers w:val="0"/>
              <w:bidi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eastAsia" w:ascii="Times New Roman" w:hAnsi="Times New Roman" w:eastAsia="宋体" w:cs="Times New Roman"/>
                <w:color w:val="auto"/>
                <w:sz w:val="24"/>
                <w:szCs w:val="24"/>
                <w:highlight w:val="none"/>
                <w:lang w:val="en-US" w:eastAsia="zh-CN"/>
              </w:rPr>
              <w:t>污水处理设施管道衔接处必须进行防渗处理，且建设单位应加强对污水管网和污水处理设施的日常维护，定期检查是否存在泄漏，保证管道通畅，及时处理发生或潜在的问题。</w:t>
            </w:r>
          </w:p>
          <w:p w14:paraId="1A776C96">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由污染途径及对应措施分析可知，项目对可能产生地下水影响的各项途径均能进行有效预防，在确保各项防渗措施得以落实，并加强管理的前提下，可有效阻隔固废的下渗途径，</w:t>
            </w:r>
            <w:r>
              <w:rPr>
                <w:rFonts w:hint="eastAsia" w:ascii="Times New Roman" w:hAnsi="Times New Roman" w:cs="Times New Roman"/>
                <w:color w:val="auto"/>
                <w:lang w:val="en-US" w:eastAsia="zh-CN"/>
              </w:rPr>
              <w:t>防止</w:t>
            </w:r>
            <w:r>
              <w:rPr>
                <w:rFonts w:hint="default" w:ascii="Times New Roman" w:hAnsi="Times New Roman" w:cs="Times New Roman"/>
                <w:color w:val="auto"/>
              </w:rPr>
              <w:t>地下水环境受到污染。</w:t>
            </w:r>
          </w:p>
          <w:p w14:paraId="461E1CC4">
            <w:pPr>
              <w:keepNext w:val="0"/>
              <w:keepLines w:val="0"/>
              <w:suppressLineNumbers w:val="0"/>
              <w:adjustRightInd w:val="0"/>
              <w:snapToGrid w:val="0"/>
              <w:spacing w:before="0" w:beforeAutospacing="0" w:after="0" w:afterAutospacing="0"/>
              <w:ind w:left="0" w:right="0" w:firstLine="482" w:firstLineChars="200"/>
              <w:rPr>
                <w:rFonts w:hint="default" w:ascii="Times New Roman" w:hAnsi="Times New Roman" w:cs="Times New Roman"/>
                <w:b/>
                <w:bCs/>
                <w:color w:val="auto"/>
              </w:rPr>
            </w:pPr>
            <w:r>
              <w:rPr>
                <w:rFonts w:hint="eastAsia" w:ascii="Times New Roman" w:hAnsi="Times New Roman" w:cs="Times New Roman"/>
                <w:b/>
                <w:bCs/>
                <w:color w:val="auto"/>
              </w:rPr>
              <w:t>（4）</w:t>
            </w:r>
            <w:r>
              <w:rPr>
                <w:rFonts w:hint="default" w:ascii="Times New Roman" w:hAnsi="Times New Roman" w:cs="Times New Roman"/>
                <w:b/>
                <w:bCs/>
                <w:color w:val="auto"/>
              </w:rPr>
              <w:t>土壤防治措施</w:t>
            </w:r>
          </w:p>
          <w:p w14:paraId="3A631390">
            <w:pPr>
              <w:keepNext w:val="0"/>
              <w:keepLines w:val="0"/>
              <w:suppressLineNumbers w:val="0"/>
              <w:spacing w:before="0" w:beforeAutospacing="0" w:after="0" w:afterAutospacing="0"/>
              <w:ind w:left="0" w:right="0" w:firstLine="480" w:firstLineChars="200"/>
              <w:rPr>
                <w:rFonts w:hint="eastAsia" w:ascii="Times New Roman" w:hAnsi="Times New Roman" w:cs="Times New Roman"/>
                <w:color w:val="auto"/>
                <w:szCs w:val="32"/>
              </w:rPr>
            </w:pPr>
            <w:r>
              <w:rPr>
                <w:rFonts w:hint="eastAsia" w:ascii="Times New Roman" w:hAnsi="Times New Roman" w:cs="Times New Roman"/>
                <w:color w:val="auto"/>
                <w:szCs w:val="32"/>
              </w:rPr>
              <w:t>根据《环境影响评价技术导则 土壤环境（试行）》（HJ964-2018）附录A土壤环境影响评价项目类别可知，本项目属于“其他行业”中Ⅳ类项目，可不开展土壤环境影响评价。</w:t>
            </w:r>
          </w:p>
          <w:p w14:paraId="0D06CA47">
            <w:pPr>
              <w:keepNext w:val="0"/>
              <w:keepLines w:val="0"/>
              <w:suppressLineNumbers w:val="0"/>
              <w:spacing w:before="0" w:beforeAutospacing="0" w:after="0" w:afterAutospacing="0"/>
              <w:ind w:left="0" w:right="0" w:firstLine="480" w:firstLineChars="200"/>
              <w:rPr>
                <w:rFonts w:hint="eastAsia" w:ascii="Times New Roman" w:hAnsi="Times New Roman" w:cs="Times New Roman"/>
                <w:color w:val="auto"/>
                <w:szCs w:val="32"/>
              </w:rPr>
            </w:pPr>
            <w:r>
              <w:rPr>
                <w:rFonts w:hint="eastAsia" w:ascii="Times New Roman" w:hAnsi="Times New Roman" w:cs="Times New Roman"/>
                <w:color w:val="auto"/>
                <w:szCs w:val="32"/>
              </w:rPr>
              <w:t>项目土壤防治措施主要为根据项目所在地的地形特点优化地面布局，对地面进行硬化及分区防渗防止土壤环境污染，并且在运营期加强管理。</w:t>
            </w:r>
          </w:p>
          <w:p w14:paraId="3ECE323E">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Cs w:val="32"/>
              </w:rPr>
            </w:pPr>
            <w:r>
              <w:rPr>
                <w:rFonts w:hint="eastAsia" w:ascii="Times New Roman" w:hAnsi="Times New Roman" w:cs="Times New Roman"/>
                <w:color w:val="auto"/>
                <w:szCs w:val="32"/>
              </w:rPr>
              <w:t>通过对项目各区域采取以上有效防渗措施后，能有效防止渗漏造成土壤污染，不会对地下水、土壤以及地表水环境造成影响。</w:t>
            </w:r>
          </w:p>
          <w:p w14:paraId="78D8192F">
            <w:pPr>
              <w:keepNext w:val="0"/>
              <w:keepLines w:val="0"/>
              <w:suppressLineNumbers w:val="0"/>
              <w:adjustRightInd w:val="0"/>
              <w:snapToGrid w:val="0"/>
              <w:spacing w:before="0" w:beforeAutospacing="0" w:after="0" w:afterAutospacing="0"/>
              <w:ind w:left="0" w:right="0" w:firstLine="482" w:firstLineChars="200"/>
              <w:rPr>
                <w:rFonts w:hint="eastAsia" w:ascii="Times New Roman" w:hAnsi="Times New Roman" w:cs="Times New Roman"/>
                <w:b/>
                <w:bCs/>
                <w:color w:val="auto"/>
              </w:rPr>
            </w:pPr>
            <w:r>
              <w:rPr>
                <w:rFonts w:hint="eastAsia" w:ascii="Times New Roman" w:hAnsi="Times New Roman" w:cs="Times New Roman"/>
                <w:b/>
                <w:bCs/>
                <w:color w:val="auto"/>
              </w:rPr>
              <w:t>六</w:t>
            </w:r>
            <w:r>
              <w:rPr>
                <w:rFonts w:hint="default" w:ascii="Times New Roman" w:hAnsi="Times New Roman" w:cs="Times New Roman"/>
                <w:b/>
                <w:bCs/>
                <w:color w:val="auto"/>
              </w:rPr>
              <w:t>、环境风险</w:t>
            </w:r>
            <w:r>
              <w:rPr>
                <w:rFonts w:hint="eastAsia" w:ascii="Times New Roman" w:hAnsi="Times New Roman" w:cs="Times New Roman"/>
                <w:b/>
                <w:bCs/>
                <w:color w:val="auto"/>
              </w:rPr>
              <w:t>分析</w:t>
            </w:r>
          </w:p>
          <w:p w14:paraId="0FE81875">
            <w:pPr>
              <w:keepNext w:val="0"/>
              <w:keepLines w:val="0"/>
              <w:suppressLineNumbers w:val="0"/>
              <w:spacing w:before="0" w:beforeAutospacing="0" w:after="0" w:afterAutospacing="0"/>
              <w:ind w:left="0" w:right="0" w:firstLine="480" w:firstLineChars="200"/>
              <w:rPr>
                <w:rFonts w:hint="eastAsia" w:ascii="Times New Roman" w:hAnsi="Times New Roman" w:cs="Times New Roman"/>
                <w:b w:val="0"/>
                <w:bCs/>
                <w:color w:val="auto"/>
              </w:rPr>
            </w:pPr>
            <w:r>
              <w:rPr>
                <w:rFonts w:hint="eastAsia" w:ascii="Times New Roman" w:hAnsi="Times New Roman" w:cs="Times New Roman"/>
                <w:b w:val="0"/>
                <w:bCs/>
                <w:color w:val="auto"/>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10BF3B67">
            <w:pPr>
              <w:keepNext w:val="0"/>
              <w:keepLines w:val="0"/>
              <w:suppressLineNumbers w:val="0"/>
              <w:spacing w:before="0" w:beforeAutospacing="0" w:after="0" w:afterAutospacing="0"/>
              <w:ind w:left="0" w:right="0" w:firstLine="482" w:firstLineChars="200"/>
              <w:rPr>
                <w:rFonts w:hint="default" w:ascii="Times New Roman" w:hAnsi="Times New Roman" w:eastAsia="宋体" w:cs="Times New Roman"/>
                <w:b/>
                <w:color w:val="auto"/>
                <w:lang w:val="en-US" w:eastAsia="zh-CN"/>
              </w:rPr>
            </w:pPr>
            <w:r>
              <w:rPr>
                <w:rFonts w:hint="eastAsia" w:ascii="Times New Roman" w:hAnsi="Times New Roman" w:cs="Times New Roman"/>
                <w:b/>
                <w:color w:val="auto"/>
                <w:lang w:val="en-US" w:eastAsia="zh-CN"/>
              </w:rPr>
              <w:t>1、风险调查</w:t>
            </w:r>
          </w:p>
          <w:p w14:paraId="4264436E">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依据《建设项目风险评价技术导则》（HJT169-2018）--附录C计算危险物质数量与临界量比值（Q）。</w:t>
            </w:r>
          </w:p>
          <w:p w14:paraId="7F71D492">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计算所涉及的每种危险物质在厂界内的最大存在总量与其在附录B中对应临界量的比值Q。在不同厂区的同一物质，按其在厂界内的最大存在总量计算。对于长输管线项目，按照两个截断阀室之间的管段危险物质最大存在总量计算。</w:t>
            </w:r>
          </w:p>
          <w:p w14:paraId="4E33F3D0">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当只涉及一种危险物质时，计算该物质的总量与其临界量比值，即为Q；</w:t>
            </w:r>
          </w:p>
          <w:p w14:paraId="25041844">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当存在多种危险物质时，则按以下公式计算物质总量与其临界量比值（Q）；</w:t>
            </w:r>
          </w:p>
          <w:p w14:paraId="6F7458D6">
            <w:pPr>
              <w:keepNext w:val="0"/>
              <w:keepLines w:val="0"/>
              <w:suppressLineNumbers w:val="0"/>
              <w:spacing w:before="0" w:beforeAutospacing="0" w:after="0" w:afterAutospacing="0"/>
              <w:ind w:left="0" w:right="0" w:firstLine="480" w:firstLineChars="200"/>
              <w:jc w:val="center"/>
              <w:rPr>
                <w:rFonts w:hint="default" w:ascii="Times New Roman" w:hAnsi="Times New Roman" w:cs="Times New Roman"/>
                <w:color w:val="auto"/>
                <w:vertAlign w:val="subscript"/>
              </w:rPr>
            </w:pPr>
            <w:r>
              <w:rPr>
                <w:rFonts w:hint="default" w:ascii="Times New Roman" w:hAnsi="Times New Roman" w:cs="Times New Roman"/>
                <w:color w:val="auto"/>
              </w:rPr>
              <w:t>Q=q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+……+q</w:t>
            </w:r>
            <w:r>
              <w:rPr>
                <w:rFonts w:hint="default" w:ascii="Times New Roman" w:hAnsi="Times New Roman" w:cs="Times New Roman"/>
                <w:color w:val="auto"/>
                <w:vertAlign w:val="subscript"/>
              </w:rPr>
              <w:t>n</w:t>
            </w:r>
            <w:r>
              <w:rPr>
                <w:rFonts w:hint="default" w:ascii="Times New Roman" w:hAnsi="Times New Roman" w:cs="Times New Roman"/>
                <w:color w:val="auto"/>
              </w:rPr>
              <w:t>/Q</w:t>
            </w:r>
            <w:r>
              <w:rPr>
                <w:rFonts w:hint="default" w:ascii="Times New Roman" w:hAnsi="Times New Roman" w:cs="Times New Roman"/>
                <w:color w:val="auto"/>
                <w:vertAlign w:val="subscript"/>
              </w:rPr>
              <w:t>n</w:t>
            </w:r>
          </w:p>
          <w:p w14:paraId="590E119D">
            <w:pPr>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式中：q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，……，q</w:t>
            </w:r>
            <w:r>
              <w:rPr>
                <w:rFonts w:hint="default" w:ascii="Times New Roman" w:hAnsi="Times New Roman" w:cs="Times New Roman"/>
                <w:color w:val="auto"/>
                <w:vertAlign w:val="subscript"/>
              </w:rPr>
              <w:t>n</w:t>
            </w:r>
            <w:r>
              <w:rPr>
                <w:rFonts w:hint="default" w:ascii="Times New Roman" w:hAnsi="Times New Roman" w:cs="Times New Roman"/>
                <w:color w:val="auto"/>
              </w:rPr>
              <w:t>——每种危险物质的最大存在总量，t；</w:t>
            </w:r>
          </w:p>
          <w:p w14:paraId="4F37B33D">
            <w:pPr>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 xml:space="preserve">      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，……，Q</w:t>
            </w:r>
            <w:r>
              <w:rPr>
                <w:rFonts w:hint="default" w:ascii="Times New Roman" w:hAnsi="Times New Roman" w:cs="Times New Roman"/>
                <w:color w:val="auto"/>
                <w:vertAlign w:val="subscript"/>
              </w:rPr>
              <w:t>n</w:t>
            </w:r>
            <w:r>
              <w:rPr>
                <w:rFonts w:hint="default" w:ascii="Times New Roman" w:hAnsi="Times New Roman" w:cs="Times New Roman"/>
                <w:color w:val="auto"/>
              </w:rPr>
              <w:t>——每种危险物质的临界量，t。</w:t>
            </w:r>
          </w:p>
          <w:p w14:paraId="6EE205AC">
            <w:pPr>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 xml:space="preserve">      当Q＜1时，该项目环境风险潜势为</w:t>
            </w:r>
            <w:r>
              <w:rPr>
                <w:rFonts w:hint="default" w:ascii="Times New Roman" w:hAnsi="Times New Roman" w:cs="Times New Roman"/>
                <w:color w:val="auto"/>
                <w:szCs w:val="21"/>
              </w:rPr>
              <w:t>Ⅰ。</w:t>
            </w:r>
          </w:p>
          <w:p w14:paraId="7F14C96C">
            <w:pPr>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 xml:space="preserve">      当Q≥1时，将Q值划分为：（1）1≤Q＜10；（2）10≤Q＜100；（3）Q≥100。</w:t>
            </w:r>
          </w:p>
          <w:p w14:paraId="522457E8">
            <w:pPr>
              <w:keepNext w:val="0"/>
              <w:keepLines w:val="0"/>
              <w:suppressLineNumbers w:val="0"/>
              <w:spacing w:before="0" w:beforeAutospacing="0" w:after="0" w:afterAutospacing="0"/>
              <w:ind w:left="0" w:right="0"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依据《建设项目风险评价技术导则》（HJT169-2018）--附录B重点关注的危险物质及临界量，找出与本项目相关的危险物质的临界量。</w:t>
            </w:r>
            <w:r>
              <w:rPr>
                <w:rFonts w:hint="eastAsia" w:ascii="Times New Roman" w:hAnsi="Times New Roman" w:cs="Times New Roman"/>
                <w:color w:val="auto"/>
                <w:lang w:val="en-US" w:eastAsia="zh-CN"/>
              </w:rPr>
              <w:t>本项目涉及风险物质为机油</w:t>
            </w:r>
            <w:r>
              <w:rPr>
                <w:rFonts w:hint="eastAsia" w:cs="Times New Roman"/>
                <w:color w:val="auto"/>
                <w:lang w:val="en-US" w:eastAsia="zh-CN"/>
              </w:rPr>
              <w:t>、柏木油</w:t>
            </w:r>
            <w:r>
              <w:rPr>
                <w:rFonts w:hint="eastAsia" w:ascii="Times New Roman" w:hAnsi="Times New Roman" w:cs="Times New Roman"/>
                <w:color w:val="auto"/>
                <w:lang w:val="en-US" w:eastAsia="zh-CN"/>
              </w:rPr>
              <w:t>，机油厂内最大储存量为50kg</w:t>
            </w:r>
            <w:r>
              <w:rPr>
                <w:rFonts w:hint="eastAsia" w:cs="Times New Roman"/>
                <w:color w:val="auto"/>
                <w:lang w:val="en-US" w:eastAsia="zh-CN"/>
              </w:rPr>
              <w:t>，柏木油</w:t>
            </w:r>
            <w:r>
              <w:rPr>
                <w:rFonts w:hint="eastAsia" w:ascii="Times New Roman" w:hAnsi="Times New Roman" w:cs="Times New Roman"/>
                <w:color w:val="auto"/>
                <w:lang w:val="en-US" w:eastAsia="zh-CN"/>
              </w:rPr>
              <w:t>厂内最大储存量为100t。</w:t>
            </w:r>
          </w:p>
          <w:p w14:paraId="5DB44A6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eastAsia" w:ascii="Times New Roman" w:hAnsi="Times New Roman" w:cs="Times New Roman"/>
                <w:b/>
                <w:color w:val="auto"/>
                <w:sz w:val="21"/>
                <w:szCs w:val="21"/>
                <w:lang w:val="en-US" w:eastAsia="zh-CN"/>
              </w:rPr>
              <w:t>20</w:t>
            </w:r>
            <w:r>
              <w:rPr>
                <w:rFonts w:hint="default" w:ascii="Times New Roman" w:hAnsi="Times New Roman" w:cs="Times New Roman"/>
                <w:b/>
                <w:color w:val="auto"/>
                <w:sz w:val="21"/>
                <w:szCs w:val="21"/>
              </w:rPr>
              <w:t xml:space="preserve">  突发环境事件风险物质及临界量</w:t>
            </w:r>
          </w:p>
          <w:tbl>
            <w:tblPr>
              <w:tblStyle w:val="28"/>
              <w:tblW w:w="4975" w:type="pct"/>
              <w:jc w:val="center"/>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574"/>
              <w:gridCol w:w="3153"/>
              <w:gridCol w:w="1131"/>
              <w:gridCol w:w="1131"/>
              <w:gridCol w:w="1239"/>
              <w:gridCol w:w="1029"/>
            </w:tblGrid>
            <w:tr w14:paraId="2A268076">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347" w:type="pct"/>
                  <w:noWrap w:val="0"/>
                  <w:vAlign w:val="center"/>
                </w:tcPr>
                <w:p w14:paraId="515B3B78">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909" w:type="pct"/>
                  <w:noWrap w:val="0"/>
                  <w:vAlign w:val="center"/>
                </w:tcPr>
                <w:p w14:paraId="23B32938">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物质名称</w:t>
                  </w:r>
                </w:p>
              </w:tc>
              <w:tc>
                <w:tcPr>
                  <w:tcW w:w="684" w:type="pct"/>
                  <w:noWrap w:val="0"/>
                  <w:vAlign w:val="center"/>
                </w:tcPr>
                <w:p w14:paraId="6D4A72D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CAS号</w:t>
                  </w:r>
                </w:p>
              </w:tc>
              <w:tc>
                <w:tcPr>
                  <w:tcW w:w="684" w:type="pct"/>
                  <w:noWrap w:val="0"/>
                  <w:vAlign w:val="center"/>
                </w:tcPr>
                <w:p w14:paraId="2B7EEF3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临界量/t</w:t>
                  </w:r>
                </w:p>
              </w:tc>
              <w:tc>
                <w:tcPr>
                  <w:tcW w:w="750" w:type="pct"/>
                  <w:noWrap w:val="0"/>
                  <w:vAlign w:val="center"/>
                </w:tcPr>
                <w:p w14:paraId="669B201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最大存在量/t</w:t>
                  </w:r>
                </w:p>
              </w:tc>
              <w:tc>
                <w:tcPr>
                  <w:tcW w:w="623" w:type="pct"/>
                  <w:noWrap w:val="0"/>
                  <w:vAlign w:val="center"/>
                </w:tcPr>
                <w:p w14:paraId="00A9F6B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Q</w:t>
                  </w:r>
                </w:p>
              </w:tc>
            </w:tr>
            <w:tr w14:paraId="6B3E359B">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347" w:type="pct"/>
                  <w:noWrap w:val="0"/>
                  <w:vAlign w:val="center"/>
                </w:tcPr>
                <w:p w14:paraId="589B04E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381</w:t>
                  </w:r>
                </w:p>
              </w:tc>
              <w:tc>
                <w:tcPr>
                  <w:tcW w:w="1909" w:type="pct"/>
                  <w:noWrap w:val="0"/>
                  <w:vAlign w:val="center"/>
                </w:tcPr>
                <w:p w14:paraId="7FF0FD0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油类物质（矿物油类，如石油、汽油、柴油等；生物柴油等）</w:t>
                  </w:r>
                </w:p>
              </w:tc>
              <w:tc>
                <w:tcPr>
                  <w:tcW w:w="684" w:type="pct"/>
                  <w:noWrap w:val="0"/>
                  <w:vAlign w:val="center"/>
                </w:tcPr>
                <w:p w14:paraId="5D37644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84" w:type="pct"/>
                  <w:noWrap w:val="0"/>
                  <w:vAlign w:val="center"/>
                </w:tcPr>
                <w:p w14:paraId="3C54052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2500</w:t>
                  </w:r>
                </w:p>
              </w:tc>
              <w:tc>
                <w:tcPr>
                  <w:tcW w:w="750" w:type="pct"/>
                  <w:noWrap w:val="0"/>
                  <w:vAlign w:val="center"/>
                </w:tcPr>
                <w:p w14:paraId="6963ECA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10</w:t>
                  </w:r>
                  <w:r>
                    <w:rPr>
                      <w:rFonts w:hint="default" w:ascii="Times New Roman" w:hAnsi="Times New Roman" w:cs="Times New Roman"/>
                      <w:color w:val="auto"/>
                      <w:sz w:val="21"/>
                      <w:szCs w:val="21"/>
                    </w:rPr>
                    <w:t>0.05</w:t>
                  </w:r>
                </w:p>
              </w:tc>
              <w:tc>
                <w:tcPr>
                  <w:tcW w:w="623" w:type="pct"/>
                  <w:noWrap w:val="0"/>
                  <w:vAlign w:val="center"/>
                </w:tcPr>
                <w:p w14:paraId="144810A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w:t>
                  </w:r>
                  <w:r>
                    <w:rPr>
                      <w:rFonts w:hint="eastAsia" w:cs="Times New Roman"/>
                      <w:color w:val="auto"/>
                      <w:sz w:val="21"/>
                      <w:szCs w:val="21"/>
                      <w:lang w:val="en-US" w:eastAsia="zh-CN"/>
                    </w:rPr>
                    <w:t>4</w:t>
                  </w:r>
                  <w:r>
                    <w:rPr>
                      <w:rFonts w:hint="default" w:ascii="Times New Roman" w:hAnsi="Times New Roman" w:cs="Times New Roman"/>
                      <w:color w:val="auto"/>
                      <w:sz w:val="21"/>
                      <w:szCs w:val="21"/>
                    </w:rPr>
                    <w:t>002</w:t>
                  </w:r>
                </w:p>
              </w:tc>
            </w:tr>
          </w:tbl>
          <w:p w14:paraId="500117D4">
            <w:pPr>
              <w:keepNext w:val="0"/>
              <w:keepLines w:val="0"/>
              <w:suppressLineNumbers w:val="0"/>
              <w:spacing w:before="0" w:beforeAutospacing="0" w:after="0" w:afterAutospacing="0"/>
              <w:ind w:left="0" w:right="0" w:firstLine="422"/>
              <w:jc w:val="both"/>
              <w:rPr>
                <w:rFonts w:hint="eastAsia" w:ascii="Times New Roman" w:hAnsi="Times New Roman" w:eastAsia="宋体" w:cs="Times New Roman"/>
                <w:b/>
                <w:bCs/>
                <w:color w:val="auto"/>
                <w:sz w:val="21"/>
                <w:szCs w:val="21"/>
                <w:lang w:eastAsia="zh-CN"/>
              </w:rPr>
            </w:pPr>
            <w:r>
              <w:rPr>
                <w:rFonts w:hint="default" w:ascii="Times New Roman" w:hAnsi="Times New Roman" w:cs="Times New Roman"/>
                <w:color w:val="auto"/>
              </w:rPr>
              <w:t>从</w:t>
            </w:r>
            <w:r>
              <w:rPr>
                <w:rFonts w:hint="eastAsia" w:ascii="Times New Roman" w:hAnsi="Times New Roman" w:cs="Times New Roman"/>
                <w:color w:val="auto"/>
                <w:lang w:val="en-US" w:eastAsia="zh-CN"/>
              </w:rPr>
              <w:t>以上表格判定</w:t>
            </w:r>
            <w:r>
              <w:rPr>
                <w:rFonts w:hint="default" w:ascii="Times New Roman" w:hAnsi="Times New Roman" w:cs="Times New Roman"/>
                <w:color w:val="auto"/>
              </w:rPr>
              <w:t>可以看出，本项目Q</w:t>
            </w:r>
            <w:r>
              <w:rPr>
                <w:rFonts w:hint="eastAsia" w:cs="Times New Roman"/>
                <w:color w:val="auto"/>
                <w:lang w:val="en-US" w:eastAsia="zh-CN"/>
              </w:rPr>
              <w:t>=0.04002</w:t>
            </w:r>
            <w:r>
              <w:rPr>
                <w:rFonts w:hint="default" w:ascii="Times New Roman" w:hAnsi="Times New Roman" w:cs="Times New Roman"/>
                <w:color w:val="auto"/>
              </w:rPr>
              <w:t>＜1，不构成重大危险源，环境风险潜势为Ⅰ</w:t>
            </w:r>
            <w:r>
              <w:rPr>
                <w:rFonts w:hint="eastAsia" w:ascii="Times New Roman" w:hAnsi="Times New Roman" w:cs="Times New Roman"/>
                <w:color w:val="auto"/>
                <w:lang w:eastAsia="zh-CN"/>
              </w:rPr>
              <w:t>。</w:t>
            </w:r>
          </w:p>
          <w:p w14:paraId="01F24336">
            <w:pPr>
              <w:keepNext w:val="0"/>
              <w:keepLines w:val="0"/>
              <w:suppressLineNumbers w:val="0"/>
              <w:spacing w:before="0" w:beforeAutospacing="0" w:after="0" w:afterAutospacing="0"/>
              <w:ind w:left="0" w:right="0" w:firstLine="4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4-21</w:t>
            </w:r>
            <w:r>
              <w:rPr>
                <w:rFonts w:hint="default" w:ascii="Times New Roman" w:hAnsi="Times New Roman" w:cs="Times New Roman"/>
                <w:b/>
                <w:bCs/>
                <w:color w:val="auto"/>
                <w:sz w:val="21"/>
                <w:szCs w:val="21"/>
              </w:rPr>
              <w:t xml:space="preserve"> 机油理化性质及危险特性表</w:t>
            </w:r>
          </w:p>
          <w:tbl>
            <w:tblPr>
              <w:tblStyle w:val="28"/>
              <w:tblW w:w="80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6493"/>
            </w:tblGrid>
            <w:tr w14:paraId="1A52F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592" w:type="dxa"/>
                  <w:tcBorders>
                    <w:tl2br w:val="nil"/>
                    <w:tr2bl w:val="nil"/>
                  </w:tcBorders>
                  <w:noWrap w:val="0"/>
                  <w:vAlign w:val="center"/>
                </w:tcPr>
                <w:p w14:paraId="46EE5D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分子量</w:t>
                  </w:r>
                </w:p>
              </w:tc>
              <w:tc>
                <w:tcPr>
                  <w:tcW w:w="6493" w:type="dxa"/>
                  <w:tcBorders>
                    <w:tl2br w:val="nil"/>
                    <w:tr2bl w:val="nil"/>
                  </w:tcBorders>
                  <w:noWrap w:val="0"/>
                  <w:vAlign w:val="center"/>
                </w:tcPr>
                <w:p w14:paraId="43B520B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230~500</w:t>
                  </w:r>
                </w:p>
              </w:tc>
            </w:tr>
            <w:tr w14:paraId="73F0E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592" w:type="dxa"/>
                  <w:tcBorders>
                    <w:tl2br w:val="nil"/>
                    <w:tr2bl w:val="nil"/>
                  </w:tcBorders>
                  <w:noWrap w:val="0"/>
                  <w:vAlign w:val="center"/>
                </w:tcPr>
                <w:p w14:paraId="428EDC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理化性质</w:t>
                  </w:r>
                </w:p>
              </w:tc>
              <w:tc>
                <w:tcPr>
                  <w:tcW w:w="6493" w:type="dxa"/>
                  <w:tcBorders>
                    <w:tl2br w:val="nil"/>
                    <w:tr2bl w:val="nil"/>
                  </w:tcBorders>
                  <w:noWrap w:val="0"/>
                  <w:vAlign w:val="center"/>
                </w:tcPr>
                <w:p w14:paraId="745CD89B">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油状液体，淡黄色至褐色，无气味或略带异味</w:t>
                  </w:r>
                </w:p>
                <w:p w14:paraId="441ADBA2">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溶解性：不溶于水</w:t>
                  </w:r>
                </w:p>
              </w:tc>
            </w:tr>
            <w:tr w14:paraId="6F4B0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1592" w:type="dxa"/>
                  <w:tcBorders>
                    <w:tl2br w:val="nil"/>
                    <w:tr2bl w:val="nil"/>
                  </w:tcBorders>
                  <w:noWrap w:val="0"/>
                  <w:vAlign w:val="center"/>
                </w:tcPr>
                <w:p w14:paraId="6079BF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燃烧爆炸危险性</w:t>
                  </w:r>
                </w:p>
              </w:tc>
              <w:tc>
                <w:tcPr>
                  <w:tcW w:w="6493" w:type="dxa"/>
                  <w:tcBorders>
                    <w:tl2br w:val="nil"/>
                    <w:tr2bl w:val="nil"/>
                  </w:tcBorders>
                  <w:noWrap w:val="0"/>
                  <w:vAlign w:val="center"/>
                </w:tcPr>
                <w:p w14:paraId="24558589">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燃烧性：可燃</w:t>
                  </w:r>
                </w:p>
                <w:p w14:paraId="626901B1">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引燃温度（℃）：248</w:t>
                  </w:r>
                </w:p>
                <w:p w14:paraId="7EF05179">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闪点（℃）：76</w:t>
                  </w:r>
                </w:p>
                <w:p w14:paraId="15546B4A">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危险特性：遇明火、高热可燃</w:t>
                  </w:r>
                </w:p>
                <w:p w14:paraId="2CB77D1B">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稳定性：稳定</w:t>
                  </w:r>
                </w:p>
              </w:tc>
            </w:tr>
            <w:tr w14:paraId="7AE04C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92" w:type="dxa"/>
                  <w:tcBorders>
                    <w:tl2br w:val="nil"/>
                    <w:tr2bl w:val="nil"/>
                  </w:tcBorders>
                  <w:noWrap w:val="0"/>
                  <w:vAlign w:val="center"/>
                </w:tcPr>
                <w:p w14:paraId="64F237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lang w:val="en-US" w:eastAsia="zh-CN" w:bidi="ar-SA"/>
                    </w:rPr>
                  </w:pPr>
                  <w:r>
                    <w:rPr>
                      <w:rFonts w:hint="default" w:ascii="宋体" w:hAnsi="宋体" w:eastAsia="宋体" w:cs="宋体"/>
                      <w:color w:val="auto"/>
                      <w:sz w:val="21"/>
                      <w:szCs w:val="21"/>
                    </w:rPr>
                    <w:t>有害燃烧产物</w:t>
                  </w:r>
                </w:p>
              </w:tc>
              <w:tc>
                <w:tcPr>
                  <w:tcW w:w="6493" w:type="dxa"/>
                  <w:tcBorders>
                    <w:tl2br w:val="nil"/>
                    <w:tr2bl w:val="nil"/>
                  </w:tcBorders>
                  <w:noWrap w:val="0"/>
                  <w:vAlign w:val="center"/>
                </w:tcPr>
                <w:p w14:paraId="0406E74B">
                  <w:pPr>
                    <w:keepNext w:val="0"/>
                    <w:keepLines w:val="0"/>
                    <w:suppressLineNumbers w:val="0"/>
                    <w:spacing w:before="0" w:beforeAutospacing="0" w:after="0" w:afterAutospacing="0" w:line="240" w:lineRule="auto"/>
                    <w:ind w:left="0" w:right="0" w:firstLine="0" w:firstLine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sz w:val="21"/>
                      <w:szCs w:val="21"/>
                    </w:rPr>
                    <w:t>一氧化碳、二氧化碳。</w:t>
                  </w:r>
                </w:p>
              </w:tc>
            </w:tr>
            <w:tr w14:paraId="3B93E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92" w:type="dxa"/>
                  <w:tcBorders>
                    <w:tl2br w:val="nil"/>
                    <w:tr2bl w:val="nil"/>
                  </w:tcBorders>
                  <w:noWrap w:val="0"/>
                  <w:vAlign w:val="center"/>
                </w:tcPr>
                <w:p w14:paraId="63A2A86F">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auto"/>
                      <w:sz w:val="21"/>
                      <w:szCs w:val="21"/>
                    </w:rPr>
                  </w:pPr>
                  <w:r>
                    <w:rPr>
                      <w:rFonts w:hint="eastAsia" w:ascii="宋体" w:hAnsi="宋体" w:eastAsia="宋体" w:cs="宋体"/>
                      <w:color w:val="auto"/>
                      <w:sz w:val="21"/>
                      <w:szCs w:val="21"/>
                    </w:rPr>
                    <w:t>灭火方法</w:t>
                  </w:r>
                </w:p>
              </w:tc>
              <w:tc>
                <w:tcPr>
                  <w:tcW w:w="6493" w:type="dxa"/>
                  <w:tcBorders>
                    <w:tl2br w:val="nil"/>
                    <w:tr2bl w:val="nil"/>
                  </w:tcBorders>
                  <w:noWrap w:val="0"/>
                  <w:vAlign w:val="center"/>
                </w:tcPr>
                <w:p w14:paraId="1DE34BB9">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w:t>
                  </w:r>
                  <w:r>
                    <w:rPr>
                      <w:rFonts w:hint="eastAsia" w:ascii="宋体" w:hAnsi="宋体" w:eastAsia="宋体" w:cs="宋体"/>
                      <w:color w:val="auto"/>
                      <w:sz w:val="21"/>
                      <w:szCs w:val="21"/>
                      <w:lang w:eastAsia="zh-CN"/>
                    </w:rPr>
                    <w:t>。灭火剂:雾状水、泡沫、干粉、二氧化碳、砂土。</w:t>
                  </w:r>
                </w:p>
              </w:tc>
            </w:tr>
            <w:tr w14:paraId="33AD4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92" w:type="dxa"/>
                  <w:tcBorders>
                    <w:tl2br w:val="nil"/>
                    <w:tr2bl w:val="nil"/>
                  </w:tcBorders>
                  <w:noWrap w:val="0"/>
                  <w:vAlign w:val="center"/>
                </w:tcPr>
                <w:p w14:paraId="09E1E1E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泄漏应急处理</w:t>
                  </w:r>
                </w:p>
              </w:tc>
              <w:tc>
                <w:tcPr>
                  <w:tcW w:w="6493" w:type="dxa"/>
                  <w:tcBorders>
                    <w:tl2br w:val="nil"/>
                    <w:tr2bl w:val="nil"/>
                  </w:tcBorders>
                  <w:noWrap w:val="0"/>
                  <w:vAlign w:val="center"/>
                </w:tcPr>
                <w:p w14:paraId="2018361C">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迅速撤离泄漏污染区人员至安全区，并进行隔离，严格限制出入。切断火源。建议应急处理人员戴自给正压式呼吸器，穿防毒服。尽可能切断泄漏源。防止流入下水道、排洪沟等限制性空间。小量泄漏:用砂土</w:t>
                  </w:r>
                  <w:r>
                    <w:rPr>
                      <w:rFonts w:hint="eastAsia" w:ascii="宋体" w:hAnsi="宋体" w:eastAsia="宋体" w:cs="宋体"/>
                      <w:color w:val="auto"/>
                      <w:sz w:val="21"/>
                      <w:szCs w:val="21"/>
                      <w:lang w:eastAsia="zh-CN"/>
                    </w:rPr>
                    <w:t>或其他</w:t>
                  </w:r>
                  <w:r>
                    <w:rPr>
                      <w:rFonts w:hint="eastAsia" w:ascii="宋体" w:hAnsi="宋体" w:eastAsia="宋体" w:cs="宋体"/>
                      <w:color w:val="auto"/>
                      <w:sz w:val="21"/>
                      <w:szCs w:val="21"/>
                    </w:rPr>
                    <w:t>不燃材料吸附或吸收。大量泄漏:构筑围堤或挖坑收容。用泵转移至槽车或专用收集器内，回收或运至废物处理场所处置。</w:t>
                  </w:r>
                </w:p>
              </w:tc>
            </w:tr>
            <w:tr w14:paraId="05FA4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92" w:type="dxa"/>
                  <w:tcBorders>
                    <w:tl2br w:val="nil"/>
                    <w:tr2bl w:val="nil"/>
                  </w:tcBorders>
                  <w:noWrap w:val="0"/>
                  <w:vAlign w:val="center"/>
                </w:tcPr>
                <w:p w14:paraId="3E0B5CE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毒性及健康危害</w:t>
                  </w:r>
                </w:p>
              </w:tc>
              <w:tc>
                <w:tcPr>
                  <w:tcW w:w="6493" w:type="dxa"/>
                  <w:tcBorders>
                    <w:tl2br w:val="nil"/>
                    <w:tr2bl w:val="nil"/>
                  </w:tcBorders>
                  <w:noWrap w:val="0"/>
                  <w:vAlign w:val="center"/>
                </w:tcPr>
                <w:p w14:paraId="1FB4D5A1">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侵入途径：吸入、食入；</w:t>
                  </w:r>
                </w:p>
                <w:p w14:paraId="54912D0D">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急性吸入，可出现乏力、头晕、头痛、恶心，严重者可引起油脂性肺炎。慢接触者，暴露部位可发生油性痤疮和接触性皮炎，可引起神经衰弱综合征，呼吸道和眼刺激症状及慢性油脂性肺炎。</w:t>
                  </w:r>
                </w:p>
              </w:tc>
            </w:tr>
            <w:tr w14:paraId="3803D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1592" w:type="dxa"/>
                  <w:tcBorders>
                    <w:tl2br w:val="nil"/>
                    <w:tr2bl w:val="nil"/>
                  </w:tcBorders>
                  <w:noWrap w:val="0"/>
                  <w:vAlign w:val="center"/>
                </w:tcPr>
                <w:p w14:paraId="76BA59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宋体" w:hAnsi="宋体" w:eastAsia="宋体" w:cs="宋体"/>
                      <w:color w:val="auto"/>
                      <w:sz w:val="21"/>
                      <w:szCs w:val="21"/>
                    </w:rPr>
                    <w:t>操作处置与储存</w:t>
                  </w:r>
                </w:p>
              </w:tc>
              <w:tc>
                <w:tcPr>
                  <w:tcW w:w="6493" w:type="dxa"/>
                  <w:tcBorders>
                    <w:tl2br w:val="nil"/>
                    <w:tr2bl w:val="nil"/>
                  </w:tcBorders>
                  <w:noWrap w:val="0"/>
                  <w:vAlign w:val="center"/>
                </w:tcPr>
                <w:p w14:paraId="00CBC276">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操作注意事项:密闭操作，注意通风。操作人员必须经过专门培训，严格遵守操作规程。建议操作人员佩戴自吸过滤式防毒面具(半面罩)，戴化学安全防护眼镜，穿防毒物渗透工作服，戴橡胶耐油手套。远离火种、热源，工作场所严禁吸烟。使用防爆型的通风系统和设备。防止蒸气泄漏到工作场所空气中。避免与氧化剂接触。搬运时要轻装轻卸，防止包装及容器损坏。配备相应品种和数量的消防器材及泄漏应急处理设备。倒空的容器可能残留有害物。</w:t>
                  </w:r>
                </w:p>
                <w:p w14:paraId="777AF642">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储存注意事项:储存于阴凉、通风的库房。远离火种、热源。应与氧化剂分开存放，切忌混储。配备相应品种和数量的消防器材。储区应备有泄漏应急处理设备和合适的收容材料。</w:t>
                  </w:r>
                </w:p>
              </w:tc>
            </w:tr>
          </w:tbl>
          <w:p w14:paraId="316CE243">
            <w:pPr>
              <w:keepNext w:val="0"/>
              <w:keepLines w:val="0"/>
              <w:suppressLineNumbers w:val="0"/>
              <w:spacing w:before="0" w:beforeAutospacing="0" w:after="0" w:afterAutospacing="0"/>
              <w:ind w:left="0" w:right="0" w:firstLine="4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4-22</w:t>
            </w:r>
            <w:r>
              <w:rPr>
                <w:rFonts w:hint="default"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lang w:val="en-US" w:eastAsia="zh-CN"/>
              </w:rPr>
              <w:t>柏木油</w:t>
            </w:r>
            <w:r>
              <w:rPr>
                <w:rFonts w:hint="default" w:ascii="Times New Roman" w:hAnsi="Times New Roman" w:cs="Times New Roman"/>
                <w:b/>
                <w:bCs/>
                <w:color w:val="auto"/>
                <w:sz w:val="21"/>
                <w:szCs w:val="21"/>
              </w:rPr>
              <w:t>理化性质及危险特性表</w:t>
            </w:r>
          </w:p>
          <w:tbl>
            <w:tblPr>
              <w:tblStyle w:val="28"/>
              <w:tblW w:w="80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6493"/>
            </w:tblGrid>
            <w:tr w14:paraId="718B5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592" w:type="dxa"/>
                  <w:tcBorders>
                    <w:tl2br w:val="nil"/>
                    <w:tr2bl w:val="nil"/>
                  </w:tcBorders>
                  <w:noWrap w:val="0"/>
                  <w:vAlign w:val="center"/>
                </w:tcPr>
                <w:p w14:paraId="7A6D967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分子量</w:t>
                  </w:r>
                </w:p>
              </w:tc>
              <w:tc>
                <w:tcPr>
                  <w:tcW w:w="6493" w:type="dxa"/>
                  <w:tcBorders>
                    <w:tl2br w:val="nil"/>
                    <w:tr2bl w:val="nil"/>
                  </w:tcBorders>
                  <w:noWrap w:val="0"/>
                  <w:vAlign w:val="center"/>
                </w:tcPr>
                <w:p w14:paraId="753D4B7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153.141</w:t>
                  </w:r>
                </w:p>
              </w:tc>
            </w:tr>
            <w:tr w14:paraId="38269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592" w:type="dxa"/>
                  <w:tcBorders>
                    <w:tl2br w:val="nil"/>
                    <w:tr2bl w:val="nil"/>
                  </w:tcBorders>
                  <w:noWrap w:val="0"/>
                  <w:vAlign w:val="center"/>
                </w:tcPr>
                <w:p w14:paraId="1D05DEF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理化性质</w:t>
                  </w:r>
                </w:p>
              </w:tc>
              <w:tc>
                <w:tcPr>
                  <w:tcW w:w="6493" w:type="dxa"/>
                  <w:tcBorders>
                    <w:tl2br w:val="nil"/>
                    <w:tr2bl w:val="nil"/>
                  </w:tcBorders>
                  <w:noWrap w:val="0"/>
                  <w:vAlign w:val="center"/>
                </w:tcPr>
                <w:p w14:paraId="63B82061">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无色或微黄色略带粘性液体。相对密度（20/20℃）0.940-0.950，折光率1.495-1.510。溶于10-20倍90的醇，溶于醚，不溶于水。主要成分柏木脑；柏木烯；松油醇和松油烯。</w:t>
                  </w:r>
                </w:p>
              </w:tc>
            </w:tr>
            <w:tr w14:paraId="1AC37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92" w:type="dxa"/>
                  <w:tcBorders>
                    <w:tl2br w:val="nil"/>
                    <w:tr2bl w:val="nil"/>
                  </w:tcBorders>
                  <w:noWrap w:val="0"/>
                  <w:vAlign w:val="center"/>
                </w:tcPr>
                <w:p w14:paraId="7A4C70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燃烧爆炸危险性</w:t>
                  </w:r>
                </w:p>
              </w:tc>
              <w:tc>
                <w:tcPr>
                  <w:tcW w:w="6493" w:type="dxa"/>
                  <w:tcBorders>
                    <w:tl2br w:val="nil"/>
                    <w:tr2bl w:val="nil"/>
                  </w:tcBorders>
                  <w:noWrap w:val="0"/>
                  <w:vAlign w:val="center"/>
                </w:tcPr>
                <w:p w14:paraId="350E0C19">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燃烧性：</w:t>
                  </w:r>
                  <w:r>
                    <w:rPr>
                      <w:rFonts w:hint="eastAsia" w:ascii="Times New Roman" w:hAnsi="Times New Roman" w:cs="Times New Roman"/>
                      <w:color w:val="auto"/>
                      <w:sz w:val="21"/>
                      <w:szCs w:val="21"/>
                      <w:lang w:val="en-US" w:eastAsia="zh-CN"/>
                    </w:rPr>
                    <w:t>易燃</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无爆炸危险</w:t>
                  </w:r>
                </w:p>
              </w:tc>
            </w:tr>
            <w:tr w14:paraId="3791E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92" w:type="dxa"/>
                  <w:tcBorders>
                    <w:tl2br w:val="nil"/>
                    <w:tr2bl w:val="nil"/>
                  </w:tcBorders>
                  <w:noWrap w:val="0"/>
                  <w:vAlign w:val="center"/>
                </w:tcPr>
                <w:p w14:paraId="535BE373">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auto"/>
                      <w:sz w:val="21"/>
                      <w:szCs w:val="21"/>
                    </w:rPr>
                  </w:pPr>
                  <w:r>
                    <w:rPr>
                      <w:rFonts w:hint="eastAsia" w:ascii="宋体" w:hAnsi="宋体" w:eastAsia="宋体" w:cs="宋体"/>
                      <w:color w:val="auto"/>
                      <w:sz w:val="21"/>
                      <w:szCs w:val="21"/>
                    </w:rPr>
                    <w:t>灭火方法</w:t>
                  </w:r>
                </w:p>
              </w:tc>
              <w:tc>
                <w:tcPr>
                  <w:tcW w:w="6493" w:type="dxa"/>
                  <w:tcBorders>
                    <w:tl2br w:val="nil"/>
                    <w:tr2bl w:val="nil"/>
                  </w:tcBorders>
                  <w:noWrap w:val="0"/>
                  <w:vAlign w:val="center"/>
                </w:tcPr>
                <w:p w14:paraId="076AAF0E">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w:t>
                  </w:r>
                  <w:r>
                    <w:rPr>
                      <w:rFonts w:hint="eastAsia" w:ascii="宋体" w:hAnsi="宋体" w:eastAsia="宋体" w:cs="宋体"/>
                      <w:color w:val="auto"/>
                      <w:sz w:val="21"/>
                      <w:szCs w:val="21"/>
                      <w:lang w:eastAsia="zh-CN"/>
                    </w:rPr>
                    <w:t>。灭火剂:雾状水、泡沫、干粉、二氧化碳、砂土。</w:t>
                  </w:r>
                </w:p>
              </w:tc>
            </w:tr>
            <w:tr w14:paraId="5E82D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92" w:type="dxa"/>
                  <w:tcBorders>
                    <w:tl2br w:val="nil"/>
                    <w:tr2bl w:val="nil"/>
                  </w:tcBorders>
                  <w:noWrap w:val="0"/>
                  <w:vAlign w:val="center"/>
                </w:tcPr>
                <w:p w14:paraId="32E8E606">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泄漏应急处理</w:t>
                  </w:r>
                </w:p>
              </w:tc>
              <w:tc>
                <w:tcPr>
                  <w:tcW w:w="6493" w:type="dxa"/>
                  <w:tcBorders>
                    <w:tl2br w:val="nil"/>
                    <w:tr2bl w:val="nil"/>
                  </w:tcBorders>
                  <w:noWrap w:val="0"/>
                  <w:vAlign w:val="center"/>
                </w:tcPr>
                <w:p w14:paraId="36A65FE7">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如发生泄漏，应迅速撤离泄漏区人员至安全区，并进行隔离。保持泄漏区通风。收集残余物并交由专业人员处理。</w:t>
                  </w:r>
                </w:p>
              </w:tc>
            </w:tr>
            <w:tr w14:paraId="699B5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92" w:type="dxa"/>
                  <w:tcBorders>
                    <w:tl2br w:val="nil"/>
                    <w:tr2bl w:val="nil"/>
                  </w:tcBorders>
                  <w:noWrap w:val="0"/>
                  <w:vAlign w:val="center"/>
                </w:tcPr>
                <w:p w14:paraId="48A8DD53">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健康危害</w:t>
                  </w:r>
                </w:p>
              </w:tc>
              <w:tc>
                <w:tcPr>
                  <w:tcW w:w="6493" w:type="dxa"/>
                  <w:tcBorders>
                    <w:tl2br w:val="nil"/>
                    <w:tr2bl w:val="nil"/>
                  </w:tcBorders>
                  <w:noWrap w:val="0"/>
                  <w:vAlign w:val="center"/>
                </w:tcPr>
                <w:p w14:paraId="0FB0BD43">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侵入途径:吸入、食入、皮肤接触</w:t>
                  </w:r>
                </w:p>
                <w:p w14:paraId="3FE9AFB7">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健康危害:香柏油挥发性较强，大量吸入可能导致头痛、恶心等症状。长时间皮肤接触可能导致皮肤刺激。</w:t>
                  </w:r>
                </w:p>
              </w:tc>
            </w:tr>
            <w:tr w14:paraId="5910E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92" w:type="dxa"/>
                  <w:tcBorders>
                    <w:tl2br w:val="nil"/>
                    <w:tr2bl w:val="nil"/>
                  </w:tcBorders>
                  <w:noWrap w:val="0"/>
                  <w:vAlign w:val="center"/>
                </w:tcPr>
                <w:p w14:paraId="1ADDC7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急救措施</w:t>
                  </w:r>
                </w:p>
              </w:tc>
              <w:tc>
                <w:tcPr>
                  <w:tcW w:w="6493" w:type="dxa"/>
                  <w:tcBorders>
                    <w:tl2br w:val="nil"/>
                    <w:tr2bl w:val="nil"/>
                  </w:tcBorders>
                  <w:noWrap w:val="0"/>
                  <w:vAlign w:val="center"/>
                </w:tcPr>
                <w:p w14:paraId="7F30FD61">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皮肤接触:立即用清水冲洗接触部位，如出现红肿、痒等症状，请及时就医</w:t>
                  </w:r>
                  <w:r>
                    <w:rPr>
                      <w:rFonts w:hint="eastAsia" w:ascii="Times New Roman" w:hAnsi="Times New Roman" w:cs="Times New Roman"/>
                      <w:color w:val="auto"/>
                      <w:sz w:val="21"/>
                      <w:szCs w:val="21"/>
                      <w:lang w:eastAsia="zh-CN"/>
                    </w:rPr>
                    <w:t>；</w:t>
                  </w:r>
                </w:p>
                <w:p w14:paraId="00533DB6">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眼睛接触:立即用清水冲洗眼部，如出现疼痛、流泪等症状，请及时就医</w:t>
                  </w:r>
                  <w:r>
                    <w:rPr>
                      <w:rFonts w:hint="eastAsia" w:ascii="Times New Roman" w:hAnsi="Times New Roman" w:cs="Times New Roman"/>
                      <w:color w:val="auto"/>
                      <w:sz w:val="21"/>
                      <w:szCs w:val="21"/>
                      <w:lang w:eastAsia="zh-CN"/>
                    </w:rPr>
                    <w:t>；</w:t>
                  </w:r>
                </w:p>
                <w:p w14:paraId="7973F86B">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吸入:立即离开含有香柏油的环境，呼吸新鲜空气。如出现呼吸困难等症状，请及时就医</w:t>
                  </w:r>
                  <w:r>
                    <w:rPr>
                      <w:rFonts w:hint="eastAsia" w:ascii="Times New Roman" w:hAnsi="Times New Roman" w:cs="Times New Roman"/>
                      <w:color w:val="auto"/>
                      <w:sz w:val="21"/>
                      <w:szCs w:val="21"/>
                      <w:lang w:eastAsia="zh-CN"/>
                    </w:rPr>
                    <w:t>；</w:t>
                  </w:r>
                </w:p>
                <w:p w14:paraId="5B7CDBD1">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食入:如不慎食入，应立即漱口，并饮用大量清水。如出现呕吐、腹痛等症状，请及时就医。</w:t>
                  </w:r>
                </w:p>
              </w:tc>
            </w:tr>
            <w:tr w14:paraId="74F20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1592" w:type="dxa"/>
                  <w:tcBorders>
                    <w:tl2br w:val="nil"/>
                    <w:tr2bl w:val="nil"/>
                  </w:tcBorders>
                  <w:noWrap w:val="0"/>
                  <w:vAlign w:val="center"/>
                </w:tcPr>
                <w:p w14:paraId="7759815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宋体" w:hAnsi="宋体" w:eastAsia="宋体" w:cs="宋体"/>
                      <w:color w:val="auto"/>
                      <w:sz w:val="21"/>
                      <w:szCs w:val="21"/>
                    </w:rPr>
                    <w:t>操作处置与储存</w:t>
                  </w:r>
                </w:p>
              </w:tc>
              <w:tc>
                <w:tcPr>
                  <w:tcW w:w="6493" w:type="dxa"/>
                  <w:tcBorders>
                    <w:tl2br w:val="nil"/>
                    <w:tr2bl w:val="nil"/>
                  </w:tcBorders>
                  <w:noWrap w:val="0"/>
                  <w:vAlign w:val="center"/>
                </w:tcPr>
                <w:p w14:paraId="340BBA48">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操作注意事项:操作时应佩戴口罩和手套，避免直接接触香柏油。操作现场应保持良好通风。储存于阴凉、通风良好的地方。远离火源和热源。保持容器密封。避免阳光直射和长时间暴露在高温环境中。储存容器应标明物品名称和警示标识。使用后应将剩余物交由专业人员处理，不可随意倾倒或排放。</w:t>
                  </w:r>
                </w:p>
              </w:tc>
            </w:tr>
          </w:tbl>
          <w:p w14:paraId="08B4711C">
            <w:pPr>
              <w:keepNext w:val="0"/>
              <w:keepLines w:val="0"/>
              <w:suppressLineNumbers w:val="0"/>
              <w:adjustRightInd w:val="0"/>
              <w:spacing w:before="0" w:beforeAutospacing="0" w:after="0" w:afterAutospacing="0"/>
              <w:ind w:left="0" w:right="0" w:firstLine="480"/>
              <w:rPr>
                <w:rFonts w:hint="default" w:ascii="Times New Roman" w:hAnsi="Times New Roman" w:cs="Times New Roman"/>
                <w:bCs/>
                <w:color w:val="auto"/>
                <w:szCs w:val="32"/>
              </w:rPr>
            </w:pPr>
            <w:r>
              <w:rPr>
                <w:rFonts w:hint="eastAsia" w:ascii="Times New Roman" w:hAnsi="Times New Roman" w:cs="Times New Roman"/>
                <w:bCs/>
                <w:color w:val="auto"/>
                <w:szCs w:val="32"/>
              </w:rPr>
              <w:t>环境风险评价等级划分见下表。</w:t>
            </w:r>
          </w:p>
          <w:p w14:paraId="1D6EFF86">
            <w:pPr>
              <w:keepNext w:val="0"/>
              <w:keepLines w:val="0"/>
              <w:suppressLineNumbers w:val="0"/>
              <w:spacing w:before="120" w:beforeLines="50" w:beforeAutospacing="0" w:after="0" w:afterAutospacing="0" w:line="240" w:lineRule="auto"/>
              <w:ind w:left="0" w:right="0"/>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rPr>
              <w:t>表4-</w:t>
            </w:r>
            <w:r>
              <w:rPr>
                <w:rFonts w:hint="eastAsia" w:ascii="Times New Roman" w:hAnsi="Times New Roman" w:cs="Times New Roman"/>
                <w:b/>
                <w:color w:val="auto"/>
                <w:sz w:val="21"/>
                <w:szCs w:val="21"/>
                <w:lang w:val="en-US" w:eastAsia="zh-CN"/>
              </w:rPr>
              <w:t>2</w:t>
            </w:r>
            <w:r>
              <w:rPr>
                <w:rFonts w:hint="eastAsia" w:cs="Times New Roman"/>
                <w:b/>
                <w:color w:val="auto"/>
                <w:sz w:val="21"/>
                <w:szCs w:val="21"/>
                <w:lang w:val="en-US" w:eastAsia="zh-CN"/>
              </w:rPr>
              <w:t>3</w:t>
            </w:r>
            <w:r>
              <w:rPr>
                <w:rFonts w:hint="eastAsia" w:ascii="Times New Roman" w:hAnsi="Times New Roman" w:cs="Times New Roman"/>
                <w:b/>
                <w:color w:val="auto"/>
                <w:sz w:val="21"/>
                <w:szCs w:val="21"/>
              </w:rPr>
              <w:t xml:space="preserve">  评价工作等级划分</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906"/>
              <w:gridCol w:w="1345"/>
              <w:gridCol w:w="1339"/>
              <w:gridCol w:w="1340"/>
              <w:gridCol w:w="1364"/>
            </w:tblGrid>
            <w:tr w14:paraId="742C02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52" w:type="pct"/>
                  <w:noWrap w:val="0"/>
                  <w:vAlign w:val="center"/>
                </w:tcPr>
                <w:p w14:paraId="7A87C02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环境风险潜势</w:t>
                  </w:r>
                </w:p>
              </w:tc>
              <w:tc>
                <w:tcPr>
                  <w:tcW w:w="811" w:type="pct"/>
                  <w:noWrap w:val="0"/>
                  <w:vAlign w:val="center"/>
                </w:tcPr>
                <w:p w14:paraId="7465DA1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Ⅳ、Ⅳ+</w:t>
                  </w:r>
                </w:p>
              </w:tc>
              <w:tc>
                <w:tcPr>
                  <w:tcW w:w="807" w:type="pct"/>
                  <w:noWrap w:val="0"/>
                  <w:vAlign w:val="center"/>
                </w:tcPr>
                <w:p w14:paraId="79F64CC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808" w:type="pct"/>
                  <w:noWrap w:val="0"/>
                  <w:vAlign w:val="center"/>
                </w:tcPr>
                <w:p w14:paraId="0E206C0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819" w:type="pct"/>
                  <w:noWrap w:val="0"/>
                  <w:vAlign w:val="center"/>
                </w:tcPr>
                <w:p w14:paraId="71B3E7A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r>
            <w:tr w14:paraId="35B753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52" w:type="pct"/>
                  <w:noWrap w:val="0"/>
                  <w:vAlign w:val="center"/>
                </w:tcPr>
                <w:p w14:paraId="1A00229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评价工作等级</w:t>
                  </w:r>
                </w:p>
              </w:tc>
              <w:tc>
                <w:tcPr>
                  <w:tcW w:w="811" w:type="pct"/>
                  <w:noWrap w:val="0"/>
                  <w:vAlign w:val="center"/>
                </w:tcPr>
                <w:p w14:paraId="3B724E9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807" w:type="pct"/>
                  <w:noWrap w:val="0"/>
                  <w:vAlign w:val="center"/>
                </w:tcPr>
                <w:p w14:paraId="7E27DBA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c>
                <w:tcPr>
                  <w:tcW w:w="808" w:type="pct"/>
                  <w:noWrap w:val="0"/>
                  <w:vAlign w:val="center"/>
                </w:tcPr>
                <w:p w14:paraId="3E4B3DD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c>
                <w:tcPr>
                  <w:tcW w:w="819" w:type="pct"/>
                  <w:noWrap w:val="0"/>
                  <w:vAlign w:val="center"/>
                </w:tcPr>
                <w:p w14:paraId="79CD459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简单分析a</w:t>
                  </w:r>
                </w:p>
              </w:tc>
            </w:tr>
            <w:tr w14:paraId="0BDA3A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jc w:val="center"/>
              </w:trPr>
              <w:tc>
                <w:tcPr>
                  <w:tcW w:w="5000" w:type="pct"/>
                  <w:gridSpan w:val="5"/>
                  <w:noWrap w:val="0"/>
                  <w:vAlign w:val="center"/>
                </w:tcPr>
                <w:p w14:paraId="01767D0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a是相对于详细评价工作内容而言，在描述危险物质、环境影响途径、环境危害后果、风险防范措施等方面给出定性的说明。</w:t>
                  </w:r>
                </w:p>
              </w:tc>
            </w:tr>
          </w:tbl>
          <w:p w14:paraId="0601F206">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cs="Times New Roman"/>
                <w:color w:val="auto"/>
              </w:rPr>
            </w:pPr>
            <w:r>
              <w:rPr>
                <w:rFonts w:hint="eastAsia" w:ascii="Times New Roman" w:hAnsi="Times New Roman" w:cs="Times New Roman"/>
                <w:color w:val="auto"/>
                <w:lang w:val="en-US" w:eastAsia="zh-CN"/>
              </w:rPr>
              <w:t>本项目</w:t>
            </w:r>
            <w:r>
              <w:rPr>
                <w:rFonts w:hint="default" w:ascii="Times New Roman" w:hAnsi="Times New Roman" w:cs="Times New Roman"/>
                <w:color w:val="auto"/>
              </w:rPr>
              <w:t>环境风险潜势为Ⅰ，</w:t>
            </w:r>
            <w:r>
              <w:rPr>
                <w:rFonts w:hint="eastAsia" w:ascii="Times New Roman" w:hAnsi="Times New Roman" w:cs="Times New Roman"/>
                <w:color w:val="auto"/>
                <w:lang w:val="en-US" w:eastAsia="zh-CN"/>
              </w:rPr>
              <w:t>则</w:t>
            </w:r>
            <w:r>
              <w:rPr>
                <w:rFonts w:hint="default" w:ascii="Times New Roman" w:hAnsi="Times New Roman" w:cs="Times New Roman"/>
                <w:color w:val="auto"/>
              </w:rPr>
              <w:t>项目</w:t>
            </w:r>
            <w:r>
              <w:rPr>
                <w:rFonts w:hint="default" w:ascii="Times New Roman" w:hAnsi="Times New Roman" w:cs="Times New Roman"/>
                <w:color w:val="auto"/>
                <w:kern w:val="0"/>
              </w:rPr>
              <w:t>风险评价工作级别定为简单分析</w:t>
            </w:r>
            <w:r>
              <w:rPr>
                <w:rFonts w:hint="default" w:ascii="Times New Roman" w:hAnsi="Times New Roman" w:cs="Times New Roman"/>
                <w:color w:val="auto"/>
              </w:rPr>
              <w:t>。</w:t>
            </w:r>
          </w:p>
          <w:p w14:paraId="02E2108A">
            <w:pPr>
              <w:keepNext w:val="0"/>
              <w:keepLines w:val="0"/>
              <w:widowControl/>
              <w:suppressLineNumbers w:val="0"/>
              <w:spacing w:before="0" w:beforeAutospacing="0" w:after="0" w:afterAutospacing="0"/>
              <w:ind w:left="0" w:right="0" w:firstLine="482" w:firstLineChars="200"/>
              <w:jc w:val="left"/>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2、风险识别</w:t>
            </w:r>
          </w:p>
          <w:p w14:paraId="08521B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①物质危险性识别</w:t>
            </w:r>
          </w:p>
          <w:p w14:paraId="5E7D7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根据《建设项目环境风险评价技术导则》（HJ169-2018）附录B.1、B.2、《危险化学品名录（2018版）》识别本项目危险物质主要为机油</w:t>
            </w:r>
            <w:r>
              <w:rPr>
                <w:rFonts w:hint="eastAsia" w:cs="Times New Roman"/>
                <w:b w:val="0"/>
                <w:bCs w:val="0"/>
                <w:color w:val="auto"/>
                <w:lang w:val="en-US" w:eastAsia="zh-CN"/>
              </w:rPr>
              <w:t>，柏木油属易燃物质，遇明火会发生火灾</w:t>
            </w:r>
            <w:r>
              <w:rPr>
                <w:rFonts w:hint="default" w:ascii="Times New Roman" w:hAnsi="Times New Roman" w:cs="Times New Roman"/>
                <w:b w:val="0"/>
                <w:bCs w:val="0"/>
                <w:color w:val="auto"/>
                <w:lang w:val="en-US" w:eastAsia="zh-CN"/>
              </w:rPr>
              <w:t>。</w:t>
            </w:r>
          </w:p>
          <w:p w14:paraId="0EA72F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项目生产原料为木材等，生产过程中将产生粉尘，粉尘主要成分为木屑，属于可燃物质。与空气混合后，能形成爆炸性混合物，粉尘爆炸后产生冲击波伤人和破坏建筑物。同时项目堆存的木屑等在遇明火的情况下，会发生火灾。</w:t>
            </w:r>
          </w:p>
          <w:p w14:paraId="15CF6F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②生产系统危险性识别</w:t>
            </w:r>
          </w:p>
          <w:p w14:paraId="275221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A、生产设备风险识别</w:t>
            </w:r>
          </w:p>
          <w:p w14:paraId="640884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本项目生产中环境风险来源于机油</w:t>
            </w:r>
            <w:r>
              <w:rPr>
                <w:rFonts w:hint="eastAsia" w:ascii="Times New Roman" w:hAnsi="Times New Roman" w:cs="Times New Roman"/>
                <w:b w:val="0"/>
                <w:bCs w:val="0"/>
                <w:color w:val="auto"/>
                <w:lang w:val="en-US" w:eastAsia="zh-CN"/>
              </w:rPr>
              <w:t>、</w:t>
            </w:r>
            <w:r>
              <w:rPr>
                <w:rFonts w:hint="eastAsia" w:cs="Times New Roman"/>
                <w:b w:val="0"/>
                <w:bCs w:val="0"/>
                <w:color w:val="auto"/>
                <w:lang w:val="en-US" w:eastAsia="zh-CN"/>
              </w:rPr>
              <w:t>柏木油</w:t>
            </w:r>
            <w:r>
              <w:rPr>
                <w:rFonts w:hint="eastAsia" w:ascii="Times New Roman" w:hAnsi="Times New Roman" w:cs="Times New Roman"/>
                <w:b w:val="0"/>
                <w:bCs w:val="0"/>
                <w:color w:val="auto"/>
                <w:lang w:val="en-US" w:eastAsia="zh-CN"/>
              </w:rPr>
              <w:t>等</w:t>
            </w:r>
            <w:r>
              <w:rPr>
                <w:rFonts w:hint="default" w:ascii="Times New Roman" w:hAnsi="Times New Roman" w:cs="Times New Roman"/>
                <w:b w:val="0"/>
                <w:bCs w:val="0"/>
                <w:color w:val="auto"/>
                <w:lang w:val="en-US" w:eastAsia="zh-CN"/>
              </w:rPr>
              <w:t>泄漏及火灾，泄漏及火灾因素主要有：a、</w:t>
            </w:r>
            <w:r>
              <w:rPr>
                <w:rFonts w:hint="eastAsia" w:ascii="Times New Roman" w:hAnsi="Times New Roman" w:cs="Times New Roman"/>
                <w:b w:val="0"/>
                <w:bCs w:val="0"/>
                <w:color w:val="auto"/>
                <w:lang w:val="en-US" w:eastAsia="zh-CN"/>
              </w:rPr>
              <w:t>生产容器</w:t>
            </w:r>
            <w:r>
              <w:rPr>
                <w:rFonts w:hint="default" w:ascii="Times New Roman" w:hAnsi="Times New Roman" w:cs="Times New Roman"/>
                <w:b w:val="0"/>
                <w:bCs w:val="0"/>
                <w:color w:val="auto"/>
                <w:lang w:val="en-US" w:eastAsia="zh-CN"/>
              </w:rPr>
              <w:t>损坏</w:t>
            </w:r>
            <w:r>
              <w:rPr>
                <w:rFonts w:hint="eastAsia" w:ascii="Times New Roman" w:hAnsi="Times New Roman" w:cs="Times New Roman"/>
                <w:b w:val="0"/>
                <w:bCs w:val="0"/>
                <w:color w:val="auto"/>
                <w:lang w:val="en-US" w:eastAsia="zh-CN"/>
              </w:rPr>
              <w:t>造成液体</w:t>
            </w:r>
            <w:r>
              <w:rPr>
                <w:rFonts w:hint="default" w:ascii="Times New Roman" w:hAnsi="Times New Roman" w:cs="Times New Roman"/>
                <w:b w:val="0"/>
                <w:bCs w:val="0"/>
                <w:color w:val="auto"/>
                <w:lang w:val="en-US" w:eastAsia="zh-CN"/>
              </w:rPr>
              <w:t>泄漏；b、自然因素，如地震、雷击等造成火灾及</w:t>
            </w:r>
            <w:r>
              <w:rPr>
                <w:rFonts w:hint="eastAsia" w:cs="Times New Roman"/>
                <w:b w:val="0"/>
                <w:bCs w:val="0"/>
                <w:color w:val="auto"/>
                <w:lang w:val="en-US" w:eastAsia="zh-CN"/>
              </w:rPr>
              <w:t>泄漏</w:t>
            </w:r>
            <w:r>
              <w:rPr>
                <w:rFonts w:hint="default" w:ascii="Times New Roman" w:hAnsi="Times New Roman" w:cs="Times New Roman"/>
                <w:b w:val="0"/>
                <w:bCs w:val="0"/>
                <w:color w:val="auto"/>
                <w:lang w:val="en-US" w:eastAsia="zh-CN"/>
              </w:rPr>
              <w:t>；c、生产人员的安全卫生知识缺乏，违章操作或操作不规范导致的泄漏及火灾；d、厂区安全生产制度不健全，设备检修维修制度不落实或不执行造成的泄</w:t>
            </w:r>
            <w:r>
              <w:rPr>
                <w:rFonts w:hint="eastAsia" w:cs="Times New Roman"/>
                <w:b w:val="0"/>
                <w:bCs w:val="0"/>
                <w:color w:val="auto"/>
                <w:lang w:val="en-US" w:eastAsia="zh-CN"/>
              </w:rPr>
              <w:t>漏</w:t>
            </w:r>
            <w:r>
              <w:rPr>
                <w:rFonts w:hint="default" w:ascii="Times New Roman" w:hAnsi="Times New Roman" w:cs="Times New Roman"/>
                <w:b w:val="0"/>
                <w:bCs w:val="0"/>
                <w:color w:val="auto"/>
                <w:lang w:val="en-US" w:eastAsia="zh-CN"/>
              </w:rPr>
              <w:t>及火灾。</w:t>
            </w:r>
          </w:p>
          <w:p w14:paraId="735A8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B、储存过程风险识别</w:t>
            </w:r>
          </w:p>
          <w:p w14:paraId="3832BD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主要为机油</w:t>
            </w:r>
            <w:r>
              <w:rPr>
                <w:rFonts w:hint="eastAsia" w:ascii="Times New Roman" w:hAnsi="Times New Roman" w:cs="Times New Roman"/>
                <w:b w:val="0"/>
                <w:bCs w:val="0"/>
                <w:color w:val="auto"/>
                <w:lang w:val="en-US" w:eastAsia="zh-CN"/>
              </w:rPr>
              <w:t>、</w:t>
            </w:r>
            <w:r>
              <w:rPr>
                <w:rFonts w:hint="eastAsia" w:cs="Times New Roman"/>
                <w:b w:val="0"/>
                <w:bCs w:val="0"/>
                <w:color w:val="auto"/>
                <w:lang w:val="en-US" w:eastAsia="zh-CN"/>
              </w:rPr>
              <w:t>柏木油</w:t>
            </w:r>
            <w:r>
              <w:rPr>
                <w:rFonts w:hint="default" w:ascii="Times New Roman" w:hAnsi="Times New Roman" w:cs="Times New Roman"/>
                <w:b w:val="0"/>
                <w:bCs w:val="0"/>
                <w:color w:val="auto"/>
                <w:lang w:val="en-US" w:eastAsia="zh-CN"/>
              </w:rPr>
              <w:t>包装物的破损、裂缝而造成的泄漏，</w:t>
            </w:r>
            <w:r>
              <w:rPr>
                <w:rFonts w:hint="eastAsia" w:ascii="Times New Roman" w:hAnsi="Times New Roman" w:cs="Times New Roman"/>
                <w:b w:val="0"/>
                <w:bCs w:val="0"/>
                <w:color w:val="auto"/>
                <w:lang w:val="en-US" w:eastAsia="zh-CN"/>
              </w:rPr>
              <w:t>进入地表水中，</w:t>
            </w:r>
            <w:r>
              <w:rPr>
                <w:rFonts w:hint="default" w:ascii="Times New Roman" w:hAnsi="Times New Roman" w:cs="Times New Roman"/>
                <w:b w:val="0"/>
                <w:bCs w:val="0"/>
                <w:color w:val="auto"/>
                <w:lang w:val="en-US" w:eastAsia="zh-CN"/>
              </w:rPr>
              <w:t>潜在事故主要是火灾所造成的</w:t>
            </w:r>
            <w:r>
              <w:rPr>
                <w:rFonts w:hint="eastAsia" w:ascii="Times New Roman" w:hAnsi="Times New Roman" w:cs="Times New Roman"/>
                <w:b w:val="0"/>
                <w:bCs w:val="0"/>
                <w:color w:val="auto"/>
                <w:lang w:val="en-US" w:eastAsia="zh-CN"/>
              </w:rPr>
              <w:t>次生污染物</w:t>
            </w:r>
            <w:r>
              <w:rPr>
                <w:rFonts w:hint="default" w:ascii="Times New Roman" w:hAnsi="Times New Roman" w:cs="Times New Roman"/>
                <w:b w:val="0"/>
                <w:bCs w:val="0"/>
                <w:color w:val="auto"/>
                <w:lang w:val="en-US" w:eastAsia="zh-CN"/>
              </w:rPr>
              <w:t>环境污染。</w:t>
            </w:r>
          </w:p>
          <w:p w14:paraId="04B3A2CE">
            <w:pPr>
              <w:keepNext w:val="0"/>
              <w:keepLines w:val="0"/>
              <w:suppressLineNumbers w:val="0"/>
              <w:spacing w:before="0" w:beforeAutospacing="0" w:after="0" w:afterAutospacing="0"/>
              <w:ind w:left="0" w:right="0" w:firstLine="472" w:firstLineChars="196"/>
              <w:jc w:val="left"/>
              <w:rPr>
                <w:rFonts w:hint="eastAsia" w:ascii="Times New Roman" w:hAnsi="Times New Roman" w:cs="Times New Roman"/>
                <w:b/>
                <w:color w:val="auto"/>
                <w:lang w:val="en-US" w:eastAsia="zh-CN"/>
              </w:rPr>
            </w:pPr>
            <w:r>
              <w:rPr>
                <w:rFonts w:hint="eastAsia" w:ascii="Times New Roman" w:hAnsi="Times New Roman" w:cs="Times New Roman"/>
                <w:b/>
                <w:color w:val="auto"/>
                <w:lang w:val="en-US" w:eastAsia="zh-CN"/>
              </w:rPr>
              <w:t>3、</w:t>
            </w:r>
            <w:r>
              <w:rPr>
                <w:rFonts w:hint="default" w:ascii="Times New Roman" w:hAnsi="Times New Roman" w:cs="Times New Roman"/>
                <w:b/>
                <w:color w:val="auto"/>
              </w:rPr>
              <w:t>环境风险</w:t>
            </w:r>
            <w:r>
              <w:rPr>
                <w:rFonts w:hint="eastAsia" w:ascii="Times New Roman" w:hAnsi="Times New Roman" w:cs="Times New Roman"/>
                <w:b/>
                <w:color w:val="auto"/>
              </w:rPr>
              <w:t>防范</w:t>
            </w:r>
            <w:r>
              <w:rPr>
                <w:rFonts w:hint="eastAsia" w:ascii="Times New Roman" w:hAnsi="Times New Roman" w:cs="Times New Roman"/>
                <w:b/>
                <w:color w:val="auto"/>
                <w:lang w:val="en-US" w:eastAsia="zh-CN"/>
              </w:rPr>
              <w:t>措施</w:t>
            </w:r>
          </w:p>
          <w:p w14:paraId="53A6E4E7">
            <w:pPr>
              <w:keepNext w:val="0"/>
              <w:keepLines w:val="0"/>
              <w:suppressLineNumbers w:val="0"/>
              <w:spacing w:before="0" w:beforeAutospacing="0" w:after="0" w:afterAutospacing="0"/>
              <w:ind w:left="0" w:right="0" w:firstLine="472" w:firstLineChars="196"/>
              <w:jc w:val="left"/>
              <w:rPr>
                <w:rFonts w:hint="default" w:ascii="Times New Roman" w:hAnsi="Times New Roman" w:eastAsia="宋体" w:cs="Times New Roman"/>
                <w:b/>
                <w:color w:val="auto"/>
                <w:lang w:val="en-US" w:eastAsia="zh-CN"/>
              </w:rPr>
            </w:pP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1</w:t>
            </w: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总图布置</w:t>
            </w:r>
          </w:p>
          <w:p w14:paraId="013024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总图布置必须符合《工业企业总平面设计规范》和《建筑设计防火规范》合理布置，各生产和辅助装置按功能分别布置，并充分考虑安全防护距离、消防和疏散通道等问题。厂区设消防环形通道并保证足够的路面净空高度，合理设置消火栓、水泵接合器、灭火器，厂区和车间内显眼的地方设置相应的防火、防触电安全警示、标志。</w:t>
            </w:r>
          </w:p>
          <w:p w14:paraId="7BF58A82">
            <w:pPr>
              <w:keepNext w:val="0"/>
              <w:keepLines w:val="0"/>
              <w:numPr>
                <w:ilvl w:val="0"/>
                <w:numId w:val="6"/>
              </w:numPr>
              <w:suppressLineNumbers w:val="0"/>
              <w:spacing w:before="0" w:beforeAutospacing="0" w:after="0" w:afterAutospacing="0"/>
              <w:ind w:left="0" w:leftChars="0" w:right="0" w:firstLine="482" w:firstLineChars="200"/>
              <w:jc w:val="left"/>
              <w:rPr>
                <w:rFonts w:hint="eastAsia" w:ascii="Times New Roman" w:hAnsi="Times New Roman" w:eastAsia="宋体" w:cs="Times New Roman"/>
                <w:b/>
                <w:color w:val="auto"/>
                <w:lang w:eastAsia="zh-CN"/>
              </w:rPr>
            </w:pPr>
            <w:r>
              <w:rPr>
                <w:rFonts w:hint="eastAsia" w:ascii="Times New Roman" w:hAnsi="Times New Roman" w:cs="Times New Roman"/>
                <w:b/>
                <w:color w:val="auto"/>
                <w:lang w:val="en-US" w:eastAsia="zh-CN"/>
              </w:rPr>
              <w:t>粉尘风险防范措施</w:t>
            </w:r>
          </w:p>
          <w:p w14:paraId="7968B3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项目生产车间内粉尘应有效收集，经除尘器处理后达标排放，车间内部加强通风，控制粉尘浓度，加强管理，禁止明火，避免可燃粉尘在车间内达到爆炸浓度范围，发生爆炸。</w:t>
            </w:r>
          </w:p>
          <w:p w14:paraId="52C11285">
            <w:pPr>
              <w:keepNext w:val="0"/>
              <w:keepLines w:val="0"/>
              <w:numPr>
                <w:ilvl w:val="0"/>
                <w:numId w:val="6"/>
              </w:numPr>
              <w:suppressLineNumbers w:val="0"/>
              <w:spacing w:before="0" w:beforeAutospacing="0" w:after="0" w:afterAutospacing="0"/>
              <w:ind w:left="0" w:leftChars="0" w:right="0" w:firstLine="482" w:firstLineChars="200"/>
              <w:jc w:val="left"/>
              <w:rPr>
                <w:rFonts w:hint="eastAsia" w:ascii="Times New Roman" w:hAnsi="Times New Roman" w:eastAsia="宋体" w:cs="Times New Roman"/>
                <w:b/>
                <w:color w:val="auto"/>
                <w:lang w:eastAsia="zh-CN"/>
              </w:rPr>
            </w:pPr>
            <w:r>
              <w:rPr>
                <w:rFonts w:hint="eastAsia" w:ascii="Times New Roman" w:hAnsi="Times New Roman" w:cs="Times New Roman"/>
                <w:b/>
                <w:color w:val="auto"/>
                <w:lang w:val="en-US" w:eastAsia="zh-CN"/>
              </w:rPr>
              <w:t>油类物质</w:t>
            </w:r>
            <w:r>
              <w:rPr>
                <w:rFonts w:hint="eastAsia" w:cs="Times New Roman"/>
                <w:b/>
                <w:color w:val="auto"/>
                <w:lang w:val="en-US" w:eastAsia="zh-CN"/>
              </w:rPr>
              <w:t>泄漏</w:t>
            </w:r>
            <w:r>
              <w:rPr>
                <w:rFonts w:hint="eastAsia" w:ascii="Times New Roman" w:hAnsi="Times New Roman" w:cs="Times New Roman"/>
                <w:b/>
                <w:color w:val="auto"/>
                <w:lang w:eastAsia="zh-CN"/>
              </w:rPr>
              <w:t>风险防范措施</w:t>
            </w:r>
          </w:p>
          <w:p w14:paraId="2585C2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①本项目</w:t>
            </w:r>
            <w:r>
              <w:rPr>
                <w:rFonts w:hint="eastAsia" w:cs="Times New Roman"/>
                <w:b w:val="0"/>
                <w:bCs w:val="0"/>
                <w:color w:val="auto"/>
                <w:lang w:val="en-US" w:eastAsia="zh-CN"/>
              </w:rPr>
              <w:t>柏木油</w:t>
            </w:r>
            <w:r>
              <w:rPr>
                <w:rFonts w:hint="eastAsia" w:ascii="Times New Roman" w:hAnsi="Times New Roman" w:eastAsia="宋体" w:cs="Times New Roman"/>
                <w:b w:val="0"/>
                <w:bCs w:val="0"/>
                <w:color w:val="auto"/>
                <w:lang w:val="en-US" w:eastAsia="zh-CN"/>
              </w:rPr>
              <w:t>运输采用密闭运输，禁止超载，禁止与其他易燃、易爆物拼车运输。</w:t>
            </w:r>
          </w:p>
          <w:p w14:paraId="040DCE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②专用储存容器的密封性应良好，放置时须防破损。在不影响生产的情况下，尽可能减少有机易燃物质的贮存量。加强职工管理，建立原料的日常保管、使用制度，进行必要的安全消防教育，并做好个人防护。</w:t>
            </w:r>
          </w:p>
          <w:p w14:paraId="24CE8C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③于生产区中的成品放置区域设置围堰，若</w:t>
            </w:r>
            <w:r>
              <w:rPr>
                <w:rFonts w:hint="eastAsia" w:cs="Times New Roman"/>
                <w:b w:val="0"/>
                <w:bCs w:val="0"/>
                <w:color w:val="auto"/>
                <w:lang w:val="en-US" w:eastAsia="zh-CN"/>
              </w:rPr>
              <w:t>柏木油</w:t>
            </w:r>
            <w:r>
              <w:rPr>
                <w:rFonts w:hint="eastAsia" w:ascii="Times New Roman" w:hAnsi="Times New Roman" w:eastAsia="宋体" w:cs="Times New Roman"/>
                <w:b w:val="0"/>
                <w:bCs w:val="0"/>
                <w:color w:val="auto"/>
                <w:lang w:val="en-US" w:eastAsia="zh-CN"/>
              </w:rPr>
              <w:t>发生</w:t>
            </w:r>
            <w:r>
              <w:rPr>
                <w:rFonts w:hint="eastAsia" w:cs="Times New Roman"/>
                <w:b w:val="0"/>
                <w:bCs w:val="0"/>
                <w:color w:val="auto"/>
                <w:lang w:val="en-US" w:eastAsia="zh-CN"/>
              </w:rPr>
              <w:t>泄漏</w:t>
            </w:r>
            <w:r>
              <w:rPr>
                <w:rFonts w:hint="eastAsia" w:ascii="Times New Roman" w:hAnsi="Times New Roman" w:eastAsia="宋体" w:cs="Times New Roman"/>
                <w:b w:val="0"/>
                <w:bCs w:val="0"/>
                <w:color w:val="auto"/>
                <w:lang w:val="en-US" w:eastAsia="zh-CN"/>
              </w:rPr>
              <w:t>，则泄漏的</w:t>
            </w:r>
            <w:r>
              <w:rPr>
                <w:rFonts w:hint="eastAsia" w:cs="Times New Roman"/>
                <w:b w:val="0"/>
                <w:bCs w:val="0"/>
                <w:color w:val="auto"/>
                <w:lang w:val="en-US" w:eastAsia="zh-CN"/>
              </w:rPr>
              <w:t>柏木油</w:t>
            </w:r>
            <w:r>
              <w:rPr>
                <w:rFonts w:hint="eastAsia" w:ascii="Times New Roman" w:hAnsi="Times New Roman" w:eastAsia="宋体" w:cs="Times New Roman"/>
                <w:b w:val="0"/>
                <w:bCs w:val="0"/>
                <w:color w:val="auto"/>
                <w:lang w:val="en-US" w:eastAsia="zh-CN"/>
              </w:rPr>
              <w:t>主要集中在围堰中。</w:t>
            </w:r>
          </w:p>
          <w:p w14:paraId="496A61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④</w:t>
            </w:r>
            <w:r>
              <w:rPr>
                <w:rFonts w:hint="eastAsia" w:cs="Times New Roman"/>
                <w:b w:val="0"/>
                <w:bCs w:val="0"/>
                <w:color w:val="auto"/>
                <w:lang w:val="en-US" w:eastAsia="zh-CN"/>
              </w:rPr>
              <w:t>蒸馏釜卸料过程中，事故状态釜底液体物质可能发生泄漏，因此，蒸馏釜下方应采取防渗措施，并设置导流沟，若发生泄漏则废水经导流沟收集后送至污水处理设施进行处理。</w:t>
            </w:r>
          </w:p>
          <w:p w14:paraId="7FF133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宋体" w:cs="Times New Roman"/>
                <w:b w:val="0"/>
                <w:bCs w:val="0"/>
                <w:color w:val="auto"/>
                <w:lang w:val="en-US" w:eastAsia="zh-CN"/>
              </w:rPr>
            </w:pPr>
            <w:r>
              <w:rPr>
                <w:rFonts w:hint="eastAsia" w:ascii="宋体" w:hAnsi="宋体" w:eastAsia="宋体" w:cs="宋体"/>
                <w:b w:val="0"/>
                <w:bCs w:val="0"/>
                <w:color w:val="auto"/>
                <w:lang w:val="en-US" w:eastAsia="zh-CN"/>
              </w:rPr>
              <w:t>⑤</w:t>
            </w:r>
            <w:r>
              <w:rPr>
                <w:rFonts w:hint="eastAsia" w:ascii="Times New Roman" w:hAnsi="Times New Roman" w:eastAsia="宋体" w:cs="Times New Roman"/>
                <w:b w:val="0"/>
                <w:bCs w:val="0"/>
                <w:color w:val="auto"/>
                <w:lang w:val="en-US" w:eastAsia="zh-CN"/>
              </w:rPr>
              <w:t>企业应加强设备管理，确保设备完好。应制定严格的操作、管理制度，工作人员应培训上岗，并经常检查，防止设备“跑、冒、滴、漏”的发生。</w:t>
            </w:r>
          </w:p>
          <w:p w14:paraId="64EC3CA6">
            <w:pPr>
              <w:keepNext w:val="0"/>
              <w:keepLines w:val="0"/>
              <w:suppressLineNumbers w:val="0"/>
              <w:spacing w:before="0" w:beforeAutospacing="0" w:after="0" w:afterAutospacing="0"/>
              <w:ind w:left="0" w:right="0" w:firstLine="472" w:firstLineChars="196"/>
              <w:jc w:val="left"/>
              <w:rPr>
                <w:rFonts w:hint="default" w:ascii="Times New Roman" w:hAnsi="Times New Roman" w:cs="Times New Roman"/>
                <w:b/>
                <w:color w:val="auto"/>
              </w:rPr>
            </w:pPr>
            <w:r>
              <w:rPr>
                <w:rFonts w:hint="default" w:ascii="Times New Roman" w:hAnsi="Times New Roman" w:cs="Times New Roman"/>
                <w:b/>
                <w:color w:val="auto"/>
              </w:rPr>
              <w:t>（</w:t>
            </w:r>
            <w:r>
              <w:rPr>
                <w:rFonts w:hint="eastAsia" w:ascii="Times New Roman" w:hAnsi="Times New Roman" w:cs="Times New Roman"/>
                <w:b/>
                <w:color w:val="auto"/>
              </w:rPr>
              <w:t>3</w:t>
            </w:r>
            <w:r>
              <w:rPr>
                <w:rFonts w:hint="default" w:ascii="Times New Roman" w:hAnsi="Times New Roman" w:cs="Times New Roman"/>
                <w:b/>
                <w:color w:val="auto"/>
              </w:rPr>
              <w:t>）废水</w:t>
            </w:r>
            <w:r>
              <w:rPr>
                <w:rFonts w:hint="eastAsia" w:ascii="Times New Roman" w:hAnsi="Times New Roman" w:cs="Times New Roman"/>
                <w:b/>
                <w:color w:val="auto"/>
              </w:rPr>
              <w:t>、</w:t>
            </w:r>
            <w:r>
              <w:rPr>
                <w:rFonts w:hint="default" w:ascii="Times New Roman" w:hAnsi="Times New Roman" w:cs="Times New Roman"/>
                <w:b/>
                <w:color w:val="auto"/>
              </w:rPr>
              <w:t>废气排放风险防范措施</w:t>
            </w:r>
          </w:p>
          <w:p w14:paraId="687942F3">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本项目事故废水主要为火灾产生的事故废水以及</w:t>
            </w:r>
            <w:r>
              <w:rPr>
                <w:rFonts w:hint="eastAsia" w:ascii="Times New Roman" w:hAnsi="Times New Roman" w:cs="Times New Roman"/>
                <w:color w:val="auto"/>
                <w:lang w:val="en-US" w:eastAsia="zh-CN"/>
              </w:rPr>
              <w:t>油水分离池、</w:t>
            </w:r>
            <w:r>
              <w:rPr>
                <w:rFonts w:hint="eastAsia" w:cs="Times New Roman"/>
                <w:color w:val="auto"/>
                <w:lang w:val="en-US" w:eastAsia="zh-CN"/>
              </w:rPr>
              <w:t>厌氧池、除尘器及活性炭吸附装置</w:t>
            </w:r>
            <w:r>
              <w:rPr>
                <w:rFonts w:hint="eastAsia" w:ascii="Times New Roman" w:hAnsi="Times New Roman" w:cs="Times New Roman"/>
                <w:color w:val="auto"/>
                <w:lang w:val="en-US" w:eastAsia="zh-CN"/>
              </w:rPr>
              <w:t>破损</w:t>
            </w:r>
            <w:r>
              <w:rPr>
                <w:rFonts w:hint="default" w:ascii="Times New Roman" w:hAnsi="Times New Roman" w:cs="Times New Roman"/>
                <w:color w:val="auto"/>
              </w:rPr>
              <w:t>等造成生产废水</w:t>
            </w:r>
            <w:r>
              <w:rPr>
                <w:rFonts w:hint="eastAsia" w:cs="Times New Roman"/>
                <w:color w:val="auto"/>
                <w:lang w:eastAsia="zh-CN"/>
              </w:rPr>
              <w:t>、</w:t>
            </w:r>
            <w:r>
              <w:rPr>
                <w:rFonts w:hint="eastAsia" w:cs="Times New Roman"/>
                <w:color w:val="auto"/>
                <w:lang w:val="en-US" w:eastAsia="zh-CN"/>
              </w:rPr>
              <w:t>废气</w:t>
            </w:r>
            <w:r>
              <w:rPr>
                <w:rFonts w:hint="default" w:ascii="Times New Roman" w:hAnsi="Times New Roman" w:cs="Times New Roman"/>
                <w:color w:val="auto"/>
              </w:rPr>
              <w:t>未经处理事故排放。</w:t>
            </w:r>
          </w:p>
          <w:p w14:paraId="610DCF2A">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rPr>
            </w:pPr>
            <w:r>
              <w:rPr>
                <w:rFonts w:hint="eastAsia" w:ascii="Times New Roman" w:hAnsi="Times New Roman" w:cs="Times New Roman"/>
                <w:color w:val="auto"/>
                <w:lang w:val="en-US" w:eastAsia="zh-CN"/>
              </w:rPr>
              <w:t>项目应加强维护及检修，避免污染治理设施出现故障，一旦</w:t>
            </w:r>
            <w:r>
              <w:rPr>
                <w:rFonts w:hint="default" w:ascii="Times New Roman" w:hAnsi="Times New Roman" w:cs="Times New Roman"/>
                <w:color w:val="auto"/>
              </w:rPr>
              <w:t>发现</w:t>
            </w:r>
            <w:r>
              <w:rPr>
                <w:rFonts w:hint="eastAsia" w:ascii="Times New Roman" w:hAnsi="Times New Roman" w:cs="Times New Roman"/>
                <w:color w:val="auto"/>
                <w:lang w:val="en-US" w:eastAsia="zh-CN"/>
              </w:rPr>
              <w:t>污染</w:t>
            </w:r>
            <w:r>
              <w:rPr>
                <w:rFonts w:hint="default" w:ascii="Times New Roman" w:hAnsi="Times New Roman" w:cs="Times New Roman"/>
                <w:color w:val="auto"/>
              </w:rPr>
              <w:t>治理设施出现故障，立即停产，联系厂家维修，处理设置事故情况下厂区不得生产。</w:t>
            </w:r>
          </w:p>
          <w:p w14:paraId="7917353B">
            <w:pPr>
              <w:keepNext w:val="0"/>
              <w:keepLines w:val="0"/>
              <w:suppressLineNumbers w:val="0"/>
              <w:adjustRightInd w:val="0"/>
              <w:snapToGrid w:val="0"/>
              <w:spacing w:before="0" w:beforeAutospacing="0" w:after="0" w:afterAutospacing="0"/>
              <w:ind w:left="0" w:right="0" w:firstLine="482" w:firstLineChars="200"/>
              <w:rPr>
                <w:rFonts w:hint="eastAsia" w:ascii="Times New Roman" w:hAnsi="Times New Roman" w:cs="Times New Roman"/>
                <w:b/>
                <w:bCs/>
                <w:color w:val="auto"/>
              </w:rPr>
            </w:pPr>
            <w:r>
              <w:rPr>
                <w:rFonts w:hint="eastAsia" w:ascii="Times New Roman" w:hAnsi="Times New Roman" w:cs="Times New Roman"/>
                <w:b/>
                <w:bCs/>
                <w:color w:val="auto"/>
                <w:lang w:eastAsia="zh-CN"/>
              </w:rPr>
              <w:t>（4）</w:t>
            </w:r>
            <w:r>
              <w:rPr>
                <w:rFonts w:hint="eastAsia" w:ascii="Times New Roman" w:hAnsi="Times New Roman" w:cs="Times New Roman"/>
                <w:b/>
                <w:bCs/>
                <w:color w:val="auto"/>
              </w:rPr>
              <w:t>危险废物管理风险防范</w:t>
            </w:r>
          </w:p>
          <w:p w14:paraId="732F7194">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cs="Times New Roman"/>
                <w:color w:val="auto"/>
              </w:rPr>
            </w:pPr>
            <w:r>
              <w:rPr>
                <w:rFonts w:hint="eastAsia" w:ascii="Times New Roman" w:hAnsi="Times New Roman" w:cs="Times New Roman"/>
                <w:color w:val="auto"/>
              </w:rPr>
              <w:t>根据危险废物管理规定，危险废物应交由有资质的危废处理单位集中处置。为便于处置和防止危险废物的二次污染，应根据《危险废物贮存污染控制标准》（GB18597—2023）在厂区或指定地点建设危险废物暂存设施，定期交有资质单位处理。本项目各项危险废物采用专用容器收集后，交由有资质的专业公司处理，不得排放。</w:t>
            </w:r>
          </w:p>
          <w:p w14:paraId="6EAC8442">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cs="Times New Roman"/>
                <w:color w:val="auto"/>
              </w:rPr>
            </w:pPr>
            <w:r>
              <w:rPr>
                <w:rFonts w:hint="eastAsia" w:ascii="Times New Roman" w:hAnsi="Times New Roman" w:cs="Times New Roman"/>
                <w:color w:val="auto"/>
              </w:rPr>
              <w:t>1）危险废物采取室内贮存方式，对危废暂存间内部地面采取防渗混凝土基础上加铺2mm厚环氧树脂</w:t>
            </w:r>
            <w:r>
              <w:rPr>
                <w:rFonts w:hint="eastAsia" w:cs="Times New Roman"/>
                <w:color w:val="auto"/>
                <w:lang w:val="en-US" w:eastAsia="zh-CN"/>
              </w:rPr>
              <w:t>防渗</w:t>
            </w:r>
            <w:r>
              <w:rPr>
                <w:rFonts w:hint="eastAsia" w:ascii="Times New Roman" w:hAnsi="Times New Roman" w:cs="Times New Roman"/>
                <w:color w:val="auto"/>
              </w:rPr>
              <w:t>，</w:t>
            </w:r>
            <w:r>
              <w:rPr>
                <w:rFonts w:hint="eastAsia" w:cs="Times New Roman"/>
                <w:color w:val="auto"/>
                <w:lang w:val="en-US" w:eastAsia="zh-CN"/>
              </w:rPr>
              <w:t>液体危险废物桶装后存放于</w:t>
            </w:r>
            <w:r>
              <w:rPr>
                <w:rFonts w:hint="eastAsia" w:ascii="Times New Roman" w:hAnsi="Times New Roman" w:cs="Times New Roman"/>
                <w:color w:val="auto"/>
              </w:rPr>
              <w:t>金属托盘</w:t>
            </w:r>
            <w:r>
              <w:rPr>
                <w:rFonts w:hint="eastAsia" w:cs="Times New Roman"/>
                <w:color w:val="auto"/>
                <w:lang w:val="en-US" w:eastAsia="zh-CN"/>
              </w:rPr>
              <w:t>上</w:t>
            </w:r>
            <w:r>
              <w:rPr>
                <w:rFonts w:hint="eastAsia" w:ascii="Times New Roman" w:hAnsi="Times New Roman" w:cs="Times New Roman"/>
                <w:color w:val="auto"/>
              </w:rPr>
              <w:t>，防渗强度等效粘土防渗层Mb≥6.0m，K≤1×10</w:t>
            </w:r>
            <w:r>
              <w:rPr>
                <w:rFonts w:hint="eastAsia" w:ascii="Times New Roman" w:hAnsi="Times New Roman" w:cs="Times New Roman"/>
                <w:color w:val="auto"/>
                <w:vertAlign w:val="superscript"/>
              </w:rPr>
              <w:t>-10</w:t>
            </w:r>
            <w:r>
              <w:rPr>
                <w:rFonts w:hint="eastAsia" w:ascii="Times New Roman" w:hAnsi="Times New Roman" w:cs="Times New Roman"/>
                <w:color w:val="auto"/>
              </w:rPr>
              <w:t>cm/s，达到重点防渗要求，同时设置空桶作为备用收容设施。</w:t>
            </w:r>
          </w:p>
          <w:p w14:paraId="42E8E8BB">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cs="Times New Roman"/>
                <w:color w:val="auto"/>
              </w:rPr>
            </w:pPr>
            <w:r>
              <w:rPr>
                <w:rFonts w:hint="eastAsia" w:ascii="Times New Roman" w:hAnsi="Times New Roman" w:cs="Times New Roman"/>
                <w:color w:val="auto"/>
              </w:rPr>
              <w:t>2）危险废物使用专用容器单独收集，禁止一般废物与危险废物混放，不相容的危险废物分开存放并设有隔离间隔断。</w:t>
            </w:r>
          </w:p>
          <w:p w14:paraId="1371EC1A">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cs="Times New Roman"/>
                <w:color w:val="auto"/>
              </w:rPr>
            </w:pPr>
            <w:r>
              <w:rPr>
                <w:rFonts w:hint="eastAsia" w:ascii="Times New Roman" w:hAnsi="Times New Roman" w:cs="Times New Roman"/>
                <w:color w:val="auto"/>
              </w:rPr>
              <w:t>3）建立档案制度，对暂存的废物种类、数量、特性、包装容器类别、存放库位、存入日期、运出日期等详细记录在案并长期保存。建立定期巡查、维护制度。</w:t>
            </w:r>
          </w:p>
          <w:p w14:paraId="05B721C7">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cs="Times New Roman"/>
                <w:color w:val="auto"/>
              </w:rPr>
            </w:pPr>
            <w:r>
              <w:rPr>
                <w:rFonts w:hint="eastAsia" w:ascii="Times New Roman" w:hAnsi="Times New Roman" w:cs="Times New Roman"/>
                <w:color w:val="auto"/>
              </w:rPr>
              <w:t>4）厂区内产生的危险废物，采用专用容器收集后，定期由危废单位采用专用运输车辆负责上门回收，危险废物收集、运输必须严格按照《危险废物收集、贮存运输技术规范》（HJ2025-2012）、《危险化学品安全管理条例》等相关规范要求进行。同时，运输过程需严格遵守《道路危险货物运输管理规定》（</w:t>
            </w:r>
            <w:r>
              <w:rPr>
                <w:rFonts w:hint="eastAsia" w:cs="Times New Roman"/>
                <w:color w:val="auto"/>
                <w:lang w:eastAsia="zh-CN"/>
              </w:rPr>
              <w:t>交通运输部</w:t>
            </w:r>
            <w:r>
              <w:rPr>
                <w:rFonts w:hint="eastAsia" w:ascii="Times New Roman" w:hAnsi="Times New Roman" w:cs="Times New Roman"/>
                <w:color w:val="auto"/>
              </w:rPr>
              <w:t>令[2005]第9号）、《汽车运输危险货物规则》（JT617-2004）、《汽车运输、装卸危险货物作业规程》（JT618-2004）。</w:t>
            </w:r>
          </w:p>
          <w:p w14:paraId="63AAD38D">
            <w:pPr>
              <w:keepNext w:val="0"/>
              <w:keepLines w:val="0"/>
              <w:suppressLineNumbers w:val="0"/>
              <w:spacing w:before="0" w:beforeAutospacing="0" w:after="0" w:afterAutospacing="0"/>
              <w:ind w:left="0" w:right="0" w:firstLine="472" w:firstLineChars="196"/>
              <w:jc w:val="left"/>
              <w:rPr>
                <w:rFonts w:hint="default" w:ascii="Times New Roman" w:hAnsi="Times New Roman" w:cs="Times New Roman"/>
                <w:b/>
                <w:color w:val="auto"/>
              </w:rPr>
            </w:pPr>
            <w:r>
              <w:rPr>
                <w:rFonts w:hint="default" w:ascii="Times New Roman" w:hAnsi="Times New Roman" w:cs="Times New Roman"/>
                <w:b/>
                <w:color w:val="auto"/>
              </w:rPr>
              <w:t>（</w:t>
            </w:r>
            <w:r>
              <w:rPr>
                <w:rFonts w:hint="eastAsia" w:ascii="Times New Roman" w:hAnsi="Times New Roman" w:cs="Times New Roman"/>
                <w:b/>
                <w:color w:val="auto"/>
                <w:lang w:val="en-US" w:eastAsia="zh-CN"/>
              </w:rPr>
              <w:t>5</w:t>
            </w:r>
            <w:r>
              <w:rPr>
                <w:rFonts w:hint="default" w:ascii="Times New Roman" w:hAnsi="Times New Roman" w:cs="Times New Roman"/>
                <w:b/>
                <w:color w:val="auto"/>
              </w:rPr>
              <w:t>）火灾引发的次生环境风险防范</w:t>
            </w:r>
          </w:p>
          <w:p w14:paraId="445FCC87">
            <w:pPr>
              <w:keepNext w:val="0"/>
              <w:keepLines w:val="0"/>
              <w:suppressLineNumbers w:val="0"/>
              <w:spacing w:before="0" w:beforeAutospacing="0" w:after="0" w:afterAutospacing="0"/>
              <w:ind w:left="0" w:right="0" w:firstLine="430"/>
              <w:rPr>
                <w:rFonts w:hint="default" w:ascii="Times New Roman" w:hAnsi="Times New Roman" w:cs="Times New Roman"/>
                <w:color w:val="auto"/>
              </w:rPr>
            </w:pPr>
            <w:r>
              <w:rPr>
                <w:rFonts w:hint="default" w:ascii="Times New Roman" w:hAnsi="Times New Roman" w:cs="Times New Roman"/>
                <w:color w:val="auto"/>
                <w:kern w:val="0"/>
              </w:rPr>
              <w:t>1）</w:t>
            </w:r>
            <w:r>
              <w:rPr>
                <w:rFonts w:hint="eastAsia" w:ascii="Times New Roman" w:hAnsi="Times New Roman" w:cs="Times New Roman"/>
                <w:color w:val="auto"/>
              </w:rPr>
              <w:t>厂区</w:t>
            </w:r>
            <w:r>
              <w:rPr>
                <w:rFonts w:hint="default" w:ascii="Times New Roman" w:hAnsi="Times New Roman" w:cs="Times New Roman"/>
                <w:color w:val="auto"/>
              </w:rPr>
              <w:t>内配备相应品种和数量的消防器材，预留必要的安全间距，远离火种和热源，防止阳光直射。</w:t>
            </w:r>
          </w:p>
          <w:p w14:paraId="1C486668">
            <w:pPr>
              <w:keepNext w:val="0"/>
              <w:keepLines w:val="0"/>
              <w:suppressLineNumbers w:val="0"/>
              <w:autoSpaceDE w:val="0"/>
              <w:autoSpaceDN w:val="0"/>
              <w:adjustRightInd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2）严格执行《建筑设计防火规范》（GB50016-2014）等相关要求，按有关安全规定配备使用、有效和足够的消防器材，以便能在起火之处迅速扑灭；消防设施、器材，由专人管理，负责检查、维修、保养、更换和添置，保证完好有效，严禁圈占、埋压和挪用。配备消防器材和消防设施；</w:t>
            </w:r>
            <w:r>
              <w:rPr>
                <w:rFonts w:hint="eastAsia" w:cs="Times New Roman"/>
                <w:color w:val="auto"/>
                <w:lang w:eastAsia="zh-CN"/>
              </w:rPr>
              <w:t>标识</w:t>
            </w:r>
            <w:r>
              <w:rPr>
                <w:rFonts w:hint="default" w:ascii="Times New Roman" w:hAnsi="Times New Roman" w:cs="Times New Roman"/>
                <w:color w:val="auto"/>
              </w:rPr>
              <w:t>明确，使用方便；在厂区内配备二氧化碳灭火器熄灭小型火灾。同时在电气设备火灾易发处配备干粉灭火器。厂区内各管道、设备保证良好接地，杜绝静电火花的产生。</w:t>
            </w:r>
          </w:p>
          <w:p w14:paraId="1EF0986F">
            <w:pPr>
              <w:keepNext w:val="0"/>
              <w:keepLines w:val="0"/>
              <w:suppressLineNumbers w:val="0"/>
              <w:autoSpaceDE w:val="0"/>
              <w:autoSpaceDN w:val="0"/>
              <w:adjustRightInd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3）</w:t>
            </w:r>
            <w:r>
              <w:rPr>
                <w:rFonts w:hint="eastAsia" w:ascii="Times New Roman" w:hAnsi="Times New Roman" w:cs="Times New Roman"/>
                <w:color w:val="auto"/>
              </w:rPr>
              <w:t>厂区</w:t>
            </w:r>
            <w:r>
              <w:rPr>
                <w:rFonts w:hint="default" w:ascii="Times New Roman" w:hAnsi="Times New Roman" w:cs="Times New Roman"/>
                <w:color w:val="auto"/>
              </w:rPr>
              <w:t>设置防火</w:t>
            </w:r>
            <w:r>
              <w:rPr>
                <w:rFonts w:hint="eastAsia" w:cs="Times New Roman"/>
                <w:color w:val="auto"/>
                <w:lang w:eastAsia="zh-CN"/>
              </w:rPr>
              <w:t>标识牌</w:t>
            </w:r>
            <w:r>
              <w:rPr>
                <w:rFonts w:hint="default" w:ascii="Times New Roman" w:hAnsi="Times New Roman" w:cs="Times New Roman"/>
                <w:color w:val="auto"/>
              </w:rPr>
              <w:t>和危险品防护标志；提高员工素质，增强安全意识。建立了严格的安全管理制度，同时按规定配备了劳动防护用品经常向职工进行安全和健康防护方面的教育。</w:t>
            </w:r>
          </w:p>
          <w:p w14:paraId="63AD7FB8">
            <w:pPr>
              <w:keepNext w:val="0"/>
              <w:keepLines w:val="0"/>
              <w:suppressLineNumbers w:val="0"/>
              <w:autoSpaceDE w:val="0"/>
              <w:autoSpaceDN w:val="0"/>
              <w:adjustRightInd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4）应严格按照国家有关消防安全的规定，制定消防灭火应急预案和快速有效的火灾事故应急救援预案，建立环境风险事故报警系统体系，确保各种通讯工具处于良好状态，并对工人进行火灾等紧急事态时的报警培训和消防灭火培训；同时，平时应</w:t>
            </w:r>
            <w:r>
              <w:rPr>
                <w:rFonts w:hint="eastAsia" w:ascii="Times New Roman" w:hAnsi="Times New Roman" w:cs="Times New Roman"/>
                <w:color w:val="auto"/>
                <w:lang w:eastAsia="zh-CN"/>
              </w:rPr>
              <w:t>做好</w:t>
            </w:r>
            <w:r>
              <w:rPr>
                <w:rFonts w:hint="default" w:ascii="Times New Roman" w:hAnsi="Times New Roman" w:cs="Times New Roman"/>
                <w:color w:val="auto"/>
              </w:rPr>
              <w:t>火灾事故消防演练，并对工人进行火灾事故自救和互救知识的宣传教育。</w:t>
            </w:r>
          </w:p>
          <w:p w14:paraId="15B09C78">
            <w:pPr>
              <w:keepNext w:val="0"/>
              <w:keepLines w:val="0"/>
              <w:suppressLineNumbers w:val="0"/>
              <w:autoSpaceDE w:val="0"/>
              <w:autoSpaceDN w:val="0"/>
              <w:adjustRightInd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5）严格按照生产管理制度执行，定期检查库房</w:t>
            </w:r>
            <w:r>
              <w:rPr>
                <w:rFonts w:hint="eastAsia" w:ascii="Times New Roman" w:hAnsi="Times New Roman" w:cs="Times New Roman"/>
                <w:color w:val="auto"/>
              </w:rPr>
              <w:t>，发现</w:t>
            </w:r>
            <w:r>
              <w:rPr>
                <w:rFonts w:hint="default" w:ascii="Times New Roman" w:hAnsi="Times New Roman" w:cs="Times New Roman"/>
                <w:color w:val="auto"/>
              </w:rPr>
              <w:t>设备损坏，立即采取措施。</w:t>
            </w:r>
          </w:p>
          <w:p w14:paraId="6FBEF1BF">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6）开展安全教育。新职工上岗前必须进行厂级、车间级、班组级三级安全教育。对新职工进行安全教育的内容包括劳动安全法律、法规，通用安全技术，本厂安全制度、工伤事故的案例，还要进行岗位安全操作规程、劳动安全防护用品的正确使用方法等内容的教育。企业的管理人员在任职时，也应接受安全教育。</w:t>
            </w:r>
          </w:p>
          <w:p w14:paraId="7547D081">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7）设置安全监察员。生产过程的每一个班组、每一道工序都应当设安全员，安全员的主要职责是监督检查安全生产情况，有权制止和责令改正不安全的行为和现象，对存在的重大事故隐患及时向有关部门和负责人报告，并参加事故的调查、处理等。</w:t>
            </w:r>
          </w:p>
          <w:p w14:paraId="773E3933">
            <w:pPr>
              <w:keepNext w:val="0"/>
              <w:keepLines w:val="0"/>
              <w:suppressLineNumbers w:val="0"/>
              <w:autoSpaceDE w:val="0"/>
              <w:autoSpaceDN w:val="0"/>
              <w:adjustRightInd w:val="0"/>
              <w:snapToGrid w:val="0"/>
              <w:spacing w:before="0" w:beforeAutospacing="0" w:after="0" w:afterAutospacing="0"/>
              <w:ind w:left="0" w:right="0" w:firstLine="480" w:firstLineChars="200"/>
              <w:jc w:val="left"/>
              <w:rPr>
                <w:rFonts w:hint="default" w:ascii="Times New Roman" w:hAnsi="Times New Roman" w:cs="Times New Roman"/>
                <w:color w:val="auto"/>
              </w:rPr>
            </w:pPr>
            <w:r>
              <w:rPr>
                <w:rFonts w:hint="default" w:ascii="Times New Roman" w:hAnsi="Times New Roman" w:cs="Times New Roman"/>
                <w:color w:val="auto"/>
                <w:kern w:val="0"/>
              </w:rPr>
              <w:t>8）建立健全安全生产制度。安全制度是企业经营发展的保障，是防患于未然的基础。各个工序要结合实际情况，</w:t>
            </w:r>
            <w:r>
              <w:rPr>
                <w:rFonts w:hint="eastAsia" w:cs="Times New Roman"/>
                <w:color w:val="auto"/>
                <w:kern w:val="0"/>
                <w:lang w:eastAsia="zh-CN"/>
              </w:rPr>
              <w:t>制定制度</w:t>
            </w:r>
            <w:r>
              <w:rPr>
                <w:rFonts w:hint="default" w:ascii="Times New Roman" w:hAnsi="Times New Roman" w:cs="Times New Roman"/>
                <w:color w:val="auto"/>
                <w:kern w:val="0"/>
              </w:rPr>
              <w:t>，对安全生产的内容能量化的要量化分析，推行安全目标管理责任制，签订责任书。各个不同的工作岗位要有不同的安全操作规程。张贴在工作现场，经常对照检查。要推行安全生产的互相监督，发现苗头及时提醒。要建立安全生产的统计、报告制度，将统计情况及时公布。</w:t>
            </w:r>
          </w:p>
          <w:p w14:paraId="6A154CBD">
            <w:pPr>
              <w:keepNext w:val="0"/>
              <w:keepLines w:val="0"/>
              <w:suppressLineNumbers w:val="0"/>
              <w:spacing w:before="0" w:beforeAutospacing="0" w:after="0" w:afterAutospacing="0"/>
              <w:ind w:left="0" w:right="0" w:firstLine="472" w:firstLineChars="196"/>
              <w:jc w:val="left"/>
              <w:rPr>
                <w:rFonts w:hint="eastAsia" w:ascii="Times New Roman" w:hAnsi="Times New Roman" w:cs="Times New Roman"/>
                <w:b/>
                <w:color w:val="auto"/>
              </w:rPr>
            </w:pPr>
            <w:r>
              <w:rPr>
                <w:rFonts w:hint="eastAsia" w:ascii="Times New Roman" w:hAnsi="Times New Roman" w:cs="Times New Roman"/>
                <w:b/>
                <w:color w:val="auto"/>
              </w:rPr>
              <w:t>（</w:t>
            </w:r>
            <w:r>
              <w:rPr>
                <w:rFonts w:hint="eastAsia" w:ascii="Times New Roman" w:hAnsi="Times New Roman" w:cs="Times New Roman"/>
                <w:b/>
                <w:color w:val="auto"/>
                <w:lang w:val="en-US" w:eastAsia="zh-CN"/>
              </w:rPr>
              <w:t>6</w:t>
            </w:r>
            <w:r>
              <w:rPr>
                <w:rFonts w:hint="eastAsia" w:ascii="Times New Roman" w:hAnsi="Times New Roman" w:cs="Times New Roman"/>
                <w:b/>
                <w:color w:val="auto"/>
              </w:rPr>
              <w:t>）管理对策措施</w:t>
            </w:r>
          </w:p>
          <w:p w14:paraId="01EC96F8">
            <w:pPr>
              <w:keepNext w:val="0"/>
              <w:keepLines w:val="0"/>
              <w:suppressLineNumbers w:val="0"/>
              <w:spacing w:before="0" w:beforeAutospacing="0" w:after="0" w:afterAutospacing="0"/>
              <w:ind w:left="0" w:right="0" w:firstLine="470" w:firstLineChars="196"/>
              <w:jc w:val="left"/>
              <w:rPr>
                <w:rFonts w:hint="eastAsia" w:ascii="Times New Roman" w:hAnsi="Times New Roman" w:cs="Times New Roman"/>
                <w:bCs/>
                <w:color w:val="auto"/>
              </w:rPr>
            </w:pPr>
            <w:r>
              <w:rPr>
                <w:rFonts w:hint="eastAsia" w:ascii="Times New Roman" w:hAnsi="Times New Roman" w:cs="Times New Roman"/>
                <w:bCs/>
                <w:color w:val="auto"/>
              </w:rPr>
              <w:t>加强员工的安全、环保知识和风险事故安全教育，</w:t>
            </w:r>
            <w:r>
              <w:rPr>
                <w:rFonts w:hint="eastAsia" w:cs="Times New Roman"/>
                <w:bCs/>
                <w:color w:val="auto"/>
                <w:lang w:eastAsia="zh-CN"/>
              </w:rPr>
              <w:t>增强</w:t>
            </w:r>
            <w:r>
              <w:rPr>
                <w:rFonts w:hint="eastAsia" w:ascii="Times New Roman" w:hAnsi="Times New Roman" w:cs="Times New Roman"/>
                <w:bCs/>
                <w:color w:val="auto"/>
              </w:rPr>
              <w:t>职工的风险意识，减少风险发生的概率。所有从业人员应当掌握本职工作所需要的危险化学品安全知识和技能，严格遵守危险化学品安全规章制度和操作规程，了解其他工作场所和工作存在的危险有害因素以及其他企业所采取的防范措施和环境突发事故应急措施。</w:t>
            </w:r>
          </w:p>
          <w:p w14:paraId="68074B37">
            <w:pPr>
              <w:keepNext w:val="0"/>
              <w:keepLines w:val="0"/>
              <w:suppressLineNumbers w:val="0"/>
              <w:spacing w:before="0" w:beforeAutospacing="0" w:after="0" w:afterAutospacing="0"/>
              <w:ind w:left="0" w:right="0" w:firstLine="470" w:firstLineChars="196"/>
              <w:jc w:val="left"/>
              <w:rPr>
                <w:rFonts w:hint="eastAsia" w:ascii="Times New Roman" w:hAnsi="Times New Roman" w:cs="Times New Roman"/>
                <w:bCs/>
                <w:color w:val="auto"/>
              </w:rPr>
            </w:pPr>
            <w:r>
              <w:rPr>
                <w:rFonts w:hint="eastAsia" w:ascii="Times New Roman" w:hAnsi="Times New Roman" w:cs="Times New Roman"/>
                <w:bCs/>
                <w:color w:val="auto"/>
              </w:rPr>
              <w:t>企业建设环境风险管理机构，建立健全各项管理制度，制定环境管理实施计划，对各项污染物、污染源进行定期监测，记录运行及监测数据，规范厂区排污口，设置明显的标志；吸取同类企业先进操作经验和污染控制技术，建立信息反馈中心，对生产中环保问题及时反馈。</w:t>
            </w:r>
          </w:p>
          <w:p w14:paraId="40ED23E1">
            <w:pPr>
              <w:keepNext w:val="0"/>
              <w:keepLines w:val="0"/>
              <w:suppressLineNumbers w:val="0"/>
              <w:spacing w:before="0" w:beforeAutospacing="0" w:after="0" w:afterAutospacing="0"/>
              <w:ind w:left="0" w:right="0" w:firstLine="470" w:firstLineChars="196"/>
              <w:jc w:val="left"/>
              <w:rPr>
                <w:rFonts w:hint="eastAsia" w:ascii="Times New Roman" w:hAnsi="Times New Roman" w:cs="Times New Roman"/>
                <w:bCs/>
                <w:color w:val="auto"/>
              </w:rPr>
            </w:pPr>
            <w:r>
              <w:rPr>
                <w:rFonts w:hint="eastAsia" w:ascii="Times New Roman" w:hAnsi="Times New Roman" w:cs="Times New Roman"/>
                <w:bCs/>
                <w:color w:val="auto"/>
              </w:rPr>
              <w:t>加强对安全管理的领导，建立健全各项安全、消防管理网络。建立健全各项安全管理制度：如防火，防爆、防雷电、防静电制度；</w:t>
            </w:r>
            <w:r>
              <w:rPr>
                <w:rFonts w:hint="eastAsia" w:ascii="Times New Roman" w:hAnsi="Times New Roman" w:cs="Times New Roman"/>
                <w:bCs/>
                <w:color w:val="auto"/>
                <w:lang w:eastAsia="zh-CN"/>
              </w:rPr>
              <w:t>岗位</w:t>
            </w:r>
            <w:r>
              <w:rPr>
                <w:rFonts w:hint="eastAsia" w:ascii="Times New Roman" w:hAnsi="Times New Roman" w:cs="Times New Roman"/>
                <w:bCs/>
                <w:color w:val="auto"/>
              </w:rPr>
              <w:t>责任制，安全教育，培训制度，原料及成品的运输、储存制度；设备、管道等设施的定期检验、维护和保养、检修制度；以及安全操作规程等。</w:t>
            </w:r>
          </w:p>
          <w:p w14:paraId="043DF348">
            <w:pPr>
              <w:keepNext w:val="0"/>
              <w:keepLines w:val="0"/>
              <w:suppressLineNumbers w:val="0"/>
              <w:spacing w:before="0" w:beforeAutospacing="0" w:after="0" w:afterAutospacing="0"/>
              <w:ind w:left="0" w:right="0" w:firstLine="472" w:firstLineChars="196"/>
              <w:jc w:val="left"/>
              <w:rPr>
                <w:rFonts w:hint="eastAsia" w:ascii="Times New Roman" w:hAnsi="Times New Roman" w:cs="Times New Roman"/>
                <w:b/>
                <w:color w:val="auto"/>
              </w:rPr>
            </w:pPr>
            <w:r>
              <w:rPr>
                <w:rFonts w:hint="eastAsia" w:ascii="Times New Roman" w:hAnsi="Times New Roman" w:cs="Times New Roman"/>
                <w:b/>
                <w:color w:val="auto"/>
                <w:lang w:val="en-US" w:eastAsia="zh-CN"/>
              </w:rPr>
              <w:t>4、</w:t>
            </w:r>
            <w:r>
              <w:rPr>
                <w:rFonts w:hint="eastAsia" w:ascii="Times New Roman" w:hAnsi="Times New Roman" w:cs="Times New Roman"/>
                <w:b/>
                <w:color w:val="auto"/>
              </w:rPr>
              <w:t>环境风险</w:t>
            </w:r>
            <w:r>
              <w:rPr>
                <w:rFonts w:hint="default" w:ascii="Times New Roman" w:hAnsi="Times New Roman" w:cs="Times New Roman"/>
                <w:b/>
                <w:color w:val="auto"/>
              </w:rPr>
              <w:t>应急预案</w:t>
            </w:r>
          </w:p>
          <w:p w14:paraId="42A7893A">
            <w:pPr>
              <w:keepNext w:val="0"/>
              <w:keepLines w:val="0"/>
              <w:numPr>
                <w:ilvl w:val="0"/>
                <w:numId w:val="0"/>
              </w:numPr>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建设单位应根据《国家突发公共事件总体应急预案</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国家事故应急预案框架指南</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突发公共卫生事件应急条例》等相关规定的要求，制订和完善本项目风险事故应急预案。制订应急预案的原则如下：</w:t>
            </w:r>
          </w:p>
          <w:p w14:paraId="2EA1D5E5">
            <w:pPr>
              <w:keepNext w:val="0"/>
              <w:keepLines w:val="0"/>
              <w:numPr>
                <w:ilvl w:val="0"/>
                <w:numId w:val="9"/>
              </w:numPr>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确定救援组织、队伍和联络方式；</w:t>
            </w:r>
          </w:p>
          <w:p w14:paraId="17EE6870">
            <w:pPr>
              <w:keepNext w:val="0"/>
              <w:keepLines w:val="0"/>
              <w:numPr>
                <w:ilvl w:val="0"/>
                <w:numId w:val="9"/>
              </w:numPr>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制定事故类型、等级和相应的应急响应程序；</w:t>
            </w:r>
          </w:p>
          <w:p w14:paraId="4AC56A86">
            <w:pPr>
              <w:keepNext w:val="0"/>
              <w:keepLines w:val="0"/>
              <w:numPr>
                <w:ilvl w:val="0"/>
                <w:numId w:val="9"/>
              </w:numPr>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配备必要的救灾防毒器具及防护用品；</w:t>
            </w:r>
          </w:p>
          <w:p w14:paraId="610419EB">
            <w:pPr>
              <w:keepNext w:val="0"/>
              <w:keepLines w:val="0"/>
              <w:numPr>
                <w:ilvl w:val="0"/>
                <w:numId w:val="9"/>
              </w:numPr>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对生产系统制定应急状态切断终止或自动报警连锁保护程序；</w:t>
            </w:r>
          </w:p>
          <w:p w14:paraId="7BC967AA">
            <w:pPr>
              <w:keepNext w:val="0"/>
              <w:keepLines w:val="0"/>
              <w:numPr>
                <w:ilvl w:val="0"/>
                <w:numId w:val="9"/>
              </w:numPr>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岗位培训和演习，设置事故应急学习手册及报告、记录和评估；</w:t>
            </w:r>
          </w:p>
          <w:p w14:paraId="39D893AE">
            <w:pPr>
              <w:keepNext w:val="0"/>
              <w:keepLines w:val="0"/>
              <w:numPr>
                <w:ilvl w:val="0"/>
                <w:numId w:val="9"/>
              </w:numPr>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制定区域防灾救援方案，</w:t>
            </w:r>
            <w:r>
              <w:rPr>
                <w:rFonts w:hint="eastAsia" w:ascii="Times New Roman" w:hAnsi="Times New Roman" w:eastAsia="宋体" w:cs="Times New Roman"/>
                <w:color w:val="auto"/>
                <w:sz w:val="24"/>
                <w:szCs w:val="24"/>
                <w:highlight w:val="none"/>
                <w:lang w:val="en-US" w:eastAsia="zh-CN"/>
              </w:rPr>
              <w:t>厂区内</w:t>
            </w:r>
            <w:r>
              <w:rPr>
                <w:rFonts w:hint="default" w:ascii="Times New Roman" w:hAnsi="Times New Roman" w:eastAsia="宋体" w:cs="Times New Roman"/>
                <w:color w:val="auto"/>
                <w:sz w:val="24"/>
                <w:szCs w:val="24"/>
                <w:highlight w:val="none"/>
                <w:lang w:val="en-US" w:eastAsia="zh-CN"/>
              </w:rPr>
              <w:t>外受影响人群的疏散、撤离方案，与当地政府、消防、环保和医疗救助等部门加强联系，以便风险事故发生时得到及时救援</w:t>
            </w:r>
            <w:r>
              <w:rPr>
                <w:rFonts w:hint="eastAsia" w:ascii="Times New Roman" w:hAnsi="Times New Roman" w:eastAsia="宋体" w:cs="Times New Roman"/>
                <w:color w:val="auto"/>
                <w:sz w:val="24"/>
                <w:szCs w:val="24"/>
                <w:highlight w:val="none"/>
                <w:lang w:val="en-US" w:eastAsia="zh-CN"/>
              </w:rPr>
              <w:t>。</w:t>
            </w:r>
          </w:p>
          <w:p w14:paraId="4DA0773A">
            <w:pPr>
              <w:keepNext w:val="0"/>
              <w:keepLines w:val="0"/>
              <w:numPr>
                <w:ilvl w:val="0"/>
                <w:numId w:val="0"/>
              </w:numPr>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企业</w:t>
            </w:r>
            <w:r>
              <w:rPr>
                <w:rFonts w:hint="default" w:ascii="Times New Roman" w:hAnsi="Times New Roman" w:eastAsia="宋体" w:cs="Times New Roman"/>
                <w:color w:val="auto"/>
                <w:sz w:val="24"/>
                <w:szCs w:val="24"/>
                <w:highlight w:val="none"/>
                <w:lang w:val="en-US" w:eastAsia="zh-CN"/>
              </w:rPr>
              <w:t>在制定环境风险应急预案时，除应按照上述原则进行</w:t>
            </w:r>
            <w:r>
              <w:rPr>
                <w:rFonts w:hint="eastAsia" w:ascii="Times New Roman" w:hAnsi="Times New Roman" w:cs="Times New Roman"/>
                <w:color w:val="auto"/>
                <w:sz w:val="24"/>
                <w:szCs w:val="24"/>
                <w:highlight w:val="none"/>
                <w:lang w:val="en-US" w:eastAsia="zh-CN"/>
              </w:rPr>
              <w:t>之</w:t>
            </w:r>
            <w:r>
              <w:rPr>
                <w:rFonts w:hint="default" w:ascii="Times New Roman" w:hAnsi="Times New Roman" w:eastAsia="宋体" w:cs="Times New Roman"/>
                <w:color w:val="auto"/>
                <w:sz w:val="24"/>
                <w:szCs w:val="24"/>
                <w:highlight w:val="none"/>
                <w:lang w:val="en-US" w:eastAsia="zh-CN"/>
              </w:rPr>
              <w:t>外，还应包括</w:t>
            </w:r>
            <w:r>
              <w:rPr>
                <w:rFonts w:hint="eastAsia"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lang w:val="en-US" w:eastAsia="zh-CN"/>
              </w:rPr>
              <w:t>表</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所示内容。</w:t>
            </w:r>
          </w:p>
          <w:p w14:paraId="05B1204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p>
          <w:p w14:paraId="494AD4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 xml:space="preserve">23 </w:t>
            </w:r>
            <w:r>
              <w:rPr>
                <w:rFonts w:hint="default" w:ascii="Times New Roman" w:hAnsi="Times New Roman" w:eastAsia="宋体" w:cs="Times New Roman"/>
                <w:b/>
                <w:bCs/>
                <w:color w:val="auto"/>
                <w:sz w:val="21"/>
                <w:szCs w:val="21"/>
                <w:highlight w:val="none"/>
                <w:lang w:val="en-US" w:eastAsia="zh-CN"/>
              </w:rPr>
              <w:t xml:space="preserve"> 突发环境事件应急预案的主要编制内容</w:t>
            </w:r>
          </w:p>
          <w:tbl>
            <w:tblPr>
              <w:tblStyle w:val="28"/>
              <w:tblW w:w="82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246"/>
              <w:gridCol w:w="5360"/>
            </w:tblGrid>
            <w:tr w14:paraId="2C904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77" w:type="dxa"/>
                  <w:tcBorders>
                    <w:tl2br w:val="nil"/>
                    <w:tr2bl w:val="nil"/>
                  </w:tcBorders>
                  <w:noWrap w:val="0"/>
                  <w:vAlign w:val="center"/>
                </w:tcPr>
                <w:p w14:paraId="2D22E9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246" w:type="dxa"/>
                  <w:tcBorders>
                    <w:tl2br w:val="nil"/>
                    <w:tr2bl w:val="nil"/>
                  </w:tcBorders>
                  <w:noWrap w:val="0"/>
                  <w:vAlign w:val="center"/>
                </w:tcPr>
                <w:p w14:paraId="72886B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5360" w:type="dxa"/>
                  <w:tcBorders>
                    <w:tl2br w:val="nil"/>
                    <w:tr2bl w:val="nil"/>
                  </w:tcBorders>
                  <w:noWrap w:val="0"/>
                  <w:vAlign w:val="center"/>
                </w:tcPr>
                <w:p w14:paraId="3D2636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内容及要求</w:t>
                  </w:r>
                </w:p>
              </w:tc>
            </w:tr>
            <w:tr w14:paraId="2A3F0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7" w:type="dxa"/>
                  <w:tcBorders>
                    <w:tl2br w:val="nil"/>
                    <w:tr2bl w:val="nil"/>
                  </w:tcBorders>
                  <w:noWrap w:val="0"/>
                  <w:vAlign w:val="center"/>
                </w:tcPr>
                <w:p w14:paraId="2FE960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246" w:type="dxa"/>
                  <w:tcBorders>
                    <w:tl2br w:val="nil"/>
                    <w:tr2bl w:val="nil"/>
                  </w:tcBorders>
                  <w:noWrap w:val="0"/>
                  <w:vAlign w:val="center"/>
                </w:tcPr>
                <w:p w14:paraId="1B335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总则</w:t>
                  </w:r>
                </w:p>
              </w:tc>
              <w:tc>
                <w:tcPr>
                  <w:tcW w:w="5360" w:type="dxa"/>
                  <w:tcBorders>
                    <w:tl2br w:val="nil"/>
                    <w:tr2bl w:val="nil"/>
                  </w:tcBorders>
                  <w:noWrap w:val="0"/>
                  <w:vAlign w:val="center"/>
                </w:tcPr>
                <w:p w14:paraId="14CD73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605D1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7" w:type="dxa"/>
                  <w:tcBorders>
                    <w:tl2br w:val="nil"/>
                    <w:tr2bl w:val="nil"/>
                  </w:tcBorders>
                  <w:noWrap w:val="0"/>
                  <w:vAlign w:val="center"/>
                </w:tcPr>
                <w:p w14:paraId="1EE9DB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246" w:type="dxa"/>
                  <w:tcBorders>
                    <w:tl2br w:val="nil"/>
                    <w:tr2bl w:val="nil"/>
                  </w:tcBorders>
                  <w:noWrap w:val="0"/>
                  <w:vAlign w:val="center"/>
                </w:tcPr>
                <w:p w14:paraId="7A343C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应急计划区</w:t>
                  </w:r>
                </w:p>
              </w:tc>
              <w:tc>
                <w:tcPr>
                  <w:tcW w:w="5360" w:type="dxa"/>
                  <w:tcBorders>
                    <w:tl2br w:val="nil"/>
                    <w:tr2bl w:val="nil"/>
                  </w:tcBorders>
                  <w:noWrap w:val="0"/>
                  <w:vAlign w:val="center"/>
                </w:tcPr>
                <w:p w14:paraId="2BEBDD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危险目标：</w:t>
                  </w:r>
                  <w:r>
                    <w:rPr>
                      <w:rFonts w:hint="eastAsia" w:ascii="Times New Roman" w:hAnsi="Times New Roman" w:cs="Times New Roman"/>
                      <w:color w:val="auto"/>
                      <w:sz w:val="21"/>
                      <w:szCs w:val="21"/>
                      <w:highlight w:val="none"/>
                      <w:lang w:val="en-US" w:eastAsia="zh-CN"/>
                    </w:rPr>
                    <w:t>危废暂存间、油类储存区</w:t>
                  </w:r>
                </w:p>
              </w:tc>
            </w:tr>
            <w:tr w14:paraId="57EAD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7" w:type="dxa"/>
                  <w:tcBorders>
                    <w:tl2br w:val="nil"/>
                    <w:tr2bl w:val="nil"/>
                  </w:tcBorders>
                  <w:noWrap w:val="0"/>
                  <w:vAlign w:val="center"/>
                </w:tcPr>
                <w:p w14:paraId="239834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246" w:type="dxa"/>
                  <w:tcBorders>
                    <w:tl2br w:val="nil"/>
                    <w:tr2bl w:val="nil"/>
                  </w:tcBorders>
                  <w:noWrap w:val="0"/>
                  <w:vAlign w:val="center"/>
                </w:tcPr>
                <w:p w14:paraId="65F977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应急组织                                       </w:t>
                  </w:r>
                </w:p>
              </w:tc>
              <w:tc>
                <w:tcPr>
                  <w:tcW w:w="5360" w:type="dxa"/>
                  <w:tcBorders>
                    <w:tl2br w:val="nil"/>
                    <w:tr2bl w:val="nil"/>
                  </w:tcBorders>
                  <w:noWrap w:val="0"/>
                  <w:vAlign w:val="center"/>
                </w:tcPr>
                <w:p w14:paraId="0A6963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由厂内专人负责</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负责现场全面指挥，专业救援队伍</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负责事故控制、救援和善后处理临近地区：由专人负责</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负责附近地区全面指挥，救援、管制和疏散 </w:t>
                  </w:r>
                </w:p>
              </w:tc>
            </w:tr>
            <w:tr w14:paraId="2429A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77" w:type="dxa"/>
                  <w:tcBorders>
                    <w:tl2br w:val="nil"/>
                    <w:tr2bl w:val="nil"/>
                  </w:tcBorders>
                  <w:noWrap w:val="0"/>
                  <w:vAlign w:val="center"/>
                </w:tcPr>
                <w:p w14:paraId="0CB95F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246" w:type="dxa"/>
                  <w:tcBorders>
                    <w:tl2br w:val="nil"/>
                    <w:tr2bl w:val="nil"/>
                  </w:tcBorders>
                  <w:noWrap w:val="0"/>
                  <w:vAlign w:val="center"/>
                </w:tcPr>
                <w:p w14:paraId="268639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应急状态分类应急响应程序</w:t>
                  </w:r>
                </w:p>
              </w:tc>
              <w:tc>
                <w:tcPr>
                  <w:tcW w:w="5360" w:type="dxa"/>
                  <w:tcBorders>
                    <w:tl2br w:val="nil"/>
                    <w:tr2bl w:val="nil"/>
                  </w:tcBorders>
                  <w:noWrap w:val="0"/>
                  <w:vAlign w:val="center"/>
                </w:tcPr>
                <w:p w14:paraId="5478D1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规定环境风险事故的级别及相应的应急状态分类，以此制定相应的应急响应程序</w:t>
                  </w:r>
                </w:p>
              </w:tc>
            </w:tr>
            <w:tr w14:paraId="4A42C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77" w:type="dxa"/>
                  <w:tcBorders>
                    <w:tl2br w:val="nil"/>
                    <w:tr2bl w:val="nil"/>
                  </w:tcBorders>
                  <w:noWrap w:val="0"/>
                  <w:vAlign w:val="center"/>
                </w:tcPr>
                <w:p w14:paraId="6645CA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246" w:type="dxa"/>
                  <w:tcBorders>
                    <w:tl2br w:val="nil"/>
                    <w:tr2bl w:val="nil"/>
                  </w:tcBorders>
                  <w:noWrap w:val="0"/>
                  <w:vAlign w:val="center"/>
                </w:tcPr>
                <w:p w14:paraId="2AB41B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应急设施设备与材料     </w:t>
                  </w:r>
                </w:p>
              </w:tc>
              <w:tc>
                <w:tcPr>
                  <w:tcW w:w="5360" w:type="dxa"/>
                  <w:tcBorders>
                    <w:tl2br w:val="nil"/>
                    <w:tr2bl w:val="nil"/>
                  </w:tcBorders>
                  <w:noWrap w:val="0"/>
                  <w:vAlign w:val="center"/>
                </w:tcPr>
                <w:p w14:paraId="5132F3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消防栓、灭火器等</w:t>
                  </w:r>
                </w:p>
              </w:tc>
            </w:tr>
            <w:tr w14:paraId="54C3B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77" w:type="dxa"/>
                  <w:tcBorders>
                    <w:tl2br w:val="nil"/>
                    <w:tr2bl w:val="nil"/>
                  </w:tcBorders>
                  <w:noWrap w:val="0"/>
                  <w:vAlign w:val="center"/>
                </w:tcPr>
                <w:p w14:paraId="043D6D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246" w:type="dxa"/>
                  <w:tcBorders>
                    <w:tl2br w:val="nil"/>
                    <w:tr2bl w:val="nil"/>
                  </w:tcBorders>
                  <w:noWrap w:val="0"/>
                  <w:vAlign w:val="center"/>
                </w:tcPr>
                <w:p w14:paraId="345986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应急通讯</w:t>
                  </w:r>
                </w:p>
                <w:p w14:paraId="0A3017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通告与交通   </w:t>
                  </w:r>
                </w:p>
              </w:tc>
              <w:tc>
                <w:tcPr>
                  <w:tcW w:w="5360" w:type="dxa"/>
                  <w:tcBorders>
                    <w:tl2br w:val="nil"/>
                    <w:tr2bl w:val="nil"/>
                  </w:tcBorders>
                  <w:noWrap w:val="0"/>
                  <w:vAlign w:val="center"/>
                </w:tcPr>
                <w:p w14:paraId="0CE10F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规定应急状态下的通讯、通告方式和交通保障、管制等事项</w:t>
                  </w:r>
                </w:p>
              </w:tc>
            </w:tr>
            <w:tr w14:paraId="1B3BE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dxa"/>
                  <w:tcBorders>
                    <w:tl2br w:val="nil"/>
                    <w:tr2bl w:val="nil"/>
                  </w:tcBorders>
                  <w:noWrap w:val="0"/>
                  <w:vAlign w:val="center"/>
                </w:tcPr>
                <w:p w14:paraId="23EC66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246" w:type="dxa"/>
                  <w:tcBorders>
                    <w:tl2br w:val="nil"/>
                    <w:tr2bl w:val="nil"/>
                  </w:tcBorders>
                  <w:noWrap w:val="0"/>
                  <w:vAlign w:val="center"/>
                </w:tcPr>
                <w:p w14:paraId="604E15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应急环境监测及事故后评估</w:t>
                  </w:r>
                </w:p>
              </w:tc>
              <w:tc>
                <w:tcPr>
                  <w:tcW w:w="5360" w:type="dxa"/>
                  <w:tcBorders>
                    <w:tl2br w:val="nil"/>
                    <w:tr2bl w:val="nil"/>
                  </w:tcBorders>
                  <w:noWrap w:val="0"/>
                  <w:vAlign w:val="center"/>
                </w:tcPr>
                <w:p w14:paraId="5E3559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由专业人员对环境风险事故现场进行应急监测，对事故性质、严重程度等所造成的环境危害后果进行评估，吸取经验教训</w:t>
                  </w:r>
                  <w:r>
                    <w:rPr>
                      <w:rFonts w:hint="eastAsia" w:ascii="Times New Roman" w:hAnsi="Times New Roman" w:cs="Times New Roman"/>
                      <w:color w:val="auto"/>
                      <w:sz w:val="21"/>
                      <w:szCs w:val="21"/>
                      <w:highlight w:val="none"/>
                      <w:lang w:val="en-US" w:eastAsia="zh-CN"/>
                    </w:rPr>
                    <w:t>以免</w:t>
                  </w:r>
                  <w:r>
                    <w:rPr>
                      <w:rFonts w:hint="default" w:ascii="Times New Roman" w:hAnsi="Times New Roman" w:eastAsia="宋体" w:cs="Times New Roman"/>
                      <w:color w:val="auto"/>
                      <w:sz w:val="21"/>
                      <w:szCs w:val="21"/>
                      <w:highlight w:val="none"/>
                    </w:rPr>
                    <w:t>再次发生事故，为指挥部门提供决策依据</w:t>
                  </w:r>
                </w:p>
              </w:tc>
            </w:tr>
            <w:tr w14:paraId="3E06C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677" w:type="dxa"/>
                  <w:tcBorders>
                    <w:tl2br w:val="nil"/>
                    <w:tr2bl w:val="nil"/>
                  </w:tcBorders>
                  <w:noWrap w:val="0"/>
                  <w:vAlign w:val="center"/>
                </w:tcPr>
                <w:p w14:paraId="3954CE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2246" w:type="dxa"/>
                  <w:tcBorders>
                    <w:tl2br w:val="nil"/>
                    <w:tr2bl w:val="nil"/>
                  </w:tcBorders>
                  <w:noWrap w:val="0"/>
                  <w:vAlign w:val="center"/>
                </w:tcPr>
                <w:p w14:paraId="2355B6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应急剂量控制撤离组织计划医疗救护与保护公众健康</w:t>
                  </w:r>
                </w:p>
              </w:tc>
              <w:tc>
                <w:tcPr>
                  <w:tcW w:w="5360" w:type="dxa"/>
                  <w:tcBorders>
                    <w:tl2br w:val="nil"/>
                    <w:tr2bl w:val="nil"/>
                  </w:tcBorders>
                  <w:noWrap w:val="0"/>
                  <w:vAlign w:val="center"/>
                </w:tcPr>
                <w:p w14:paraId="77399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事故现场：事故处理人员现场及临近装置人员的撤离组织计划和紧急救护方案临近地区：制定受事故影响的临近地区内人员对公众的疏散组织计划和紧急救护方案</w:t>
                  </w:r>
                </w:p>
              </w:tc>
            </w:tr>
            <w:tr w14:paraId="4BB9A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677" w:type="dxa"/>
                  <w:tcBorders>
                    <w:tl2br w:val="nil"/>
                    <w:tr2bl w:val="nil"/>
                  </w:tcBorders>
                  <w:noWrap w:val="0"/>
                  <w:vAlign w:val="center"/>
                </w:tcPr>
                <w:p w14:paraId="3BE4EA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2246" w:type="dxa"/>
                  <w:tcBorders>
                    <w:tl2br w:val="nil"/>
                    <w:tr2bl w:val="nil"/>
                  </w:tcBorders>
                  <w:noWrap w:val="0"/>
                  <w:vAlign w:val="center"/>
                </w:tcPr>
                <w:p w14:paraId="47E1E5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应急状态中止恢复措施 </w:t>
                  </w:r>
                </w:p>
              </w:tc>
              <w:tc>
                <w:tcPr>
                  <w:tcW w:w="5360" w:type="dxa"/>
                  <w:tcBorders>
                    <w:tl2br w:val="nil"/>
                    <w:tr2bl w:val="nil"/>
                  </w:tcBorders>
                  <w:noWrap w:val="0"/>
                  <w:vAlign w:val="center"/>
                </w:tcPr>
                <w:p w14:paraId="253313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事故现场：规定应急状态终止秩序：事故现场善后处理，恢复生产措施；临近地区：解除事故警戒、公众返回和善后恢复措施</w:t>
                  </w:r>
                </w:p>
              </w:tc>
            </w:tr>
            <w:tr w14:paraId="5C468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677" w:type="dxa"/>
                  <w:tcBorders>
                    <w:tl2br w:val="nil"/>
                    <w:tr2bl w:val="nil"/>
                  </w:tcBorders>
                  <w:noWrap w:val="0"/>
                  <w:vAlign w:val="center"/>
                </w:tcPr>
                <w:p w14:paraId="040DF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246" w:type="dxa"/>
                  <w:tcBorders>
                    <w:tl2br w:val="nil"/>
                    <w:tr2bl w:val="nil"/>
                  </w:tcBorders>
                  <w:noWrap w:val="0"/>
                  <w:vAlign w:val="center"/>
                </w:tcPr>
                <w:p w14:paraId="0CF055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人员培训与演习</w:t>
                  </w:r>
                </w:p>
              </w:tc>
              <w:tc>
                <w:tcPr>
                  <w:tcW w:w="5360" w:type="dxa"/>
                  <w:tcBorders>
                    <w:tl2br w:val="nil"/>
                    <w:tr2bl w:val="nil"/>
                  </w:tcBorders>
                  <w:noWrap w:val="0"/>
                  <w:vAlign w:val="center"/>
                </w:tcPr>
                <w:p w14:paraId="5DD39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应急计划制定后，平时安排事故处理人员进行相关知识培训进行事故应急处理演习；对厂区内工人进行安全卫生教育</w:t>
                  </w:r>
                </w:p>
              </w:tc>
            </w:tr>
            <w:tr w14:paraId="73A29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77" w:type="dxa"/>
                  <w:tcBorders>
                    <w:tl2br w:val="nil"/>
                    <w:tr2bl w:val="nil"/>
                  </w:tcBorders>
                  <w:noWrap w:val="0"/>
                  <w:vAlign w:val="center"/>
                </w:tcPr>
                <w:p w14:paraId="3DA85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2246" w:type="dxa"/>
                  <w:tcBorders>
                    <w:tl2br w:val="nil"/>
                    <w:tr2bl w:val="nil"/>
                  </w:tcBorders>
                  <w:noWrap w:val="0"/>
                  <w:vAlign w:val="center"/>
                </w:tcPr>
                <w:p w14:paraId="3C58C5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公众教育信息发布</w:t>
                  </w:r>
                </w:p>
              </w:tc>
              <w:tc>
                <w:tcPr>
                  <w:tcW w:w="5360" w:type="dxa"/>
                  <w:tcBorders>
                    <w:tl2br w:val="nil"/>
                    <w:tr2bl w:val="nil"/>
                  </w:tcBorders>
                  <w:noWrap w:val="0"/>
                  <w:vAlign w:val="center"/>
                </w:tcPr>
                <w:p w14:paraId="750E30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对厂区临近地区公众开展环境风险事故预防教育、应急知识培训并定期发布相关信息</w:t>
                  </w:r>
                </w:p>
              </w:tc>
            </w:tr>
            <w:tr w14:paraId="2EFBF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77" w:type="dxa"/>
                  <w:tcBorders>
                    <w:tl2br w:val="nil"/>
                    <w:tr2bl w:val="nil"/>
                  </w:tcBorders>
                  <w:noWrap w:val="0"/>
                  <w:vAlign w:val="center"/>
                </w:tcPr>
                <w:p w14:paraId="2E1281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2246" w:type="dxa"/>
                  <w:tcBorders>
                    <w:tl2br w:val="nil"/>
                    <w:tr2bl w:val="nil"/>
                  </w:tcBorders>
                  <w:noWrap w:val="0"/>
                  <w:vAlign w:val="center"/>
                </w:tcPr>
                <w:p w14:paraId="4A9E6B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记录和报告                                                </w:t>
                  </w:r>
                </w:p>
              </w:tc>
              <w:tc>
                <w:tcPr>
                  <w:tcW w:w="5360" w:type="dxa"/>
                  <w:tcBorders>
                    <w:tl2br w:val="nil"/>
                    <w:tr2bl w:val="nil"/>
                  </w:tcBorders>
                  <w:noWrap w:val="0"/>
                  <w:vAlign w:val="center"/>
                </w:tcPr>
                <w:p w14:paraId="381209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设应急事故专门记录，建立档案和报告制度，设专门部门负责管理</w:t>
                  </w:r>
                </w:p>
              </w:tc>
            </w:tr>
          </w:tbl>
          <w:p w14:paraId="72140034">
            <w:pPr>
              <w:keepNext w:val="0"/>
              <w:keepLines w:val="0"/>
              <w:suppressLineNumbers w:val="0"/>
              <w:adjustRightInd w:val="0"/>
              <w:snapToGrid w:val="0"/>
              <w:spacing w:before="0" w:beforeAutospacing="0" w:after="0" w:afterAutospacing="0"/>
              <w:ind w:left="0" w:right="0" w:firstLine="482" w:firstLineChars="200"/>
              <w:rPr>
                <w:rFonts w:hint="default" w:ascii="Times New Roman" w:hAnsi="Times New Roman" w:cs="Times New Roman"/>
                <w:b/>
                <w:color w:val="auto"/>
              </w:rPr>
            </w:pPr>
            <w:r>
              <w:rPr>
                <w:rFonts w:hint="eastAsia" w:ascii="Times New Roman" w:hAnsi="Times New Roman" w:cs="Times New Roman"/>
                <w:b/>
                <w:color w:val="auto"/>
                <w:lang w:val="en-US" w:eastAsia="zh-CN"/>
              </w:rPr>
              <w:t>5、</w:t>
            </w:r>
            <w:r>
              <w:rPr>
                <w:rFonts w:hint="eastAsia" w:ascii="Times New Roman" w:hAnsi="Times New Roman" w:cs="Times New Roman"/>
                <w:b/>
                <w:color w:val="auto"/>
              </w:rPr>
              <w:t>环境风险</w:t>
            </w:r>
            <w:r>
              <w:rPr>
                <w:rFonts w:hint="default" w:ascii="Times New Roman" w:hAnsi="Times New Roman" w:cs="Times New Roman"/>
                <w:b/>
                <w:color w:val="auto"/>
              </w:rPr>
              <w:t>分析结论</w:t>
            </w:r>
          </w:p>
          <w:p w14:paraId="30DAB0F6">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综上所述，项目营运过程中存在着一定的环境风险，但项目无重大危险源，故只要加强管理，建立健全相应的风险防范管理、应急措施，并在管理及运行中认真落实工程安全措施、环保措施及评价所提出的风险防范、管理措施，制定相应的事故应急预案，则其在营运期的环境风险可接受，并且其环境风险事故隐患可降至最低。</w:t>
            </w:r>
          </w:p>
          <w:p w14:paraId="29C95E9B">
            <w:pPr>
              <w:keepNext w:val="0"/>
              <w:keepLines w:val="0"/>
              <w:suppressLineNumbers w:val="0"/>
              <w:adjustRightInd w:val="0"/>
              <w:snapToGrid w:val="0"/>
              <w:spacing w:before="0" w:beforeAutospacing="0" w:after="0" w:afterAutospacing="0"/>
              <w:ind w:left="0" w:right="0" w:firstLine="482" w:firstLineChars="200"/>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七、排污口规范化</w:t>
            </w:r>
          </w:p>
          <w:p w14:paraId="763FD873">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建设单位</w:t>
            </w:r>
            <w:r>
              <w:rPr>
                <w:rFonts w:hint="eastAsia" w:ascii="Times New Roman" w:hAnsi="Times New Roman" w:cs="Times New Roman"/>
                <w:color w:val="auto"/>
                <w:lang w:val="en-US" w:eastAsia="zh-CN"/>
              </w:rPr>
              <w:t>应</w:t>
            </w:r>
            <w:r>
              <w:rPr>
                <w:rFonts w:hint="default" w:ascii="Times New Roman" w:hAnsi="Times New Roman" w:cs="Times New Roman"/>
                <w:color w:val="auto"/>
                <w:lang w:val="en-US" w:eastAsia="zh-CN"/>
              </w:rPr>
              <w:t>按要求在各污染源车间外及固体废物暂存场等设置明显的环境保护图形标志牌，设置规范的监测口，服务于后续监测采样。</w:t>
            </w:r>
          </w:p>
          <w:p w14:paraId="734750F0">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排气筒应设置便于采样、监测的采样口，采样口的设置应符合《污染源监测技术规范》中采样位置（设置在距弯头、阀门、变径管下游方向不小于6倍直径，和距上述部件上游方向不小于3倍处）及采样口（采样孔内径不小于80mm，采样孔管长不应大于50mm）的要求。</w:t>
            </w:r>
          </w:p>
          <w:p w14:paraId="48207EA8">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本项目排污口设置牌可参照以下标识设置</w:t>
            </w:r>
            <w:r>
              <w:rPr>
                <w:rFonts w:hint="eastAsia" w:ascii="Times New Roman" w:hAnsi="Times New Roman" w:cs="Times New Roman"/>
                <w:color w:val="auto"/>
                <w:lang w:val="en-US" w:eastAsia="zh-CN"/>
              </w:rPr>
              <w:t>。</w:t>
            </w:r>
          </w:p>
          <w:p w14:paraId="2D53AAD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表</w:t>
            </w:r>
            <w:r>
              <w:rPr>
                <w:rFonts w:hint="default" w:ascii="Times New Roman" w:hAnsi="Times New Roman" w:eastAsia="宋体" w:cs="Times New Roman"/>
                <w:b/>
                <w:bCs/>
                <w:color w:val="auto"/>
                <w:sz w:val="21"/>
                <w:szCs w:val="21"/>
                <w:lang w:val="en-US" w:eastAsia="zh-CN"/>
              </w:rPr>
              <w:t>4-2</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 xml:space="preserve"> 排放源图形标识</w:t>
            </w:r>
          </w:p>
          <w:tbl>
            <w:tblPr>
              <w:tblStyle w:val="29"/>
              <w:tblW w:w="829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770"/>
              <w:gridCol w:w="1665"/>
              <w:gridCol w:w="1865"/>
              <w:gridCol w:w="1867"/>
            </w:tblGrid>
            <w:tr w14:paraId="7DB2E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0" w:type="dxa"/>
                  <w:tcBorders>
                    <w:tl2br w:val="nil"/>
                    <w:tr2bl w:val="nil"/>
                  </w:tcBorders>
                  <w:noWrap w:val="0"/>
                  <w:vAlign w:val="center"/>
                </w:tcPr>
                <w:p w14:paraId="2E80434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排放口</w:t>
                  </w:r>
                </w:p>
              </w:tc>
              <w:tc>
                <w:tcPr>
                  <w:tcW w:w="1770" w:type="dxa"/>
                  <w:tcBorders>
                    <w:tl2br w:val="nil"/>
                    <w:tr2bl w:val="nil"/>
                  </w:tcBorders>
                  <w:noWrap w:val="0"/>
                  <w:vAlign w:val="center"/>
                </w:tcPr>
                <w:p w14:paraId="4CBFFF9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废水排口</w:t>
                  </w:r>
                </w:p>
              </w:tc>
              <w:tc>
                <w:tcPr>
                  <w:tcW w:w="1665" w:type="dxa"/>
                  <w:tcBorders>
                    <w:tl2br w:val="nil"/>
                    <w:tr2bl w:val="nil"/>
                  </w:tcBorders>
                  <w:noWrap w:val="0"/>
                  <w:vAlign w:val="center"/>
                </w:tcPr>
                <w:p w14:paraId="56FA910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w:t>
                  </w:r>
                  <w:r>
                    <w:rPr>
                      <w:rFonts w:hint="eastAsia" w:cs="Times New Roman"/>
                      <w:color w:val="auto"/>
                      <w:sz w:val="21"/>
                      <w:szCs w:val="21"/>
                      <w:vertAlign w:val="baseline"/>
                      <w:lang w:val="en-US" w:eastAsia="zh-CN"/>
                    </w:rPr>
                    <w:t>气</w:t>
                  </w:r>
                  <w:r>
                    <w:rPr>
                      <w:rFonts w:hint="eastAsia" w:ascii="Times New Roman" w:hAnsi="Times New Roman" w:cs="Times New Roman"/>
                      <w:color w:val="auto"/>
                      <w:sz w:val="21"/>
                      <w:szCs w:val="21"/>
                      <w:vertAlign w:val="baseline"/>
                      <w:lang w:val="en-US" w:eastAsia="zh-CN"/>
                    </w:rPr>
                    <w:t>排口</w:t>
                  </w:r>
                </w:p>
              </w:tc>
              <w:tc>
                <w:tcPr>
                  <w:tcW w:w="1865" w:type="dxa"/>
                  <w:tcBorders>
                    <w:tl2br w:val="nil"/>
                    <w:tr2bl w:val="nil"/>
                  </w:tcBorders>
                  <w:noWrap w:val="0"/>
                  <w:vAlign w:val="center"/>
                </w:tcPr>
                <w:p w14:paraId="79BC3B3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噪声源</w:t>
                  </w:r>
                </w:p>
              </w:tc>
              <w:tc>
                <w:tcPr>
                  <w:tcW w:w="1867" w:type="dxa"/>
                  <w:tcBorders>
                    <w:tl2br w:val="nil"/>
                    <w:tr2bl w:val="nil"/>
                  </w:tcBorders>
                  <w:noWrap w:val="0"/>
                  <w:vAlign w:val="center"/>
                </w:tcPr>
                <w:p w14:paraId="7E5146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一般固废排放源</w:t>
                  </w:r>
                </w:p>
              </w:tc>
            </w:tr>
            <w:tr w14:paraId="5AA33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0" w:type="dxa"/>
                  <w:tcBorders>
                    <w:tl2br w:val="nil"/>
                    <w:tr2bl w:val="nil"/>
                  </w:tcBorders>
                  <w:noWrap w:val="0"/>
                  <w:vAlign w:val="center"/>
                </w:tcPr>
                <w:p w14:paraId="510D488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图形符号</w:t>
                  </w:r>
                </w:p>
              </w:tc>
              <w:tc>
                <w:tcPr>
                  <w:tcW w:w="1770" w:type="dxa"/>
                  <w:tcBorders>
                    <w:tl2br w:val="nil"/>
                    <w:tr2bl w:val="nil"/>
                  </w:tcBorders>
                  <w:noWrap w:val="0"/>
                  <w:vAlign w:val="center"/>
                </w:tcPr>
                <w:p w14:paraId="0F7D375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rPr>
                    <w:drawing>
                      <wp:inline distT="0" distB="0" distL="114300" distR="114300">
                        <wp:extent cx="986790" cy="1002665"/>
                        <wp:effectExtent l="0" t="0" r="3810" b="6985"/>
                        <wp:docPr id="2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3"/>
                                <pic:cNvPicPr>
                                  <a:picLocks noChangeAspect="1"/>
                                </pic:cNvPicPr>
                              </pic:nvPicPr>
                              <pic:blipFill>
                                <a:blip r:embed="rId39"/>
                                <a:stretch>
                                  <a:fillRect/>
                                </a:stretch>
                              </pic:blipFill>
                              <pic:spPr>
                                <a:xfrm>
                                  <a:off x="0" y="0"/>
                                  <a:ext cx="986790" cy="1002665"/>
                                </a:xfrm>
                                <a:prstGeom prst="rect">
                                  <a:avLst/>
                                </a:prstGeom>
                                <a:noFill/>
                                <a:ln>
                                  <a:noFill/>
                                </a:ln>
                              </pic:spPr>
                            </pic:pic>
                          </a:graphicData>
                        </a:graphic>
                      </wp:inline>
                    </w:drawing>
                  </w:r>
                </w:p>
              </w:tc>
              <w:tc>
                <w:tcPr>
                  <w:tcW w:w="1665" w:type="dxa"/>
                  <w:tcBorders>
                    <w:tl2br w:val="nil"/>
                    <w:tr2bl w:val="nil"/>
                  </w:tcBorders>
                  <w:noWrap w:val="0"/>
                  <w:vAlign w:val="center"/>
                </w:tcPr>
                <w:p w14:paraId="0AA76AB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rPr>
                    <w:drawing>
                      <wp:inline distT="0" distB="0" distL="114300" distR="114300">
                        <wp:extent cx="1075055" cy="981710"/>
                        <wp:effectExtent l="0" t="0" r="10795" b="8890"/>
                        <wp:docPr id="2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7"/>
                                <pic:cNvPicPr>
                                  <a:picLocks noChangeAspect="1"/>
                                </pic:cNvPicPr>
                              </pic:nvPicPr>
                              <pic:blipFill>
                                <a:blip r:embed="rId40"/>
                                <a:stretch>
                                  <a:fillRect/>
                                </a:stretch>
                              </pic:blipFill>
                              <pic:spPr>
                                <a:xfrm>
                                  <a:off x="0" y="0"/>
                                  <a:ext cx="1075055" cy="981710"/>
                                </a:xfrm>
                                <a:prstGeom prst="rect">
                                  <a:avLst/>
                                </a:prstGeom>
                                <a:noFill/>
                                <a:ln>
                                  <a:noFill/>
                                </a:ln>
                              </pic:spPr>
                            </pic:pic>
                          </a:graphicData>
                        </a:graphic>
                      </wp:inline>
                    </w:drawing>
                  </w:r>
                </w:p>
              </w:tc>
              <w:tc>
                <w:tcPr>
                  <w:tcW w:w="1865" w:type="dxa"/>
                  <w:tcBorders>
                    <w:tl2br w:val="nil"/>
                    <w:tr2bl w:val="nil"/>
                  </w:tcBorders>
                  <w:noWrap w:val="0"/>
                  <w:vAlign w:val="center"/>
                </w:tcPr>
                <w:p w14:paraId="0E0EC1F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rPr>
                    <w:drawing>
                      <wp:inline distT="0" distB="0" distL="114300" distR="114300">
                        <wp:extent cx="970915" cy="975995"/>
                        <wp:effectExtent l="0" t="0" r="635" b="14605"/>
                        <wp:docPr id="2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5"/>
                                <pic:cNvPicPr>
                                  <a:picLocks noChangeAspect="1"/>
                                </pic:cNvPicPr>
                              </pic:nvPicPr>
                              <pic:blipFill>
                                <a:blip r:embed="rId41"/>
                                <a:stretch>
                                  <a:fillRect/>
                                </a:stretch>
                              </pic:blipFill>
                              <pic:spPr>
                                <a:xfrm>
                                  <a:off x="0" y="0"/>
                                  <a:ext cx="970915" cy="975995"/>
                                </a:xfrm>
                                <a:prstGeom prst="rect">
                                  <a:avLst/>
                                </a:prstGeom>
                                <a:noFill/>
                                <a:ln>
                                  <a:noFill/>
                                </a:ln>
                              </pic:spPr>
                            </pic:pic>
                          </a:graphicData>
                        </a:graphic>
                      </wp:inline>
                    </w:drawing>
                  </w:r>
                </w:p>
              </w:tc>
              <w:tc>
                <w:tcPr>
                  <w:tcW w:w="1867" w:type="dxa"/>
                  <w:tcBorders>
                    <w:tl2br w:val="nil"/>
                    <w:tr2bl w:val="nil"/>
                  </w:tcBorders>
                  <w:noWrap w:val="0"/>
                  <w:vAlign w:val="center"/>
                </w:tcPr>
                <w:p w14:paraId="5419E8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rPr>
                    <w:drawing>
                      <wp:inline distT="0" distB="0" distL="114300" distR="114300">
                        <wp:extent cx="1047750" cy="1006475"/>
                        <wp:effectExtent l="0" t="0" r="0" b="3175"/>
                        <wp:docPr id="3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6"/>
                                <pic:cNvPicPr>
                                  <a:picLocks noChangeAspect="1"/>
                                </pic:cNvPicPr>
                              </pic:nvPicPr>
                              <pic:blipFill>
                                <a:blip r:embed="rId42"/>
                                <a:stretch>
                                  <a:fillRect/>
                                </a:stretch>
                              </pic:blipFill>
                              <pic:spPr>
                                <a:xfrm>
                                  <a:off x="0" y="0"/>
                                  <a:ext cx="1047750" cy="1006475"/>
                                </a:xfrm>
                                <a:prstGeom prst="rect">
                                  <a:avLst/>
                                </a:prstGeom>
                                <a:noFill/>
                                <a:ln>
                                  <a:noFill/>
                                </a:ln>
                              </pic:spPr>
                            </pic:pic>
                          </a:graphicData>
                        </a:graphic>
                      </wp:inline>
                    </w:drawing>
                  </w:r>
                </w:p>
              </w:tc>
            </w:tr>
            <w:tr w14:paraId="5951D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0" w:type="dxa"/>
                  <w:tcBorders>
                    <w:tl2br w:val="nil"/>
                    <w:tr2bl w:val="nil"/>
                  </w:tcBorders>
                  <w:noWrap w:val="0"/>
                  <w:vAlign w:val="center"/>
                </w:tcPr>
                <w:p w14:paraId="1C12E27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图形颜色</w:t>
                  </w:r>
                </w:p>
              </w:tc>
              <w:tc>
                <w:tcPr>
                  <w:tcW w:w="7167" w:type="dxa"/>
                  <w:gridSpan w:val="4"/>
                  <w:tcBorders>
                    <w:tl2br w:val="nil"/>
                    <w:tr2bl w:val="nil"/>
                  </w:tcBorders>
                  <w:noWrap w:val="0"/>
                  <w:vAlign w:val="center"/>
                </w:tcPr>
                <w:p w14:paraId="5DFCED5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白色</w:t>
                  </w:r>
                </w:p>
              </w:tc>
            </w:tr>
            <w:tr w14:paraId="1A972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0" w:type="dxa"/>
                  <w:tcBorders>
                    <w:tl2br w:val="nil"/>
                    <w:tr2bl w:val="nil"/>
                  </w:tcBorders>
                  <w:noWrap w:val="0"/>
                  <w:vAlign w:val="center"/>
                </w:tcPr>
                <w:p w14:paraId="4AAB7A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背景颜色</w:t>
                  </w:r>
                </w:p>
              </w:tc>
              <w:tc>
                <w:tcPr>
                  <w:tcW w:w="7167" w:type="dxa"/>
                  <w:gridSpan w:val="4"/>
                  <w:tcBorders>
                    <w:tl2br w:val="nil"/>
                    <w:tr2bl w:val="nil"/>
                  </w:tcBorders>
                  <w:noWrap w:val="0"/>
                  <w:vAlign w:val="center"/>
                </w:tcPr>
                <w:p w14:paraId="2D2D5D9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绿色</w:t>
                  </w:r>
                </w:p>
              </w:tc>
            </w:tr>
          </w:tbl>
          <w:p w14:paraId="0E2FC762">
            <w:pPr>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本项目危险废物标识牌应参照《危险废物识别标志设置技术规范》（</w:t>
            </w:r>
            <w:r>
              <w:rPr>
                <w:rFonts w:hint="default" w:ascii="Times New Roman" w:hAnsi="Times New Roman" w:eastAsia="宋体" w:cs="Times New Roman"/>
                <w:color w:val="auto"/>
                <w:lang w:val="en-US" w:eastAsia="zh-CN"/>
              </w:rPr>
              <w:t>HJ1276-2022</w:t>
            </w:r>
            <w:r>
              <w:rPr>
                <w:rFonts w:hint="eastAsia" w:ascii="Times New Roman" w:hAnsi="Times New Roman" w:eastAsia="宋体" w:cs="Times New Roman"/>
                <w:color w:val="auto"/>
                <w:lang w:val="en-US" w:eastAsia="zh-CN"/>
              </w:rPr>
              <w:t>）设置，见下表。</w:t>
            </w:r>
          </w:p>
          <w:p w14:paraId="28507F6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表 </w:t>
            </w:r>
            <w:r>
              <w:rPr>
                <w:rFonts w:hint="default" w:ascii="Times New Roman" w:hAnsi="Times New Roman" w:eastAsia="宋体" w:cs="Times New Roman"/>
                <w:b/>
                <w:bCs/>
                <w:color w:val="auto"/>
                <w:sz w:val="21"/>
                <w:szCs w:val="21"/>
                <w:lang w:val="en-US" w:eastAsia="zh-CN"/>
              </w:rPr>
              <w:t>4-2</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排放源图形标识</w:t>
            </w:r>
          </w:p>
          <w:tbl>
            <w:tblPr>
              <w:tblStyle w:val="29"/>
              <w:tblW w:w="829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4395"/>
              <w:gridCol w:w="1137"/>
            </w:tblGrid>
            <w:tr w14:paraId="3A660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5" w:type="dxa"/>
                  <w:tcBorders>
                    <w:tl2br w:val="nil"/>
                    <w:tr2bl w:val="nil"/>
                  </w:tcBorders>
                  <w:noWrap w:val="0"/>
                  <w:vAlign w:val="center"/>
                </w:tcPr>
                <w:p w14:paraId="7844C37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标牌</w:t>
                  </w:r>
                </w:p>
              </w:tc>
              <w:tc>
                <w:tcPr>
                  <w:tcW w:w="4395" w:type="dxa"/>
                  <w:tcBorders>
                    <w:tl2br w:val="nil"/>
                    <w:tr2bl w:val="nil"/>
                  </w:tcBorders>
                  <w:noWrap w:val="0"/>
                  <w:vAlign w:val="center"/>
                </w:tcPr>
                <w:p w14:paraId="1051DB6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说明</w:t>
                  </w:r>
                </w:p>
              </w:tc>
              <w:tc>
                <w:tcPr>
                  <w:tcW w:w="1137" w:type="dxa"/>
                  <w:tcBorders>
                    <w:tl2br w:val="nil"/>
                    <w:tr2bl w:val="nil"/>
                  </w:tcBorders>
                  <w:noWrap w:val="0"/>
                  <w:vAlign w:val="center"/>
                </w:tcPr>
                <w:p w14:paraId="3F1A68A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备注</w:t>
                  </w:r>
                </w:p>
              </w:tc>
            </w:tr>
            <w:tr w14:paraId="670FFF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5" w:type="dxa"/>
                  <w:tcBorders>
                    <w:tl2br w:val="nil"/>
                    <w:tr2bl w:val="nil"/>
                  </w:tcBorders>
                  <w:noWrap w:val="0"/>
                  <w:vAlign w:val="center"/>
                </w:tcPr>
                <w:p w14:paraId="58A3BB7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drawing>
                      <wp:inline distT="0" distB="0" distL="114300" distR="114300">
                        <wp:extent cx="1616075" cy="1032510"/>
                        <wp:effectExtent l="0" t="0" r="3175" b="15240"/>
                        <wp:docPr id="3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8"/>
                                <pic:cNvPicPr>
                                  <a:picLocks noChangeAspect="1"/>
                                </pic:cNvPicPr>
                              </pic:nvPicPr>
                              <pic:blipFill>
                                <a:blip r:embed="rId43"/>
                                <a:stretch>
                                  <a:fillRect/>
                                </a:stretch>
                              </pic:blipFill>
                              <pic:spPr>
                                <a:xfrm>
                                  <a:off x="0" y="0"/>
                                  <a:ext cx="1616075" cy="1032510"/>
                                </a:xfrm>
                                <a:prstGeom prst="rect">
                                  <a:avLst/>
                                </a:prstGeom>
                                <a:noFill/>
                                <a:ln>
                                  <a:noFill/>
                                </a:ln>
                              </pic:spPr>
                            </pic:pic>
                          </a:graphicData>
                        </a:graphic>
                      </wp:inline>
                    </w:drawing>
                  </w:r>
                </w:p>
              </w:tc>
              <w:tc>
                <w:tcPr>
                  <w:tcW w:w="4395" w:type="dxa"/>
                  <w:tcBorders>
                    <w:tl2br w:val="nil"/>
                    <w:tr2bl w:val="nil"/>
                  </w:tcBorders>
                  <w:noWrap w:val="0"/>
                  <w:vAlign w:val="center"/>
                </w:tcPr>
                <w:p w14:paraId="3DD74FE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危险废物贮存、利用、处置设施标志应包含三角形警告性图形标志和文字性辅助标志，其中三角形警告性图形标志应符合GB 15562.2中的要求（如下）。</w:t>
                  </w:r>
                </w:p>
                <w:p w14:paraId="1317969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危险废物警告标志规格为等边三角形，边长40cm，背景为黄色，图形为黑色，</w:t>
                  </w:r>
                  <w:r>
                    <w:rPr>
                      <w:rFonts w:hint="eastAsia" w:cs="Times New Roman"/>
                      <w:color w:val="auto"/>
                      <w:sz w:val="21"/>
                      <w:szCs w:val="21"/>
                      <w:vertAlign w:val="baseline"/>
                      <w:lang w:val="en-US" w:eastAsia="zh-CN"/>
                    </w:rPr>
                    <w:t>适用</w:t>
                  </w:r>
                  <w:r>
                    <w:rPr>
                      <w:rFonts w:hint="default" w:ascii="Times New Roman" w:hAnsi="Times New Roman" w:eastAsia="宋体" w:cs="Times New Roman"/>
                      <w:color w:val="auto"/>
                      <w:sz w:val="21"/>
                      <w:szCs w:val="21"/>
                      <w:vertAlign w:val="baseline"/>
                      <w:lang w:val="en-US" w:eastAsia="zh-CN"/>
                    </w:rPr>
                    <w:t>于危险废物贮存设施为房屋的，建有围墙或防护栅栏，且高度高于100cm时；部分危险废物利用、处置场所。</w:t>
                  </w:r>
                </w:p>
              </w:tc>
              <w:tc>
                <w:tcPr>
                  <w:tcW w:w="1137" w:type="dxa"/>
                  <w:tcBorders>
                    <w:tl2br w:val="nil"/>
                    <w:tr2bl w:val="nil"/>
                  </w:tcBorders>
                  <w:noWrap w:val="0"/>
                  <w:vAlign w:val="center"/>
                </w:tcPr>
                <w:p w14:paraId="4AEED2D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危险废物贮存设施标志</w:t>
                  </w:r>
                </w:p>
              </w:tc>
            </w:tr>
            <w:tr w14:paraId="24990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5" w:type="dxa"/>
                  <w:tcBorders>
                    <w:tl2br w:val="nil"/>
                    <w:tr2bl w:val="nil"/>
                  </w:tcBorders>
                  <w:noWrap w:val="0"/>
                  <w:vAlign w:val="center"/>
                </w:tcPr>
                <w:p w14:paraId="7C53E44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drawing>
                      <wp:inline distT="0" distB="0" distL="114300" distR="114300">
                        <wp:extent cx="1617980" cy="1606550"/>
                        <wp:effectExtent l="0" t="0" r="1270" b="12700"/>
                        <wp:docPr id="3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9"/>
                                <pic:cNvPicPr>
                                  <a:picLocks noChangeAspect="1"/>
                                </pic:cNvPicPr>
                              </pic:nvPicPr>
                              <pic:blipFill>
                                <a:blip r:embed="rId44"/>
                                <a:stretch>
                                  <a:fillRect/>
                                </a:stretch>
                              </pic:blipFill>
                              <pic:spPr>
                                <a:xfrm>
                                  <a:off x="0" y="0"/>
                                  <a:ext cx="1617980" cy="1606550"/>
                                </a:xfrm>
                                <a:prstGeom prst="rect">
                                  <a:avLst/>
                                </a:prstGeom>
                                <a:noFill/>
                                <a:ln>
                                  <a:noFill/>
                                </a:ln>
                              </pic:spPr>
                            </pic:pic>
                          </a:graphicData>
                        </a:graphic>
                      </wp:inline>
                    </w:drawing>
                  </w:r>
                </w:p>
              </w:tc>
              <w:tc>
                <w:tcPr>
                  <w:tcW w:w="4395" w:type="dxa"/>
                  <w:tcBorders>
                    <w:tl2br w:val="nil"/>
                    <w:tr2bl w:val="nil"/>
                  </w:tcBorders>
                  <w:noWrap w:val="0"/>
                  <w:vAlign w:val="center"/>
                </w:tcPr>
                <w:p w14:paraId="41B39AE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危险废物标签背景色应采用醒目的橘黄色，RGB颜色值为（255，150，0）。</w:t>
                  </w:r>
                </w:p>
                <w:p w14:paraId="0D265B8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标签边框和字体颜色为黑色，RGB颜色值为（0，0，0）。</w:t>
                  </w:r>
                </w:p>
                <w:p w14:paraId="772991E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危险废物标签字体宜采用黑体字，其中“危险废物”字样应加粗放大。</w:t>
                  </w:r>
                </w:p>
              </w:tc>
              <w:tc>
                <w:tcPr>
                  <w:tcW w:w="1137" w:type="dxa"/>
                  <w:tcBorders>
                    <w:tl2br w:val="nil"/>
                    <w:tr2bl w:val="nil"/>
                  </w:tcBorders>
                  <w:noWrap w:val="0"/>
                  <w:vAlign w:val="center"/>
                </w:tcPr>
                <w:p w14:paraId="34A7CA2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粘贴于危险废物储存容器上的危险废物标</w:t>
                  </w:r>
                </w:p>
                <w:p w14:paraId="59D0561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签</w:t>
                  </w:r>
                </w:p>
              </w:tc>
            </w:tr>
          </w:tbl>
          <w:p w14:paraId="45FB205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p>
          <w:p w14:paraId="6693D708">
            <w:pPr>
              <w:keepNext w:val="0"/>
              <w:keepLines w:val="0"/>
              <w:suppressLineNumbers w:val="0"/>
              <w:adjustRightInd w:val="0"/>
              <w:snapToGrid w:val="0"/>
              <w:spacing w:before="0" w:beforeAutospacing="0" w:after="0" w:afterAutospacing="0"/>
              <w:ind w:left="0" w:right="0" w:firstLine="482" w:firstLineChars="200"/>
              <w:rPr>
                <w:rFonts w:hint="default" w:ascii="Times New Roman" w:hAnsi="Times New Roman" w:cs="Times New Roman"/>
                <w:b/>
                <w:bCs/>
                <w:color w:val="auto"/>
              </w:rPr>
            </w:pPr>
            <w:r>
              <w:rPr>
                <w:rFonts w:hint="eastAsia" w:ascii="Times New Roman" w:hAnsi="Times New Roman" w:cs="Times New Roman"/>
                <w:b/>
                <w:bCs/>
                <w:color w:val="auto"/>
              </w:rPr>
              <w:t>八</w:t>
            </w:r>
            <w:r>
              <w:rPr>
                <w:rFonts w:hint="default" w:ascii="Times New Roman" w:hAnsi="Times New Roman" w:cs="Times New Roman"/>
                <w:b/>
                <w:bCs/>
                <w:color w:val="auto"/>
              </w:rPr>
              <w:t>、环保投资估算一览表</w:t>
            </w:r>
          </w:p>
          <w:p w14:paraId="0645F0D5">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b/>
                <w:bCs/>
                <w:color w:val="auto"/>
                <w:szCs w:val="21"/>
              </w:rPr>
            </w:pPr>
            <w:r>
              <w:rPr>
                <w:rFonts w:hint="default" w:ascii="Times New Roman" w:hAnsi="Times New Roman" w:cs="Times New Roman"/>
                <w:bCs/>
                <w:color w:val="auto"/>
              </w:rPr>
              <w:t>本项目总投资</w:t>
            </w:r>
            <w:r>
              <w:rPr>
                <w:rFonts w:hint="eastAsia" w:ascii="Times New Roman" w:hAnsi="Times New Roman" w:cs="Times New Roman"/>
                <w:bCs/>
                <w:color w:val="auto"/>
                <w:lang w:val="en-US" w:eastAsia="zh-CN"/>
              </w:rPr>
              <w:t>6</w:t>
            </w:r>
            <w:r>
              <w:rPr>
                <w:rFonts w:hint="eastAsia" w:ascii="Times New Roman" w:hAnsi="Times New Roman" w:cs="Times New Roman"/>
                <w:bCs/>
                <w:color w:val="auto"/>
              </w:rPr>
              <w:t>00</w:t>
            </w:r>
            <w:r>
              <w:rPr>
                <w:rFonts w:hint="default" w:ascii="Times New Roman" w:hAnsi="Times New Roman" w:cs="Times New Roman"/>
                <w:bCs/>
                <w:color w:val="auto"/>
              </w:rPr>
              <w:t>万，环保投资</w:t>
            </w:r>
            <w:r>
              <w:rPr>
                <w:rFonts w:hint="eastAsia" w:cs="Times New Roman"/>
                <w:bCs/>
                <w:color w:val="auto"/>
                <w:lang w:val="en-US" w:eastAsia="zh-CN"/>
              </w:rPr>
              <w:t>50.5</w:t>
            </w:r>
            <w:r>
              <w:rPr>
                <w:rFonts w:hint="eastAsia" w:ascii="Times New Roman" w:hAnsi="Times New Roman" w:cs="Times New Roman"/>
                <w:bCs/>
                <w:color w:val="auto"/>
                <w:lang w:eastAsia="zh-CN"/>
              </w:rPr>
              <w:t>万</w:t>
            </w:r>
            <w:r>
              <w:rPr>
                <w:rFonts w:hint="default" w:ascii="Times New Roman" w:hAnsi="Times New Roman" w:cs="Times New Roman"/>
                <w:bCs/>
                <w:color w:val="auto"/>
              </w:rPr>
              <w:t>元，占总投资的</w:t>
            </w:r>
            <w:r>
              <w:rPr>
                <w:rFonts w:hint="eastAsia" w:cs="Times New Roman"/>
                <w:bCs/>
                <w:color w:val="auto"/>
                <w:lang w:val="en-US" w:eastAsia="zh-CN"/>
              </w:rPr>
              <w:t>8.42</w:t>
            </w:r>
            <w:r>
              <w:rPr>
                <w:rFonts w:hint="default" w:ascii="Times New Roman" w:hAnsi="Times New Roman" w:cs="Times New Roman"/>
                <w:bCs/>
                <w:color w:val="auto"/>
              </w:rPr>
              <w:t>%。</w:t>
            </w:r>
            <w:r>
              <w:rPr>
                <w:rFonts w:hint="default" w:ascii="Times New Roman" w:hAnsi="Times New Roman" w:cs="Times New Roman"/>
                <w:color w:val="auto"/>
                <w:kern w:val="0"/>
              </w:rPr>
              <w:t>环保治理措施及投资一览表见下表所示。</w:t>
            </w:r>
          </w:p>
          <w:p w14:paraId="1E9F975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eastAsia" w:ascii="Times New Roman" w:hAnsi="Times New Roman" w:cs="Times New Roman"/>
                <w:b/>
                <w:bCs/>
                <w:color w:val="auto"/>
                <w:sz w:val="21"/>
                <w:szCs w:val="21"/>
                <w:lang w:val="en-US" w:eastAsia="zh-CN"/>
              </w:rPr>
              <w:t>26</w:t>
            </w:r>
            <w:r>
              <w:rPr>
                <w:rFonts w:hint="default" w:ascii="Times New Roman" w:hAnsi="Times New Roman" w:cs="Times New Roman"/>
                <w:b/>
                <w:bCs/>
                <w:color w:val="auto"/>
                <w:sz w:val="21"/>
                <w:szCs w:val="21"/>
              </w:rPr>
              <w:t xml:space="preserve">  项目环境保护措施及投资一览表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58"/>
              <w:gridCol w:w="881"/>
              <w:gridCol w:w="1241"/>
              <w:gridCol w:w="3741"/>
              <w:gridCol w:w="755"/>
              <w:gridCol w:w="818"/>
            </w:tblGrid>
            <w:tr w14:paraId="5454D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7" w:type="pct"/>
                  <w:noWrap w:val="0"/>
                  <w:vAlign w:val="center"/>
                </w:tcPr>
                <w:p w14:paraId="1DD8B3C4">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rPr>
                    <w:t>类别</w:t>
                  </w:r>
                </w:p>
              </w:tc>
              <w:tc>
                <w:tcPr>
                  <w:tcW w:w="531" w:type="pct"/>
                  <w:noWrap w:val="0"/>
                  <w:vAlign w:val="center"/>
                </w:tcPr>
                <w:p w14:paraId="08B40FE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748" w:type="pct"/>
                  <w:noWrap w:val="0"/>
                  <w:vAlign w:val="center"/>
                </w:tcPr>
                <w:p w14:paraId="1B9AB8B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w:t>
                  </w:r>
                </w:p>
              </w:tc>
              <w:tc>
                <w:tcPr>
                  <w:tcW w:w="2255" w:type="pct"/>
                  <w:noWrap w:val="0"/>
                  <w:vAlign w:val="center"/>
                </w:tcPr>
                <w:p w14:paraId="6A5A8BA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设施概况</w:t>
                  </w:r>
                </w:p>
              </w:tc>
              <w:tc>
                <w:tcPr>
                  <w:tcW w:w="455" w:type="pct"/>
                  <w:noWrap w:val="0"/>
                  <w:vAlign w:val="center"/>
                </w:tcPr>
                <w:p w14:paraId="4185851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环保投资（万元）</w:t>
                  </w:r>
                </w:p>
              </w:tc>
              <w:tc>
                <w:tcPr>
                  <w:tcW w:w="493" w:type="pct"/>
                  <w:noWrap w:val="0"/>
                  <w:vAlign w:val="center"/>
                </w:tcPr>
                <w:p w14:paraId="153B182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
                      <w:color w:val="auto"/>
                      <w:sz w:val="21"/>
                      <w:szCs w:val="21"/>
                    </w:rPr>
                    <w:t>备注</w:t>
                  </w:r>
                </w:p>
              </w:tc>
            </w:tr>
            <w:tr w14:paraId="3ABD3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7" w:type="pct"/>
                  <w:vMerge w:val="restart"/>
                  <w:noWrap w:val="0"/>
                  <w:vAlign w:val="center"/>
                </w:tcPr>
                <w:p w14:paraId="6501A36C">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rPr>
                    <w:t>施工期</w:t>
                  </w:r>
                </w:p>
              </w:tc>
              <w:tc>
                <w:tcPr>
                  <w:tcW w:w="531" w:type="pct"/>
                  <w:noWrap w:val="0"/>
                  <w:vAlign w:val="center"/>
                </w:tcPr>
                <w:p w14:paraId="2D1F1005">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rPr>
                    <w:t>废气治理</w:t>
                  </w:r>
                </w:p>
              </w:tc>
              <w:tc>
                <w:tcPr>
                  <w:tcW w:w="748" w:type="pct"/>
                  <w:noWrap w:val="0"/>
                  <w:vAlign w:val="center"/>
                </w:tcPr>
                <w:p w14:paraId="3C89BCDB">
                  <w:pPr>
                    <w:keepNext w:val="0"/>
                    <w:keepLines w:val="0"/>
                    <w:suppressLineNumbers w:val="0"/>
                    <w:autoSpaceDE w:val="0"/>
                    <w:autoSpaceDN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扬尘</w:t>
                  </w:r>
                </w:p>
              </w:tc>
              <w:tc>
                <w:tcPr>
                  <w:tcW w:w="2255" w:type="pct"/>
                  <w:noWrap w:val="0"/>
                  <w:vAlign w:val="center"/>
                </w:tcPr>
                <w:p w14:paraId="1526D51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厂区抑尘通过洒水除尘；</w:t>
                  </w:r>
                  <w:r>
                    <w:rPr>
                      <w:rFonts w:hint="eastAsia" w:ascii="Times New Roman" w:hAnsi="Times New Roman" w:cs="Times New Roman"/>
                      <w:color w:val="auto"/>
                      <w:sz w:val="21"/>
                      <w:szCs w:val="21"/>
                      <w:lang w:val="en-US" w:eastAsia="zh-CN"/>
                    </w:rPr>
                    <w:t>运输车辆篷布遮盖处理</w:t>
                  </w:r>
                </w:p>
              </w:tc>
              <w:tc>
                <w:tcPr>
                  <w:tcW w:w="455" w:type="pct"/>
                  <w:noWrap w:val="0"/>
                  <w:vAlign w:val="center"/>
                </w:tcPr>
                <w:p w14:paraId="2A5302A5">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1</w:t>
                  </w:r>
                </w:p>
              </w:tc>
              <w:tc>
                <w:tcPr>
                  <w:tcW w:w="493" w:type="pct"/>
                  <w:noWrap w:val="0"/>
                  <w:vAlign w:val="center"/>
                </w:tcPr>
                <w:p w14:paraId="59CD7CE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p>
              </w:tc>
            </w:tr>
            <w:tr w14:paraId="7C5F6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7" w:type="pct"/>
                  <w:vMerge w:val="continue"/>
                  <w:noWrap w:val="0"/>
                  <w:vAlign w:val="center"/>
                </w:tcPr>
                <w:p w14:paraId="37B3723C">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p>
              </w:tc>
              <w:tc>
                <w:tcPr>
                  <w:tcW w:w="531" w:type="pct"/>
                  <w:noWrap w:val="0"/>
                  <w:vAlign w:val="center"/>
                </w:tcPr>
                <w:p w14:paraId="3FDCB934">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废水</w:t>
                  </w:r>
                  <w:r>
                    <w:rPr>
                      <w:rFonts w:hint="eastAsia" w:ascii="Times New Roman" w:hAnsi="Times New Roman" w:cs="Times New Roman"/>
                      <w:bCs/>
                      <w:color w:val="auto"/>
                      <w:sz w:val="21"/>
                      <w:szCs w:val="21"/>
                    </w:rPr>
                    <w:t>治理</w:t>
                  </w:r>
                </w:p>
              </w:tc>
              <w:tc>
                <w:tcPr>
                  <w:tcW w:w="748" w:type="pct"/>
                  <w:noWrap w:val="0"/>
                  <w:vAlign w:val="center"/>
                </w:tcPr>
                <w:p w14:paraId="097A60BE">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生活污水</w:t>
                  </w:r>
                </w:p>
              </w:tc>
              <w:tc>
                <w:tcPr>
                  <w:tcW w:w="2255" w:type="pct"/>
                  <w:noWrap w:val="0"/>
                  <w:vAlign w:val="center"/>
                </w:tcPr>
                <w:p w14:paraId="23706C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依托</w:t>
                  </w:r>
                  <w:r>
                    <w:rPr>
                      <w:rFonts w:hint="eastAsia" w:cs="Times New Roman"/>
                      <w:color w:val="auto"/>
                      <w:sz w:val="21"/>
                      <w:szCs w:val="21"/>
                      <w:lang w:val="en-US" w:eastAsia="zh-CN"/>
                    </w:rPr>
                    <w:t>中通建材公司</w:t>
                  </w:r>
                  <w:r>
                    <w:rPr>
                      <w:rFonts w:hint="eastAsia" w:ascii="Times New Roman" w:hAnsi="Times New Roman" w:cs="Times New Roman"/>
                      <w:color w:val="auto"/>
                      <w:sz w:val="21"/>
                      <w:szCs w:val="21"/>
                      <w:lang w:val="en-US" w:eastAsia="zh-CN"/>
                    </w:rPr>
                    <w:t>已建预处理池处理后进入污水管网</w:t>
                  </w:r>
                </w:p>
              </w:tc>
              <w:tc>
                <w:tcPr>
                  <w:tcW w:w="455" w:type="pct"/>
                  <w:noWrap w:val="0"/>
                  <w:vAlign w:val="center"/>
                </w:tcPr>
                <w:p w14:paraId="067358B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493" w:type="pct"/>
                  <w:noWrap w:val="0"/>
                  <w:vAlign w:val="center"/>
                </w:tcPr>
                <w:p w14:paraId="1D2156FB">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依托</w:t>
                  </w:r>
                </w:p>
              </w:tc>
            </w:tr>
            <w:tr w14:paraId="03E76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7" w:type="pct"/>
                  <w:vMerge w:val="continue"/>
                  <w:noWrap w:val="0"/>
                  <w:vAlign w:val="center"/>
                </w:tcPr>
                <w:p w14:paraId="068E747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p>
              </w:tc>
              <w:tc>
                <w:tcPr>
                  <w:tcW w:w="531" w:type="pct"/>
                  <w:noWrap w:val="0"/>
                  <w:vAlign w:val="center"/>
                </w:tcPr>
                <w:p w14:paraId="79591764">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rPr>
                    <w:t>噪声治理</w:t>
                  </w:r>
                </w:p>
              </w:tc>
              <w:tc>
                <w:tcPr>
                  <w:tcW w:w="748" w:type="pct"/>
                  <w:noWrap w:val="0"/>
                  <w:vAlign w:val="center"/>
                </w:tcPr>
                <w:p w14:paraId="0B51959E">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噪声</w:t>
                  </w:r>
                </w:p>
              </w:tc>
              <w:tc>
                <w:tcPr>
                  <w:tcW w:w="2255" w:type="pct"/>
                  <w:noWrap w:val="0"/>
                  <w:vAlign w:val="center"/>
                </w:tcPr>
                <w:p w14:paraId="13127F28">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施工期加强管理，合理布局，禁止夜间施工</w:t>
                  </w:r>
                </w:p>
              </w:tc>
              <w:tc>
                <w:tcPr>
                  <w:tcW w:w="455" w:type="pct"/>
                  <w:noWrap w:val="0"/>
                  <w:vAlign w:val="center"/>
                </w:tcPr>
                <w:p w14:paraId="37FB3A98">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1</w:t>
                  </w:r>
                </w:p>
              </w:tc>
              <w:tc>
                <w:tcPr>
                  <w:tcW w:w="493" w:type="pct"/>
                  <w:noWrap w:val="0"/>
                  <w:vAlign w:val="center"/>
                </w:tcPr>
                <w:p w14:paraId="02D4369E">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p>
              </w:tc>
            </w:tr>
            <w:tr w14:paraId="6EA25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7" w:type="pct"/>
                  <w:vMerge w:val="continue"/>
                  <w:noWrap w:val="0"/>
                  <w:vAlign w:val="center"/>
                </w:tcPr>
                <w:p w14:paraId="068B8092">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p>
              </w:tc>
              <w:tc>
                <w:tcPr>
                  <w:tcW w:w="531" w:type="pct"/>
                  <w:noWrap w:val="0"/>
                  <w:vAlign w:val="center"/>
                </w:tcPr>
                <w:p w14:paraId="23872E82">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rPr>
                    <w:t>固废治理</w:t>
                  </w:r>
                </w:p>
              </w:tc>
              <w:tc>
                <w:tcPr>
                  <w:tcW w:w="748" w:type="pct"/>
                  <w:noWrap w:val="0"/>
                  <w:vAlign w:val="center"/>
                </w:tcPr>
                <w:p w14:paraId="45C16AF0">
                  <w:pPr>
                    <w:keepNext w:val="0"/>
                    <w:keepLines w:val="0"/>
                    <w:suppressLineNumbers w:val="0"/>
                    <w:autoSpaceDE w:val="0"/>
                    <w:autoSpaceDN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生活垃圾</w:t>
                  </w:r>
                </w:p>
              </w:tc>
              <w:tc>
                <w:tcPr>
                  <w:tcW w:w="2255" w:type="pct"/>
                  <w:noWrap w:val="0"/>
                  <w:vAlign w:val="center"/>
                </w:tcPr>
                <w:p w14:paraId="5CA783B2">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统一收集后由环卫部门进行清运处理</w:t>
                  </w:r>
                </w:p>
              </w:tc>
              <w:tc>
                <w:tcPr>
                  <w:tcW w:w="455" w:type="pct"/>
                  <w:noWrap w:val="0"/>
                  <w:vAlign w:val="center"/>
                </w:tcPr>
                <w:p w14:paraId="01E72DE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0.5</w:t>
                  </w:r>
                </w:p>
              </w:tc>
              <w:tc>
                <w:tcPr>
                  <w:tcW w:w="493" w:type="pct"/>
                  <w:noWrap w:val="0"/>
                  <w:vAlign w:val="center"/>
                </w:tcPr>
                <w:p w14:paraId="5B06A9C7">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p>
              </w:tc>
            </w:tr>
            <w:tr w14:paraId="3BA90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7" w:hRule="atLeast"/>
              </w:trPr>
              <w:tc>
                <w:tcPr>
                  <w:tcW w:w="517" w:type="pct"/>
                  <w:vMerge w:val="restart"/>
                  <w:noWrap w:val="0"/>
                  <w:vAlign w:val="center"/>
                </w:tcPr>
                <w:p w14:paraId="2E133504">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rPr>
                    <w:t>营运期</w:t>
                  </w:r>
                </w:p>
              </w:tc>
              <w:tc>
                <w:tcPr>
                  <w:tcW w:w="531" w:type="pct"/>
                  <w:vMerge w:val="restart"/>
                  <w:noWrap w:val="0"/>
                  <w:vAlign w:val="center"/>
                </w:tcPr>
                <w:p w14:paraId="19FAED5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废气治理</w:t>
                  </w:r>
                </w:p>
              </w:tc>
              <w:tc>
                <w:tcPr>
                  <w:tcW w:w="748" w:type="pct"/>
                  <w:noWrap w:val="0"/>
                  <w:vAlign w:val="center"/>
                </w:tcPr>
                <w:p w14:paraId="5DDFB9B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宋体"/>
                      <w:color w:val="auto"/>
                      <w:sz w:val="21"/>
                      <w:szCs w:val="21"/>
                      <w:lang w:val="en-US" w:eastAsia="zh-CN"/>
                    </w:rPr>
                    <w:t>破碎</w:t>
                  </w:r>
                  <w:r>
                    <w:rPr>
                      <w:rFonts w:hint="eastAsia" w:cs="宋体"/>
                      <w:color w:val="auto"/>
                      <w:sz w:val="21"/>
                      <w:szCs w:val="21"/>
                      <w:lang w:val="en-US" w:eastAsia="zh-CN"/>
                    </w:rPr>
                    <w:t>、制粒</w:t>
                  </w:r>
                  <w:r>
                    <w:rPr>
                      <w:rFonts w:hint="eastAsia" w:ascii="Times New Roman" w:hAnsi="Times New Roman" w:cs="宋体"/>
                      <w:color w:val="auto"/>
                      <w:sz w:val="21"/>
                      <w:szCs w:val="21"/>
                      <w:lang w:val="en-US" w:eastAsia="zh-CN"/>
                    </w:rPr>
                    <w:t>粉尘</w:t>
                  </w:r>
                </w:p>
              </w:tc>
              <w:tc>
                <w:tcPr>
                  <w:tcW w:w="2255" w:type="pct"/>
                  <w:noWrap w:val="0"/>
                  <w:vAlign w:val="center"/>
                </w:tcPr>
                <w:p w14:paraId="0D3CF0B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宋体"/>
                      <w:color w:val="auto"/>
                      <w:sz w:val="21"/>
                      <w:szCs w:val="21"/>
                    </w:rPr>
                    <w:t>原料堆场设置于室内，破碎机</w:t>
                  </w:r>
                  <w:r>
                    <w:rPr>
                      <w:rFonts w:hint="eastAsia" w:cs="宋体"/>
                      <w:color w:val="auto"/>
                      <w:sz w:val="21"/>
                      <w:szCs w:val="21"/>
                      <w:lang w:eastAsia="zh-CN"/>
                    </w:rPr>
                    <w:t>、</w:t>
                  </w:r>
                  <w:r>
                    <w:rPr>
                      <w:rFonts w:hint="eastAsia" w:cs="宋体"/>
                      <w:color w:val="auto"/>
                      <w:sz w:val="21"/>
                      <w:szCs w:val="21"/>
                      <w:lang w:val="en-US" w:eastAsia="zh-CN"/>
                    </w:rPr>
                    <w:t>制粒机上方设置集气罩，</w:t>
                  </w:r>
                  <w:r>
                    <w:rPr>
                      <w:rFonts w:hint="eastAsia" w:ascii="Times New Roman" w:hAnsi="Times New Roman" w:cs="宋体"/>
                      <w:color w:val="auto"/>
                      <w:sz w:val="21"/>
                      <w:szCs w:val="21"/>
                    </w:rPr>
                    <w:t>破碎</w:t>
                  </w:r>
                  <w:r>
                    <w:rPr>
                      <w:rFonts w:hint="eastAsia" w:cs="宋体"/>
                      <w:color w:val="auto"/>
                      <w:sz w:val="21"/>
                      <w:szCs w:val="21"/>
                      <w:lang w:eastAsia="zh-CN"/>
                    </w:rPr>
                    <w:t>、</w:t>
                  </w:r>
                  <w:r>
                    <w:rPr>
                      <w:rFonts w:hint="eastAsia" w:cs="宋体"/>
                      <w:color w:val="auto"/>
                      <w:sz w:val="21"/>
                      <w:szCs w:val="21"/>
                      <w:lang w:val="en-US" w:eastAsia="zh-CN"/>
                    </w:rPr>
                    <w:t>制粒</w:t>
                  </w:r>
                  <w:r>
                    <w:rPr>
                      <w:rFonts w:hint="eastAsia" w:ascii="Times New Roman" w:hAnsi="Times New Roman" w:cs="宋体"/>
                      <w:color w:val="auto"/>
                      <w:sz w:val="21"/>
                      <w:szCs w:val="21"/>
                    </w:rPr>
                    <w:t>粉尘经</w:t>
                  </w:r>
                  <w:r>
                    <w:rPr>
                      <w:rFonts w:hint="eastAsia" w:cs="宋体"/>
                      <w:color w:val="auto"/>
                      <w:sz w:val="21"/>
                      <w:szCs w:val="21"/>
                      <w:lang w:val="en-US" w:eastAsia="zh-CN"/>
                    </w:rPr>
                    <w:t>集气罩收集，</w:t>
                  </w:r>
                  <w:r>
                    <w:rPr>
                      <w:rFonts w:hint="eastAsia" w:ascii="Times New Roman" w:hAnsi="Times New Roman" w:cs="宋体"/>
                      <w:color w:val="auto"/>
                      <w:sz w:val="21"/>
                      <w:szCs w:val="21"/>
                    </w:rPr>
                    <w:t>布袋除尘器处理后15m高</w:t>
                  </w:r>
                  <w:r>
                    <w:rPr>
                      <w:rFonts w:hint="eastAsia" w:cs="宋体"/>
                      <w:color w:val="auto"/>
                      <w:sz w:val="21"/>
                      <w:szCs w:val="21"/>
                      <w:lang w:eastAsia="zh-CN"/>
                    </w:rPr>
                    <w:t>1#排气筒</w:t>
                  </w:r>
                  <w:r>
                    <w:rPr>
                      <w:rFonts w:hint="eastAsia" w:ascii="Times New Roman" w:hAnsi="Times New Roman" w:cs="宋体"/>
                      <w:color w:val="auto"/>
                      <w:sz w:val="21"/>
                      <w:szCs w:val="21"/>
                    </w:rPr>
                    <w:t>排放</w:t>
                  </w:r>
                </w:p>
              </w:tc>
              <w:tc>
                <w:tcPr>
                  <w:tcW w:w="455" w:type="pct"/>
                  <w:noWrap w:val="0"/>
                  <w:vAlign w:val="center"/>
                </w:tcPr>
                <w:p w14:paraId="4004A5B1">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6</w:t>
                  </w:r>
                </w:p>
              </w:tc>
              <w:tc>
                <w:tcPr>
                  <w:tcW w:w="493" w:type="pct"/>
                  <w:noWrap w:val="0"/>
                  <w:vAlign w:val="center"/>
                </w:tcPr>
                <w:p w14:paraId="36F92A6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r>
            <w:tr w14:paraId="50CEA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517" w:type="pct"/>
                  <w:vMerge w:val="continue"/>
                  <w:noWrap w:val="0"/>
                  <w:vAlign w:val="center"/>
                </w:tcPr>
                <w:p w14:paraId="3817AA7F">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p>
              </w:tc>
              <w:tc>
                <w:tcPr>
                  <w:tcW w:w="531" w:type="pct"/>
                  <w:vMerge w:val="continue"/>
                  <w:noWrap w:val="0"/>
                  <w:vAlign w:val="center"/>
                </w:tcPr>
                <w:p w14:paraId="655619A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748" w:type="pct"/>
                  <w:noWrap w:val="0"/>
                  <w:vAlign w:val="center"/>
                </w:tcPr>
                <w:p w14:paraId="77BA5164">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1"/>
                      <w:szCs w:val="21"/>
                      <w:lang w:val="en-US" w:eastAsia="zh-CN"/>
                    </w:rPr>
                  </w:pPr>
                  <w:r>
                    <w:rPr>
                      <w:rFonts w:hint="eastAsia" w:cs="宋体"/>
                      <w:color w:val="auto"/>
                      <w:sz w:val="21"/>
                      <w:szCs w:val="21"/>
                      <w:lang w:val="en-US" w:eastAsia="zh-CN"/>
                    </w:rPr>
                    <w:t>粉碎</w:t>
                  </w:r>
                  <w:r>
                    <w:rPr>
                      <w:rFonts w:hint="eastAsia" w:ascii="Times New Roman" w:hAnsi="Times New Roman" w:cs="宋体"/>
                      <w:color w:val="auto"/>
                      <w:sz w:val="21"/>
                      <w:szCs w:val="21"/>
                      <w:lang w:val="en-US" w:eastAsia="zh-CN"/>
                    </w:rPr>
                    <w:t>粉尘</w:t>
                  </w:r>
                </w:p>
              </w:tc>
              <w:tc>
                <w:tcPr>
                  <w:tcW w:w="2255" w:type="pct"/>
                  <w:noWrap w:val="0"/>
                  <w:vAlign w:val="center"/>
                </w:tcPr>
                <w:p w14:paraId="462D5320">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1"/>
                      <w:szCs w:val="21"/>
                    </w:rPr>
                  </w:pPr>
                  <w:r>
                    <w:rPr>
                      <w:rFonts w:hint="eastAsia" w:cs="宋体"/>
                      <w:color w:val="auto"/>
                      <w:sz w:val="21"/>
                      <w:szCs w:val="21"/>
                      <w:lang w:val="en-US" w:eastAsia="zh-CN"/>
                    </w:rPr>
                    <w:t>木片</w:t>
                  </w:r>
                  <w:r>
                    <w:rPr>
                      <w:rFonts w:hint="eastAsia" w:ascii="Times New Roman" w:hAnsi="Times New Roman" w:cs="宋体"/>
                      <w:color w:val="auto"/>
                      <w:sz w:val="21"/>
                      <w:szCs w:val="21"/>
                    </w:rPr>
                    <w:t>采用料仓进料，密闭输送带输送，破碎粉尘经布袋除尘器处理后15m高</w:t>
                  </w:r>
                  <w:r>
                    <w:rPr>
                      <w:rFonts w:hint="eastAsia" w:cs="宋体"/>
                      <w:color w:val="auto"/>
                      <w:sz w:val="21"/>
                      <w:szCs w:val="21"/>
                      <w:lang w:eastAsia="zh-CN"/>
                    </w:rPr>
                    <w:t>2#排气筒</w:t>
                  </w:r>
                  <w:r>
                    <w:rPr>
                      <w:rFonts w:hint="eastAsia" w:ascii="Times New Roman" w:hAnsi="Times New Roman" w:cs="宋体"/>
                      <w:color w:val="auto"/>
                      <w:sz w:val="21"/>
                      <w:szCs w:val="21"/>
                    </w:rPr>
                    <w:t>排放</w:t>
                  </w:r>
                </w:p>
              </w:tc>
              <w:tc>
                <w:tcPr>
                  <w:tcW w:w="455" w:type="pct"/>
                  <w:noWrap w:val="0"/>
                  <w:vAlign w:val="center"/>
                </w:tcPr>
                <w:p w14:paraId="52E9736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6</w:t>
                  </w:r>
                </w:p>
              </w:tc>
              <w:tc>
                <w:tcPr>
                  <w:tcW w:w="493" w:type="pct"/>
                  <w:noWrap w:val="0"/>
                  <w:vAlign w:val="center"/>
                </w:tcPr>
                <w:p w14:paraId="2B80980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r>
            <w:tr w14:paraId="55142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0" w:hRule="atLeast"/>
              </w:trPr>
              <w:tc>
                <w:tcPr>
                  <w:tcW w:w="517" w:type="pct"/>
                  <w:vMerge w:val="continue"/>
                  <w:noWrap w:val="0"/>
                  <w:vAlign w:val="center"/>
                </w:tcPr>
                <w:p w14:paraId="102F381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p>
              </w:tc>
              <w:tc>
                <w:tcPr>
                  <w:tcW w:w="531" w:type="pct"/>
                  <w:vMerge w:val="continue"/>
                  <w:noWrap w:val="0"/>
                  <w:vAlign w:val="center"/>
                </w:tcPr>
                <w:p w14:paraId="7DB6362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748" w:type="pct"/>
                  <w:noWrap w:val="0"/>
                  <w:vAlign w:val="center"/>
                </w:tcPr>
                <w:p w14:paraId="1F8A51C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lang w:val="en-US"/>
                    </w:rPr>
                  </w:pPr>
                  <w:r>
                    <w:rPr>
                      <w:rFonts w:hint="eastAsia" w:ascii="Times New Roman" w:hAnsi="Times New Roman" w:cs="宋体"/>
                      <w:color w:val="auto"/>
                      <w:sz w:val="21"/>
                      <w:szCs w:val="21"/>
                      <w:lang w:val="en-US" w:eastAsia="zh-CN"/>
                    </w:rPr>
                    <w:t>油水分离有机废气</w:t>
                  </w:r>
                </w:p>
              </w:tc>
              <w:tc>
                <w:tcPr>
                  <w:tcW w:w="2255" w:type="pct"/>
                  <w:noWrap w:val="0"/>
                  <w:vAlign w:val="center"/>
                </w:tcPr>
                <w:p w14:paraId="75FADBF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宋体"/>
                      <w:color w:val="auto"/>
                      <w:sz w:val="21"/>
                      <w:szCs w:val="21"/>
                      <w:lang w:val="en-US" w:eastAsia="zh-CN"/>
                    </w:rPr>
                    <w:t>蒸馏釜密闭，油水分离池</w:t>
                  </w:r>
                  <w:r>
                    <w:rPr>
                      <w:rFonts w:hint="eastAsia" w:cs="宋体"/>
                      <w:color w:val="auto"/>
                      <w:sz w:val="21"/>
                      <w:szCs w:val="21"/>
                      <w:lang w:val="en-US" w:eastAsia="zh-CN"/>
                    </w:rPr>
                    <w:t>上方设置集气罩</w:t>
                  </w:r>
                  <w:r>
                    <w:rPr>
                      <w:rFonts w:hint="eastAsia" w:ascii="Times New Roman" w:hAnsi="Times New Roman" w:cs="宋体"/>
                      <w:color w:val="auto"/>
                      <w:sz w:val="21"/>
                      <w:szCs w:val="21"/>
                      <w:lang w:val="en-US" w:eastAsia="zh-CN"/>
                    </w:rPr>
                    <w:t>，废气</w:t>
                  </w:r>
                  <w:r>
                    <w:rPr>
                      <w:rFonts w:hint="eastAsia" w:cs="宋体"/>
                      <w:color w:val="auto"/>
                      <w:sz w:val="21"/>
                      <w:szCs w:val="21"/>
                      <w:lang w:val="en-US" w:eastAsia="zh-CN"/>
                    </w:rPr>
                    <w:t>经</w:t>
                  </w:r>
                  <w:r>
                    <w:rPr>
                      <w:rFonts w:hint="eastAsia" w:ascii="Times New Roman" w:hAnsi="Times New Roman" w:cs="宋体"/>
                      <w:color w:val="auto"/>
                      <w:sz w:val="21"/>
                      <w:szCs w:val="21"/>
                      <w:lang w:val="en-US" w:eastAsia="zh-CN"/>
                    </w:rPr>
                    <w:t>收集</w:t>
                  </w:r>
                  <w:r>
                    <w:rPr>
                      <w:rFonts w:hint="eastAsia" w:cs="宋体"/>
                      <w:color w:val="auto"/>
                      <w:sz w:val="21"/>
                      <w:szCs w:val="21"/>
                      <w:lang w:val="en-US" w:eastAsia="zh-CN"/>
                    </w:rPr>
                    <w:t>进入</w:t>
                  </w:r>
                  <w:r>
                    <w:rPr>
                      <w:rFonts w:hint="eastAsia" w:ascii="Times New Roman" w:hAnsi="Times New Roman" w:cs="宋体"/>
                      <w:color w:val="auto"/>
                      <w:sz w:val="21"/>
                      <w:szCs w:val="21"/>
                    </w:rPr>
                    <w:t>两级活性炭</w:t>
                  </w:r>
                  <w:r>
                    <w:rPr>
                      <w:rFonts w:hint="eastAsia" w:ascii="Times New Roman" w:hAnsi="Times New Roman" w:cs="宋体"/>
                      <w:color w:val="auto"/>
                      <w:sz w:val="21"/>
                      <w:szCs w:val="21"/>
                      <w:lang w:val="en-US" w:eastAsia="zh-CN"/>
                    </w:rPr>
                    <w:t>装置</w:t>
                  </w:r>
                  <w:r>
                    <w:rPr>
                      <w:rFonts w:hint="eastAsia" w:ascii="Times New Roman" w:hAnsi="Times New Roman" w:cs="宋体"/>
                      <w:color w:val="auto"/>
                      <w:sz w:val="21"/>
                      <w:szCs w:val="21"/>
                    </w:rPr>
                    <w:t>吸附处理</w:t>
                  </w:r>
                  <w:r>
                    <w:rPr>
                      <w:rFonts w:hint="eastAsia" w:cs="宋体"/>
                      <w:color w:val="auto"/>
                      <w:sz w:val="21"/>
                      <w:szCs w:val="21"/>
                      <w:lang w:val="en-US" w:eastAsia="zh-CN"/>
                    </w:rPr>
                    <w:t>后</w:t>
                  </w:r>
                  <w:r>
                    <w:rPr>
                      <w:rFonts w:hint="eastAsia" w:ascii="Times New Roman" w:hAnsi="Times New Roman" w:cs="宋体"/>
                      <w:color w:val="auto"/>
                      <w:sz w:val="21"/>
                      <w:szCs w:val="21"/>
                    </w:rPr>
                    <w:t>15m高</w:t>
                  </w:r>
                  <w:r>
                    <w:rPr>
                      <w:rFonts w:hint="eastAsia" w:cs="宋体"/>
                      <w:color w:val="auto"/>
                      <w:sz w:val="21"/>
                      <w:szCs w:val="21"/>
                      <w:lang w:eastAsia="zh-CN"/>
                    </w:rPr>
                    <w:t>3#排气筒</w:t>
                  </w:r>
                  <w:r>
                    <w:rPr>
                      <w:rFonts w:hint="eastAsia" w:ascii="Times New Roman" w:hAnsi="Times New Roman" w:cs="宋体"/>
                      <w:color w:val="auto"/>
                      <w:sz w:val="21"/>
                      <w:szCs w:val="21"/>
                    </w:rPr>
                    <w:t>排放</w:t>
                  </w:r>
                </w:p>
              </w:tc>
              <w:tc>
                <w:tcPr>
                  <w:tcW w:w="455" w:type="pct"/>
                  <w:noWrap w:val="0"/>
                  <w:vAlign w:val="center"/>
                </w:tcPr>
                <w:p w14:paraId="47C17BD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8</w:t>
                  </w:r>
                </w:p>
              </w:tc>
              <w:tc>
                <w:tcPr>
                  <w:tcW w:w="493" w:type="pct"/>
                  <w:noWrap w:val="0"/>
                  <w:vAlign w:val="center"/>
                </w:tcPr>
                <w:p w14:paraId="2C04E60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r>
            <w:tr w14:paraId="2A095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 w:hRule="atLeast"/>
              </w:trPr>
              <w:tc>
                <w:tcPr>
                  <w:tcW w:w="517" w:type="pct"/>
                  <w:vMerge w:val="continue"/>
                  <w:noWrap w:val="0"/>
                  <w:vAlign w:val="center"/>
                </w:tcPr>
                <w:p w14:paraId="682D743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p>
              </w:tc>
              <w:tc>
                <w:tcPr>
                  <w:tcW w:w="531" w:type="pct"/>
                  <w:vMerge w:val="continue"/>
                  <w:noWrap w:val="0"/>
                  <w:vAlign w:val="center"/>
                </w:tcPr>
                <w:p w14:paraId="6794C5C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748" w:type="pct"/>
                  <w:noWrap w:val="0"/>
                  <w:vAlign w:val="center"/>
                </w:tcPr>
                <w:p w14:paraId="22BE60D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lang w:val="en-US"/>
                    </w:rPr>
                  </w:pPr>
                  <w:r>
                    <w:rPr>
                      <w:rFonts w:hint="eastAsia" w:ascii="Times New Roman" w:hAnsi="Times New Roman" w:cs="宋体"/>
                      <w:color w:val="auto"/>
                      <w:sz w:val="21"/>
                      <w:szCs w:val="21"/>
                      <w:lang w:val="en-US" w:eastAsia="zh-CN"/>
                    </w:rPr>
                    <w:t>锅炉燃烧废气</w:t>
                  </w:r>
                </w:p>
              </w:tc>
              <w:tc>
                <w:tcPr>
                  <w:tcW w:w="2255" w:type="pct"/>
                  <w:noWrap w:val="0"/>
                  <w:vAlign w:val="center"/>
                </w:tcPr>
                <w:p w14:paraId="01D102DA">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宋体"/>
                      <w:color w:val="auto"/>
                      <w:sz w:val="21"/>
                      <w:szCs w:val="21"/>
                    </w:rPr>
                    <w:t>采用低氮燃烧，</w:t>
                  </w:r>
                  <w:r>
                    <w:rPr>
                      <w:rFonts w:hint="eastAsia" w:ascii="Times New Roman" w:hAnsi="Times New Roman" w:cs="宋体"/>
                      <w:color w:val="auto"/>
                      <w:sz w:val="21"/>
                      <w:szCs w:val="21"/>
                      <w:lang w:val="en-US" w:eastAsia="zh-CN"/>
                    </w:rPr>
                    <w:t>燃烧废气</w:t>
                  </w:r>
                  <w:r>
                    <w:rPr>
                      <w:rFonts w:hint="eastAsia" w:cs="宋体"/>
                      <w:color w:val="auto"/>
                      <w:sz w:val="21"/>
                      <w:szCs w:val="21"/>
                      <w:lang w:eastAsia="zh-CN"/>
                    </w:rPr>
                    <w:t>多管旋风+布袋除尘器</w:t>
                  </w:r>
                  <w:r>
                    <w:rPr>
                      <w:rFonts w:hint="eastAsia" w:ascii="Times New Roman" w:hAnsi="Times New Roman" w:cs="宋体"/>
                      <w:color w:val="auto"/>
                      <w:sz w:val="21"/>
                      <w:szCs w:val="21"/>
                    </w:rPr>
                    <w:t>处理后</w:t>
                  </w:r>
                  <w:r>
                    <w:rPr>
                      <w:rFonts w:hint="eastAsia" w:ascii="Times New Roman" w:hAnsi="Times New Roman" w:cs="宋体"/>
                      <w:color w:val="auto"/>
                      <w:sz w:val="21"/>
                      <w:szCs w:val="21"/>
                      <w:lang w:val="en-US" w:eastAsia="zh-CN"/>
                    </w:rPr>
                    <w:t>15</w:t>
                  </w:r>
                  <w:r>
                    <w:rPr>
                      <w:rFonts w:hint="eastAsia" w:ascii="Times New Roman" w:hAnsi="Times New Roman" w:cs="宋体"/>
                      <w:color w:val="auto"/>
                      <w:sz w:val="21"/>
                      <w:szCs w:val="21"/>
                    </w:rPr>
                    <w:t>m高</w:t>
                  </w:r>
                  <w:r>
                    <w:rPr>
                      <w:rFonts w:hint="eastAsia" w:cs="宋体"/>
                      <w:color w:val="auto"/>
                      <w:sz w:val="21"/>
                      <w:szCs w:val="21"/>
                      <w:lang w:eastAsia="zh-CN"/>
                    </w:rPr>
                    <w:t>4#排气筒</w:t>
                  </w:r>
                  <w:r>
                    <w:rPr>
                      <w:rFonts w:hint="eastAsia" w:ascii="Times New Roman" w:hAnsi="Times New Roman" w:cs="宋体"/>
                      <w:color w:val="auto"/>
                      <w:sz w:val="21"/>
                      <w:szCs w:val="21"/>
                    </w:rPr>
                    <w:t>排放</w:t>
                  </w:r>
                </w:p>
              </w:tc>
              <w:tc>
                <w:tcPr>
                  <w:tcW w:w="455" w:type="pct"/>
                  <w:noWrap w:val="0"/>
                  <w:vAlign w:val="center"/>
                </w:tcPr>
                <w:p w14:paraId="607950F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10</w:t>
                  </w:r>
                </w:p>
              </w:tc>
              <w:tc>
                <w:tcPr>
                  <w:tcW w:w="493" w:type="pct"/>
                  <w:noWrap w:val="0"/>
                  <w:vAlign w:val="center"/>
                </w:tcPr>
                <w:p w14:paraId="24EAE87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r>
            <w:tr w14:paraId="1CB0D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7" w:type="pct"/>
                  <w:vMerge w:val="continue"/>
                  <w:noWrap w:val="0"/>
                  <w:vAlign w:val="center"/>
                </w:tcPr>
                <w:p w14:paraId="2AE3AAC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531" w:type="pct"/>
                  <w:vMerge w:val="restart"/>
                  <w:noWrap w:val="0"/>
                  <w:vAlign w:val="center"/>
                </w:tcPr>
                <w:p w14:paraId="6D1516A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废水治理</w:t>
                  </w:r>
                </w:p>
              </w:tc>
              <w:tc>
                <w:tcPr>
                  <w:tcW w:w="748" w:type="pct"/>
                  <w:noWrap w:val="0"/>
                  <w:vAlign w:val="center"/>
                </w:tcPr>
                <w:p w14:paraId="6665855D">
                  <w:pPr>
                    <w:keepNext w:val="0"/>
                    <w:keepLines w:val="0"/>
                    <w:suppressLineNumbers w:val="0"/>
                    <w:autoSpaceDE w:val="0"/>
                    <w:autoSpaceDN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rPr>
                    <w:t>生活</w:t>
                  </w:r>
                  <w:r>
                    <w:rPr>
                      <w:rFonts w:hint="eastAsia" w:ascii="Times New Roman" w:hAnsi="Times New Roman" w:cs="Times New Roman"/>
                      <w:color w:val="auto"/>
                      <w:sz w:val="21"/>
                      <w:szCs w:val="21"/>
                      <w:lang w:val="en-US" w:eastAsia="zh-CN"/>
                    </w:rPr>
                    <w:t>污水</w:t>
                  </w:r>
                </w:p>
              </w:tc>
              <w:tc>
                <w:tcPr>
                  <w:tcW w:w="2255" w:type="pct"/>
                  <w:noWrap w:val="0"/>
                  <w:vAlign w:val="center"/>
                </w:tcPr>
                <w:p w14:paraId="233A3610">
                  <w:pPr>
                    <w:keepNext w:val="0"/>
                    <w:keepLines/>
                    <w:suppressLineNumbers w:val="0"/>
                    <w:autoSpaceDE w:val="0"/>
                    <w:autoSpaceDN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宋体"/>
                      <w:color w:val="auto"/>
                      <w:sz w:val="21"/>
                      <w:szCs w:val="21"/>
                    </w:rPr>
                    <w:t>经中建节能建材公司已建预处理池处理后排入污水管网</w:t>
                  </w:r>
                </w:p>
              </w:tc>
              <w:tc>
                <w:tcPr>
                  <w:tcW w:w="455" w:type="pct"/>
                  <w:noWrap w:val="0"/>
                  <w:vAlign w:val="center"/>
                </w:tcPr>
                <w:p w14:paraId="3C959FAB">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rPr>
                    <w:t>/</w:t>
                  </w:r>
                </w:p>
              </w:tc>
              <w:tc>
                <w:tcPr>
                  <w:tcW w:w="493" w:type="pct"/>
                  <w:noWrap w:val="0"/>
                  <w:vAlign w:val="center"/>
                </w:tcPr>
                <w:p w14:paraId="23CCC84B">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p>
              </w:tc>
            </w:tr>
            <w:tr w14:paraId="75A03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7" w:type="pct"/>
                  <w:vMerge w:val="continue"/>
                  <w:noWrap w:val="0"/>
                  <w:vAlign w:val="center"/>
                </w:tcPr>
                <w:p w14:paraId="3A43A997">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531" w:type="pct"/>
                  <w:vMerge w:val="continue"/>
                  <w:noWrap w:val="0"/>
                  <w:vAlign w:val="center"/>
                </w:tcPr>
                <w:p w14:paraId="40858EC9">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748" w:type="pct"/>
                  <w:noWrap w:val="0"/>
                  <w:vAlign w:val="center"/>
                </w:tcPr>
                <w:p w14:paraId="1C78A2FC">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生产废水</w:t>
                  </w:r>
                </w:p>
              </w:tc>
              <w:tc>
                <w:tcPr>
                  <w:tcW w:w="2255" w:type="pct"/>
                  <w:noWrap w:val="0"/>
                  <w:vAlign w:val="center"/>
                </w:tcPr>
                <w:p w14:paraId="314DD9E0">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蒸馏冷凝</w:t>
                  </w:r>
                  <w:r>
                    <w:rPr>
                      <w:rFonts w:hint="eastAsia" w:ascii="Times New Roman" w:hAnsi="Times New Roman" w:cs="Times New Roman"/>
                      <w:color w:val="auto"/>
                      <w:sz w:val="21"/>
                      <w:szCs w:val="21"/>
                    </w:rPr>
                    <w:t>水经</w:t>
                  </w:r>
                  <w:r>
                    <w:rPr>
                      <w:rFonts w:hint="eastAsia" w:ascii="Times New Roman" w:hAnsi="Times New Roman" w:cs="Times New Roman"/>
                      <w:color w:val="auto"/>
                      <w:sz w:val="21"/>
                      <w:szCs w:val="21"/>
                      <w:lang w:val="en-US" w:eastAsia="zh-CN"/>
                    </w:rPr>
                    <w:t>油水分离池（5个，总容积23.8m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、厌氧池（1个，容积31m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eastAsia" w:ascii="Times New Roman" w:hAnsi="Times New Roman" w:cs="Times New Roman"/>
                      <w:color w:val="auto"/>
                      <w:sz w:val="21"/>
                      <w:szCs w:val="21"/>
                    </w:rPr>
                    <w:t>处理后</w:t>
                  </w:r>
                  <w:r>
                    <w:rPr>
                      <w:rFonts w:hint="eastAsia" w:cs="Times New Roman"/>
                      <w:color w:val="auto"/>
                      <w:sz w:val="21"/>
                      <w:szCs w:val="21"/>
                      <w:lang w:val="en-US" w:eastAsia="zh-CN"/>
                    </w:rPr>
                    <w:t>与反冲洗水一起</w:t>
                  </w:r>
                  <w:r>
                    <w:rPr>
                      <w:rFonts w:hint="eastAsia" w:ascii="Times New Roman" w:hAnsi="Times New Roman" w:cs="Times New Roman"/>
                      <w:color w:val="auto"/>
                      <w:sz w:val="21"/>
                      <w:szCs w:val="21"/>
                      <w:lang w:val="en-US" w:eastAsia="zh-CN"/>
                    </w:rPr>
                    <w:t>排入污水管网</w:t>
                  </w:r>
                </w:p>
              </w:tc>
              <w:tc>
                <w:tcPr>
                  <w:tcW w:w="455" w:type="pct"/>
                  <w:noWrap w:val="0"/>
                  <w:vAlign w:val="center"/>
                </w:tcPr>
                <w:p w14:paraId="4E8E8778">
                  <w:pPr>
                    <w:keepNext w:val="0"/>
                    <w:keepLines w:val="0"/>
                    <w:suppressLineNumbers w:val="0"/>
                    <w:autoSpaceDE w:val="0"/>
                    <w:autoSpaceDN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5</w:t>
                  </w:r>
                </w:p>
              </w:tc>
              <w:tc>
                <w:tcPr>
                  <w:tcW w:w="493" w:type="pct"/>
                  <w:noWrap w:val="0"/>
                  <w:vAlign w:val="center"/>
                </w:tcPr>
                <w:p w14:paraId="2E611EB1">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cs="Times New Roman"/>
                      <w:color w:val="auto"/>
                      <w:sz w:val="21"/>
                      <w:szCs w:val="21"/>
                    </w:rPr>
                  </w:pPr>
                </w:p>
              </w:tc>
            </w:tr>
            <w:tr w14:paraId="75049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7" w:type="pct"/>
                  <w:vMerge w:val="continue"/>
                  <w:noWrap w:val="0"/>
                  <w:vAlign w:val="center"/>
                </w:tcPr>
                <w:p w14:paraId="7BAAE13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531" w:type="pct"/>
                  <w:noWrap w:val="0"/>
                  <w:vAlign w:val="center"/>
                </w:tcPr>
                <w:p w14:paraId="0D71FD6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噪声治理</w:t>
                  </w:r>
                </w:p>
              </w:tc>
              <w:tc>
                <w:tcPr>
                  <w:tcW w:w="748" w:type="pct"/>
                  <w:noWrap w:val="0"/>
                  <w:vAlign w:val="center"/>
                </w:tcPr>
                <w:p w14:paraId="2041A7DE">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设备运行噪声</w:t>
                  </w:r>
                </w:p>
              </w:tc>
              <w:tc>
                <w:tcPr>
                  <w:tcW w:w="2255" w:type="pct"/>
                  <w:noWrap w:val="0"/>
                  <w:vAlign w:val="center"/>
                </w:tcPr>
                <w:p w14:paraId="750819F0">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r>
                    <w:rPr>
                      <w:rFonts w:hint="default" w:ascii="Times New Roman" w:hAnsi="Times New Roman" w:cs="Times New Roman"/>
                      <w:bCs/>
                      <w:color w:val="auto"/>
                      <w:sz w:val="21"/>
                      <w:szCs w:val="21"/>
                    </w:rPr>
                    <w:t>选用低噪声设备、厂房隔声、</w:t>
                  </w:r>
                  <w:r>
                    <w:rPr>
                      <w:rFonts w:hint="eastAsia" w:ascii="Times New Roman" w:hAnsi="Times New Roman" w:cs="Times New Roman"/>
                      <w:bCs/>
                      <w:color w:val="auto"/>
                      <w:sz w:val="21"/>
                      <w:szCs w:val="21"/>
                    </w:rPr>
                    <w:t>加强绿化、</w:t>
                  </w:r>
                  <w:r>
                    <w:rPr>
                      <w:rFonts w:hint="default" w:ascii="Times New Roman" w:hAnsi="Times New Roman" w:cs="Times New Roman"/>
                      <w:bCs/>
                      <w:color w:val="auto"/>
                      <w:sz w:val="21"/>
                      <w:szCs w:val="21"/>
                    </w:rPr>
                    <w:t>基础减震等</w:t>
                  </w:r>
                  <w:r>
                    <w:rPr>
                      <w:rFonts w:hint="eastAsia" w:ascii="Times New Roman" w:hAnsi="Times New Roman" w:cs="Times New Roman"/>
                      <w:bCs/>
                      <w:color w:val="auto"/>
                      <w:sz w:val="21"/>
                      <w:szCs w:val="21"/>
                    </w:rPr>
                    <w:t>。</w:t>
                  </w:r>
                </w:p>
              </w:tc>
              <w:tc>
                <w:tcPr>
                  <w:tcW w:w="455" w:type="pct"/>
                  <w:noWrap w:val="0"/>
                  <w:vAlign w:val="center"/>
                </w:tcPr>
                <w:p w14:paraId="4C3E7F72">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2</w:t>
                  </w:r>
                </w:p>
              </w:tc>
              <w:tc>
                <w:tcPr>
                  <w:tcW w:w="493" w:type="pct"/>
                  <w:noWrap w:val="0"/>
                  <w:vAlign w:val="center"/>
                </w:tcPr>
                <w:p w14:paraId="6E978F4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r>
            <w:tr w14:paraId="3EB96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7" w:type="pct"/>
                  <w:vMerge w:val="continue"/>
                  <w:noWrap w:val="0"/>
                  <w:vAlign w:val="center"/>
                </w:tcPr>
                <w:p w14:paraId="4A61017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531" w:type="pct"/>
                  <w:noWrap w:val="0"/>
                  <w:vAlign w:val="center"/>
                </w:tcPr>
                <w:p w14:paraId="1CA066C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748" w:type="pct"/>
                  <w:noWrap w:val="0"/>
                  <w:vAlign w:val="center"/>
                </w:tcPr>
                <w:p w14:paraId="6BB03934">
                  <w:pPr>
                    <w:keepNext w:val="0"/>
                    <w:keepLines w:val="0"/>
                    <w:suppressLineNumbers w:val="0"/>
                    <w:autoSpaceDE w:val="0"/>
                    <w:autoSpaceDN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危险废物</w:t>
                  </w:r>
                </w:p>
              </w:tc>
              <w:tc>
                <w:tcPr>
                  <w:tcW w:w="2255" w:type="pct"/>
                  <w:noWrap w:val="0"/>
                  <w:vAlign w:val="center"/>
                </w:tcPr>
                <w:p w14:paraId="41A5CD5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eastAsia" w:ascii="Times New Roman" w:hAnsi="Times New Roman" w:cs="Times New Roman"/>
                      <w:color w:val="auto"/>
                      <w:sz w:val="21"/>
                      <w:szCs w:val="21"/>
                    </w:rPr>
                    <w:t>在项目</w:t>
                  </w:r>
                  <w:r>
                    <w:rPr>
                      <w:rFonts w:hint="eastAsia" w:ascii="Times New Roman" w:hAnsi="Times New Roman" w:cs="Times New Roman"/>
                      <w:color w:val="auto"/>
                      <w:sz w:val="21"/>
                      <w:szCs w:val="21"/>
                      <w:lang w:val="en-US" w:eastAsia="zh-CN"/>
                    </w:rPr>
                    <w:t>西</w:t>
                  </w:r>
                  <w:r>
                    <w:rPr>
                      <w:rFonts w:hint="eastAsia" w:ascii="Times New Roman" w:hAnsi="Times New Roman" w:cs="Times New Roman"/>
                      <w:color w:val="auto"/>
                      <w:sz w:val="21"/>
                      <w:szCs w:val="21"/>
                    </w:rPr>
                    <w:t>北侧设置</w:t>
                  </w: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rPr>
                    <w:t>间危废暂存间，</w:t>
                  </w:r>
                  <w:r>
                    <w:rPr>
                      <w:rFonts w:hint="eastAsia" w:ascii="Times New Roman" w:hAnsi="Times New Roman" w:cs="Times New Roman"/>
                      <w:color w:val="auto"/>
                      <w:sz w:val="21"/>
                      <w:szCs w:val="21"/>
                      <w:lang w:val="en-US" w:eastAsia="zh-CN"/>
                    </w:rPr>
                    <w:t>面积8m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vertAlign w:val="baseline"/>
                      <w:lang w:val="en-US" w:eastAsia="zh-CN"/>
                    </w:rPr>
                    <w:t>，</w:t>
                  </w:r>
                  <w:r>
                    <w:rPr>
                      <w:rFonts w:hint="eastAsia" w:ascii="Times New Roman" w:hAnsi="Times New Roman" w:cs="Times New Roman"/>
                      <w:color w:val="auto"/>
                      <w:sz w:val="21"/>
                      <w:szCs w:val="21"/>
                    </w:rPr>
                    <w:t>危险废物暂存于危废间，</w:t>
                  </w:r>
                  <w:r>
                    <w:rPr>
                      <w:rFonts w:hint="eastAsia" w:ascii="Times New Roman" w:hAnsi="Times New Roman" w:cs="Times New Roman"/>
                      <w:color w:val="auto"/>
                      <w:sz w:val="21"/>
                      <w:szCs w:val="21"/>
                      <w:lang w:val="en-US" w:eastAsia="zh-CN"/>
                    </w:rPr>
                    <w:t>定期交由</w:t>
                  </w:r>
                  <w:r>
                    <w:rPr>
                      <w:rFonts w:hint="eastAsia" w:ascii="Times New Roman" w:hAnsi="Times New Roman" w:cs="Times New Roman"/>
                      <w:color w:val="auto"/>
                      <w:sz w:val="21"/>
                      <w:szCs w:val="21"/>
                    </w:rPr>
                    <w:t>有资质的单位处理</w:t>
                  </w:r>
                </w:p>
              </w:tc>
              <w:tc>
                <w:tcPr>
                  <w:tcW w:w="455" w:type="pct"/>
                  <w:noWrap w:val="0"/>
                  <w:vAlign w:val="center"/>
                </w:tcPr>
                <w:p w14:paraId="53717E8A">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3</w:t>
                  </w:r>
                </w:p>
              </w:tc>
              <w:tc>
                <w:tcPr>
                  <w:tcW w:w="493" w:type="pct"/>
                  <w:noWrap w:val="0"/>
                  <w:vAlign w:val="center"/>
                </w:tcPr>
                <w:p w14:paraId="11CB8342">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p>
              </w:tc>
            </w:tr>
            <w:tr w14:paraId="7DF19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7" w:type="pct"/>
                  <w:vMerge w:val="continue"/>
                  <w:noWrap w:val="0"/>
                  <w:vAlign w:val="center"/>
                </w:tcPr>
                <w:p w14:paraId="3A6793B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531" w:type="pct"/>
                  <w:noWrap w:val="0"/>
                  <w:vAlign w:val="center"/>
                </w:tcPr>
                <w:p w14:paraId="0A6EB1E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地下水防治措施</w:t>
                  </w:r>
                </w:p>
              </w:tc>
              <w:tc>
                <w:tcPr>
                  <w:tcW w:w="748" w:type="pct"/>
                  <w:noWrap w:val="0"/>
                  <w:vAlign w:val="center"/>
                </w:tcPr>
                <w:p w14:paraId="1B97A81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分区防渗</w:t>
                  </w:r>
                </w:p>
              </w:tc>
              <w:tc>
                <w:tcPr>
                  <w:tcW w:w="2255" w:type="pct"/>
                  <w:noWrap w:val="0"/>
                  <w:vAlign w:val="center"/>
                </w:tcPr>
                <w:p w14:paraId="09EA11C8">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重点防渗区：危废暂存间、柏木油产品库、油水分离池、</w:t>
                  </w:r>
                  <w:r>
                    <w:rPr>
                      <w:rFonts w:hint="eastAsia" w:ascii="宋体" w:hAnsi="宋体" w:cs="宋体"/>
                      <w:color w:val="auto"/>
                      <w:kern w:val="0"/>
                      <w:sz w:val="21"/>
                      <w:szCs w:val="21"/>
                      <w:lang w:val="en-US" w:eastAsia="zh-CN" w:bidi="ar"/>
                    </w:rPr>
                    <w:t>厌氧池、</w:t>
                  </w:r>
                  <w:r>
                    <w:rPr>
                      <w:rFonts w:hint="eastAsia" w:ascii="宋体" w:hAnsi="宋体" w:eastAsia="宋体" w:cs="宋体"/>
                      <w:color w:val="auto"/>
                      <w:kern w:val="0"/>
                      <w:sz w:val="21"/>
                      <w:szCs w:val="21"/>
                      <w:lang w:val="en-US" w:eastAsia="zh-CN" w:bidi="ar"/>
                    </w:rPr>
                    <w:t>污水埋地管道。其中危废暂存间采用</w:t>
                  </w:r>
                  <w:r>
                    <w:rPr>
                      <w:rFonts w:hint="eastAsia" w:ascii="宋体" w:hAnsi="宋体" w:cs="宋体"/>
                      <w:color w:val="auto"/>
                      <w:kern w:val="0"/>
                      <w:sz w:val="21"/>
                      <w:szCs w:val="21"/>
                      <w:lang w:val="en-US" w:eastAsia="zh-CN" w:bidi="ar"/>
                    </w:rPr>
                    <w:t>黏土铺底+</w:t>
                  </w:r>
                  <w:r>
                    <w:rPr>
                      <w:rFonts w:hint="eastAsia" w:ascii="宋体" w:hAnsi="宋体" w:eastAsia="宋体" w:cs="宋体"/>
                      <w:color w:val="auto"/>
                      <w:kern w:val="0"/>
                      <w:sz w:val="21"/>
                      <w:szCs w:val="21"/>
                      <w:lang w:val="en-US" w:eastAsia="zh-CN" w:bidi="ar"/>
                    </w:rPr>
                    <w:t>防渗混凝土</w:t>
                  </w:r>
                  <w:r>
                    <w:rPr>
                      <w:rFonts w:hint="default" w:ascii="Times New Roman" w:hAnsi="Times New Roman" w:eastAsia="宋体" w:cs="Times New Roman"/>
                      <w:color w:val="auto"/>
                      <w:kern w:val="0"/>
                      <w:sz w:val="21"/>
                      <w:szCs w:val="21"/>
                      <w:lang w:val="en-US" w:eastAsia="zh-CN" w:bidi="ar"/>
                    </w:rPr>
                    <w:t>+2mm</w:t>
                  </w:r>
                  <w:r>
                    <w:rPr>
                      <w:rFonts w:hint="eastAsia" w:ascii="宋体" w:hAnsi="宋体" w:eastAsia="宋体" w:cs="宋体"/>
                      <w:color w:val="auto"/>
                      <w:kern w:val="0"/>
                      <w:sz w:val="21"/>
                      <w:szCs w:val="21"/>
                      <w:lang w:val="en-US" w:eastAsia="zh-CN" w:bidi="ar"/>
                    </w:rPr>
                    <w:t>厚</w:t>
                  </w:r>
                  <w:r>
                    <w:rPr>
                      <w:rFonts w:hint="default" w:ascii="Times New Roman" w:hAnsi="Times New Roman" w:eastAsia="宋体" w:cs="Times New Roman"/>
                      <w:color w:val="auto"/>
                      <w:kern w:val="0"/>
                      <w:sz w:val="21"/>
                      <w:szCs w:val="21"/>
                      <w:lang w:val="en-US" w:eastAsia="zh-CN" w:bidi="ar"/>
                    </w:rPr>
                    <w:t>HDPE</w:t>
                  </w:r>
                  <w:r>
                    <w:rPr>
                      <w:rFonts w:hint="eastAsia" w:ascii="宋体" w:hAnsi="宋体" w:eastAsia="宋体" w:cs="宋体"/>
                      <w:color w:val="auto"/>
                      <w:kern w:val="0"/>
                      <w:sz w:val="21"/>
                      <w:szCs w:val="21"/>
                      <w:lang w:val="en-US" w:eastAsia="zh-CN" w:bidi="ar"/>
                    </w:rPr>
                    <w:t>人工防渗涂层</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渗透系数</w:t>
                  </w:r>
                  <w:r>
                    <w:rPr>
                      <w:rFonts w:hint="default" w:ascii="Times New Roman" w:hAnsi="Times New Roman" w:eastAsia="宋体" w:cs="Times New Roman"/>
                      <w:color w:val="auto"/>
                      <w:kern w:val="0"/>
                      <w:sz w:val="21"/>
                      <w:szCs w:val="21"/>
                      <w:lang w:val="en-US" w:eastAsia="zh-CN" w:bidi="ar"/>
                    </w:rPr>
                    <w:t>K≤10</w:t>
                  </w:r>
                  <w:r>
                    <w:rPr>
                      <w:rFonts w:hint="eastAsia" w:ascii="Times New Roman" w:hAnsi="Times New Roman" w:eastAsia="宋体" w:cs="Times New Roman"/>
                      <w:color w:val="auto"/>
                      <w:kern w:val="0"/>
                      <w:sz w:val="21"/>
                      <w:szCs w:val="21"/>
                      <w:vertAlign w:val="superscript"/>
                      <w:lang w:val="en-US" w:eastAsia="zh-CN" w:bidi="ar"/>
                    </w:rPr>
                    <w:t>-10</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其余采取防渗混凝土+人工防渗涂层，</w:t>
                  </w:r>
                  <w:r>
                    <w:rPr>
                      <w:rFonts w:hint="eastAsia" w:ascii="宋体" w:hAnsi="宋体" w:eastAsia="宋体" w:cs="宋体"/>
                      <w:color w:val="auto"/>
                      <w:kern w:val="0"/>
                      <w:sz w:val="21"/>
                      <w:szCs w:val="21"/>
                      <w:lang w:val="en-US" w:eastAsia="zh-CN" w:bidi="ar"/>
                    </w:rPr>
                    <w:t>确保防渗层达到等效黏土防渗层</w:t>
                  </w:r>
                  <w:r>
                    <w:rPr>
                      <w:rFonts w:hint="default" w:ascii="Times New Roman" w:hAnsi="Times New Roman" w:eastAsia="宋体" w:cs="Times New Roman"/>
                      <w:color w:val="auto"/>
                      <w:kern w:val="0"/>
                      <w:sz w:val="21"/>
                      <w:szCs w:val="21"/>
                      <w:lang w:val="en-US" w:eastAsia="zh-CN" w:bidi="ar"/>
                    </w:rPr>
                    <w:t>Mb≥6.0m</w:t>
                  </w:r>
                  <w:r>
                    <w:rPr>
                      <w:rFonts w:hint="eastAsia" w:ascii="宋体" w:hAnsi="宋体" w:eastAsia="宋体" w:cs="宋体"/>
                      <w:color w:val="auto"/>
                      <w:kern w:val="0"/>
                      <w:sz w:val="21"/>
                      <w:szCs w:val="21"/>
                      <w:lang w:val="en-US" w:eastAsia="zh-CN" w:bidi="ar"/>
                    </w:rPr>
                    <w:t>、渗透系数</w:t>
                  </w:r>
                  <w:r>
                    <w:rPr>
                      <w:rFonts w:hint="default" w:ascii="Times New Roman" w:hAnsi="Times New Roman" w:eastAsia="宋体" w:cs="Times New Roman"/>
                      <w:color w:val="auto"/>
                      <w:kern w:val="0"/>
                      <w:sz w:val="21"/>
                      <w:szCs w:val="21"/>
                      <w:lang w:val="en-US" w:eastAsia="zh-CN" w:bidi="ar"/>
                    </w:rPr>
                    <w:t>K≤1.0×10</w:t>
                  </w:r>
                  <w:r>
                    <w:rPr>
                      <w:rFonts w:hint="eastAsia"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柏木油产品库</w:t>
                  </w:r>
                  <w:r>
                    <w:rPr>
                      <w:rFonts w:hint="eastAsia" w:ascii="宋体" w:hAnsi="宋体" w:eastAsia="宋体" w:cs="宋体"/>
                      <w:color w:val="auto"/>
                      <w:kern w:val="0"/>
                      <w:sz w:val="21"/>
                      <w:szCs w:val="21"/>
                      <w:lang w:val="en-US" w:eastAsia="zh-CN" w:bidi="ar"/>
                    </w:rPr>
                    <w:t>设置围堰。</w:t>
                  </w:r>
                </w:p>
                <w:p w14:paraId="229190C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eastAsia" w:ascii="宋体" w:hAnsi="宋体" w:eastAsia="宋体" w:cs="宋体"/>
                      <w:color w:val="auto"/>
                      <w:kern w:val="0"/>
                      <w:sz w:val="21"/>
                      <w:szCs w:val="21"/>
                      <w:lang w:val="en-US" w:eastAsia="zh-CN" w:bidi="ar"/>
                    </w:rPr>
                    <w:t>一般防渗区：破碎间、锅炉房、生产车间。采用防渗混凝土进行地面硬化，确保防渗层达到等效黏土防渗层</w:t>
                  </w:r>
                  <w:r>
                    <w:rPr>
                      <w:rFonts w:hint="default" w:ascii="Times New Roman" w:hAnsi="Times New Roman" w:eastAsia="宋体" w:cs="Times New Roman"/>
                      <w:color w:val="auto"/>
                      <w:kern w:val="0"/>
                      <w:sz w:val="21"/>
                      <w:szCs w:val="21"/>
                      <w:lang w:val="en-US" w:eastAsia="zh-CN" w:bidi="ar"/>
                    </w:rPr>
                    <w:t>Mb≥</w:t>
                  </w:r>
                  <w:r>
                    <w:rPr>
                      <w:rFonts w:hint="eastAsia" w:ascii="Times New Roman" w:hAnsi="Times New Roman" w:eastAsia="宋体" w:cs="Times New Roman"/>
                      <w:color w:val="auto"/>
                      <w:kern w:val="0"/>
                      <w:sz w:val="21"/>
                      <w:szCs w:val="21"/>
                      <w:lang w:val="en-US" w:eastAsia="zh-CN" w:bidi="ar"/>
                    </w:rPr>
                    <w:t>1.5</w:t>
                  </w:r>
                  <w:r>
                    <w:rPr>
                      <w:rFonts w:hint="default" w:ascii="Times New Roman" w:hAnsi="Times New Roman" w:eastAsia="宋体" w:cs="Times New Roman"/>
                      <w:color w:val="auto"/>
                      <w:kern w:val="0"/>
                      <w:sz w:val="21"/>
                      <w:szCs w:val="21"/>
                      <w:lang w:val="en-US" w:eastAsia="zh-CN" w:bidi="ar"/>
                    </w:rPr>
                    <w:t>m</w:t>
                  </w:r>
                  <w:r>
                    <w:rPr>
                      <w:rFonts w:hint="eastAsia" w:ascii="宋体" w:hAnsi="宋体" w:eastAsia="宋体" w:cs="宋体"/>
                      <w:color w:val="auto"/>
                      <w:kern w:val="0"/>
                      <w:sz w:val="21"/>
                      <w:szCs w:val="21"/>
                      <w:lang w:val="en-US" w:eastAsia="zh-CN" w:bidi="ar"/>
                    </w:rPr>
                    <w:t>、渗透系数</w:t>
                  </w:r>
                  <w:r>
                    <w:rPr>
                      <w:rFonts w:hint="default" w:ascii="Times New Roman" w:hAnsi="Times New Roman" w:eastAsia="宋体" w:cs="Times New Roman"/>
                      <w:color w:val="auto"/>
                      <w:kern w:val="0"/>
                      <w:sz w:val="21"/>
                      <w:szCs w:val="21"/>
                      <w:lang w:val="en-US" w:eastAsia="zh-CN" w:bidi="ar"/>
                    </w:rPr>
                    <w:t>K≤1.0×10</w:t>
                  </w:r>
                  <w:r>
                    <w:rPr>
                      <w:rFonts w:hint="eastAsia"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w:t>
                  </w:r>
                </w:p>
              </w:tc>
              <w:tc>
                <w:tcPr>
                  <w:tcW w:w="455" w:type="pct"/>
                  <w:noWrap w:val="0"/>
                  <w:vAlign w:val="center"/>
                </w:tcPr>
                <w:p w14:paraId="6EEB82CE">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3</w:t>
                  </w:r>
                </w:p>
              </w:tc>
              <w:tc>
                <w:tcPr>
                  <w:tcW w:w="493" w:type="pct"/>
                  <w:noWrap w:val="0"/>
                  <w:vAlign w:val="center"/>
                </w:tcPr>
                <w:p w14:paraId="0D1C483E">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p>
              </w:tc>
            </w:tr>
            <w:tr w14:paraId="6EB34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7" w:type="pct"/>
                  <w:vMerge w:val="continue"/>
                  <w:noWrap w:val="0"/>
                  <w:vAlign w:val="center"/>
                </w:tcPr>
                <w:p w14:paraId="2491DBC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531" w:type="pct"/>
                  <w:noWrap w:val="0"/>
                  <w:vAlign w:val="center"/>
                </w:tcPr>
                <w:p w14:paraId="1FEFA0C5">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rPr>
                    <w:t>环境监测</w:t>
                  </w:r>
                </w:p>
              </w:tc>
              <w:tc>
                <w:tcPr>
                  <w:tcW w:w="748" w:type="pct"/>
                  <w:noWrap w:val="0"/>
                  <w:vAlign w:val="center"/>
                </w:tcPr>
                <w:p w14:paraId="21328C6F">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rPr>
                    <w:t>/</w:t>
                  </w:r>
                </w:p>
              </w:tc>
              <w:tc>
                <w:tcPr>
                  <w:tcW w:w="2255" w:type="pct"/>
                  <w:noWrap w:val="0"/>
                  <w:vAlign w:val="center"/>
                </w:tcPr>
                <w:p w14:paraId="2AFE709B">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根据要求对</w:t>
                  </w:r>
                  <w:r>
                    <w:rPr>
                      <w:rFonts w:hint="eastAsia" w:cs="Times New Roman"/>
                      <w:color w:val="auto"/>
                      <w:sz w:val="21"/>
                      <w:szCs w:val="21"/>
                      <w:lang w:val="en-US" w:eastAsia="zh-CN"/>
                    </w:rPr>
                    <w:t>项目排污情况</w:t>
                  </w:r>
                  <w:r>
                    <w:rPr>
                      <w:rFonts w:hint="eastAsia" w:ascii="Times New Roman" w:hAnsi="Times New Roman" w:cs="Times New Roman"/>
                      <w:color w:val="auto"/>
                      <w:sz w:val="21"/>
                      <w:szCs w:val="21"/>
                    </w:rPr>
                    <w:t>进行监测</w:t>
                  </w:r>
                </w:p>
              </w:tc>
              <w:tc>
                <w:tcPr>
                  <w:tcW w:w="455" w:type="pct"/>
                  <w:noWrap w:val="0"/>
                  <w:vAlign w:val="center"/>
                </w:tcPr>
                <w:p w14:paraId="345D521C">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rPr>
                    <w:t>2</w:t>
                  </w:r>
                </w:p>
              </w:tc>
              <w:tc>
                <w:tcPr>
                  <w:tcW w:w="493" w:type="pct"/>
                  <w:noWrap w:val="0"/>
                  <w:vAlign w:val="center"/>
                </w:tcPr>
                <w:p w14:paraId="14C2EF41">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Cs/>
                      <w:color w:val="auto"/>
                      <w:sz w:val="21"/>
                      <w:szCs w:val="21"/>
                    </w:rPr>
                  </w:pPr>
                </w:p>
              </w:tc>
            </w:tr>
            <w:tr w14:paraId="55099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7" w:type="pct"/>
                  <w:vMerge w:val="continue"/>
                  <w:noWrap w:val="0"/>
                  <w:vAlign w:val="center"/>
                </w:tcPr>
                <w:p w14:paraId="1D6C530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531" w:type="pct"/>
                  <w:noWrap w:val="0"/>
                  <w:vAlign w:val="center"/>
                </w:tcPr>
                <w:p w14:paraId="71C555E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环境风险</w:t>
                  </w:r>
                </w:p>
              </w:tc>
              <w:tc>
                <w:tcPr>
                  <w:tcW w:w="3003" w:type="pct"/>
                  <w:gridSpan w:val="2"/>
                  <w:noWrap w:val="0"/>
                  <w:vAlign w:val="center"/>
                </w:tcPr>
                <w:p w14:paraId="4B3CB0C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eastAsia" w:ascii="宋体" w:hAnsi="宋体" w:cs="宋体"/>
                      <w:color w:val="auto"/>
                      <w:kern w:val="0"/>
                      <w:sz w:val="21"/>
                      <w:szCs w:val="21"/>
                      <w:lang w:val="en-US" w:eastAsia="zh-CN" w:bidi="ar"/>
                    </w:rPr>
                    <w:t>加强管理，设置消防器材，采取</w:t>
                  </w:r>
                  <w:r>
                    <w:rPr>
                      <w:rFonts w:hint="default" w:ascii="宋体" w:hAnsi="宋体" w:eastAsia="宋体" w:cs="宋体"/>
                      <w:color w:val="auto"/>
                      <w:kern w:val="0"/>
                      <w:sz w:val="21"/>
                      <w:szCs w:val="21"/>
                      <w:lang w:val="en-US" w:eastAsia="zh-CN" w:bidi="ar"/>
                    </w:rPr>
                    <w:t>环境风险防范及应急措施，制定风险应急预案</w:t>
                  </w:r>
                  <w:r>
                    <w:rPr>
                      <w:rFonts w:hint="eastAsia" w:ascii="宋体" w:hAnsi="宋体" w:cs="宋体"/>
                      <w:color w:val="auto"/>
                      <w:kern w:val="0"/>
                      <w:sz w:val="21"/>
                      <w:szCs w:val="21"/>
                      <w:lang w:val="en-US" w:eastAsia="zh-CN" w:bidi="ar"/>
                    </w:rPr>
                    <w:t>。</w:t>
                  </w:r>
                </w:p>
              </w:tc>
              <w:tc>
                <w:tcPr>
                  <w:tcW w:w="455" w:type="pct"/>
                  <w:noWrap w:val="0"/>
                  <w:vAlign w:val="center"/>
                </w:tcPr>
                <w:p w14:paraId="027E1A4A">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3</w:t>
                  </w:r>
                </w:p>
              </w:tc>
              <w:tc>
                <w:tcPr>
                  <w:tcW w:w="493" w:type="pct"/>
                  <w:noWrap w:val="0"/>
                  <w:vAlign w:val="center"/>
                </w:tcPr>
                <w:p w14:paraId="0BC6AB9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r>
            <w:tr w14:paraId="30333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51" w:type="pct"/>
                  <w:gridSpan w:val="4"/>
                  <w:noWrap w:val="0"/>
                  <w:vAlign w:val="center"/>
                </w:tcPr>
                <w:p w14:paraId="3B12DD9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合计</w:t>
                  </w:r>
                </w:p>
              </w:tc>
              <w:tc>
                <w:tcPr>
                  <w:tcW w:w="455" w:type="pct"/>
                  <w:noWrap w:val="0"/>
                  <w:vAlign w:val="center"/>
                </w:tcPr>
                <w:p w14:paraId="5E2EDF1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50.5</w:t>
                  </w:r>
                </w:p>
              </w:tc>
              <w:tc>
                <w:tcPr>
                  <w:tcW w:w="493" w:type="pct"/>
                  <w:noWrap w:val="0"/>
                  <w:vAlign w:val="center"/>
                </w:tcPr>
                <w:p w14:paraId="723CA22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p>
              </w:tc>
            </w:tr>
          </w:tbl>
          <w:p w14:paraId="4D4E11C7">
            <w:pPr>
              <w:keepNext w:val="0"/>
              <w:keepLines w:val="0"/>
              <w:suppressLineNumbers w:val="0"/>
              <w:spacing w:before="0" w:beforeAutospacing="0" w:after="0" w:afterAutospacing="0"/>
              <w:ind w:left="0" w:right="0"/>
              <w:rPr>
                <w:rFonts w:hint="eastAsia" w:ascii="Times New Roman" w:hAnsi="Times New Roman" w:cs="Times New Roman"/>
                <w:color w:val="auto"/>
              </w:rPr>
            </w:pPr>
          </w:p>
        </w:tc>
      </w:tr>
    </w:tbl>
    <w:p w14:paraId="51773315">
      <w:pPr>
        <w:rPr>
          <w:rFonts w:hint="eastAsia"/>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A587DB9">
      <w:pPr>
        <w:pStyle w:val="25"/>
        <w:spacing w:line="240" w:lineRule="auto"/>
        <w:jc w:val="center"/>
        <w:outlineLvl w:val="0"/>
        <w:rPr>
          <w:rFonts w:hint="eastAsia" w:ascii="Times New Roman" w:hAnsi="Times New Roman" w:eastAsia="黑体" w:cs="Times New Roman"/>
          <w:snapToGrid w:val="0"/>
          <w:color w:val="auto"/>
          <w:sz w:val="30"/>
          <w:szCs w:val="30"/>
        </w:rPr>
      </w:pPr>
      <w:r>
        <w:rPr>
          <w:rFonts w:hint="eastAsia" w:ascii="Times New Roman" w:hAnsi="Times New Roman" w:eastAsia="黑体" w:cs="Times New Roman"/>
          <w:snapToGrid w:val="0"/>
          <w:color w:val="auto"/>
          <w:sz w:val="30"/>
          <w:szCs w:val="30"/>
        </w:rPr>
        <w:t>五、</w:t>
      </w:r>
      <w:bookmarkStart w:id="7" w:name="_Hlk54167917"/>
      <w:r>
        <w:rPr>
          <w:rFonts w:hint="eastAsia" w:ascii="Times New Roman" w:hAnsi="Times New Roman" w:eastAsia="黑体" w:cs="Times New Roman"/>
          <w:snapToGrid w:val="0"/>
          <w:color w:val="auto"/>
          <w:sz w:val="30"/>
          <w:szCs w:val="30"/>
        </w:rPr>
        <w:t>环境保护措施监督检查清单</w:t>
      </w:r>
      <w:bookmarkEnd w:id="7"/>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251"/>
        <w:gridCol w:w="1440"/>
        <w:gridCol w:w="2955"/>
        <w:gridCol w:w="1827"/>
      </w:tblGrid>
      <w:tr w14:paraId="558656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1327" w:type="dxa"/>
            <w:tcBorders>
              <w:tl2br w:val="single" w:color="auto" w:sz="4" w:space="0"/>
            </w:tcBorders>
            <w:noWrap w:val="0"/>
            <w:vAlign w:val="top"/>
          </w:tcPr>
          <w:p w14:paraId="4D9A6334">
            <w:pPr>
              <w:keepNext w:val="0"/>
              <w:keepLines w:val="0"/>
              <w:suppressLineNumbers w:val="0"/>
              <w:adjustRightInd w:val="0"/>
              <w:snapToGrid w:val="0"/>
              <w:spacing w:before="0" w:beforeAutospacing="0" w:after="0" w:afterAutospacing="0"/>
              <w:ind w:left="0" w:right="0" w:firstLine="482" w:firstLineChars="200"/>
              <w:rPr>
                <w:rFonts w:hint="eastAsia" w:ascii="Times New Roman" w:hAnsi="Times New Roman" w:cs="宋体"/>
                <w:b/>
                <w:bCs/>
                <w:color w:val="auto"/>
                <w:sz w:val="24"/>
                <w:szCs w:val="24"/>
              </w:rPr>
            </w:pPr>
            <w:r>
              <w:rPr>
                <w:rFonts w:hint="eastAsia" w:ascii="Times New Roman" w:hAnsi="Times New Roman" w:cs="宋体"/>
                <w:b/>
                <w:bCs/>
                <w:color w:val="auto"/>
                <w:sz w:val="24"/>
                <w:szCs w:val="24"/>
              </w:rPr>
              <w:t>内容</w:t>
            </w:r>
          </w:p>
          <w:p w14:paraId="693A9700">
            <w:pPr>
              <w:keepNext w:val="0"/>
              <w:keepLines w:val="0"/>
              <w:suppressLineNumbers w:val="0"/>
              <w:adjustRightInd w:val="0"/>
              <w:snapToGrid w:val="0"/>
              <w:spacing w:before="0" w:beforeAutospacing="0" w:after="0" w:afterAutospacing="0"/>
              <w:ind w:left="0" w:right="0"/>
              <w:rPr>
                <w:rFonts w:hint="eastAsia" w:ascii="Times New Roman" w:hAnsi="Times New Roman" w:cs="宋体"/>
                <w:b/>
                <w:bCs/>
                <w:color w:val="auto"/>
                <w:sz w:val="24"/>
                <w:szCs w:val="24"/>
              </w:rPr>
            </w:pPr>
          </w:p>
          <w:p w14:paraId="37ABBE05">
            <w:pPr>
              <w:keepNext w:val="0"/>
              <w:keepLines w:val="0"/>
              <w:suppressLineNumbers w:val="0"/>
              <w:adjustRightInd w:val="0"/>
              <w:snapToGrid w:val="0"/>
              <w:spacing w:before="0" w:beforeAutospacing="0" w:after="0" w:afterAutospacing="0"/>
              <w:ind w:left="0" w:right="0"/>
              <w:rPr>
                <w:rFonts w:hint="eastAsia" w:ascii="Times New Roman" w:hAnsi="Times New Roman" w:cs="宋体"/>
                <w:b/>
                <w:bCs/>
                <w:color w:val="auto"/>
                <w:sz w:val="24"/>
                <w:szCs w:val="24"/>
              </w:rPr>
            </w:pPr>
            <w:r>
              <w:rPr>
                <w:rFonts w:hint="eastAsia" w:ascii="Times New Roman" w:hAnsi="Times New Roman" w:cs="宋体"/>
                <w:b/>
                <w:bCs/>
                <w:color w:val="auto"/>
                <w:sz w:val="24"/>
                <w:szCs w:val="24"/>
              </w:rPr>
              <w:t>要素</w:t>
            </w:r>
          </w:p>
        </w:tc>
        <w:tc>
          <w:tcPr>
            <w:tcW w:w="1251" w:type="dxa"/>
            <w:noWrap w:val="0"/>
            <w:vAlign w:val="center"/>
          </w:tcPr>
          <w:p w14:paraId="56ECB1E3">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b/>
                <w:bCs/>
                <w:color w:val="auto"/>
                <w:sz w:val="24"/>
                <w:szCs w:val="24"/>
              </w:rPr>
            </w:pPr>
            <w:r>
              <w:rPr>
                <w:rFonts w:hint="eastAsia" w:ascii="Times New Roman" w:hAnsi="Times New Roman" w:cs="宋体"/>
                <w:b/>
                <w:bCs/>
                <w:color w:val="auto"/>
                <w:sz w:val="24"/>
                <w:szCs w:val="24"/>
              </w:rPr>
              <w:t>排放口/污染源</w:t>
            </w:r>
          </w:p>
        </w:tc>
        <w:tc>
          <w:tcPr>
            <w:tcW w:w="1440" w:type="dxa"/>
            <w:noWrap w:val="0"/>
            <w:vAlign w:val="center"/>
          </w:tcPr>
          <w:p w14:paraId="36C6B04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b/>
                <w:bCs/>
                <w:color w:val="auto"/>
                <w:sz w:val="24"/>
                <w:szCs w:val="24"/>
              </w:rPr>
            </w:pPr>
            <w:r>
              <w:rPr>
                <w:rFonts w:hint="eastAsia" w:ascii="Times New Roman" w:hAnsi="Times New Roman" w:cs="宋体"/>
                <w:b/>
                <w:bCs/>
                <w:color w:val="auto"/>
                <w:sz w:val="24"/>
                <w:szCs w:val="24"/>
              </w:rPr>
              <w:t>污染物项目</w:t>
            </w:r>
          </w:p>
        </w:tc>
        <w:tc>
          <w:tcPr>
            <w:tcW w:w="2955" w:type="dxa"/>
            <w:noWrap w:val="0"/>
            <w:vAlign w:val="center"/>
          </w:tcPr>
          <w:p w14:paraId="5040B03B">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b/>
                <w:bCs/>
                <w:color w:val="auto"/>
                <w:sz w:val="24"/>
                <w:szCs w:val="24"/>
              </w:rPr>
            </w:pPr>
            <w:r>
              <w:rPr>
                <w:rFonts w:hint="eastAsia" w:ascii="Times New Roman" w:hAnsi="Times New Roman" w:cs="宋体"/>
                <w:b/>
                <w:bCs/>
                <w:color w:val="auto"/>
                <w:sz w:val="24"/>
                <w:szCs w:val="24"/>
              </w:rPr>
              <w:t>环境保护措施</w:t>
            </w:r>
          </w:p>
        </w:tc>
        <w:tc>
          <w:tcPr>
            <w:tcW w:w="1827" w:type="dxa"/>
            <w:noWrap w:val="0"/>
            <w:vAlign w:val="center"/>
          </w:tcPr>
          <w:p w14:paraId="0CC5A151">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b/>
                <w:bCs/>
                <w:color w:val="auto"/>
                <w:sz w:val="24"/>
                <w:szCs w:val="24"/>
              </w:rPr>
            </w:pPr>
            <w:r>
              <w:rPr>
                <w:rFonts w:hint="eastAsia" w:ascii="Times New Roman" w:hAnsi="Times New Roman" w:cs="宋体"/>
                <w:b/>
                <w:bCs/>
                <w:color w:val="auto"/>
                <w:sz w:val="24"/>
                <w:szCs w:val="24"/>
              </w:rPr>
              <w:t>执行标准</w:t>
            </w:r>
          </w:p>
        </w:tc>
      </w:tr>
      <w:tr w14:paraId="33C471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61" w:hRule="atLeast"/>
          <w:jc w:val="center"/>
        </w:trPr>
        <w:tc>
          <w:tcPr>
            <w:tcW w:w="1327" w:type="dxa"/>
            <w:vMerge w:val="restart"/>
            <w:noWrap w:val="0"/>
            <w:vAlign w:val="center"/>
          </w:tcPr>
          <w:p w14:paraId="27C8377B">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rPr>
              <w:t>大气环境</w:t>
            </w:r>
          </w:p>
        </w:tc>
        <w:tc>
          <w:tcPr>
            <w:tcW w:w="1251" w:type="dxa"/>
            <w:noWrap w:val="0"/>
            <w:vAlign w:val="center"/>
          </w:tcPr>
          <w:p w14:paraId="1F0138FE">
            <w:pPr>
              <w:pStyle w:val="14"/>
              <w:keepNext w:val="0"/>
              <w:keepLines w:val="0"/>
              <w:suppressLineNumbers w:val="0"/>
              <w:spacing w:before="0" w:beforeAutospacing="0" w:after="0" w:afterAutospacing="0" w:line="240" w:lineRule="auto"/>
              <w:ind w:left="0" w:right="0"/>
              <w:jc w:val="center"/>
              <w:rPr>
                <w:rFonts w:hint="eastAsia" w:ascii="Times New Roman" w:hAnsi="Times New Roman" w:eastAsia="宋体" w:cs="宋体"/>
                <w:color w:val="auto"/>
                <w:sz w:val="24"/>
                <w:szCs w:val="24"/>
                <w:lang w:eastAsia="zh-CN"/>
              </w:rPr>
            </w:pPr>
            <w:r>
              <w:rPr>
                <w:rFonts w:hint="eastAsia" w:ascii="Times New Roman" w:hAnsi="Times New Roman" w:cs="宋体"/>
                <w:color w:val="auto"/>
                <w:sz w:val="24"/>
                <w:szCs w:val="24"/>
                <w:lang w:val="en-US" w:eastAsia="zh-CN"/>
              </w:rPr>
              <w:t>破碎机、制粒机</w:t>
            </w:r>
            <w:r>
              <w:rPr>
                <w:rFonts w:hint="eastAsia" w:ascii="Times New Roman" w:hAnsi="Times New Roman" w:cs="宋体"/>
                <w:color w:val="auto"/>
                <w:sz w:val="22"/>
                <w:szCs w:val="22"/>
                <w:lang w:val="en-US" w:eastAsia="zh-CN"/>
              </w:rPr>
              <w:t>（DA001）</w:t>
            </w:r>
          </w:p>
        </w:tc>
        <w:tc>
          <w:tcPr>
            <w:tcW w:w="1440" w:type="dxa"/>
            <w:noWrap w:val="0"/>
            <w:vAlign w:val="center"/>
          </w:tcPr>
          <w:p w14:paraId="02959860">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宋体"/>
                <w:color w:val="auto"/>
                <w:sz w:val="24"/>
                <w:szCs w:val="24"/>
                <w:lang w:eastAsia="zh-CN"/>
              </w:rPr>
            </w:pPr>
            <w:r>
              <w:rPr>
                <w:rFonts w:hint="eastAsia" w:ascii="Times New Roman" w:hAnsi="Times New Roman" w:cs="宋体"/>
                <w:color w:val="auto"/>
                <w:sz w:val="24"/>
                <w:szCs w:val="24"/>
                <w:lang w:val="en-US" w:eastAsia="zh-CN"/>
              </w:rPr>
              <w:t>粉尘</w:t>
            </w:r>
          </w:p>
        </w:tc>
        <w:tc>
          <w:tcPr>
            <w:tcW w:w="2955" w:type="dxa"/>
            <w:noWrap w:val="0"/>
            <w:vAlign w:val="center"/>
          </w:tcPr>
          <w:p w14:paraId="542ED49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宋体"/>
                <w:color w:val="auto"/>
                <w:sz w:val="24"/>
                <w:szCs w:val="24"/>
              </w:rPr>
            </w:pPr>
            <w:r>
              <w:rPr>
                <w:rFonts w:hint="eastAsia" w:ascii="Times New Roman" w:hAnsi="Times New Roman" w:cs="宋体"/>
                <w:color w:val="auto"/>
                <w:sz w:val="24"/>
                <w:szCs w:val="24"/>
              </w:rPr>
              <w:t>原料堆场设置于室内，破碎机</w:t>
            </w:r>
            <w:r>
              <w:rPr>
                <w:rFonts w:hint="eastAsia" w:cs="宋体"/>
                <w:color w:val="auto"/>
                <w:sz w:val="24"/>
                <w:szCs w:val="24"/>
                <w:lang w:eastAsia="zh-CN"/>
              </w:rPr>
              <w:t>、</w:t>
            </w:r>
            <w:r>
              <w:rPr>
                <w:rFonts w:hint="eastAsia" w:cs="宋体"/>
                <w:color w:val="auto"/>
                <w:sz w:val="24"/>
                <w:szCs w:val="24"/>
                <w:lang w:val="en-US" w:eastAsia="zh-CN"/>
              </w:rPr>
              <w:t>制粒机</w:t>
            </w:r>
            <w:r>
              <w:rPr>
                <w:rFonts w:hint="eastAsia" w:ascii="Times New Roman" w:hAnsi="Times New Roman" w:cs="宋体"/>
                <w:color w:val="auto"/>
                <w:sz w:val="24"/>
                <w:szCs w:val="24"/>
              </w:rPr>
              <w:t>上方设置集气罩，破碎</w:t>
            </w:r>
            <w:r>
              <w:rPr>
                <w:rFonts w:hint="eastAsia" w:cs="宋体"/>
                <w:color w:val="auto"/>
                <w:sz w:val="24"/>
                <w:szCs w:val="24"/>
                <w:lang w:eastAsia="zh-CN"/>
              </w:rPr>
              <w:t>、</w:t>
            </w:r>
            <w:r>
              <w:rPr>
                <w:rFonts w:hint="eastAsia" w:cs="宋体"/>
                <w:color w:val="auto"/>
                <w:sz w:val="24"/>
                <w:szCs w:val="24"/>
                <w:lang w:val="en-US" w:eastAsia="zh-CN"/>
              </w:rPr>
              <w:t>制粒</w:t>
            </w:r>
            <w:r>
              <w:rPr>
                <w:rFonts w:hint="eastAsia" w:ascii="Times New Roman" w:hAnsi="Times New Roman" w:cs="宋体"/>
                <w:color w:val="auto"/>
                <w:sz w:val="24"/>
                <w:szCs w:val="24"/>
              </w:rPr>
              <w:t>粉尘经集气罩收集，布袋除尘器处理后15m高</w:t>
            </w:r>
            <w:r>
              <w:rPr>
                <w:rFonts w:hint="eastAsia" w:cs="宋体"/>
                <w:color w:val="auto"/>
                <w:sz w:val="24"/>
                <w:szCs w:val="24"/>
                <w:lang w:eastAsia="zh-CN"/>
              </w:rPr>
              <w:t>1#排气筒</w:t>
            </w:r>
            <w:r>
              <w:rPr>
                <w:rFonts w:hint="eastAsia" w:ascii="Times New Roman" w:hAnsi="Times New Roman" w:cs="宋体"/>
                <w:color w:val="auto"/>
                <w:sz w:val="24"/>
                <w:szCs w:val="24"/>
              </w:rPr>
              <w:t>排放</w:t>
            </w:r>
            <w:r>
              <w:rPr>
                <w:rFonts w:hint="eastAsia" w:cs="宋体"/>
                <w:color w:val="auto"/>
                <w:sz w:val="24"/>
                <w:szCs w:val="24"/>
                <w:lang w:val="en-US" w:eastAsia="zh-CN"/>
              </w:rPr>
              <w:t>。</w:t>
            </w:r>
            <w:r>
              <w:rPr>
                <w:rFonts w:hint="eastAsia" w:ascii="Times New Roman" w:hAnsi="Times New Roman" w:cs="宋体"/>
                <w:color w:val="auto"/>
                <w:sz w:val="24"/>
                <w:szCs w:val="24"/>
                <w:lang w:val="en-US" w:eastAsia="zh-CN"/>
              </w:rPr>
              <w:t>收集效率90%，</w:t>
            </w:r>
            <w:r>
              <w:rPr>
                <w:rFonts w:hint="eastAsia" w:ascii="Times New Roman" w:hAnsi="Times New Roman" w:cs="宋体"/>
                <w:color w:val="auto"/>
                <w:sz w:val="24"/>
                <w:szCs w:val="24"/>
              </w:rPr>
              <w:t>处理效率9</w:t>
            </w:r>
            <w:r>
              <w:rPr>
                <w:rFonts w:hint="eastAsia" w:ascii="Times New Roman" w:hAnsi="Times New Roman" w:cs="宋体"/>
                <w:color w:val="auto"/>
                <w:sz w:val="24"/>
                <w:szCs w:val="24"/>
                <w:lang w:val="en-US" w:eastAsia="zh-CN"/>
              </w:rPr>
              <w:t>8</w:t>
            </w:r>
            <w:r>
              <w:rPr>
                <w:rFonts w:hint="eastAsia" w:ascii="Times New Roman" w:hAnsi="Times New Roman" w:cs="宋体"/>
                <w:color w:val="auto"/>
                <w:sz w:val="24"/>
                <w:szCs w:val="24"/>
              </w:rPr>
              <w:t>%</w:t>
            </w:r>
          </w:p>
        </w:tc>
        <w:tc>
          <w:tcPr>
            <w:tcW w:w="1827" w:type="dxa"/>
            <w:vMerge w:val="restart"/>
            <w:noWrap w:val="0"/>
            <w:vAlign w:val="center"/>
          </w:tcPr>
          <w:p w14:paraId="6002EE90">
            <w:pPr>
              <w:pStyle w:val="9"/>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《大气污染物综合排放标准》（GB16297-1996）表2中二级标准</w:t>
            </w:r>
          </w:p>
        </w:tc>
      </w:tr>
      <w:tr w14:paraId="49E2A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327" w:type="dxa"/>
            <w:vMerge w:val="continue"/>
            <w:noWrap w:val="0"/>
            <w:vAlign w:val="center"/>
          </w:tcPr>
          <w:p w14:paraId="77181934">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4"/>
                <w:szCs w:val="24"/>
              </w:rPr>
            </w:pPr>
          </w:p>
        </w:tc>
        <w:tc>
          <w:tcPr>
            <w:tcW w:w="1251" w:type="dxa"/>
            <w:noWrap w:val="0"/>
            <w:vAlign w:val="center"/>
          </w:tcPr>
          <w:p w14:paraId="48EC4C2F">
            <w:pPr>
              <w:pStyle w:val="14"/>
              <w:keepNext w:val="0"/>
              <w:keepLines w:val="0"/>
              <w:suppressLineNumbers w:val="0"/>
              <w:spacing w:before="0" w:beforeAutospacing="0" w:after="0" w:afterAutospacing="0" w:line="240" w:lineRule="auto"/>
              <w:ind w:left="0" w:right="0"/>
              <w:jc w:val="center"/>
              <w:rPr>
                <w:rFonts w:hint="eastAsia" w:ascii="Times New Roman" w:hAnsi="Times New Roman" w:cs="宋体"/>
                <w:color w:val="auto"/>
                <w:sz w:val="24"/>
                <w:szCs w:val="24"/>
                <w:lang w:val="en-US" w:eastAsia="zh-CN"/>
              </w:rPr>
            </w:pPr>
            <w:r>
              <w:rPr>
                <w:rFonts w:hint="eastAsia" w:cs="宋体"/>
                <w:color w:val="auto"/>
                <w:sz w:val="24"/>
                <w:szCs w:val="24"/>
                <w:lang w:val="en-US" w:eastAsia="zh-CN"/>
              </w:rPr>
              <w:t>粉碎</w:t>
            </w:r>
            <w:r>
              <w:rPr>
                <w:rFonts w:hint="eastAsia" w:ascii="Times New Roman" w:hAnsi="Times New Roman" w:cs="宋体"/>
                <w:color w:val="auto"/>
                <w:sz w:val="24"/>
                <w:szCs w:val="24"/>
                <w:lang w:val="en-US" w:eastAsia="zh-CN"/>
              </w:rPr>
              <w:t>机</w:t>
            </w:r>
            <w:r>
              <w:rPr>
                <w:rFonts w:hint="eastAsia" w:ascii="Times New Roman" w:hAnsi="Times New Roman" w:cs="宋体"/>
                <w:color w:val="auto"/>
                <w:sz w:val="22"/>
                <w:szCs w:val="22"/>
                <w:lang w:val="en-US" w:eastAsia="zh-CN"/>
              </w:rPr>
              <w:t>（DA002）</w:t>
            </w:r>
          </w:p>
        </w:tc>
        <w:tc>
          <w:tcPr>
            <w:tcW w:w="1440" w:type="dxa"/>
            <w:noWrap w:val="0"/>
            <w:vAlign w:val="center"/>
          </w:tcPr>
          <w:p w14:paraId="53EF598F">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Times New Roman" w:hAnsi="Times New Roman" w:cs="宋体"/>
                <w:color w:val="auto"/>
                <w:sz w:val="24"/>
                <w:szCs w:val="24"/>
                <w:lang w:val="en-US" w:eastAsia="zh-CN"/>
              </w:rPr>
            </w:pPr>
            <w:r>
              <w:rPr>
                <w:rFonts w:hint="eastAsia" w:ascii="Times New Roman" w:hAnsi="Times New Roman" w:cs="宋体"/>
                <w:color w:val="auto"/>
                <w:sz w:val="24"/>
                <w:szCs w:val="24"/>
                <w:lang w:val="en-US" w:eastAsia="zh-CN"/>
              </w:rPr>
              <w:t>粉尘</w:t>
            </w:r>
          </w:p>
        </w:tc>
        <w:tc>
          <w:tcPr>
            <w:tcW w:w="2955" w:type="dxa"/>
            <w:noWrap w:val="0"/>
            <w:vAlign w:val="center"/>
          </w:tcPr>
          <w:p w14:paraId="57BA5FC8">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宋体"/>
                <w:color w:val="auto"/>
                <w:sz w:val="24"/>
                <w:szCs w:val="24"/>
                <w:lang w:eastAsia="zh-CN"/>
              </w:rPr>
            </w:pPr>
            <w:r>
              <w:rPr>
                <w:rFonts w:hint="eastAsia" w:cs="宋体"/>
                <w:color w:val="auto"/>
                <w:sz w:val="24"/>
                <w:szCs w:val="24"/>
                <w:lang w:val="en-US" w:eastAsia="zh-CN"/>
              </w:rPr>
              <w:t>木片</w:t>
            </w:r>
            <w:r>
              <w:rPr>
                <w:rFonts w:hint="eastAsia" w:ascii="Times New Roman" w:hAnsi="Times New Roman" w:cs="宋体"/>
                <w:color w:val="auto"/>
                <w:sz w:val="24"/>
                <w:szCs w:val="24"/>
              </w:rPr>
              <w:t>采用料仓进料，密闭输送带输送，</w:t>
            </w:r>
            <w:r>
              <w:rPr>
                <w:rFonts w:hint="eastAsia" w:cs="宋体"/>
                <w:color w:val="auto"/>
                <w:sz w:val="24"/>
                <w:szCs w:val="24"/>
                <w:lang w:val="en-US" w:eastAsia="zh-CN"/>
              </w:rPr>
              <w:t>粉碎</w:t>
            </w:r>
            <w:r>
              <w:rPr>
                <w:rFonts w:hint="eastAsia" w:ascii="Times New Roman" w:hAnsi="Times New Roman" w:cs="宋体"/>
                <w:color w:val="auto"/>
                <w:sz w:val="24"/>
                <w:szCs w:val="24"/>
              </w:rPr>
              <w:t>粉尘经</w:t>
            </w:r>
            <w:r>
              <w:rPr>
                <w:rFonts w:hint="eastAsia" w:cs="宋体"/>
                <w:color w:val="auto"/>
                <w:sz w:val="24"/>
                <w:szCs w:val="24"/>
                <w:lang w:val="en-US" w:eastAsia="zh-CN"/>
              </w:rPr>
              <w:t>集气罩收集，</w:t>
            </w:r>
            <w:r>
              <w:rPr>
                <w:rFonts w:hint="eastAsia" w:ascii="Times New Roman" w:hAnsi="Times New Roman" w:cs="宋体"/>
                <w:color w:val="auto"/>
                <w:sz w:val="24"/>
                <w:szCs w:val="24"/>
              </w:rPr>
              <w:t>布袋除尘器处理后15m高</w:t>
            </w:r>
            <w:r>
              <w:rPr>
                <w:rFonts w:hint="eastAsia" w:cs="宋体"/>
                <w:color w:val="auto"/>
                <w:sz w:val="24"/>
                <w:szCs w:val="24"/>
                <w:lang w:eastAsia="zh-CN"/>
              </w:rPr>
              <w:t>2#排气筒</w:t>
            </w:r>
            <w:r>
              <w:rPr>
                <w:rFonts w:hint="eastAsia" w:ascii="Times New Roman" w:hAnsi="Times New Roman" w:cs="宋体"/>
                <w:color w:val="auto"/>
                <w:sz w:val="24"/>
                <w:szCs w:val="24"/>
              </w:rPr>
              <w:t>排放</w:t>
            </w:r>
            <w:r>
              <w:rPr>
                <w:rFonts w:hint="eastAsia" w:cs="宋体"/>
                <w:color w:val="auto"/>
                <w:sz w:val="24"/>
                <w:szCs w:val="24"/>
                <w:lang w:eastAsia="zh-CN"/>
              </w:rPr>
              <w:t>，</w:t>
            </w:r>
            <w:r>
              <w:rPr>
                <w:rFonts w:hint="eastAsia" w:ascii="Times New Roman" w:hAnsi="Times New Roman" w:cs="宋体"/>
                <w:color w:val="auto"/>
                <w:sz w:val="24"/>
                <w:szCs w:val="24"/>
                <w:lang w:val="en-US" w:eastAsia="zh-CN"/>
              </w:rPr>
              <w:t>收集效率90%，</w:t>
            </w:r>
            <w:r>
              <w:rPr>
                <w:rFonts w:hint="eastAsia" w:ascii="Times New Roman" w:hAnsi="Times New Roman" w:cs="宋体"/>
                <w:color w:val="auto"/>
                <w:sz w:val="24"/>
                <w:szCs w:val="24"/>
              </w:rPr>
              <w:t>处理效率9</w:t>
            </w:r>
            <w:r>
              <w:rPr>
                <w:rFonts w:hint="eastAsia" w:ascii="Times New Roman" w:hAnsi="Times New Roman" w:cs="宋体"/>
                <w:color w:val="auto"/>
                <w:sz w:val="24"/>
                <w:szCs w:val="24"/>
                <w:lang w:val="en-US" w:eastAsia="zh-CN"/>
              </w:rPr>
              <w:t>8</w:t>
            </w:r>
            <w:r>
              <w:rPr>
                <w:rFonts w:hint="eastAsia" w:ascii="Times New Roman" w:hAnsi="Times New Roman" w:cs="宋体"/>
                <w:color w:val="auto"/>
                <w:sz w:val="24"/>
                <w:szCs w:val="24"/>
              </w:rPr>
              <w:t>%</w:t>
            </w:r>
          </w:p>
        </w:tc>
        <w:tc>
          <w:tcPr>
            <w:tcW w:w="1827" w:type="dxa"/>
            <w:vMerge w:val="continue"/>
            <w:noWrap w:val="0"/>
            <w:vAlign w:val="center"/>
          </w:tcPr>
          <w:p w14:paraId="2C7707A9">
            <w:pPr>
              <w:pStyle w:val="9"/>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4"/>
                <w:szCs w:val="24"/>
              </w:rPr>
            </w:pPr>
          </w:p>
        </w:tc>
      </w:tr>
      <w:tr w14:paraId="080DA4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27" w:type="dxa"/>
            <w:vMerge w:val="continue"/>
            <w:noWrap w:val="0"/>
            <w:vAlign w:val="center"/>
          </w:tcPr>
          <w:p w14:paraId="7E507369">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4"/>
                <w:szCs w:val="24"/>
              </w:rPr>
            </w:pPr>
          </w:p>
        </w:tc>
        <w:tc>
          <w:tcPr>
            <w:tcW w:w="1251" w:type="dxa"/>
            <w:noWrap w:val="0"/>
            <w:vAlign w:val="center"/>
          </w:tcPr>
          <w:p w14:paraId="37649255">
            <w:pPr>
              <w:pStyle w:val="14"/>
              <w:keepNext w:val="0"/>
              <w:keepLines w:val="0"/>
              <w:suppressLineNumbers w:val="0"/>
              <w:spacing w:before="0" w:beforeAutospacing="0" w:after="0" w:afterAutospacing="0" w:line="240" w:lineRule="auto"/>
              <w:ind w:left="0" w:right="0"/>
              <w:jc w:val="center"/>
              <w:rPr>
                <w:rFonts w:hint="eastAsia" w:ascii="Times New Roman" w:hAnsi="Times New Roman" w:cs="宋体"/>
                <w:color w:val="auto"/>
                <w:sz w:val="24"/>
                <w:szCs w:val="24"/>
                <w:lang w:val="en-US" w:eastAsia="zh-CN"/>
              </w:rPr>
            </w:pPr>
            <w:r>
              <w:rPr>
                <w:rFonts w:hint="eastAsia" w:ascii="Times New Roman" w:hAnsi="Times New Roman" w:cs="宋体"/>
                <w:color w:val="auto"/>
                <w:sz w:val="24"/>
                <w:szCs w:val="24"/>
                <w:lang w:val="en-US" w:eastAsia="zh-CN"/>
              </w:rPr>
              <w:t>油水分离工序</w:t>
            </w:r>
            <w:r>
              <w:rPr>
                <w:rFonts w:hint="eastAsia" w:ascii="Times New Roman" w:hAnsi="Times New Roman" w:cs="宋体"/>
                <w:color w:val="auto"/>
                <w:sz w:val="22"/>
                <w:szCs w:val="22"/>
                <w:lang w:val="en-US" w:eastAsia="zh-CN"/>
              </w:rPr>
              <w:t>（DA003）</w:t>
            </w:r>
          </w:p>
        </w:tc>
        <w:tc>
          <w:tcPr>
            <w:tcW w:w="1440" w:type="dxa"/>
            <w:noWrap w:val="0"/>
            <w:vAlign w:val="center"/>
          </w:tcPr>
          <w:p w14:paraId="0617444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宋体"/>
                <w:color w:val="auto"/>
                <w:sz w:val="24"/>
                <w:szCs w:val="24"/>
                <w:lang w:val="en-US" w:eastAsia="zh-CN"/>
              </w:rPr>
            </w:pPr>
            <w:r>
              <w:rPr>
                <w:rFonts w:hint="eastAsia" w:ascii="Times New Roman" w:hAnsi="Times New Roman" w:cs="宋体"/>
                <w:color w:val="auto"/>
                <w:sz w:val="24"/>
                <w:szCs w:val="24"/>
                <w:lang w:val="en-US" w:eastAsia="zh-CN"/>
              </w:rPr>
              <w:t>VOCs</w:t>
            </w:r>
          </w:p>
        </w:tc>
        <w:tc>
          <w:tcPr>
            <w:tcW w:w="2955" w:type="dxa"/>
            <w:noWrap w:val="0"/>
            <w:vAlign w:val="center"/>
          </w:tcPr>
          <w:p w14:paraId="1416985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lang w:val="en-US" w:eastAsia="zh-CN"/>
              </w:rPr>
              <w:t>蒸馏釜密闭，油水分离池上方设置集气罩，废气经收集进入</w:t>
            </w:r>
            <w:r>
              <w:rPr>
                <w:rFonts w:hint="eastAsia" w:ascii="Times New Roman" w:hAnsi="Times New Roman" w:cs="宋体"/>
                <w:color w:val="auto"/>
                <w:sz w:val="24"/>
                <w:szCs w:val="24"/>
              </w:rPr>
              <w:t>两级活性炭</w:t>
            </w:r>
            <w:r>
              <w:rPr>
                <w:rFonts w:hint="eastAsia" w:ascii="Times New Roman" w:hAnsi="Times New Roman" w:cs="宋体"/>
                <w:color w:val="auto"/>
                <w:sz w:val="24"/>
                <w:szCs w:val="24"/>
                <w:lang w:val="en-US" w:eastAsia="zh-CN"/>
              </w:rPr>
              <w:t>装置</w:t>
            </w:r>
            <w:r>
              <w:rPr>
                <w:rFonts w:hint="eastAsia" w:ascii="Times New Roman" w:hAnsi="Times New Roman" w:cs="宋体"/>
                <w:color w:val="auto"/>
                <w:sz w:val="24"/>
                <w:szCs w:val="24"/>
              </w:rPr>
              <w:t>吸附处理</w:t>
            </w:r>
            <w:r>
              <w:rPr>
                <w:rFonts w:hint="eastAsia" w:cs="宋体"/>
                <w:color w:val="auto"/>
                <w:sz w:val="24"/>
                <w:szCs w:val="24"/>
                <w:lang w:val="en-US" w:eastAsia="zh-CN"/>
              </w:rPr>
              <w:t>后</w:t>
            </w:r>
            <w:r>
              <w:rPr>
                <w:rFonts w:hint="eastAsia" w:ascii="Times New Roman" w:hAnsi="Times New Roman" w:cs="宋体"/>
                <w:color w:val="auto"/>
                <w:sz w:val="24"/>
                <w:szCs w:val="24"/>
              </w:rPr>
              <w:t>15m高</w:t>
            </w:r>
            <w:r>
              <w:rPr>
                <w:rFonts w:hint="eastAsia" w:cs="宋体"/>
                <w:color w:val="auto"/>
                <w:sz w:val="24"/>
                <w:szCs w:val="24"/>
                <w:lang w:eastAsia="zh-CN"/>
              </w:rPr>
              <w:t>2#排气筒</w:t>
            </w:r>
            <w:r>
              <w:rPr>
                <w:rFonts w:hint="eastAsia" w:ascii="Times New Roman" w:hAnsi="Times New Roman" w:cs="宋体"/>
                <w:color w:val="auto"/>
                <w:sz w:val="24"/>
                <w:szCs w:val="24"/>
              </w:rPr>
              <w:t>排放，</w:t>
            </w:r>
            <w:r>
              <w:rPr>
                <w:rFonts w:hint="eastAsia" w:ascii="Times New Roman" w:hAnsi="Times New Roman" w:cs="宋体"/>
                <w:color w:val="auto"/>
                <w:sz w:val="24"/>
                <w:szCs w:val="24"/>
                <w:lang w:val="en-US" w:eastAsia="zh-CN"/>
              </w:rPr>
              <w:t>收集效率90%，</w:t>
            </w:r>
            <w:r>
              <w:rPr>
                <w:rFonts w:hint="eastAsia" w:ascii="Times New Roman" w:hAnsi="Times New Roman" w:cs="宋体"/>
                <w:color w:val="auto"/>
                <w:sz w:val="24"/>
                <w:szCs w:val="24"/>
              </w:rPr>
              <w:t>处理效率</w:t>
            </w:r>
            <w:r>
              <w:rPr>
                <w:rFonts w:hint="eastAsia" w:ascii="Times New Roman" w:hAnsi="Times New Roman" w:cs="宋体"/>
                <w:color w:val="auto"/>
                <w:sz w:val="24"/>
                <w:szCs w:val="24"/>
                <w:lang w:val="en-US" w:eastAsia="zh-CN"/>
              </w:rPr>
              <w:t>7</w:t>
            </w:r>
            <w:r>
              <w:rPr>
                <w:rFonts w:hint="eastAsia" w:ascii="Times New Roman" w:hAnsi="Times New Roman" w:cs="宋体"/>
                <w:color w:val="auto"/>
                <w:sz w:val="24"/>
                <w:szCs w:val="24"/>
              </w:rPr>
              <w:t>0%</w:t>
            </w:r>
          </w:p>
        </w:tc>
        <w:tc>
          <w:tcPr>
            <w:tcW w:w="1827" w:type="dxa"/>
            <w:noWrap w:val="0"/>
            <w:vAlign w:val="center"/>
          </w:tcPr>
          <w:p w14:paraId="2D5131EF">
            <w:pPr>
              <w:pStyle w:val="9"/>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rPr>
              <w:t>《四川省固定污染源大气挥发性有机物排放标准》</w:t>
            </w:r>
          </w:p>
          <w:p w14:paraId="1A58E252">
            <w:pPr>
              <w:pStyle w:val="9"/>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（DB51/2377-2017）表3、表5</w:t>
            </w:r>
            <w:r>
              <w:rPr>
                <w:rFonts w:hint="eastAsia" w:ascii="Times New Roman" w:hAnsi="Times New Roman" w:cs="Times New Roman"/>
                <w:color w:val="auto"/>
                <w:sz w:val="24"/>
                <w:szCs w:val="24"/>
                <w:lang w:val="en-US" w:eastAsia="zh-CN"/>
              </w:rPr>
              <w:t>浓度</w:t>
            </w:r>
            <w:r>
              <w:rPr>
                <w:rFonts w:hint="eastAsia" w:ascii="Times New Roman" w:hAnsi="Times New Roman" w:cs="Times New Roman"/>
                <w:color w:val="auto"/>
                <w:sz w:val="24"/>
                <w:szCs w:val="24"/>
              </w:rPr>
              <w:t>限值</w:t>
            </w:r>
          </w:p>
        </w:tc>
      </w:tr>
      <w:tr w14:paraId="6FE17B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7" w:type="dxa"/>
            <w:vMerge w:val="continue"/>
            <w:noWrap w:val="0"/>
            <w:vAlign w:val="center"/>
          </w:tcPr>
          <w:p w14:paraId="09AC4A23">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4"/>
                <w:szCs w:val="24"/>
              </w:rPr>
            </w:pPr>
          </w:p>
        </w:tc>
        <w:tc>
          <w:tcPr>
            <w:tcW w:w="1251" w:type="dxa"/>
            <w:noWrap w:val="0"/>
            <w:vAlign w:val="center"/>
          </w:tcPr>
          <w:p w14:paraId="276F6374">
            <w:pPr>
              <w:pStyle w:val="14"/>
              <w:keepNext w:val="0"/>
              <w:keepLines w:val="0"/>
              <w:suppressLineNumbers w:val="0"/>
              <w:spacing w:before="0" w:beforeAutospacing="0" w:after="0" w:afterAutospacing="0" w:line="240" w:lineRule="auto"/>
              <w:ind w:left="0" w:right="0"/>
              <w:jc w:val="center"/>
              <w:rPr>
                <w:rFonts w:hint="eastAsia" w:ascii="Times New Roman" w:hAnsi="Times New Roman" w:cs="宋体"/>
                <w:color w:val="auto"/>
                <w:sz w:val="24"/>
                <w:szCs w:val="24"/>
                <w:lang w:val="en-US" w:eastAsia="zh-CN"/>
              </w:rPr>
            </w:pPr>
            <w:r>
              <w:rPr>
                <w:rFonts w:hint="eastAsia" w:ascii="Times New Roman" w:hAnsi="Times New Roman" w:cs="宋体"/>
                <w:color w:val="auto"/>
                <w:sz w:val="24"/>
                <w:szCs w:val="24"/>
                <w:lang w:val="en-US" w:eastAsia="zh-CN"/>
              </w:rPr>
              <w:t>锅炉</w:t>
            </w:r>
            <w:r>
              <w:rPr>
                <w:rFonts w:hint="eastAsia" w:ascii="Times New Roman" w:hAnsi="Times New Roman" w:cs="宋体"/>
                <w:color w:val="auto"/>
                <w:sz w:val="22"/>
                <w:szCs w:val="22"/>
                <w:lang w:val="en-US" w:eastAsia="zh-CN"/>
              </w:rPr>
              <w:t>（DA004）</w:t>
            </w:r>
          </w:p>
        </w:tc>
        <w:tc>
          <w:tcPr>
            <w:tcW w:w="1440" w:type="dxa"/>
            <w:noWrap w:val="0"/>
            <w:vAlign w:val="center"/>
          </w:tcPr>
          <w:p w14:paraId="30AE34B9">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4"/>
                <w:szCs w:val="24"/>
                <w:lang w:val="en-US" w:eastAsia="zh-CN"/>
              </w:rPr>
            </w:pPr>
            <w:r>
              <w:rPr>
                <w:rFonts w:hint="eastAsia" w:ascii="Times New Roman" w:hAnsi="Times New Roman" w:cs="宋体"/>
                <w:color w:val="auto"/>
                <w:sz w:val="24"/>
                <w:szCs w:val="24"/>
                <w:lang w:val="en-US" w:eastAsia="zh-CN"/>
              </w:rPr>
              <w:t>烟粉尘、</w:t>
            </w:r>
          </w:p>
          <w:p w14:paraId="1399F5A0">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4"/>
                <w:szCs w:val="24"/>
                <w:lang w:val="en-US" w:eastAsia="zh-CN"/>
              </w:rPr>
            </w:pPr>
            <w:r>
              <w:rPr>
                <w:rFonts w:hint="eastAsia" w:ascii="Times New Roman" w:hAnsi="Times New Roman" w:cs="宋体"/>
                <w:color w:val="auto"/>
                <w:sz w:val="24"/>
                <w:szCs w:val="24"/>
                <w:lang w:val="en-US" w:eastAsia="zh-CN"/>
              </w:rPr>
              <w:t>SO</w:t>
            </w:r>
            <w:r>
              <w:rPr>
                <w:rFonts w:hint="eastAsia" w:ascii="Times New Roman" w:hAnsi="Times New Roman" w:cs="宋体"/>
                <w:color w:val="auto"/>
                <w:sz w:val="24"/>
                <w:szCs w:val="24"/>
                <w:vertAlign w:val="subscript"/>
                <w:lang w:val="en-US" w:eastAsia="zh-CN"/>
              </w:rPr>
              <w:t>2</w:t>
            </w:r>
            <w:r>
              <w:rPr>
                <w:rFonts w:hint="eastAsia" w:ascii="Times New Roman" w:hAnsi="Times New Roman" w:cs="宋体"/>
                <w:color w:val="auto"/>
                <w:sz w:val="24"/>
                <w:szCs w:val="24"/>
                <w:vertAlign w:val="baseline"/>
                <w:lang w:val="en-US" w:eastAsia="zh-CN"/>
              </w:rPr>
              <w:t>、</w:t>
            </w:r>
            <w:r>
              <w:rPr>
                <w:rFonts w:hint="eastAsia" w:ascii="Times New Roman" w:hAnsi="Times New Roman" w:cs="宋体"/>
                <w:color w:val="auto"/>
                <w:sz w:val="24"/>
                <w:szCs w:val="24"/>
                <w:lang w:val="en-US" w:eastAsia="zh-CN"/>
              </w:rPr>
              <w:t>NOx</w:t>
            </w:r>
          </w:p>
        </w:tc>
        <w:tc>
          <w:tcPr>
            <w:tcW w:w="2955" w:type="dxa"/>
            <w:noWrap w:val="0"/>
            <w:vAlign w:val="center"/>
          </w:tcPr>
          <w:p w14:paraId="7E1F70BF">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rPr>
              <w:t>采用低氮燃烧，</w:t>
            </w:r>
            <w:r>
              <w:rPr>
                <w:rFonts w:hint="eastAsia" w:ascii="Times New Roman" w:hAnsi="Times New Roman" w:cs="宋体"/>
                <w:color w:val="auto"/>
                <w:sz w:val="24"/>
                <w:szCs w:val="24"/>
                <w:lang w:val="en-US" w:eastAsia="zh-CN"/>
              </w:rPr>
              <w:t>燃烧废气</w:t>
            </w:r>
            <w:r>
              <w:rPr>
                <w:rFonts w:hint="eastAsia" w:cs="宋体"/>
                <w:color w:val="auto"/>
                <w:sz w:val="24"/>
                <w:szCs w:val="24"/>
                <w:lang w:eastAsia="zh-CN"/>
              </w:rPr>
              <w:t>多管旋风+布袋除尘器</w:t>
            </w:r>
            <w:r>
              <w:rPr>
                <w:rFonts w:hint="eastAsia" w:ascii="Times New Roman" w:hAnsi="Times New Roman" w:cs="宋体"/>
                <w:color w:val="auto"/>
                <w:sz w:val="24"/>
                <w:szCs w:val="24"/>
              </w:rPr>
              <w:t>处理后</w:t>
            </w:r>
            <w:r>
              <w:rPr>
                <w:rFonts w:hint="eastAsia" w:ascii="Times New Roman" w:hAnsi="Times New Roman" w:cs="宋体"/>
                <w:color w:val="auto"/>
                <w:sz w:val="24"/>
                <w:szCs w:val="24"/>
                <w:lang w:val="en-US" w:eastAsia="zh-CN"/>
              </w:rPr>
              <w:t>15</w:t>
            </w:r>
            <w:r>
              <w:rPr>
                <w:rFonts w:hint="eastAsia" w:ascii="Times New Roman" w:hAnsi="Times New Roman" w:cs="宋体"/>
                <w:color w:val="auto"/>
                <w:sz w:val="24"/>
                <w:szCs w:val="24"/>
              </w:rPr>
              <w:t>m高</w:t>
            </w:r>
            <w:r>
              <w:rPr>
                <w:rFonts w:hint="eastAsia" w:cs="宋体"/>
                <w:color w:val="auto"/>
                <w:sz w:val="24"/>
                <w:szCs w:val="24"/>
                <w:lang w:eastAsia="zh-CN"/>
              </w:rPr>
              <w:t>3#排气筒</w:t>
            </w:r>
            <w:r>
              <w:rPr>
                <w:rFonts w:hint="eastAsia" w:ascii="Times New Roman" w:hAnsi="Times New Roman" w:cs="宋体"/>
                <w:color w:val="auto"/>
                <w:sz w:val="24"/>
                <w:szCs w:val="24"/>
              </w:rPr>
              <w:t>排放，烟尘处理效率</w:t>
            </w:r>
            <w:r>
              <w:rPr>
                <w:rFonts w:hint="eastAsia" w:cs="宋体"/>
                <w:color w:val="auto"/>
                <w:sz w:val="24"/>
                <w:szCs w:val="24"/>
                <w:lang w:eastAsia="zh-CN"/>
              </w:rPr>
              <w:t>99.6%</w:t>
            </w:r>
            <w:r>
              <w:rPr>
                <w:rFonts w:hint="eastAsia" w:ascii="Times New Roman" w:hAnsi="Times New Roman" w:cs="宋体"/>
                <w:color w:val="auto"/>
                <w:sz w:val="24"/>
                <w:szCs w:val="24"/>
              </w:rPr>
              <w:t>，NOx处理效率15%</w:t>
            </w:r>
          </w:p>
        </w:tc>
        <w:tc>
          <w:tcPr>
            <w:tcW w:w="1827" w:type="dxa"/>
            <w:noWrap w:val="0"/>
            <w:vAlign w:val="center"/>
          </w:tcPr>
          <w:p w14:paraId="1D29F64B">
            <w:pPr>
              <w:pStyle w:val="9"/>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rPr>
              <w:t>《锅炉大气污染物排放标准》（GB13271-2014）</w:t>
            </w:r>
            <w:r>
              <w:rPr>
                <w:rFonts w:hint="eastAsia" w:ascii="Times New Roman" w:hAnsi="Times New Roman" w:cs="Times New Roman"/>
                <w:color w:val="auto"/>
                <w:sz w:val="24"/>
                <w:szCs w:val="24"/>
                <w:lang w:val="en-US" w:eastAsia="zh-CN"/>
              </w:rPr>
              <w:t>表3标准限值</w:t>
            </w:r>
          </w:p>
        </w:tc>
      </w:tr>
      <w:tr w14:paraId="22A5F9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7" w:type="dxa"/>
            <w:vMerge w:val="restart"/>
            <w:noWrap w:val="0"/>
            <w:vAlign w:val="center"/>
          </w:tcPr>
          <w:p w14:paraId="7FAEC2E2">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rPr>
              <w:t>地表水环境</w:t>
            </w:r>
          </w:p>
        </w:tc>
        <w:tc>
          <w:tcPr>
            <w:tcW w:w="1251" w:type="dxa"/>
            <w:noWrap w:val="0"/>
            <w:vAlign w:val="center"/>
          </w:tcPr>
          <w:p w14:paraId="4358AA5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宋体"/>
                <w:color w:val="auto"/>
                <w:sz w:val="24"/>
                <w:szCs w:val="24"/>
                <w:lang w:eastAsia="zh-CN"/>
              </w:rPr>
            </w:pPr>
            <w:r>
              <w:rPr>
                <w:rFonts w:hint="eastAsia" w:ascii="Times New Roman" w:hAnsi="Times New Roman" w:cs="宋体"/>
                <w:color w:val="auto"/>
                <w:sz w:val="24"/>
                <w:szCs w:val="24"/>
              </w:rPr>
              <w:t>生活</w:t>
            </w:r>
            <w:r>
              <w:rPr>
                <w:rFonts w:hint="eastAsia" w:ascii="Times New Roman" w:hAnsi="Times New Roman" w:cs="宋体"/>
                <w:color w:val="auto"/>
                <w:sz w:val="24"/>
                <w:szCs w:val="24"/>
                <w:lang w:val="en-US" w:eastAsia="zh-CN"/>
              </w:rPr>
              <w:t>污水</w:t>
            </w:r>
          </w:p>
        </w:tc>
        <w:tc>
          <w:tcPr>
            <w:tcW w:w="1440" w:type="dxa"/>
            <w:noWrap w:val="0"/>
            <w:vAlign w:val="center"/>
          </w:tcPr>
          <w:p w14:paraId="585B8E1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rPr>
              <w:t>pH、</w:t>
            </w:r>
            <w:r>
              <w:rPr>
                <w:rFonts w:hint="eastAsia" w:ascii="Times New Roman" w:hAnsi="Times New Roman" w:cs="Times New Roman"/>
                <w:color w:val="auto"/>
                <w:sz w:val="24"/>
                <w:szCs w:val="24"/>
                <w:lang w:val="en-US" w:eastAsia="zh-CN"/>
              </w:rPr>
              <w:t>COD</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SS</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BOD</w:t>
            </w:r>
            <w:r>
              <w:rPr>
                <w:rFonts w:hint="eastAsia" w:ascii="Times New Roman" w:hAnsi="Times New Roman" w:cs="Times New Roman"/>
                <w:color w:val="auto"/>
                <w:sz w:val="24"/>
                <w:szCs w:val="24"/>
                <w:vertAlign w:val="subscript"/>
                <w:lang w:val="en-US" w:eastAsia="zh-CN"/>
              </w:rPr>
              <w:t>5</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NH</w:t>
            </w:r>
            <w:r>
              <w:rPr>
                <w:rFonts w:hint="eastAsia" w:ascii="Times New Roman" w:hAnsi="Times New Roman" w:cs="Times New Roman"/>
                <w:color w:val="auto"/>
                <w:sz w:val="24"/>
                <w:szCs w:val="24"/>
                <w:vertAlign w:val="subscript"/>
                <w:lang w:val="en-US" w:eastAsia="zh-CN"/>
              </w:rPr>
              <w:t>3</w:t>
            </w:r>
            <w:r>
              <w:rPr>
                <w:rFonts w:hint="eastAsia" w:ascii="Times New Roman" w:hAnsi="Times New Roman" w:cs="Times New Roman"/>
                <w:color w:val="auto"/>
                <w:sz w:val="24"/>
                <w:szCs w:val="24"/>
                <w:lang w:val="en-US" w:eastAsia="zh-CN"/>
              </w:rPr>
              <w:t>-N</w:t>
            </w:r>
          </w:p>
        </w:tc>
        <w:tc>
          <w:tcPr>
            <w:tcW w:w="2955" w:type="dxa"/>
            <w:noWrap w:val="0"/>
            <w:vAlign w:val="center"/>
          </w:tcPr>
          <w:p w14:paraId="4670BD8A">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rPr>
              <w:t>经中建节能建材公司已建预处理池处理后排入污水管网</w:t>
            </w:r>
          </w:p>
        </w:tc>
        <w:tc>
          <w:tcPr>
            <w:tcW w:w="1827" w:type="dxa"/>
            <w:vMerge w:val="restart"/>
            <w:noWrap w:val="0"/>
            <w:vAlign w:val="center"/>
          </w:tcPr>
          <w:p w14:paraId="616B8B0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宋体"/>
                <w:color w:val="auto"/>
                <w:sz w:val="24"/>
                <w:szCs w:val="24"/>
              </w:rPr>
            </w:pPr>
            <w:r>
              <w:rPr>
                <w:rFonts w:hint="eastAsia" w:ascii="Times New Roman" w:hAnsi="Times New Roman" w:cs="宋体"/>
                <w:color w:val="auto"/>
                <w:sz w:val="24"/>
                <w:szCs w:val="24"/>
              </w:rPr>
              <w:t>《污水综合排放标准》（GB8978-1996）三级标准</w:t>
            </w:r>
          </w:p>
        </w:tc>
      </w:tr>
      <w:tr w14:paraId="15B6B7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7" w:type="dxa"/>
            <w:vMerge w:val="continue"/>
            <w:noWrap w:val="0"/>
            <w:vAlign w:val="center"/>
          </w:tcPr>
          <w:p w14:paraId="0460B5B9">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auto"/>
                <w:sz w:val="24"/>
                <w:szCs w:val="24"/>
              </w:rPr>
            </w:pPr>
          </w:p>
        </w:tc>
        <w:tc>
          <w:tcPr>
            <w:tcW w:w="1251" w:type="dxa"/>
            <w:noWrap w:val="0"/>
            <w:vAlign w:val="center"/>
          </w:tcPr>
          <w:p w14:paraId="08619949">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rPr>
              <w:t>生产废水</w:t>
            </w:r>
            <w:r>
              <w:rPr>
                <w:rFonts w:hint="eastAsia" w:ascii="Times New Roman" w:hAnsi="Times New Roman" w:eastAsia="宋体" w:cs="Times New Roman"/>
                <w:color w:val="auto"/>
                <w:sz w:val="22"/>
                <w:szCs w:val="22"/>
                <w:vertAlign w:val="baseline"/>
                <w:lang w:val="en-US" w:eastAsia="zh-CN"/>
              </w:rPr>
              <w:t>（DW001）</w:t>
            </w:r>
          </w:p>
        </w:tc>
        <w:tc>
          <w:tcPr>
            <w:tcW w:w="1440" w:type="dxa"/>
            <w:noWrap w:val="0"/>
            <w:vAlign w:val="center"/>
          </w:tcPr>
          <w:p w14:paraId="6DE3E4F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宋体"/>
                <w:color w:val="auto"/>
                <w:sz w:val="24"/>
                <w:szCs w:val="24"/>
                <w:lang w:val="en-US" w:eastAsia="zh-CN"/>
              </w:rPr>
            </w:pPr>
            <w:r>
              <w:rPr>
                <w:rFonts w:hint="eastAsia" w:ascii="Times New Roman" w:hAnsi="Times New Roman" w:cs="Times New Roman"/>
                <w:color w:val="auto"/>
                <w:sz w:val="24"/>
                <w:szCs w:val="24"/>
                <w:lang w:val="en-US" w:eastAsia="zh-CN"/>
              </w:rPr>
              <w:t>COD</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SS</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BOD</w:t>
            </w:r>
            <w:r>
              <w:rPr>
                <w:rFonts w:hint="eastAsia" w:ascii="Times New Roman" w:hAnsi="Times New Roman" w:cs="Times New Roman"/>
                <w:color w:val="auto"/>
                <w:sz w:val="24"/>
                <w:szCs w:val="24"/>
                <w:vertAlign w:val="subscript"/>
                <w:lang w:val="en-US" w:eastAsia="zh-CN"/>
              </w:rPr>
              <w:t>5</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植物油类</w:t>
            </w:r>
          </w:p>
        </w:tc>
        <w:tc>
          <w:tcPr>
            <w:tcW w:w="2955" w:type="dxa"/>
            <w:noWrap w:val="0"/>
            <w:vAlign w:val="center"/>
          </w:tcPr>
          <w:p w14:paraId="764C19E1">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4"/>
                <w:szCs w:val="24"/>
              </w:rPr>
            </w:pPr>
            <w:r>
              <w:rPr>
                <w:rFonts w:hint="eastAsia" w:ascii="Times New Roman" w:hAnsi="Times New Roman" w:cs="Times New Roman"/>
                <w:color w:val="auto"/>
                <w:sz w:val="24"/>
                <w:szCs w:val="24"/>
              </w:rPr>
              <w:t>经</w:t>
            </w:r>
            <w:r>
              <w:rPr>
                <w:rFonts w:hint="eastAsia" w:ascii="Times New Roman" w:hAnsi="Times New Roman" w:cs="Times New Roman"/>
                <w:color w:val="auto"/>
                <w:sz w:val="24"/>
                <w:szCs w:val="24"/>
                <w:lang w:val="en-US" w:eastAsia="zh-CN"/>
              </w:rPr>
              <w:t>油水分离池</w:t>
            </w:r>
            <w:r>
              <w:rPr>
                <w:rFonts w:hint="eastAsia" w:cs="Times New Roman"/>
                <w:color w:val="auto"/>
                <w:sz w:val="24"/>
                <w:szCs w:val="24"/>
                <w:lang w:val="en-US" w:eastAsia="zh-CN"/>
              </w:rPr>
              <w:t>、厌氧池</w:t>
            </w:r>
            <w:r>
              <w:rPr>
                <w:rFonts w:hint="eastAsia" w:ascii="Times New Roman" w:hAnsi="Times New Roman" w:cs="Times New Roman"/>
                <w:color w:val="auto"/>
                <w:sz w:val="24"/>
                <w:szCs w:val="24"/>
              </w:rPr>
              <w:t>处理后</w:t>
            </w:r>
            <w:r>
              <w:rPr>
                <w:rFonts w:hint="eastAsia" w:cs="Times New Roman"/>
                <w:color w:val="auto"/>
                <w:sz w:val="24"/>
                <w:szCs w:val="24"/>
                <w:lang w:val="en-US" w:eastAsia="zh-CN"/>
              </w:rPr>
              <w:t>与反冲洗水一起</w:t>
            </w:r>
            <w:r>
              <w:rPr>
                <w:rFonts w:hint="eastAsia" w:ascii="Times New Roman" w:hAnsi="Times New Roman" w:cs="Times New Roman"/>
                <w:color w:val="auto"/>
                <w:sz w:val="24"/>
                <w:szCs w:val="24"/>
                <w:lang w:val="en-US" w:eastAsia="zh-CN"/>
              </w:rPr>
              <w:t>排入污水管网</w:t>
            </w:r>
          </w:p>
        </w:tc>
        <w:tc>
          <w:tcPr>
            <w:tcW w:w="1827" w:type="dxa"/>
            <w:vMerge w:val="continue"/>
            <w:noWrap w:val="0"/>
            <w:vAlign w:val="center"/>
          </w:tcPr>
          <w:p w14:paraId="48F121B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宋体"/>
                <w:color w:val="auto"/>
                <w:sz w:val="24"/>
                <w:szCs w:val="24"/>
              </w:rPr>
            </w:pPr>
          </w:p>
        </w:tc>
      </w:tr>
      <w:tr w14:paraId="56F958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7" w:type="dxa"/>
            <w:noWrap w:val="0"/>
            <w:vAlign w:val="center"/>
          </w:tcPr>
          <w:p w14:paraId="5DA56383">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rPr>
              <w:t>声环境</w:t>
            </w:r>
          </w:p>
        </w:tc>
        <w:tc>
          <w:tcPr>
            <w:tcW w:w="1251" w:type="dxa"/>
            <w:noWrap w:val="0"/>
            <w:vAlign w:val="center"/>
          </w:tcPr>
          <w:p w14:paraId="2496FF0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宋体"/>
                <w:color w:val="auto"/>
                <w:sz w:val="24"/>
                <w:szCs w:val="24"/>
              </w:rPr>
            </w:pPr>
            <w:r>
              <w:rPr>
                <w:rFonts w:hint="eastAsia" w:ascii="Times New Roman" w:hAnsi="Times New Roman" w:cs="宋体"/>
                <w:color w:val="auto"/>
                <w:sz w:val="24"/>
                <w:szCs w:val="24"/>
              </w:rPr>
              <w:t>生产设备</w:t>
            </w:r>
          </w:p>
        </w:tc>
        <w:tc>
          <w:tcPr>
            <w:tcW w:w="1440" w:type="dxa"/>
            <w:noWrap w:val="0"/>
            <w:vAlign w:val="center"/>
          </w:tcPr>
          <w:p w14:paraId="050FBCFB">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宋体"/>
                <w:color w:val="auto"/>
                <w:sz w:val="24"/>
                <w:szCs w:val="24"/>
                <w:lang w:eastAsia="zh-CN"/>
              </w:rPr>
            </w:pPr>
            <w:r>
              <w:rPr>
                <w:rFonts w:hint="eastAsia" w:ascii="Times New Roman" w:hAnsi="Times New Roman" w:cs="Times New Roman"/>
                <w:color w:val="auto"/>
                <w:sz w:val="24"/>
                <w:szCs w:val="24"/>
                <w:lang w:val="en-US" w:eastAsia="zh-CN"/>
              </w:rPr>
              <w:t>噪声</w:t>
            </w:r>
          </w:p>
        </w:tc>
        <w:tc>
          <w:tcPr>
            <w:tcW w:w="2955" w:type="dxa"/>
            <w:noWrap w:val="0"/>
            <w:vAlign w:val="center"/>
          </w:tcPr>
          <w:p w14:paraId="4D98B34F">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rPr>
              <w:t>合理布局，基础减震、建筑隔声、距离衰减</w:t>
            </w:r>
          </w:p>
        </w:tc>
        <w:tc>
          <w:tcPr>
            <w:tcW w:w="1827" w:type="dxa"/>
            <w:noWrap w:val="0"/>
            <w:vAlign w:val="center"/>
          </w:tcPr>
          <w:p w14:paraId="6663865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宋体"/>
                <w:color w:val="auto"/>
                <w:sz w:val="24"/>
                <w:szCs w:val="24"/>
              </w:rPr>
            </w:pPr>
            <w:r>
              <w:rPr>
                <w:rFonts w:hint="default" w:ascii="Times New Roman" w:hAnsi="Times New Roman" w:cs="Times New Roman"/>
                <w:color w:val="auto"/>
                <w:sz w:val="24"/>
                <w:szCs w:val="24"/>
              </w:rPr>
              <w:t>《工业企业厂界环境噪声排放标准》（GB12348-2008）</w:t>
            </w:r>
            <w:r>
              <w:rPr>
                <w:rFonts w:hint="eastAsia" w:ascii="Times New Roman" w:hAnsi="Times New Roman" w:cs="Times New Roman"/>
                <w:color w:val="auto"/>
                <w:sz w:val="24"/>
                <w:szCs w:val="24"/>
              </w:rPr>
              <w:t>3</w:t>
            </w:r>
            <w:r>
              <w:rPr>
                <w:rFonts w:hint="default" w:ascii="Times New Roman" w:hAnsi="Times New Roman" w:cs="Times New Roman"/>
                <w:color w:val="auto"/>
                <w:sz w:val="24"/>
                <w:szCs w:val="24"/>
              </w:rPr>
              <w:t>类标准</w:t>
            </w:r>
          </w:p>
        </w:tc>
      </w:tr>
      <w:tr w14:paraId="2DBA74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7" w:type="dxa"/>
            <w:noWrap w:val="0"/>
            <w:vAlign w:val="center"/>
          </w:tcPr>
          <w:p w14:paraId="1B048D4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rPr>
              <w:t>电磁辐射</w:t>
            </w:r>
          </w:p>
        </w:tc>
        <w:tc>
          <w:tcPr>
            <w:tcW w:w="1251" w:type="dxa"/>
            <w:noWrap w:val="0"/>
            <w:vAlign w:val="center"/>
          </w:tcPr>
          <w:p w14:paraId="4765C6F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4"/>
                <w:szCs w:val="24"/>
              </w:rPr>
            </w:pPr>
            <w:r>
              <w:rPr>
                <w:rFonts w:hint="eastAsia" w:ascii="Times New Roman" w:hAnsi="Times New Roman" w:cs="宋体"/>
                <w:color w:val="auto"/>
                <w:sz w:val="24"/>
                <w:szCs w:val="24"/>
              </w:rPr>
              <w:t>/</w:t>
            </w:r>
          </w:p>
        </w:tc>
        <w:tc>
          <w:tcPr>
            <w:tcW w:w="1440" w:type="dxa"/>
            <w:noWrap w:val="0"/>
            <w:vAlign w:val="center"/>
          </w:tcPr>
          <w:p w14:paraId="18C3066D">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4"/>
                <w:szCs w:val="24"/>
              </w:rPr>
            </w:pPr>
            <w:r>
              <w:rPr>
                <w:rFonts w:hint="eastAsia" w:ascii="Times New Roman" w:hAnsi="Times New Roman" w:cs="宋体"/>
                <w:color w:val="auto"/>
                <w:sz w:val="24"/>
                <w:szCs w:val="24"/>
              </w:rPr>
              <w:t>/</w:t>
            </w:r>
          </w:p>
        </w:tc>
        <w:tc>
          <w:tcPr>
            <w:tcW w:w="2955" w:type="dxa"/>
            <w:noWrap w:val="0"/>
            <w:vAlign w:val="center"/>
          </w:tcPr>
          <w:p w14:paraId="79F6927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eastAsia" w:ascii="Times New Roman" w:hAnsi="Times New Roman" w:cs="宋体"/>
                <w:color w:val="auto"/>
                <w:sz w:val="24"/>
                <w:szCs w:val="24"/>
              </w:rPr>
              <w:t>/</w:t>
            </w:r>
          </w:p>
        </w:tc>
        <w:tc>
          <w:tcPr>
            <w:tcW w:w="1827" w:type="dxa"/>
            <w:noWrap w:val="0"/>
            <w:vAlign w:val="center"/>
          </w:tcPr>
          <w:p w14:paraId="47215BAC">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4"/>
                <w:szCs w:val="24"/>
              </w:rPr>
            </w:pPr>
            <w:r>
              <w:rPr>
                <w:rFonts w:hint="eastAsia" w:ascii="Times New Roman" w:hAnsi="Times New Roman" w:cs="宋体"/>
                <w:color w:val="auto"/>
                <w:sz w:val="24"/>
                <w:szCs w:val="24"/>
              </w:rPr>
              <w:t>/</w:t>
            </w:r>
          </w:p>
        </w:tc>
      </w:tr>
      <w:tr w14:paraId="030221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7" w:type="dxa"/>
            <w:noWrap w:val="0"/>
            <w:vAlign w:val="center"/>
          </w:tcPr>
          <w:p w14:paraId="294D02FA">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rPr>
              <w:t>固体废物</w:t>
            </w:r>
          </w:p>
        </w:tc>
        <w:tc>
          <w:tcPr>
            <w:tcW w:w="7473" w:type="dxa"/>
            <w:gridSpan w:val="4"/>
            <w:noWrap w:val="0"/>
            <w:vAlign w:val="center"/>
          </w:tcPr>
          <w:p w14:paraId="6C7D2DF3">
            <w:pPr>
              <w:keepNext w:val="0"/>
              <w:keepLines w:val="0"/>
              <w:suppressLineNumbers w:val="0"/>
              <w:adjustRightInd w:val="0"/>
              <w:snapToGrid w:val="0"/>
              <w:spacing w:before="0" w:beforeAutospacing="0" w:after="0" w:afterAutospacing="0"/>
              <w:ind w:left="0" w:right="0"/>
              <w:rPr>
                <w:rFonts w:hint="eastAsia" w:ascii="Times New Roman" w:hAnsi="Times New Roman" w:cs="宋体"/>
                <w:color w:val="auto"/>
                <w:sz w:val="24"/>
                <w:szCs w:val="24"/>
              </w:rPr>
            </w:pPr>
            <w:r>
              <w:rPr>
                <w:rFonts w:hint="eastAsia" w:ascii="Times New Roman" w:hAnsi="Times New Roman" w:cs="宋体"/>
                <w:b/>
                <w:bCs/>
                <w:color w:val="auto"/>
                <w:sz w:val="24"/>
                <w:szCs w:val="24"/>
              </w:rPr>
              <w:t>一般固废：</w:t>
            </w:r>
            <w:r>
              <w:rPr>
                <w:rFonts w:hint="eastAsia" w:ascii="Times New Roman" w:hAnsi="Times New Roman" w:cs="宋体"/>
                <w:color w:val="auto"/>
                <w:sz w:val="24"/>
                <w:szCs w:val="24"/>
              </w:rPr>
              <w:t>①</w:t>
            </w:r>
            <w:r>
              <w:rPr>
                <w:rFonts w:hint="eastAsia" w:ascii="Times New Roman" w:hAnsi="Times New Roman" w:cs="宋体"/>
                <w:color w:val="auto"/>
                <w:sz w:val="24"/>
                <w:szCs w:val="24"/>
                <w:lang w:val="en-US" w:eastAsia="zh-CN"/>
              </w:rPr>
              <w:t>废吸油布、</w:t>
            </w:r>
            <w:r>
              <w:rPr>
                <w:rFonts w:hint="eastAsia" w:ascii="Times New Roman" w:hAnsi="Times New Roman" w:cs="宋体"/>
                <w:color w:val="auto"/>
                <w:sz w:val="24"/>
                <w:szCs w:val="24"/>
              </w:rPr>
              <w:t>生活垃圾交由当地环卫部门清运处理；②废包装袋外卖废品收购单位</w:t>
            </w:r>
            <w:r>
              <w:rPr>
                <w:rFonts w:hint="eastAsia" w:ascii="Times New Roman" w:hAnsi="Times New Roman" w:cs="Times New Roman"/>
                <w:color w:val="auto"/>
                <w:sz w:val="24"/>
                <w:szCs w:val="24"/>
              </w:rPr>
              <w:t>；③</w:t>
            </w:r>
            <w:r>
              <w:rPr>
                <w:rFonts w:hint="eastAsia" w:cs="Times New Roman"/>
                <w:color w:val="auto"/>
                <w:sz w:val="24"/>
                <w:szCs w:val="24"/>
                <w:lang w:val="en-US" w:eastAsia="zh-CN"/>
              </w:rPr>
              <w:t>锅炉灰渣及锅炉除尘器</w:t>
            </w:r>
            <w:r>
              <w:rPr>
                <w:rFonts w:hint="eastAsia" w:ascii="Times New Roman" w:hAnsi="Times New Roman" w:cs="Times New Roman"/>
                <w:color w:val="auto"/>
                <w:sz w:val="24"/>
                <w:szCs w:val="24"/>
                <w:lang w:val="en-US" w:eastAsia="zh-CN"/>
              </w:rPr>
              <w:t>除尘灰外卖有机肥厂或交由农户作为肥料使用；</w:t>
            </w:r>
            <w:r>
              <w:rPr>
                <w:rFonts w:hint="eastAsia" w:ascii="宋体" w:hAnsi="宋体" w:eastAsia="宋体" w:cs="宋体"/>
                <w:color w:val="auto"/>
                <w:sz w:val="24"/>
                <w:szCs w:val="24"/>
                <w:lang w:val="en-US" w:eastAsia="zh-CN"/>
              </w:rPr>
              <w:t>④</w:t>
            </w:r>
            <w:r>
              <w:rPr>
                <w:rFonts w:hint="eastAsia" w:ascii="宋体" w:hAnsi="宋体" w:cs="宋体"/>
                <w:color w:val="auto"/>
                <w:sz w:val="24"/>
                <w:szCs w:val="24"/>
                <w:lang w:val="en-US" w:eastAsia="zh-CN"/>
              </w:rPr>
              <w:t>破碎及制粒粉尘</w:t>
            </w:r>
            <w:r>
              <w:rPr>
                <w:rFonts w:hint="eastAsia" w:ascii="宋体" w:hAnsi="宋体" w:eastAsia="宋体" w:cs="宋体"/>
                <w:color w:val="auto"/>
                <w:sz w:val="24"/>
                <w:szCs w:val="24"/>
                <w:lang w:val="en-US" w:eastAsia="zh-CN"/>
              </w:rPr>
              <w:t>除尘器收集除尘灰</w:t>
            </w:r>
            <w:r>
              <w:rPr>
                <w:rFonts w:hint="eastAsia" w:ascii="Times New Roman" w:hAnsi="Times New Roman" w:cs="Times New Roman"/>
                <w:color w:val="auto"/>
                <w:sz w:val="24"/>
                <w:szCs w:val="24"/>
              </w:rPr>
              <w:t>回用于生产</w:t>
            </w:r>
            <w:r>
              <w:rPr>
                <w:rFonts w:hint="eastAsia" w:ascii="Times New Roman" w:hAnsi="Times New Roman" w:cs="Times New Roman"/>
                <w:color w:val="auto"/>
                <w:sz w:val="24"/>
                <w:szCs w:val="24"/>
                <w:lang w:eastAsia="zh-CN"/>
              </w:rPr>
              <w:t>；</w:t>
            </w:r>
            <w:r>
              <w:rPr>
                <w:rFonts w:hint="eastAsia" w:ascii="宋体" w:hAnsi="宋体" w:eastAsia="宋体" w:cs="宋体"/>
                <w:color w:val="auto"/>
                <w:sz w:val="24"/>
                <w:szCs w:val="24"/>
                <w:lang w:eastAsia="zh-CN"/>
              </w:rPr>
              <w:t>⑤</w:t>
            </w:r>
            <w:r>
              <w:rPr>
                <w:rFonts w:hint="eastAsia" w:ascii="宋体" w:hAnsi="宋体" w:eastAsia="宋体" w:cs="宋体"/>
                <w:color w:val="auto"/>
                <w:sz w:val="24"/>
                <w:szCs w:val="24"/>
                <w:lang w:val="en-US" w:eastAsia="zh-CN"/>
              </w:rPr>
              <w:t>废离子交换树脂交由厂家回收处理</w:t>
            </w:r>
            <w:r>
              <w:rPr>
                <w:rFonts w:hint="eastAsia" w:ascii="Times New Roman" w:hAnsi="Times New Roman" w:cs="宋体"/>
                <w:color w:val="auto"/>
                <w:sz w:val="24"/>
                <w:szCs w:val="24"/>
              </w:rPr>
              <w:t>。</w:t>
            </w:r>
          </w:p>
          <w:p w14:paraId="73B04FA7">
            <w:pPr>
              <w:keepNext w:val="0"/>
              <w:keepLines w:val="0"/>
              <w:suppressLineNumbers w:val="0"/>
              <w:adjustRightInd w:val="0"/>
              <w:snapToGrid w:val="0"/>
              <w:spacing w:before="0" w:beforeAutospacing="0" w:after="0" w:afterAutospacing="0"/>
              <w:ind w:left="0" w:right="0"/>
              <w:rPr>
                <w:rFonts w:hint="eastAsia" w:ascii="Times New Roman" w:hAnsi="Times New Roman" w:cs="宋体"/>
                <w:color w:val="auto"/>
                <w:sz w:val="24"/>
                <w:szCs w:val="24"/>
              </w:rPr>
            </w:pPr>
            <w:r>
              <w:rPr>
                <w:rFonts w:hint="eastAsia" w:ascii="Times New Roman" w:hAnsi="Times New Roman" w:cs="宋体"/>
                <w:b/>
                <w:bCs/>
                <w:color w:val="auto"/>
                <w:sz w:val="24"/>
                <w:szCs w:val="24"/>
              </w:rPr>
              <w:t>危险废物：</w:t>
            </w:r>
            <w:r>
              <w:rPr>
                <w:rFonts w:hint="eastAsia" w:ascii="Times New Roman" w:hAnsi="Times New Roman" w:cs="宋体"/>
                <w:b w:val="0"/>
                <w:bCs w:val="0"/>
                <w:color w:val="auto"/>
                <w:sz w:val="24"/>
                <w:szCs w:val="24"/>
                <w:lang w:val="en-US" w:eastAsia="zh-CN"/>
              </w:rPr>
              <w:t>设置</w:t>
            </w:r>
            <w:r>
              <w:rPr>
                <w:rFonts w:hint="eastAsia" w:ascii="Times New Roman" w:hAnsi="Times New Roman" w:cs="宋体"/>
                <w:b w:val="0"/>
                <w:bCs w:val="0"/>
                <w:color w:val="auto"/>
                <w:sz w:val="24"/>
                <w:szCs w:val="24"/>
              </w:rPr>
              <w:t>危废暂存间</w:t>
            </w:r>
            <w:r>
              <w:rPr>
                <w:rFonts w:hint="eastAsia" w:ascii="Times New Roman" w:hAnsi="Times New Roman" w:cs="宋体"/>
                <w:b w:val="0"/>
                <w:bCs w:val="0"/>
                <w:color w:val="auto"/>
                <w:sz w:val="24"/>
                <w:szCs w:val="24"/>
                <w:lang w:val="en-US" w:eastAsia="zh-CN"/>
              </w:rPr>
              <w:t>1间，</w:t>
            </w:r>
            <w:r>
              <w:rPr>
                <w:rFonts w:hint="eastAsia" w:ascii="Times New Roman" w:hAnsi="Times New Roman" w:cs="宋体"/>
                <w:b w:val="0"/>
                <w:bCs w:val="0"/>
                <w:color w:val="auto"/>
                <w:sz w:val="24"/>
                <w:szCs w:val="24"/>
              </w:rPr>
              <w:t>废活性炭、</w:t>
            </w:r>
            <w:r>
              <w:rPr>
                <w:rFonts w:hint="eastAsia" w:ascii="Times New Roman" w:hAnsi="Times New Roman" w:cs="宋体"/>
                <w:b w:val="0"/>
                <w:bCs w:val="0"/>
                <w:color w:val="auto"/>
                <w:sz w:val="24"/>
                <w:szCs w:val="24"/>
                <w:lang w:val="en-US" w:eastAsia="zh-CN"/>
              </w:rPr>
              <w:t>废机油在暂存间内暂存，定期</w:t>
            </w:r>
            <w:r>
              <w:rPr>
                <w:rFonts w:hint="eastAsia" w:ascii="Times New Roman" w:hAnsi="Times New Roman" w:cs="宋体"/>
                <w:b w:val="0"/>
                <w:bCs w:val="0"/>
                <w:color w:val="auto"/>
                <w:sz w:val="24"/>
                <w:szCs w:val="24"/>
              </w:rPr>
              <w:t>交由资质单位处理。</w:t>
            </w:r>
          </w:p>
        </w:tc>
      </w:tr>
      <w:tr w14:paraId="291AAB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7" w:type="dxa"/>
            <w:noWrap w:val="0"/>
            <w:vAlign w:val="center"/>
          </w:tcPr>
          <w:p w14:paraId="7248EF00">
            <w:pPr>
              <w:keepNext w:val="0"/>
              <w:keepLines w:val="0"/>
              <w:suppressLineNumbers w:val="0"/>
              <w:adjustRightInd w:val="0"/>
              <w:snapToGrid w:val="0"/>
              <w:spacing w:before="0" w:beforeAutospacing="0" w:after="0" w:afterAutospacing="0" w:line="312" w:lineRule="auto"/>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rPr>
              <w:t>土壤及地下水</w:t>
            </w:r>
          </w:p>
          <w:p w14:paraId="1669C901">
            <w:pPr>
              <w:keepNext w:val="0"/>
              <w:keepLines w:val="0"/>
              <w:suppressLineNumbers w:val="0"/>
              <w:adjustRightInd w:val="0"/>
              <w:snapToGrid w:val="0"/>
              <w:spacing w:before="0" w:beforeAutospacing="0" w:after="0" w:afterAutospacing="0" w:line="312" w:lineRule="auto"/>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rPr>
              <w:t>污染防治措施</w:t>
            </w:r>
          </w:p>
        </w:tc>
        <w:tc>
          <w:tcPr>
            <w:tcW w:w="7473" w:type="dxa"/>
            <w:gridSpan w:val="4"/>
            <w:noWrap w:val="0"/>
            <w:vAlign w:val="top"/>
          </w:tcPr>
          <w:p w14:paraId="2C87A252">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为了避免项目的生产对</w:t>
            </w:r>
            <w:r>
              <w:rPr>
                <w:rFonts w:hint="eastAsia" w:ascii="Times New Roman" w:hAnsi="Times New Roman" w:cs="Times New Roman"/>
                <w:color w:val="auto"/>
                <w:sz w:val="24"/>
                <w:szCs w:val="24"/>
                <w:lang w:val="en-US" w:eastAsia="zh-CN"/>
              </w:rPr>
              <w:t>土壤及</w:t>
            </w:r>
            <w:r>
              <w:rPr>
                <w:rFonts w:hint="eastAsia" w:ascii="Times New Roman" w:hAnsi="Times New Roman" w:cs="Times New Roman"/>
                <w:color w:val="auto"/>
                <w:sz w:val="24"/>
                <w:szCs w:val="24"/>
              </w:rPr>
              <w:t>地下水产生污染，项目方应加强日常管理，对项目内进行分区防渗。项目内防渗分区分为重点防渗分区、一般防渗分区</w:t>
            </w:r>
            <w:r>
              <w:rPr>
                <w:rFonts w:hint="eastAsia" w:ascii="Times New Roman" w:hAnsi="Times New Roman" w:cs="Times New Roman"/>
                <w:color w:val="auto"/>
                <w:sz w:val="24"/>
                <w:szCs w:val="24"/>
                <w:lang w:eastAsia="zh-CN"/>
              </w:rPr>
              <w:t>、</w:t>
            </w:r>
            <w:r>
              <w:rPr>
                <w:rFonts w:hint="eastAsia" w:cs="Times New Roman"/>
                <w:color w:val="auto"/>
                <w:sz w:val="24"/>
                <w:szCs w:val="24"/>
                <w:lang w:val="en-US" w:eastAsia="zh-CN"/>
              </w:rPr>
              <w:t>简单</w:t>
            </w:r>
            <w:r>
              <w:rPr>
                <w:rFonts w:hint="eastAsia" w:ascii="Times New Roman" w:hAnsi="Times New Roman" w:cs="Times New Roman"/>
                <w:color w:val="auto"/>
                <w:sz w:val="24"/>
                <w:szCs w:val="24"/>
                <w:lang w:val="en-US" w:eastAsia="zh-CN"/>
              </w:rPr>
              <w:t>防渗区</w:t>
            </w:r>
            <w:r>
              <w:rPr>
                <w:rFonts w:hint="eastAsia" w:ascii="Times New Roman" w:hAnsi="Times New Roman" w:cs="Times New Roman"/>
                <w:color w:val="auto"/>
                <w:sz w:val="24"/>
                <w:szCs w:val="24"/>
              </w:rPr>
              <w:t>。</w:t>
            </w:r>
          </w:p>
          <w:p w14:paraId="483F74E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重点防渗区：危废暂存间、柏木油产品库、油水分离池、厌氧池</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污水埋地管道。其中危废暂存间采</w:t>
            </w:r>
            <w:r>
              <w:rPr>
                <w:rFonts w:hint="default" w:ascii="Times New Roman" w:hAnsi="Times New Roman" w:eastAsia="宋体" w:cs="Times New Roman"/>
                <w:color w:val="auto"/>
                <w:kern w:val="0"/>
                <w:sz w:val="24"/>
                <w:szCs w:val="24"/>
                <w:lang w:val="en-US" w:eastAsia="zh-CN" w:bidi="ar"/>
              </w:rPr>
              <w:t>用黏土铺底+防渗混凝土+2mm厚HDPE人工防渗涂层，渗透系数＜10</w:t>
            </w:r>
            <w:r>
              <w:rPr>
                <w:rFonts w:hint="default" w:ascii="Times New Roman" w:hAnsi="Times New Roman" w:eastAsia="宋体" w:cs="Times New Roman"/>
                <w:color w:val="auto"/>
                <w:kern w:val="0"/>
                <w:sz w:val="24"/>
                <w:szCs w:val="24"/>
                <w:vertAlign w:val="superscript"/>
                <w:lang w:val="en-US" w:eastAsia="zh-CN" w:bidi="ar"/>
              </w:rPr>
              <w:t>-10</w:t>
            </w:r>
            <w:r>
              <w:rPr>
                <w:rFonts w:hint="default" w:ascii="Times New Roman" w:hAnsi="Times New Roman" w:eastAsia="宋体" w:cs="Times New Roman"/>
                <w:color w:val="auto"/>
                <w:kern w:val="0"/>
                <w:sz w:val="24"/>
                <w:szCs w:val="24"/>
                <w:lang w:val="en-US" w:eastAsia="zh-CN" w:bidi="ar"/>
              </w:rPr>
              <w:t>cm/s；其余采用防渗混凝土+人工防渗涂层</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确保防渗层达到等效黏土防渗层Mb≥6.0m、渗透系数K≤1.0×10</w:t>
            </w:r>
            <w:r>
              <w:rPr>
                <w:rFonts w:hint="default" w:ascii="Times New Roman" w:hAnsi="Times New Roman" w:eastAsia="宋体" w:cs="Times New Roman"/>
                <w:color w:val="auto"/>
                <w:kern w:val="0"/>
                <w:sz w:val="24"/>
                <w:szCs w:val="24"/>
                <w:vertAlign w:val="superscript"/>
                <w:lang w:val="en-US" w:eastAsia="zh-CN" w:bidi="ar"/>
              </w:rPr>
              <w:t>-7</w:t>
            </w:r>
            <w:r>
              <w:rPr>
                <w:rFonts w:hint="default" w:ascii="Times New Roman" w:hAnsi="Times New Roman" w:eastAsia="宋体" w:cs="Times New Roman"/>
                <w:color w:val="auto"/>
                <w:kern w:val="0"/>
                <w:sz w:val="24"/>
                <w:szCs w:val="24"/>
                <w:lang w:val="en-US" w:eastAsia="zh-CN" w:bidi="ar"/>
              </w:rPr>
              <w:t>cm/s，其中危废暂存间；</w:t>
            </w:r>
            <w:r>
              <w:rPr>
                <w:rFonts w:hint="default" w:ascii="Times New Roman" w:hAnsi="Times New Roman" w:cs="Times New Roman"/>
                <w:color w:val="auto"/>
                <w:kern w:val="0"/>
                <w:sz w:val="24"/>
                <w:szCs w:val="24"/>
                <w:lang w:val="en-US" w:eastAsia="zh-CN" w:bidi="ar"/>
              </w:rPr>
              <w:t>柏木油产品库</w:t>
            </w:r>
            <w:r>
              <w:rPr>
                <w:rFonts w:hint="default" w:ascii="Times New Roman" w:hAnsi="Times New Roman" w:eastAsia="宋体" w:cs="Times New Roman"/>
                <w:color w:val="auto"/>
                <w:kern w:val="0"/>
                <w:sz w:val="24"/>
                <w:szCs w:val="24"/>
                <w:lang w:val="en-US" w:eastAsia="zh-CN" w:bidi="ar"/>
              </w:rPr>
              <w:t>设置围堰。</w:t>
            </w:r>
          </w:p>
          <w:p w14:paraId="5D33C5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一般防渗区：破碎间、锅炉房、生产车间。采用防渗混凝土进行地面硬化，确保防渗层达到等效黏土防渗层</w:t>
            </w:r>
            <w:r>
              <w:rPr>
                <w:rFonts w:hint="default" w:ascii="Times New Roman" w:hAnsi="Times New Roman" w:eastAsia="宋体" w:cs="Times New Roman"/>
                <w:color w:val="auto"/>
                <w:kern w:val="0"/>
                <w:sz w:val="24"/>
                <w:szCs w:val="24"/>
                <w:lang w:val="en-US" w:eastAsia="zh-CN" w:bidi="ar"/>
              </w:rPr>
              <w:t>Mb≥</w:t>
            </w:r>
            <w:r>
              <w:rPr>
                <w:rFonts w:hint="eastAsia" w:ascii="Times New Roman" w:hAnsi="Times New Roman" w:eastAsia="宋体" w:cs="Times New Roman"/>
                <w:color w:val="auto"/>
                <w:kern w:val="0"/>
                <w:sz w:val="24"/>
                <w:szCs w:val="24"/>
                <w:lang w:val="en-US" w:eastAsia="zh-CN" w:bidi="ar"/>
              </w:rPr>
              <w:t>1.5</w:t>
            </w:r>
            <w:r>
              <w:rPr>
                <w:rFonts w:hint="default" w:ascii="Times New Roman" w:hAnsi="Times New Roman" w:eastAsia="宋体" w:cs="Times New Roman"/>
                <w:color w:val="auto"/>
                <w:kern w:val="0"/>
                <w:sz w:val="24"/>
                <w:szCs w:val="24"/>
                <w:lang w:val="en-US" w:eastAsia="zh-CN" w:bidi="ar"/>
              </w:rPr>
              <w:t>m</w:t>
            </w:r>
            <w:r>
              <w:rPr>
                <w:rFonts w:hint="eastAsia" w:ascii="宋体" w:hAnsi="宋体" w:eastAsia="宋体" w:cs="宋体"/>
                <w:color w:val="auto"/>
                <w:kern w:val="0"/>
                <w:sz w:val="24"/>
                <w:szCs w:val="24"/>
                <w:lang w:val="en-US" w:eastAsia="zh-CN" w:bidi="ar"/>
              </w:rPr>
              <w:t>、渗透系数</w:t>
            </w:r>
            <w:r>
              <w:rPr>
                <w:rFonts w:hint="default" w:ascii="Times New Roman" w:hAnsi="Times New Roman" w:eastAsia="宋体" w:cs="Times New Roman"/>
                <w:color w:val="auto"/>
                <w:kern w:val="0"/>
                <w:sz w:val="24"/>
                <w:szCs w:val="24"/>
                <w:lang w:val="en-US" w:eastAsia="zh-CN" w:bidi="ar"/>
              </w:rPr>
              <w:t>K≤1.0×10</w:t>
            </w:r>
            <w:r>
              <w:rPr>
                <w:rFonts w:hint="eastAsia" w:ascii="Times New Roman" w:hAnsi="Times New Roman" w:eastAsia="宋体" w:cs="Times New Roman"/>
                <w:color w:val="auto"/>
                <w:kern w:val="0"/>
                <w:sz w:val="24"/>
                <w:szCs w:val="24"/>
                <w:vertAlign w:val="superscript"/>
                <w:lang w:val="en-US" w:eastAsia="zh-CN" w:bidi="ar"/>
              </w:rPr>
              <w:t>-7</w:t>
            </w:r>
            <w:r>
              <w:rPr>
                <w:rFonts w:hint="default" w:ascii="Times New Roman" w:hAnsi="Times New Roman" w:eastAsia="宋体" w:cs="Times New Roman"/>
                <w:color w:val="auto"/>
                <w:kern w:val="0"/>
                <w:sz w:val="24"/>
                <w:szCs w:val="24"/>
                <w:lang w:val="en-US" w:eastAsia="zh-CN" w:bidi="ar"/>
              </w:rPr>
              <w:t>cm/s</w:t>
            </w:r>
            <w:r>
              <w:rPr>
                <w:rFonts w:hint="eastAsia" w:ascii="宋体" w:hAnsi="宋体" w:eastAsia="宋体" w:cs="宋体"/>
                <w:color w:val="auto"/>
                <w:kern w:val="0"/>
                <w:sz w:val="24"/>
                <w:szCs w:val="24"/>
                <w:lang w:val="en-US" w:eastAsia="zh-CN" w:bidi="ar"/>
              </w:rPr>
              <w:t>。</w:t>
            </w:r>
          </w:p>
          <w:p w14:paraId="7FD189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rPr>
            </w:pPr>
            <w:r>
              <w:rPr>
                <w:rFonts w:hint="eastAsia" w:ascii="Times New Roman" w:hAnsi="Times New Roman" w:cs="宋体"/>
                <w:color w:val="auto"/>
                <w:sz w:val="24"/>
                <w:szCs w:val="24"/>
              </w:rPr>
              <w:t>对剩余其他区域进行简单防渗，由此对土壤及地下水环境影响小。</w:t>
            </w:r>
          </w:p>
        </w:tc>
      </w:tr>
      <w:tr w14:paraId="366F7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7" w:type="dxa"/>
            <w:noWrap w:val="0"/>
            <w:vAlign w:val="center"/>
          </w:tcPr>
          <w:p w14:paraId="1F2CB414">
            <w:pPr>
              <w:keepNext w:val="0"/>
              <w:keepLines w:val="0"/>
              <w:suppressLineNumbers w:val="0"/>
              <w:adjustRightInd w:val="0"/>
              <w:snapToGrid w:val="0"/>
              <w:spacing w:before="0" w:beforeAutospacing="0" w:after="0" w:afterAutospacing="0" w:line="312" w:lineRule="auto"/>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rPr>
              <w:t>生态保护措施</w:t>
            </w:r>
          </w:p>
        </w:tc>
        <w:tc>
          <w:tcPr>
            <w:tcW w:w="7473" w:type="dxa"/>
            <w:gridSpan w:val="4"/>
            <w:noWrap w:val="0"/>
            <w:vAlign w:val="center"/>
          </w:tcPr>
          <w:p w14:paraId="7A99BE01">
            <w:pPr>
              <w:keepNext w:val="0"/>
              <w:keepLines w:val="0"/>
              <w:suppressLineNumbers w:val="0"/>
              <w:adjustRightInd w:val="0"/>
              <w:snapToGrid w:val="0"/>
              <w:spacing w:before="48" w:beforeLines="20" w:beforeAutospacing="0" w:after="0" w:afterAutospacing="0" w:line="312" w:lineRule="auto"/>
              <w:ind w:left="0" w:right="0" w:firstLine="480" w:firstLineChars="200"/>
              <w:jc w:val="left"/>
              <w:rPr>
                <w:rFonts w:hint="eastAsia" w:ascii="Times New Roman" w:hAnsi="Times New Roman" w:cs="宋体"/>
                <w:color w:val="auto"/>
                <w:sz w:val="24"/>
                <w:szCs w:val="24"/>
              </w:rPr>
            </w:pPr>
            <w:r>
              <w:rPr>
                <w:rFonts w:hint="eastAsia" w:ascii="Times New Roman" w:hAnsi="Times New Roman" w:cs="宋体"/>
                <w:color w:val="auto"/>
                <w:sz w:val="24"/>
                <w:szCs w:val="24"/>
              </w:rPr>
              <w:t>项目施工期</w:t>
            </w:r>
            <w:r>
              <w:rPr>
                <w:rFonts w:hint="eastAsia" w:ascii="Times New Roman" w:hAnsi="Times New Roman" w:cs="宋体"/>
                <w:color w:val="auto"/>
                <w:sz w:val="24"/>
                <w:szCs w:val="24"/>
                <w:lang w:val="en-US" w:eastAsia="zh-CN"/>
              </w:rPr>
              <w:t>主要为</w:t>
            </w:r>
            <w:r>
              <w:rPr>
                <w:rFonts w:hint="eastAsia" w:cs="宋体"/>
                <w:color w:val="auto"/>
                <w:sz w:val="24"/>
                <w:szCs w:val="24"/>
                <w:lang w:val="en-US" w:eastAsia="zh-CN"/>
              </w:rPr>
              <w:t>破碎间搭建及</w:t>
            </w:r>
            <w:r>
              <w:rPr>
                <w:rFonts w:hint="eastAsia" w:ascii="Times New Roman" w:hAnsi="Times New Roman" w:cs="宋体"/>
                <w:color w:val="auto"/>
                <w:sz w:val="24"/>
                <w:szCs w:val="24"/>
              </w:rPr>
              <w:t>在厂房进行装修及设备安装施工，</w:t>
            </w:r>
            <w:r>
              <w:rPr>
                <w:rFonts w:hint="default"/>
                <w:color w:val="auto"/>
              </w:rPr>
              <w:t>由于在现有占地范围内建设，不新增用地，水土流失及生态影响较小。施工期结束后尽快清理现场，可减小对生态环境的影响。</w:t>
            </w:r>
          </w:p>
        </w:tc>
      </w:tr>
      <w:tr w14:paraId="3DFF8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7" w:type="dxa"/>
            <w:noWrap w:val="0"/>
            <w:vAlign w:val="center"/>
          </w:tcPr>
          <w:p w14:paraId="5B0A3542">
            <w:pPr>
              <w:keepNext w:val="0"/>
              <w:keepLines w:val="0"/>
              <w:suppressLineNumbers w:val="0"/>
              <w:adjustRightInd w:val="0"/>
              <w:snapToGrid w:val="0"/>
              <w:spacing w:before="0" w:beforeAutospacing="0" w:after="0" w:afterAutospacing="0" w:line="312" w:lineRule="auto"/>
              <w:ind w:left="0" w:right="0"/>
              <w:jc w:val="center"/>
              <w:rPr>
                <w:rFonts w:hint="default" w:ascii="Times New Roman" w:hAnsi="Times New Roman" w:cs="宋体"/>
                <w:color w:val="auto"/>
                <w:sz w:val="24"/>
                <w:szCs w:val="24"/>
              </w:rPr>
            </w:pPr>
            <w:r>
              <w:rPr>
                <w:rFonts w:hint="eastAsia" w:ascii="Times New Roman" w:hAnsi="Times New Roman" w:cs="宋体"/>
                <w:color w:val="auto"/>
                <w:sz w:val="24"/>
                <w:szCs w:val="24"/>
              </w:rPr>
              <w:t>环境风险</w:t>
            </w:r>
          </w:p>
          <w:p w14:paraId="0A5F7CBE">
            <w:pPr>
              <w:keepNext w:val="0"/>
              <w:keepLines w:val="0"/>
              <w:suppressLineNumbers w:val="0"/>
              <w:adjustRightInd w:val="0"/>
              <w:snapToGrid w:val="0"/>
              <w:spacing w:before="0" w:beforeAutospacing="0" w:after="0" w:afterAutospacing="0" w:line="312" w:lineRule="auto"/>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rPr>
              <w:t>防范措施</w:t>
            </w:r>
          </w:p>
        </w:tc>
        <w:tc>
          <w:tcPr>
            <w:tcW w:w="7473" w:type="dxa"/>
            <w:gridSpan w:val="4"/>
            <w:noWrap w:val="0"/>
            <w:vAlign w:val="top"/>
          </w:tcPr>
          <w:p w14:paraId="2EBCE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1、加强风险管理，定期对项目内风险防范区域进行检查，车间内应进行通风处理，避免废气浓度过高引发危险。</w:t>
            </w:r>
          </w:p>
          <w:p w14:paraId="58905B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rPr>
              <w:t>2、</w:t>
            </w:r>
            <w:r>
              <w:rPr>
                <w:rFonts w:hint="eastAsia" w:cs="Times New Roman"/>
                <w:color w:val="auto"/>
                <w:sz w:val="24"/>
                <w:szCs w:val="24"/>
                <w:lang w:val="en-US" w:eastAsia="zh-CN"/>
              </w:rPr>
              <w:t>机油桶装暂存，柏木油储存于阴凉、通风的库房，设置围堰，远离火种、热源。</w:t>
            </w:r>
          </w:p>
          <w:p w14:paraId="1EF74A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480" w:firstLineChars="200"/>
              <w:textAlignment w:val="auto"/>
              <w:rPr>
                <w:rFonts w:hint="eastAsia" w:ascii="Times New Roman" w:hAnsi="Times New Roman" w:cs="Times New Roman"/>
                <w:color w:val="auto"/>
                <w:sz w:val="24"/>
                <w:szCs w:val="24"/>
              </w:rPr>
            </w:pPr>
            <w:r>
              <w:rPr>
                <w:rFonts w:hint="eastAsia" w:cs="Times New Roman"/>
                <w:color w:val="auto"/>
                <w:sz w:val="24"/>
                <w:szCs w:val="24"/>
                <w:lang w:val="en-US" w:eastAsia="zh-CN"/>
              </w:rPr>
              <w:t>3、</w:t>
            </w:r>
            <w:r>
              <w:rPr>
                <w:rFonts w:hint="eastAsia" w:ascii="Times New Roman" w:hAnsi="Times New Roman" w:cs="Times New Roman"/>
                <w:color w:val="auto"/>
                <w:sz w:val="24"/>
                <w:szCs w:val="24"/>
              </w:rPr>
              <w:t>厂区内配置一定数量的灭火器等消防器材，设置火灾报警系统。厂区消防通道和建筑物耐火等级均按照消防规范要求进行建设，车间设置严禁烟火的标志。及时检验物品质量、数量、包装情况、有无泄漏。</w:t>
            </w:r>
          </w:p>
          <w:p w14:paraId="3B46F6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480" w:firstLineChars="200"/>
              <w:textAlignment w:val="auto"/>
              <w:rPr>
                <w:rFonts w:hint="eastAsia" w:ascii="Times New Roman" w:hAnsi="Times New Roman" w:cs="Times New Roman"/>
                <w:color w:val="auto"/>
                <w:sz w:val="24"/>
                <w:szCs w:val="24"/>
              </w:rPr>
            </w:pPr>
            <w:r>
              <w:rPr>
                <w:rFonts w:hint="eastAsia" w:cs="Times New Roman"/>
                <w:color w:val="auto"/>
                <w:sz w:val="24"/>
                <w:szCs w:val="24"/>
                <w:lang w:val="en-US" w:eastAsia="zh-CN"/>
              </w:rPr>
              <w:t>4</w:t>
            </w:r>
            <w:r>
              <w:rPr>
                <w:rFonts w:hint="eastAsia" w:ascii="Times New Roman" w:hAnsi="Times New Roman" w:cs="Times New Roman"/>
                <w:color w:val="auto"/>
                <w:sz w:val="24"/>
                <w:szCs w:val="24"/>
              </w:rPr>
              <w:t>、定期组织员工开展风险应急培训，加强公司职工的教育培训，实行上岗证制度，增强职工风险意识，提高事故自救能力，制定和强化各种安全管理、安全生产的规程，减少人为风险事故（如误操作）的发生。</w:t>
            </w:r>
          </w:p>
          <w:p w14:paraId="597355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480" w:firstLineChars="200"/>
              <w:textAlignment w:val="auto"/>
              <w:rPr>
                <w:rFonts w:hint="eastAsia" w:ascii="Times New Roman" w:hAnsi="Times New Roman" w:cs="Times New Roman"/>
                <w:color w:val="auto"/>
                <w:sz w:val="24"/>
                <w:szCs w:val="24"/>
              </w:rPr>
            </w:pPr>
            <w:r>
              <w:rPr>
                <w:rFonts w:hint="eastAsia" w:cs="Times New Roman"/>
                <w:color w:val="auto"/>
                <w:sz w:val="24"/>
                <w:szCs w:val="24"/>
                <w:lang w:val="en-US" w:eastAsia="zh-CN"/>
              </w:rPr>
              <w:t>5</w:t>
            </w:r>
            <w:r>
              <w:rPr>
                <w:rFonts w:hint="eastAsia" w:ascii="Times New Roman" w:hAnsi="Times New Roman" w:cs="Times New Roman"/>
                <w:color w:val="auto"/>
                <w:sz w:val="24"/>
                <w:szCs w:val="24"/>
              </w:rPr>
              <w:t>、设置1个危废暂存间，建设单位严格按照《危险废物贮存污染控制标准》（GB18597－2001）等相关要求固定危废临时堆放区域，并对该区域进行专业防渗防漏处理，将危险废物分类放置于专用容器内，并设明显安全警示标志，同时要求及时、妥善清运危废，尽量减少危废临时贮存量。</w:t>
            </w:r>
          </w:p>
          <w:p w14:paraId="24B906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480" w:firstLineChars="200"/>
              <w:textAlignment w:val="auto"/>
              <w:rPr>
                <w:rFonts w:hint="eastAsia" w:ascii="Times New Roman" w:hAnsi="Times New Roman" w:cs="宋体"/>
                <w:color w:val="auto"/>
                <w:sz w:val="24"/>
                <w:szCs w:val="24"/>
              </w:rPr>
            </w:pPr>
            <w:r>
              <w:rPr>
                <w:rFonts w:hint="eastAsia" w:cs="Times New Roman"/>
                <w:color w:val="auto"/>
                <w:sz w:val="24"/>
                <w:szCs w:val="24"/>
                <w:lang w:val="en-US" w:eastAsia="zh-CN"/>
              </w:rPr>
              <w:t>6</w:t>
            </w:r>
            <w:r>
              <w:rPr>
                <w:rFonts w:hint="eastAsia" w:ascii="Times New Roman" w:hAnsi="Times New Roman" w:cs="Times New Roman"/>
                <w:color w:val="auto"/>
                <w:sz w:val="24"/>
                <w:szCs w:val="24"/>
              </w:rPr>
              <w:t>、编制应急预案及管理措施建设，建立环境风险应急联防机制，加强库房的安全管理，制定严格的岗位责任制度，安全操作注意事项等制度，购买应急物资。</w:t>
            </w:r>
          </w:p>
        </w:tc>
      </w:tr>
      <w:tr w14:paraId="00543D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7" w:type="dxa"/>
            <w:noWrap w:val="0"/>
            <w:vAlign w:val="center"/>
          </w:tcPr>
          <w:p w14:paraId="6018C31C">
            <w:pPr>
              <w:keepNext w:val="0"/>
              <w:keepLines w:val="0"/>
              <w:suppressLineNumbers w:val="0"/>
              <w:adjustRightInd w:val="0"/>
              <w:snapToGrid w:val="0"/>
              <w:spacing w:before="0" w:beforeAutospacing="0" w:after="0" w:afterAutospacing="0" w:line="312" w:lineRule="auto"/>
              <w:ind w:left="0" w:right="0"/>
              <w:jc w:val="center"/>
              <w:rPr>
                <w:rFonts w:hint="default" w:ascii="Times New Roman" w:hAnsi="Times New Roman" w:cs="宋体"/>
                <w:color w:val="auto"/>
                <w:sz w:val="24"/>
                <w:szCs w:val="24"/>
              </w:rPr>
            </w:pPr>
            <w:r>
              <w:rPr>
                <w:rFonts w:hint="eastAsia" w:ascii="Times New Roman" w:hAnsi="Times New Roman" w:cs="宋体"/>
                <w:color w:val="auto"/>
                <w:sz w:val="24"/>
                <w:szCs w:val="24"/>
              </w:rPr>
              <w:t>其他环境</w:t>
            </w:r>
          </w:p>
          <w:p w14:paraId="07D0F793">
            <w:pPr>
              <w:keepNext w:val="0"/>
              <w:keepLines w:val="0"/>
              <w:suppressLineNumbers w:val="0"/>
              <w:adjustRightInd w:val="0"/>
              <w:snapToGrid w:val="0"/>
              <w:spacing w:before="0" w:beforeAutospacing="0" w:after="0" w:afterAutospacing="0" w:line="312" w:lineRule="auto"/>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rPr>
              <w:t>管理要求</w:t>
            </w:r>
          </w:p>
        </w:tc>
        <w:tc>
          <w:tcPr>
            <w:tcW w:w="7473" w:type="dxa"/>
            <w:gridSpan w:val="4"/>
            <w:noWrap w:val="0"/>
            <w:vAlign w:val="center"/>
          </w:tcPr>
          <w:p w14:paraId="6930B3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1、项目在建设过程中应确保足够的环保资金，以实施污染物治理措施，做好建设项目的“三同时”工作。</w:t>
            </w:r>
          </w:p>
          <w:p w14:paraId="281254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2、认真贯彻执行国家和地方的各项环保法规和方针政策，建立一套完善的“环境管理手册”，落实环境管理规章制度，强化管理，确定专门的环境管理人员，落实专人负责环保处理设施的运行和维护，接受当地环保部门的监督和管理。在当地环保部门的指导下，定期对污染物进行监测，并建立污染物管理档案。</w:t>
            </w:r>
          </w:p>
          <w:p w14:paraId="413C49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480" w:firstLineChars="200"/>
              <w:textAlignment w:val="auto"/>
              <w:rPr>
                <w:rFonts w:hint="eastAsia" w:ascii="Times New Roman" w:hAnsi="Times New Roman" w:cs="宋体"/>
                <w:color w:val="auto"/>
                <w:sz w:val="24"/>
                <w:szCs w:val="24"/>
              </w:rPr>
            </w:pPr>
            <w:r>
              <w:rPr>
                <w:rFonts w:hint="eastAsia" w:ascii="Times New Roman" w:hAnsi="Times New Roman" w:cs="Times New Roman"/>
                <w:color w:val="auto"/>
                <w:sz w:val="24"/>
                <w:szCs w:val="24"/>
              </w:rPr>
              <w:t>3、公司在生产过程中，应严格按照国家有关危险废物管理和处置的规定，加强对固废的分类收集和管理工作；在储存和运输过程中，严防中途泄漏，并定期对危险废物处置情况的回访，确保不对周围环境造成二次污染。</w:t>
            </w:r>
          </w:p>
        </w:tc>
      </w:tr>
    </w:tbl>
    <w:p w14:paraId="42A840CC">
      <w:pPr>
        <w:pStyle w:val="25"/>
        <w:spacing w:line="240" w:lineRule="auto"/>
        <w:jc w:val="center"/>
        <w:outlineLvl w:val="0"/>
        <w:rPr>
          <w:rFonts w:ascii="Times New Roman" w:hAnsi="Times New Roman"/>
          <w:snapToGrid w:val="0"/>
          <w:color w:val="auto"/>
          <w:sz w:val="30"/>
          <w:szCs w:val="30"/>
        </w:rPr>
      </w:pPr>
      <w:r>
        <w:rPr>
          <w:rFonts w:ascii="Times New Roman" w:hAnsi="Times New Roman"/>
          <w:snapToGrid w:val="0"/>
          <w:color w:val="auto"/>
        </w:rPr>
        <w:br w:type="page"/>
      </w:r>
      <w:r>
        <w:rPr>
          <w:rFonts w:hint="eastAsia" w:ascii="Times New Roman" w:hAnsi="Times New Roman" w:eastAsia="黑体" w:cs="Times New Roman"/>
          <w:snapToGrid w:val="0"/>
          <w:color w:val="auto"/>
          <w:sz w:val="30"/>
          <w:szCs w:val="30"/>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C39F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00531B8D">
            <w:pPr>
              <w:pStyle w:val="16"/>
              <w:keepNext w:val="0"/>
              <w:keepLines w:val="0"/>
              <w:suppressLineNumbers w:val="0"/>
              <w:spacing w:before="0" w:beforeAutospacing="0" w:after="0" w:afterAutospacing="0" w:line="360" w:lineRule="auto"/>
              <w:ind w:left="0" w:right="0" w:firstLine="480" w:firstLineChars="200"/>
              <w:rPr>
                <w:rFonts w:hint="eastAsia" w:ascii="Times New Roman" w:hAnsi="Times New Roman" w:cs="宋体"/>
                <w:color w:val="auto"/>
                <w:lang w:bidi="ar"/>
              </w:rPr>
            </w:pPr>
            <w:r>
              <w:rPr>
                <w:rFonts w:hint="eastAsia" w:cs="Times New Roman"/>
                <w:color w:val="auto"/>
                <w:lang w:val="en-US" w:eastAsia="zh-CN"/>
              </w:rPr>
              <w:t>本</w:t>
            </w:r>
            <w:r>
              <w:rPr>
                <w:rFonts w:hint="eastAsia" w:ascii="Times New Roman" w:hAnsi="Times New Roman" w:cs="Times New Roman"/>
                <w:color w:val="auto"/>
              </w:rPr>
              <w:t>项目</w:t>
            </w:r>
            <w:r>
              <w:rPr>
                <w:rFonts w:hint="eastAsia" w:ascii="Times New Roman" w:hAnsi="Times New Roman" w:cs="宋体"/>
                <w:color w:val="auto"/>
                <w:lang w:bidi="ar"/>
              </w:rPr>
              <w:t>的建设符合国家现行产业政策，选址</w:t>
            </w:r>
            <w:r>
              <w:rPr>
                <w:rFonts w:hint="eastAsia" w:ascii="Times New Roman" w:hAnsi="Times New Roman" w:cs="宋体"/>
                <w:color w:val="auto"/>
                <w:lang w:val="en-US" w:eastAsia="zh-CN" w:bidi="ar"/>
              </w:rPr>
              <w:t>合理，</w:t>
            </w:r>
            <w:r>
              <w:rPr>
                <w:rFonts w:hint="eastAsia" w:ascii="Times New Roman" w:hAnsi="Times New Roman" w:cs="宋体"/>
                <w:color w:val="auto"/>
                <w:lang w:bidi="ar"/>
              </w:rPr>
              <w:t>符合</w:t>
            </w:r>
            <w:r>
              <w:rPr>
                <w:rFonts w:hint="eastAsia" w:ascii="Times New Roman" w:hAnsi="Times New Roman" w:cs="Times New Roman"/>
                <w:color w:val="auto"/>
                <w:sz w:val="24"/>
                <w:szCs w:val="24"/>
                <w:u w:val="none"/>
                <w:lang w:val="en-US" w:eastAsia="zh-CN"/>
              </w:rPr>
              <w:t>遂宁市</w:t>
            </w:r>
            <w:r>
              <w:rPr>
                <w:rFonts w:hint="eastAsia" w:ascii="Times New Roman" w:hAnsi="Times New Roman" w:cs="Times New Roman"/>
                <w:color w:val="auto"/>
                <w:sz w:val="24"/>
                <w:szCs w:val="24"/>
                <w:u w:val="none"/>
                <w:lang w:eastAsia="zh-CN"/>
              </w:rPr>
              <w:t>蓬溪县赤城镇上游工业园区</w:t>
            </w:r>
            <w:r>
              <w:rPr>
                <w:rFonts w:hint="eastAsia" w:ascii="Times New Roman" w:hAnsi="Times New Roman" w:cs="宋体"/>
                <w:color w:val="auto"/>
                <w:lang w:bidi="ar"/>
              </w:rPr>
              <w:t>规划要求，</w:t>
            </w:r>
            <w:r>
              <w:rPr>
                <w:rFonts w:hint="eastAsia" w:ascii="Times New Roman" w:hAnsi="Times New Roman" w:cs="Times New Roman"/>
                <w:color w:val="auto"/>
                <w:sz w:val="24"/>
                <w:szCs w:val="24"/>
              </w:rPr>
              <w:t>项目周边</w:t>
            </w:r>
            <w:r>
              <w:rPr>
                <w:rFonts w:hint="default" w:ascii="Times New Roman" w:hAnsi="Times New Roman" w:cs="Times New Roman"/>
                <w:color w:val="auto"/>
                <w:sz w:val="24"/>
                <w:szCs w:val="24"/>
              </w:rPr>
              <w:t>无明显环境制约因素，总图布置基本合理</w:t>
            </w:r>
            <w:r>
              <w:rPr>
                <w:rFonts w:hint="eastAsia" w:ascii="Times New Roman" w:hAnsi="Times New Roman" w:cs="Times New Roman"/>
                <w:color w:val="auto"/>
                <w:sz w:val="24"/>
                <w:szCs w:val="24"/>
                <w:lang w:eastAsia="zh-CN"/>
              </w:rPr>
              <w:t>。</w:t>
            </w:r>
            <w:r>
              <w:rPr>
                <w:rFonts w:hint="eastAsia" w:ascii="Times New Roman" w:hAnsi="Times New Roman" w:cs="宋体"/>
                <w:color w:val="auto"/>
                <w:lang w:bidi="ar"/>
              </w:rPr>
              <w:t>废气、</w:t>
            </w:r>
            <w:r>
              <w:rPr>
                <w:rFonts w:hint="eastAsia" w:ascii="Times New Roman" w:hAnsi="Times New Roman" w:cs="宋体"/>
                <w:color w:val="auto"/>
                <w:lang w:val="en-US" w:eastAsia="zh-CN" w:bidi="ar"/>
              </w:rPr>
              <w:t>废水</w:t>
            </w:r>
            <w:r>
              <w:rPr>
                <w:rFonts w:hint="eastAsia" w:ascii="Times New Roman" w:hAnsi="Times New Roman" w:cs="宋体"/>
                <w:color w:val="auto"/>
                <w:lang w:bidi="ar"/>
              </w:rPr>
              <w:t>、噪声</w:t>
            </w:r>
            <w:r>
              <w:rPr>
                <w:rFonts w:hint="eastAsia" w:ascii="Times New Roman" w:hAnsi="Times New Roman" w:cs="宋体"/>
                <w:color w:val="auto"/>
                <w:lang w:val="en-US" w:eastAsia="zh-CN" w:bidi="ar"/>
              </w:rPr>
              <w:t>在采取相应</w:t>
            </w:r>
            <w:r>
              <w:rPr>
                <w:rFonts w:hint="eastAsia" w:ascii="Times New Roman" w:hAnsi="Times New Roman" w:cs="宋体"/>
                <w:color w:val="auto"/>
                <w:lang w:bidi="ar"/>
              </w:rPr>
              <w:t>污染防治措施</w:t>
            </w:r>
            <w:r>
              <w:rPr>
                <w:rFonts w:hint="eastAsia" w:ascii="Times New Roman" w:hAnsi="Times New Roman" w:cs="宋体"/>
                <w:color w:val="auto"/>
                <w:lang w:val="en-US" w:eastAsia="zh-CN" w:bidi="ar"/>
              </w:rPr>
              <w:t>后可以做到达标排放，固废实现无害化处理</w:t>
            </w:r>
            <w:r>
              <w:rPr>
                <w:rFonts w:hint="eastAsia" w:ascii="Times New Roman" w:hAnsi="Times New Roman" w:cs="宋体"/>
                <w:color w:val="auto"/>
                <w:lang w:bidi="ar"/>
              </w:rPr>
              <w:t>。只要认真落实本报告中提出的各项污染防治对策措施，严格执行“三同时”制度，保证环境保护措施的有效运行，确保污染物稳定达标排放，并严格按照环评要求进行环境风险防范，从环保角度而言，本项目的建设是可行的。</w:t>
            </w:r>
          </w:p>
          <w:p w14:paraId="0F4CD509">
            <w:pPr>
              <w:pStyle w:val="16"/>
              <w:keepNext w:val="0"/>
              <w:keepLines w:val="0"/>
              <w:suppressLineNumbers w:val="0"/>
              <w:spacing w:before="0" w:beforeAutospacing="0" w:after="0" w:afterAutospacing="0" w:line="360" w:lineRule="auto"/>
              <w:ind w:left="0" w:right="0" w:firstLine="480" w:firstLineChars="200"/>
              <w:rPr>
                <w:rFonts w:hint="eastAsia" w:ascii="Times New Roman" w:hAnsi="Times New Roman" w:cs="宋体"/>
                <w:color w:val="auto"/>
                <w:lang w:bidi="ar"/>
              </w:rPr>
            </w:pPr>
          </w:p>
          <w:p w14:paraId="730B359E">
            <w:pPr>
              <w:pStyle w:val="16"/>
              <w:keepNext w:val="0"/>
              <w:keepLines w:val="0"/>
              <w:suppressLineNumbers w:val="0"/>
              <w:spacing w:before="0" w:beforeAutospacing="0" w:after="0" w:afterAutospacing="0" w:line="360" w:lineRule="auto"/>
              <w:ind w:left="0" w:right="0" w:firstLine="480" w:firstLineChars="200"/>
              <w:rPr>
                <w:rFonts w:hint="eastAsia" w:ascii="Times New Roman" w:hAnsi="Times New Roman" w:cs="宋体"/>
                <w:color w:val="auto"/>
                <w:lang w:bidi="ar"/>
              </w:rPr>
            </w:pPr>
          </w:p>
          <w:p w14:paraId="46360F04">
            <w:pPr>
              <w:pStyle w:val="16"/>
              <w:keepNext w:val="0"/>
              <w:keepLines w:val="0"/>
              <w:suppressLineNumbers w:val="0"/>
              <w:spacing w:before="0" w:beforeAutospacing="0" w:after="0" w:afterAutospacing="0" w:line="360" w:lineRule="auto"/>
              <w:ind w:left="0" w:right="0" w:firstLine="480" w:firstLineChars="200"/>
              <w:rPr>
                <w:rFonts w:hint="eastAsia" w:ascii="Times New Roman" w:hAnsi="Times New Roman" w:cs="宋体"/>
                <w:color w:val="auto"/>
                <w:lang w:bidi="ar"/>
              </w:rPr>
            </w:pPr>
          </w:p>
          <w:p w14:paraId="0DB7EE96">
            <w:pPr>
              <w:pStyle w:val="16"/>
              <w:keepNext w:val="0"/>
              <w:keepLines w:val="0"/>
              <w:suppressLineNumbers w:val="0"/>
              <w:spacing w:before="0" w:beforeAutospacing="0" w:after="0" w:afterAutospacing="0" w:line="360" w:lineRule="auto"/>
              <w:ind w:left="0" w:right="0" w:firstLine="480" w:firstLineChars="200"/>
              <w:rPr>
                <w:rFonts w:hint="eastAsia" w:ascii="Times New Roman" w:hAnsi="Times New Roman" w:cs="宋体"/>
                <w:color w:val="auto"/>
                <w:lang w:bidi="ar"/>
              </w:rPr>
            </w:pPr>
          </w:p>
          <w:p w14:paraId="28D85747">
            <w:pPr>
              <w:pStyle w:val="16"/>
              <w:keepNext w:val="0"/>
              <w:keepLines w:val="0"/>
              <w:suppressLineNumbers w:val="0"/>
              <w:spacing w:before="0" w:beforeAutospacing="0" w:after="0" w:afterAutospacing="0" w:line="360" w:lineRule="auto"/>
              <w:ind w:left="0" w:right="0" w:firstLine="480" w:firstLineChars="200"/>
              <w:rPr>
                <w:rFonts w:hint="eastAsia" w:ascii="Times New Roman" w:hAnsi="Times New Roman" w:cs="宋体"/>
                <w:color w:val="auto"/>
                <w:lang w:bidi="ar"/>
              </w:rPr>
            </w:pPr>
          </w:p>
          <w:p w14:paraId="5D219DCE">
            <w:pPr>
              <w:pStyle w:val="16"/>
              <w:keepNext w:val="0"/>
              <w:keepLines w:val="0"/>
              <w:suppressLineNumbers w:val="0"/>
              <w:spacing w:before="0" w:beforeAutospacing="0" w:after="0" w:afterAutospacing="0" w:line="360" w:lineRule="auto"/>
              <w:ind w:left="0" w:right="0" w:firstLine="480" w:firstLineChars="200"/>
              <w:rPr>
                <w:rFonts w:hint="eastAsia" w:ascii="Times New Roman" w:hAnsi="Times New Roman" w:cs="宋体"/>
                <w:color w:val="auto"/>
                <w:lang w:bidi="ar"/>
              </w:rPr>
            </w:pPr>
          </w:p>
          <w:p w14:paraId="05BF5D53">
            <w:pPr>
              <w:pStyle w:val="16"/>
              <w:keepNext w:val="0"/>
              <w:keepLines w:val="0"/>
              <w:suppressLineNumbers w:val="0"/>
              <w:spacing w:before="0" w:beforeAutospacing="0" w:after="0" w:afterAutospacing="0" w:line="360" w:lineRule="auto"/>
              <w:ind w:left="0" w:right="0" w:firstLine="480" w:firstLineChars="200"/>
              <w:rPr>
                <w:rFonts w:hint="eastAsia" w:ascii="Times New Roman" w:hAnsi="Times New Roman" w:cs="宋体"/>
                <w:color w:val="auto"/>
                <w:lang w:bidi="ar"/>
              </w:rPr>
            </w:pPr>
          </w:p>
          <w:p w14:paraId="3178816A">
            <w:pPr>
              <w:pStyle w:val="16"/>
              <w:keepNext w:val="0"/>
              <w:keepLines w:val="0"/>
              <w:suppressLineNumbers w:val="0"/>
              <w:spacing w:before="0" w:beforeAutospacing="0" w:after="0" w:afterAutospacing="0" w:line="360" w:lineRule="auto"/>
              <w:ind w:left="0" w:right="0" w:firstLine="480" w:firstLineChars="200"/>
              <w:rPr>
                <w:rFonts w:hint="eastAsia" w:ascii="Times New Roman" w:hAnsi="Times New Roman" w:cs="宋体"/>
                <w:color w:val="auto"/>
                <w:lang w:bidi="ar"/>
              </w:rPr>
            </w:pPr>
          </w:p>
          <w:p w14:paraId="703A5A61">
            <w:pPr>
              <w:pStyle w:val="16"/>
              <w:keepNext w:val="0"/>
              <w:keepLines w:val="0"/>
              <w:suppressLineNumbers w:val="0"/>
              <w:spacing w:before="0" w:beforeAutospacing="0" w:after="0" w:afterAutospacing="0" w:line="360" w:lineRule="auto"/>
              <w:ind w:left="0" w:right="0" w:firstLine="480" w:firstLineChars="200"/>
              <w:rPr>
                <w:rFonts w:hint="eastAsia" w:ascii="Times New Roman" w:hAnsi="Times New Roman" w:cs="宋体"/>
                <w:color w:val="auto"/>
                <w:lang w:bidi="ar"/>
              </w:rPr>
            </w:pPr>
          </w:p>
          <w:p w14:paraId="53874F75">
            <w:pPr>
              <w:pStyle w:val="16"/>
              <w:keepNext w:val="0"/>
              <w:keepLines w:val="0"/>
              <w:suppressLineNumbers w:val="0"/>
              <w:spacing w:before="0" w:beforeAutospacing="0" w:after="0" w:afterAutospacing="0" w:line="360" w:lineRule="auto"/>
              <w:ind w:left="0" w:right="0" w:firstLine="480" w:firstLineChars="200"/>
              <w:rPr>
                <w:rFonts w:hint="eastAsia" w:ascii="Times New Roman" w:hAnsi="Times New Roman" w:cs="宋体"/>
                <w:color w:val="auto"/>
                <w:lang w:bidi="ar"/>
              </w:rPr>
            </w:pPr>
          </w:p>
          <w:p w14:paraId="208123CD">
            <w:pPr>
              <w:pStyle w:val="16"/>
              <w:keepNext w:val="0"/>
              <w:keepLines w:val="0"/>
              <w:suppressLineNumbers w:val="0"/>
              <w:spacing w:before="0" w:beforeAutospacing="0" w:after="0" w:afterAutospacing="0" w:line="360" w:lineRule="auto"/>
              <w:ind w:left="0" w:right="0" w:firstLine="480" w:firstLineChars="200"/>
              <w:rPr>
                <w:rFonts w:hint="eastAsia" w:ascii="Times New Roman" w:hAnsi="Times New Roman" w:cs="宋体"/>
                <w:color w:val="auto"/>
                <w:lang w:bidi="ar"/>
              </w:rPr>
            </w:pPr>
          </w:p>
          <w:p w14:paraId="105D649C">
            <w:pPr>
              <w:pStyle w:val="16"/>
              <w:keepNext w:val="0"/>
              <w:keepLines w:val="0"/>
              <w:suppressLineNumbers w:val="0"/>
              <w:spacing w:before="0" w:beforeAutospacing="0" w:after="0" w:afterAutospacing="0" w:line="360" w:lineRule="auto"/>
              <w:ind w:left="0" w:right="0" w:firstLine="480" w:firstLineChars="200"/>
              <w:rPr>
                <w:rFonts w:hint="eastAsia" w:ascii="Times New Roman" w:hAnsi="Times New Roman" w:cs="宋体"/>
                <w:color w:val="auto"/>
                <w:lang w:bidi="ar"/>
              </w:rPr>
            </w:pPr>
          </w:p>
          <w:p w14:paraId="32667A0E">
            <w:pPr>
              <w:pStyle w:val="16"/>
              <w:keepNext w:val="0"/>
              <w:keepLines w:val="0"/>
              <w:suppressLineNumbers w:val="0"/>
              <w:spacing w:before="0" w:beforeAutospacing="0" w:after="0" w:afterAutospacing="0" w:line="360" w:lineRule="auto"/>
              <w:ind w:left="0" w:right="0"/>
              <w:rPr>
                <w:rFonts w:hint="default" w:ascii="Times New Roman" w:hAnsi="Times New Roman" w:cs="Times New Roman"/>
                <w:color w:val="auto"/>
              </w:rPr>
            </w:pPr>
          </w:p>
        </w:tc>
      </w:tr>
    </w:tbl>
    <w:p w14:paraId="73DAA43D">
      <w:pPr>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E511EF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eastAsia" w:ascii="黑体" w:hAnsi="黑体" w:eastAsia="黑体" w:cs="Times New Roman"/>
          <w:snapToGrid w:val="0"/>
          <w:color w:val="auto"/>
          <w:sz w:val="32"/>
          <w:szCs w:val="32"/>
        </w:rPr>
      </w:pPr>
      <w:r>
        <w:rPr>
          <w:rFonts w:hint="eastAsia" w:ascii="黑体" w:hAnsi="黑体" w:eastAsia="黑体" w:cs="Times New Roman"/>
          <w:snapToGrid w:val="0"/>
          <w:color w:val="auto"/>
          <w:sz w:val="32"/>
          <w:szCs w:val="32"/>
        </w:rPr>
        <w:t>附表</w:t>
      </w:r>
    </w:p>
    <w:p w14:paraId="32629C2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cs="Times New Roman"/>
          <w:snapToGrid w:val="0"/>
          <w:color w:val="auto"/>
          <w:sz w:val="38"/>
          <w:szCs w:val="38"/>
        </w:rPr>
      </w:pPr>
      <w:r>
        <w:rPr>
          <w:rFonts w:hint="eastAsia" w:ascii="方正小标宋_GBK" w:hAnsi="黑体" w:eastAsia="方正小标宋_GBK" w:cs="Times New Roman"/>
          <w:snapToGrid w:val="0"/>
          <w:color w:val="auto"/>
          <w:sz w:val="38"/>
          <w:szCs w:val="38"/>
        </w:rPr>
        <w:t>建设项目污染物排放量汇总表</w:t>
      </w:r>
    </w:p>
    <w:tbl>
      <w:tblPr>
        <w:tblStyle w:val="28"/>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1674"/>
        <w:gridCol w:w="1567"/>
        <w:gridCol w:w="1312"/>
        <w:gridCol w:w="1669"/>
        <w:gridCol w:w="1542"/>
        <w:gridCol w:w="1500"/>
        <w:gridCol w:w="1725"/>
        <w:gridCol w:w="1516"/>
      </w:tblGrid>
      <w:tr w14:paraId="08059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3" w:type="dxa"/>
            <w:tcBorders>
              <w:tl2br w:val="nil"/>
              <w:tr2bl w:val="nil"/>
            </w:tcBorders>
            <w:noWrap w:val="0"/>
            <w:tcMar>
              <w:left w:w="28" w:type="dxa"/>
              <w:right w:w="28" w:type="dxa"/>
            </w:tcMar>
            <w:vAlign w:val="center"/>
          </w:tcPr>
          <w:p w14:paraId="74FB4205">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6"/>
                <w:kern w:val="21"/>
                <w:sz w:val="21"/>
                <w:szCs w:val="21"/>
              </w:rPr>
            </w:pPr>
            <w:r>
              <w:rPr>
                <w:rFonts w:hint="eastAsia" w:ascii="黑体" w:hAnsi="黑体" w:eastAsia="黑体" w:cs="黑体"/>
                <w:snapToGrid w:val="0"/>
                <w:color w:val="auto"/>
                <w:spacing w:val="-6"/>
                <w:kern w:val="21"/>
                <w:sz w:val="21"/>
                <w:szCs w:val="21"/>
              </w:rPr>
              <w:t>项目</w:t>
            </w:r>
          </w:p>
          <w:p w14:paraId="086FF8C9">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6"/>
                <w:kern w:val="21"/>
                <w:sz w:val="21"/>
                <w:szCs w:val="21"/>
              </w:rPr>
            </w:pPr>
            <w:r>
              <w:rPr>
                <w:rFonts w:hint="eastAsia" w:ascii="黑体" w:hAnsi="黑体" w:eastAsia="黑体" w:cs="黑体"/>
                <w:snapToGrid w:val="0"/>
                <w:color w:val="auto"/>
                <w:spacing w:val="-6"/>
                <w:kern w:val="21"/>
                <w:sz w:val="21"/>
                <w:szCs w:val="21"/>
              </w:rPr>
              <w:t>分类</w:t>
            </w:r>
          </w:p>
        </w:tc>
        <w:tc>
          <w:tcPr>
            <w:tcW w:w="1674" w:type="dxa"/>
            <w:tcBorders>
              <w:tl2br w:val="nil"/>
              <w:tr2bl w:val="nil"/>
            </w:tcBorders>
            <w:noWrap w:val="0"/>
            <w:tcMar>
              <w:left w:w="28" w:type="dxa"/>
              <w:right w:w="28" w:type="dxa"/>
            </w:tcMar>
            <w:vAlign w:val="center"/>
          </w:tcPr>
          <w:p w14:paraId="644E87CD">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6"/>
                <w:kern w:val="21"/>
                <w:sz w:val="21"/>
                <w:szCs w:val="21"/>
              </w:rPr>
            </w:pPr>
            <w:r>
              <w:rPr>
                <w:rFonts w:hint="eastAsia" w:ascii="黑体" w:hAnsi="黑体" w:eastAsia="黑体" w:cs="黑体"/>
                <w:snapToGrid w:val="0"/>
                <w:color w:val="auto"/>
                <w:spacing w:val="-6"/>
                <w:kern w:val="21"/>
                <w:sz w:val="21"/>
                <w:szCs w:val="21"/>
              </w:rPr>
              <w:t>污染物</w:t>
            </w:r>
          </w:p>
          <w:p w14:paraId="049DDA14">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6"/>
                <w:kern w:val="21"/>
                <w:sz w:val="21"/>
                <w:szCs w:val="21"/>
              </w:rPr>
            </w:pPr>
            <w:r>
              <w:rPr>
                <w:rFonts w:hint="eastAsia" w:ascii="黑体" w:hAnsi="黑体" w:eastAsia="黑体" w:cs="黑体"/>
                <w:snapToGrid w:val="0"/>
                <w:color w:val="auto"/>
                <w:spacing w:val="-6"/>
                <w:kern w:val="21"/>
                <w:sz w:val="21"/>
                <w:szCs w:val="21"/>
              </w:rPr>
              <w:t>名称</w:t>
            </w:r>
          </w:p>
        </w:tc>
        <w:tc>
          <w:tcPr>
            <w:tcW w:w="1567" w:type="dxa"/>
            <w:tcBorders>
              <w:tl2br w:val="nil"/>
              <w:tr2bl w:val="nil"/>
            </w:tcBorders>
            <w:noWrap w:val="0"/>
            <w:tcMar>
              <w:left w:w="28" w:type="dxa"/>
              <w:right w:w="28" w:type="dxa"/>
            </w:tcMar>
            <w:vAlign w:val="center"/>
          </w:tcPr>
          <w:p w14:paraId="100DF491">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6"/>
                <w:kern w:val="21"/>
                <w:sz w:val="21"/>
                <w:szCs w:val="21"/>
              </w:rPr>
            </w:pPr>
            <w:r>
              <w:rPr>
                <w:rFonts w:hint="eastAsia" w:ascii="黑体" w:hAnsi="黑体" w:eastAsia="黑体" w:cs="黑体"/>
                <w:snapToGrid w:val="0"/>
                <w:color w:val="auto"/>
                <w:spacing w:val="-6"/>
                <w:kern w:val="21"/>
                <w:sz w:val="21"/>
                <w:szCs w:val="21"/>
              </w:rPr>
              <w:t>现有工程</w:t>
            </w:r>
          </w:p>
          <w:p w14:paraId="268C5EA5">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6"/>
                <w:kern w:val="21"/>
                <w:sz w:val="21"/>
                <w:szCs w:val="21"/>
              </w:rPr>
            </w:pPr>
            <w:r>
              <w:rPr>
                <w:rFonts w:hint="eastAsia" w:ascii="黑体" w:hAnsi="黑体" w:eastAsia="黑体" w:cs="黑体"/>
                <w:snapToGrid w:val="0"/>
                <w:color w:val="auto"/>
                <w:spacing w:val="-6"/>
                <w:kern w:val="21"/>
                <w:sz w:val="21"/>
                <w:szCs w:val="21"/>
              </w:rPr>
              <w:t>排放量（固体废物产生量）①</w:t>
            </w:r>
          </w:p>
        </w:tc>
        <w:tc>
          <w:tcPr>
            <w:tcW w:w="1312" w:type="dxa"/>
            <w:tcBorders>
              <w:tl2br w:val="nil"/>
              <w:tr2bl w:val="nil"/>
            </w:tcBorders>
            <w:noWrap w:val="0"/>
            <w:tcMar>
              <w:left w:w="28" w:type="dxa"/>
              <w:right w:w="28" w:type="dxa"/>
            </w:tcMar>
            <w:vAlign w:val="center"/>
          </w:tcPr>
          <w:p w14:paraId="2D7B2B7F">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6"/>
                <w:kern w:val="21"/>
                <w:sz w:val="21"/>
                <w:szCs w:val="21"/>
              </w:rPr>
            </w:pPr>
            <w:r>
              <w:rPr>
                <w:rFonts w:hint="eastAsia" w:ascii="黑体" w:hAnsi="黑体" w:eastAsia="黑体" w:cs="黑体"/>
                <w:snapToGrid w:val="0"/>
                <w:color w:val="auto"/>
                <w:spacing w:val="-6"/>
                <w:kern w:val="21"/>
                <w:sz w:val="21"/>
                <w:szCs w:val="21"/>
              </w:rPr>
              <w:t>现有工程</w:t>
            </w:r>
          </w:p>
          <w:p w14:paraId="3BA55CB6">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6"/>
                <w:kern w:val="21"/>
                <w:sz w:val="21"/>
                <w:szCs w:val="21"/>
              </w:rPr>
            </w:pPr>
            <w:r>
              <w:rPr>
                <w:rFonts w:hint="eastAsia" w:ascii="黑体" w:hAnsi="黑体" w:eastAsia="黑体" w:cs="黑体"/>
                <w:snapToGrid w:val="0"/>
                <w:color w:val="auto"/>
                <w:spacing w:val="-6"/>
                <w:kern w:val="21"/>
                <w:sz w:val="21"/>
                <w:szCs w:val="21"/>
              </w:rPr>
              <w:t>许可排放量</w:t>
            </w:r>
          </w:p>
          <w:p w14:paraId="7A530265">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6"/>
                <w:kern w:val="21"/>
                <w:sz w:val="21"/>
                <w:szCs w:val="21"/>
              </w:rPr>
            </w:pPr>
            <w:r>
              <w:rPr>
                <w:rFonts w:hint="eastAsia" w:ascii="黑体" w:hAnsi="黑体" w:eastAsia="黑体" w:cs="黑体"/>
                <w:snapToGrid w:val="0"/>
                <w:color w:val="auto"/>
                <w:spacing w:val="-6"/>
                <w:kern w:val="21"/>
                <w:sz w:val="21"/>
                <w:szCs w:val="21"/>
              </w:rPr>
              <w:t>②</w:t>
            </w:r>
          </w:p>
        </w:tc>
        <w:tc>
          <w:tcPr>
            <w:tcW w:w="1669" w:type="dxa"/>
            <w:tcBorders>
              <w:tl2br w:val="nil"/>
              <w:tr2bl w:val="nil"/>
            </w:tcBorders>
            <w:noWrap w:val="0"/>
            <w:tcMar>
              <w:left w:w="28" w:type="dxa"/>
              <w:right w:w="28" w:type="dxa"/>
            </w:tcMar>
            <w:vAlign w:val="center"/>
          </w:tcPr>
          <w:p w14:paraId="3B3ABB4F">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6"/>
                <w:kern w:val="21"/>
                <w:sz w:val="21"/>
                <w:szCs w:val="21"/>
              </w:rPr>
            </w:pPr>
            <w:r>
              <w:rPr>
                <w:rFonts w:hint="eastAsia" w:ascii="黑体" w:hAnsi="黑体" w:eastAsia="黑体" w:cs="黑体"/>
                <w:snapToGrid w:val="0"/>
                <w:color w:val="auto"/>
                <w:spacing w:val="-6"/>
                <w:kern w:val="21"/>
                <w:sz w:val="21"/>
                <w:szCs w:val="21"/>
              </w:rPr>
              <w:t>在建工程</w:t>
            </w:r>
          </w:p>
          <w:p w14:paraId="0B786062">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6"/>
                <w:kern w:val="21"/>
                <w:sz w:val="21"/>
                <w:szCs w:val="21"/>
              </w:rPr>
            </w:pPr>
            <w:r>
              <w:rPr>
                <w:rFonts w:hint="eastAsia" w:ascii="黑体" w:hAnsi="黑体" w:eastAsia="黑体" w:cs="黑体"/>
                <w:snapToGrid w:val="0"/>
                <w:color w:val="auto"/>
                <w:spacing w:val="-6"/>
                <w:kern w:val="21"/>
                <w:sz w:val="21"/>
                <w:szCs w:val="21"/>
              </w:rPr>
              <w:t>排放量（固体废物产生量）③</w:t>
            </w:r>
          </w:p>
        </w:tc>
        <w:tc>
          <w:tcPr>
            <w:tcW w:w="1542" w:type="dxa"/>
            <w:tcBorders>
              <w:tl2br w:val="nil"/>
              <w:tr2bl w:val="nil"/>
            </w:tcBorders>
            <w:noWrap w:val="0"/>
            <w:tcMar>
              <w:left w:w="28" w:type="dxa"/>
              <w:right w:w="28" w:type="dxa"/>
            </w:tcMar>
            <w:vAlign w:val="center"/>
          </w:tcPr>
          <w:p w14:paraId="063401CD">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6"/>
                <w:kern w:val="21"/>
                <w:sz w:val="21"/>
                <w:szCs w:val="21"/>
              </w:rPr>
            </w:pPr>
            <w:r>
              <w:rPr>
                <w:rFonts w:hint="eastAsia" w:ascii="黑体" w:hAnsi="黑体" w:eastAsia="黑体" w:cs="黑体"/>
                <w:snapToGrid w:val="0"/>
                <w:color w:val="auto"/>
                <w:spacing w:val="-6"/>
                <w:kern w:val="21"/>
                <w:sz w:val="21"/>
                <w:szCs w:val="21"/>
              </w:rPr>
              <w:t>本项目</w:t>
            </w:r>
          </w:p>
          <w:p w14:paraId="2F38456F">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6"/>
                <w:kern w:val="21"/>
                <w:sz w:val="21"/>
                <w:szCs w:val="21"/>
              </w:rPr>
            </w:pPr>
            <w:r>
              <w:rPr>
                <w:rFonts w:hint="eastAsia" w:ascii="黑体" w:hAnsi="黑体" w:eastAsia="黑体" w:cs="黑体"/>
                <w:snapToGrid w:val="0"/>
                <w:color w:val="auto"/>
                <w:spacing w:val="-6"/>
                <w:kern w:val="21"/>
                <w:sz w:val="21"/>
                <w:szCs w:val="21"/>
              </w:rPr>
              <w:t>排放量（固体废物产生量）④</w:t>
            </w:r>
          </w:p>
        </w:tc>
        <w:tc>
          <w:tcPr>
            <w:tcW w:w="1500" w:type="dxa"/>
            <w:tcBorders>
              <w:tl2br w:val="nil"/>
              <w:tr2bl w:val="nil"/>
            </w:tcBorders>
            <w:noWrap w:val="0"/>
            <w:tcMar>
              <w:left w:w="28" w:type="dxa"/>
              <w:right w:w="28" w:type="dxa"/>
            </w:tcMar>
            <w:vAlign w:val="center"/>
          </w:tcPr>
          <w:p w14:paraId="53C832A8">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16"/>
                <w:kern w:val="21"/>
                <w:sz w:val="21"/>
                <w:szCs w:val="21"/>
              </w:rPr>
            </w:pPr>
            <w:r>
              <w:rPr>
                <w:rFonts w:hint="eastAsia" w:ascii="黑体" w:hAnsi="黑体" w:eastAsia="黑体" w:cs="黑体"/>
                <w:snapToGrid w:val="0"/>
                <w:color w:val="auto"/>
                <w:spacing w:val="-16"/>
                <w:kern w:val="21"/>
                <w:sz w:val="21"/>
                <w:szCs w:val="21"/>
              </w:rPr>
              <w:t>以新带老削减量（新建项目不填）⑤</w:t>
            </w:r>
          </w:p>
        </w:tc>
        <w:tc>
          <w:tcPr>
            <w:tcW w:w="1725" w:type="dxa"/>
            <w:tcBorders>
              <w:tl2br w:val="nil"/>
              <w:tr2bl w:val="nil"/>
            </w:tcBorders>
            <w:noWrap w:val="0"/>
            <w:tcMar>
              <w:left w:w="28" w:type="dxa"/>
              <w:right w:w="28" w:type="dxa"/>
            </w:tcMar>
            <w:vAlign w:val="center"/>
          </w:tcPr>
          <w:p w14:paraId="36E607A9">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16"/>
                <w:kern w:val="21"/>
                <w:sz w:val="21"/>
                <w:szCs w:val="21"/>
              </w:rPr>
            </w:pPr>
            <w:r>
              <w:rPr>
                <w:rFonts w:hint="eastAsia" w:ascii="黑体" w:hAnsi="黑体" w:eastAsia="黑体" w:cs="黑体"/>
                <w:snapToGrid w:val="0"/>
                <w:color w:val="auto"/>
                <w:spacing w:val="-16"/>
                <w:kern w:val="21"/>
                <w:sz w:val="21"/>
                <w:szCs w:val="21"/>
              </w:rPr>
              <w:t>本项目建成后</w:t>
            </w:r>
          </w:p>
          <w:p w14:paraId="0618B2CD">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16"/>
                <w:kern w:val="21"/>
                <w:sz w:val="21"/>
                <w:szCs w:val="21"/>
              </w:rPr>
            </w:pPr>
            <w:r>
              <w:rPr>
                <w:rFonts w:hint="eastAsia" w:ascii="黑体" w:hAnsi="黑体" w:eastAsia="黑体" w:cs="黑体"/>
                <w:snapToGrid w:val="0"/>
                <w:color w:val="auto"/>
                <w:spacing w:val="-16"/>
                <w:kern w:val="21"/>
                <w:sz w:val="21"/>
                <w:szCs w:val="21"/>
              </w:rPr>
              <w:t>全厂排放量（固体废物产生量）⑥</w:t>
            </w:r>
          </w:p>
        </w:tc>
        <w:tc>
          <w:tcPr>
            <w:tcW w:w="1516" w:type="dxa"/>
            <w:tcBorders>
              <w:tl2br w:val="nil"/>
              <w:tr2bl w:val="nil"/>
            </w:tcBorders>
            <w:noWrap w:val="0"/>
            <w:tcMar>
              <w:left w:w="28" w:type="dxa"/>
              <w:right w:w="28" w:type="dxa"/>
            </w:tcMar>
            <w:vAlign w:val="center"/>
          </w:tcPr>
          <w:p w14:paraId="419162E8">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6"/>
                <w:kern w:val="21"/>
                <w:sz w:val="21"/>
                <w:szCs w:val="21"/>
              </w:rPr>
            </w:pPr>
            <w:r>
              <w:rPr>
                <w:rFonts w:hint="eastAsia" w:ascii="黑体" w:hAnsi="黑体" w:eastAsia="黑体" w:cs="黑体"/>
                <w:snapToGrid w:val="0"/>
                <w:color w:val="auto"/>
                <w:spacing w:val="-6"/>
                <w:kern w:val="21"/>
                <w:sz w:val="21"/>
                <w:szCs w:val="21"/>
              </w:rPr>
              <w:t>变化量</w:t>
            </w:r>
          </w:p>
          <w:p w14:paraId="41159146">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黑体" w:hAnsi="黑体" w:eastAsia="黑体" w:cs="黑体"/>
                <w:snapToGrid w:val="0"/>
                <w:color w:val="auto"/>
                <w:spacing w:val="-6"/>
                <w:kern w:val="21"/>
                <w:sz w:val="21"/>
                <w:szCs w:val="21"/>
              </w:rPr>
            </w:pPr>
            <w:r>
              <w:rPr>
                <w:rFonts w:hint="eastAsia" w:ascii="黑体" w:hAnsi="黑体" w:eastAsia="黑体" w:cs="黑体"/>
                <w:snapToGrid w:val="0"/>
                <w:color w:val="auto"/>
                <w:spacing w:val="-6"/>
                <w:kern w:val="21"/>
                <w:sz w:val="21"/>
                <w:szCs w:val="21"/>
              </w:rPr>
              <w:t>⑦</w:t>
            </w:r>
          </w:p>
        </w:tc>
      </w:tr>
      <w:tr w14:paraId="53B7EA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3" w:type="dxa"/>
            <w:vMerge w:val="restart"/>
            <w:tcBorders>
              <w:tl2br w:val="nil"/>
              <w:tr2bl w:val="nil"/>
            </w:tcBorders>
            <w:noWrap w:val="0"/>
            <w:vAlign w:val="center"/>
          </w:tcPr>
          <w:p w14:paraId="0B4C84B9">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废气</w:t>
            </w:r>
          </w:p>
        </w:tc>
        <w:tc>
          <w:tcPr>
            <w:tcW w:w="1674" w:type="dxa"/>
            <w:tcBorders>
              <w:tl2br w:val="nil"/>
              <w:tr2bl w:val="nil"/>
            </w:tcBorders>
            <w:noWrap w:val="0"/>
            <w:vAlign w:val="center"/>
          </w:tcPr>
          <w:p w14:paraId="4FBDE319">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颗粒物</w:t>
            </w:r>
          </w:p>
        </w:tc>
        <w:tc>
          <w:tcPr>
            <w:tcW w:w="1567" w:type="dxa"/>
            <w:tcBorders>
              <w:tl2br w:val="nil"/>
              <w:tr2bl w:val="nil"/>
            </w:tcBorders>
            <w:noWrap w:val="0"/>
            <w:vAlign w:val="center"/>
          </w:tcPr>
          <w:p w14:paraId="70B8517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Times New Roman"/>
                <w:snapToGrid w:val="0"/>
                <w:color w:val="auto"/>
                <w:kern w:val="21"/>
                <w:sz w:val="21"/>
                <w:szCs w:val="21"/>
              </w:rPr>
            </w:pPr>
          </w:p>
        </w:tc>
        <w:tc>
          <w:tcPr>
            <w:tcW w:w="1312" w:type="dxa"/>
            <w:tcBorders>
              <w:tl2br w:val="nil"/>
              <w:tr2bl w:val="nil"/>
            </w:tcBorders>
            <w:noWrap w:val="0"/>
            <w:vAlign w:val="center"/>
          </w:tcPr>
          <w:p w14:paraId="17A3839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Times New Roman"/>
                <w:snapToGrid w:val="0"/>
                <w:color w:val="auto"/>
                <w:kern w:val="21"/>
                <w:sz w:val="21"/>
                <w:szCs w:val="21"/>
              </w:rPr>
            </w:pPr>
          </w:p>
        </w:tc>
        <w:tc>
          <w:tcPr>
            <w:tcW w:w="1669" w:type="dxa"/>
            <w:tcBorders>
              <w:tl2br w:val="nil"/>
              <w:tr2bl w:val="nil"/>
            </w:tcBorders>
            <w:noWrap w:val="0"/>
            <w:vAlign w:val="center"/>
          </w:tcPr>
          <w:p w14:paraId="049BAE3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542" w:type="dxa"/>
            <w:tcBorders>
              <w:tl2br w:val="nil"/>
              <w:tr2bl w:val="nil"/>
            </w:tcBorders>
            <w:noWrap w:val="0"/>
            <w:vAlign w:val="center"/>
          </w:tcPr>
          <w:p w14:paraId="58A209F2">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0.96</w:t>
            </w:r>
          </w:p>
        </w:tc>
        <w:tc>
          <w:tcPr>
            <w:tcW w:w="1500" w:type="dxa"/>
            <w:tcBorders>
              <w:tl2br w:val="nil"/>
              <w:tr2bl w:val="nil"/>
            </w:tcBorders>
            <w:noWrap w:val="0"/>
            <w:vAlign w:val="center"/>
          </w:tcPr>
          <w:p w14:paraId="0D6F8A0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25" w:type="dxa"/>
            <w:tcBorders>
              <w:tl2br w:val="nil"/>
              <w:tr2bl w:val="nil"/>
            </w:tcBorders>
            <w:noWrap w:val="0"/>
            <w:vAlign w:val="center"/>
          </w:tcPr>
          <w:p w14:paraId="7C1EC200">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cs="Times New Roman"/>
                <w:snapToGrid w:val="0"/>
                <w:color w:val="auto"/>
                <w:kern w:val="21"/>
                <w:sz w:val="21"/>
                <w:szCs w:val="21"/>
                <w:lang w:val="en-US"/>
              </w:rPr>
            </w:pPr>
            <w:r>
              <w:rPr>
                <w:rFonts w:hint="eastAsia" w:ascii="Times New Roman" w:cs="Times New Roman"/>
                <w:snapToGrid w:val="0"/>
                <w:color w:val="auto"/>
                <w:kern w:val="21"/>
                <w:sz w:val="21"/>
                <w:szCs w:val="21"/>
                <w:lang w:val="en-US" w:eastAsia="zh-CN"/>
              </w:rPr>
              <w:t>0.96</w:t>
            </w:r>
          </w:p>
        </w:tc>
        <w:tc>
          <w:tcPr>
            <w:tcW w:w="1516" w:type="dxa"/>
            <w:tcBorders>
              <w:tl2br w:val="nil"/>
              <w:tr2bl w:val="nil"/>
            </w:tcBorders>
            <w:noWrap w:val="0"/>
            <w:vAlign w:val="center"/>
          </w:tcPr>
          <w:p w14:paraId="29163461">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firstLine="0" w:firstLineChars="0"/>
              <w:jc w:val="center"/>
              <w:textAlignment w:val="auto"/>
              <w:rPr>
                <w:rFonts w:hint="default" w:hAnsi="Times New Roman" w:cs="Times New Roman"/>
                <w:snapToGrid w:val="0"/>
                <w:color w:val="auto"/>
                <w:kern w:val="21"/>
                <w:sz w:val="21"/>
                <w:szCs w:val="21"/>
                <w:lang w:val="en-US"/>
              </w:rPr>
            </w:pPr>
            <w:r>
              <w:rPr>
                <w:rFonts w:hint="eastAsia" w:ascii="Times New Roman" w:cs="Times New Roman"/>
                <w:snapToGrid w:val="0"/>
                <w:color w:val="auto"/>
                <w:kern w:val="21"/>
                <w:sz w:val="21"/>
                <w:szCs w:val="21"/>
                <w:lang w:val="en-US" w:eastAsia="zh-CN"/>
              </w:rPr>
              <w:t>0.96</w:t>
            </w:r>
          </w:p>
        </w:tc>
      </w:tr>
      <w:tr w14:paraId="707FB2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3" w:type="dxa"/>
            <w:vMerge w:val="continue"/>
            <w:tcBorders>
              <w:tl2br w:val="nil"/>
              <w:tr2bl w:val="nil"/>
            </w:tcBorders>
            <w:noWrap w:val="0"/>
            <w:vAlign w:val="center"/>
          </w:tcPr>
          <w:p w14:paraId="08AEC0BF">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napToGrid w:val="0"/>
                <w:color w:val="auto"/>
                <w:kern w:val="21"/>
                <w:sz w:val="21"/>
                <w:szCs w:val="21"/>
              </w:rPr>
            </w:pPr>
          </w:p>
        </w:tc>
        <w:tc>
          <w:tcPr>
            <w:tcW w:w="1674" w:type="dxa"/>
            <w:tcBorders>
              <w:tl2br w:val="nil"/>
              <w:tr2bl w:val="nil"/>
            </w:tcBorders>
            <w:noWrap w:val="0"/>
            <w:vAlign w:val="center"/>
          </w:tcPr>
          <w:p w14:paraId="35EE6124">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SO</w:t>
            </w:r>
            <w:r>
              <w:rPr>
                <w:rFonts w:hint="eastAsia" w:ascii="Times New Roman" w:hAnsi="Times New Roman" w:cs="Times New Roman"/>
                <w:snapToGrid w:val="0"/>
                <w:color w:val="auto"/>
                <w:kern w:val="21"/>
                <w:sz w:val="21"/>
                <w:szCs w:val="21"/>
                <w:vertAlign w:val="subscript"/>
              </w:rPr>
              <w:t>2</w:t>
            </w:r>
          </w:p>
        </w:tc>
        <w:tc>
          <w:tcPr>
            <w:tcW w:w="1567" w:type="dxa"/>
            <w:tcBorders>
              <w:tl2br w:val="nil"/>
              <w:tr2bl w:val="nil"/>
            </w:tcBorders>
            <w:noWrap w:val="0"/>
            <w:vAlign w:val="center"/>
          </w:tcPr>
          <w:p w14:paraId="570B5EF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pacing w:val="-2"/>
                <w:sz w:val="21"/>
                <w:szCs w:val="21"/>
              </w:rPr>
            </w:pPr>
          </w:p>
        </w:tc>
        <w:tc>
          <w:tcPr>
            <w:tcW w:w="1312" w:type="dxa"/>
            <w:tcBorders>
              <w:tl2br w:val="nil"/>
              <w:tr2bl w:val="nil"/>
            </w:tcBorders>
            <w:noWrap w:val="0"/>
            <w:vAlign w:val="center"/>
          </w:tcPr>
          <w:p w14:paraId="6211FF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Times New Roman"/>
                <w:snapToGrid w:val="0"/>
                <w:color w:val="auto"/>
                <w:kern w:val="21"/>
                <w:sz w:val="21"/>
                <w:szCs w:val="21"/>
              </w:rPr>
            </w:pPr>
          </w:p>
        </w:tc>
        <w:tc>
          <w:tcPr>
            <w:tcW w:w="1669" w:type="dxa"/>
            <w:tcBorders>
              <w:tl2br w:val="nil"/>
              <w:tr2bl w:val="nil"/>
            </w:tcBorders>
            <w:noWrap w:val="0"/>
            <w:vAlign w:val="center"/>
          </w:tcPr>
          <w:p w14:paraId="4DF5279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542" w:type="dxa"/>
            <w:tcBorders>
              <w:tl2br w:val="nil"/>
              <w:tr2bl w:val="nil"/>
            </w:tcBorders>
            <w:noWrap w:val="0"/>
            <w:vAlign w:val="center"/>
          </w:tcPr>
          <w:p w14:paraId="2C45B75A">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0.694</w:t>
            </w:r>
          </w:p>
        </w:tc>
        <w:tc>
          <w:tcPr>
            <w:tcW w:w="1500" w:type="dxa"/>
            <w:tcBorders>
              <w:tl2br w:val="nil"/>
              <w:tr2bl w:val="nil"/>
            </w:tcBorders>
            <w:noWrap w:val="0"/>
            <w:vAlign w:val="center"/>
          </w:tcPr>
          <w:p w14:paraId="3256FE7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25" w:type="dxa"/>
            <w:tcBorders>
              <w:tl2br w:val="nil"/>
              <w:tr2bl w:val="nil"/>
            </w:tcBorders>
            <w:noWrap w:val="0"/>
            <w:vAlign w:val="center"/>
          </w:tcPr>
          <w:p w14:paraId="45214C9B">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cs="Times New Roman"/>
                <w:snapToGrid w:val="0"/>
                <w:color w:val="auto"/>
                <w:kern w:val="21"/>
                <w:sz w:val="21"/>
                <w:szCs w:val="21"/>
                <w:lang w:val="en-US" w:eastAsia="zh-CN"/>
              </w:rPr>
              <w:t>0.694</w:t>
            </w:r>
          </w:p>
        </w:tc>
        <w:tc>
          <w:tcPr>
            <w:tcW w:w="1516" w:type="dxa"/>
            <w:tcBorders>
              <w:tl2br w:val="nil"/>
              <w:tr2bl w:val="nil"/>
            </w:tcBorders>
            <w:noWrap w:val="0"/>
            <w:vAlign w:val="center"/>
          </w:tcPr>
          <w:p w14:paraId="164472C4">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firstLine="0" w:firstLineChars="0"/>
              <w:jc w:val="center"/>
              <w:textAlignment w:val="auto"/>
              <w:rPr>
                <w:rFonts w:hint="default" w:hAnsi="Times New Roman" w:cs="Times New Roman"/>
                <w:snapToGrid w:val="0"/>
                <w:color w:val="auto"/>
                <w:kern w:val="21"/>
                <w:sz w:val="21"/>
                <w:szCs w:val="21"/>
              </w:rPr>
            </w:pPr>
            <w:r>
              <w:rPr>
                <w:rFonts w:hint="eastAsia" w:ascii="Times New Roman" w:cs="Times New Roman"/>
                <w:snapToGrid w:val="0"/>
                <w:color w:val="auto"/>
                <w:kern w:val="21"/>
                <w:sz w:val="21"/>
                <w:szCs w:val="21"/>
                <w:lang w:val="en-US" w:eastAsia="zh-CN"/>
              </w:rPr>
              <w:t>0.694</w:t>
            </w:r>
          </w:p>
        </w:tc>
      </w:tr>
      <w:tr w14:paraId="5A56E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3" w:type="dxa"/>
            <w:vMerge w:val="continue"/>
            <w:tcBorders>
              <w:tl2br w:val="nil"/>
              <w:tr2bl w:val="nil"/>
            </w:tcBorders>
            <w:noWrap w:val="0"/>
            <w:vAlign w:val="center"/>
          </w:tcPr>
          <w:p w14:paraId="41886F37">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napToGrid w:val="0"/>
                <w:color w:val="auto"/>
                <w:kern w:val="21"/>
                <w:sz w:val="21"/>
                <w:szCs w:val="21"/>
              </w:rPr>
            </w:pPr>
          </w:p>
        </w:tc>
        <w:tc>
          <w:tcPr>
            <w:tcW w:w="1674" w:type="dxa"/>
            <w:tcBorders>
              <w:tl2br w:val="nil"/>
              <w:tr2bl w:val="nil"/>
            </w:tcBorders>
            <w:noWrap w:val="0"/>
            <w:vAlign w:val="center"/>
          </w:tcPr>
          <w:p w14:paraId="520B1C5E">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NOx</w:t>
            </w:r>
          </w:p>
        </w:tc>
        <w:tc>
          <w:tcPr>
            <w:tcW w:w="1567" w:type="dxa"/>
            <w:tcBorders>
              <w:tl2br w:val="nil"/>
              <w:tr2bl w:val="nil"/>
            </w:tcBorders>
            <w:noWrap w:val="0"/>
            <w:vAlign w:val="center"/>
          </w:tcPr>
          <w:p w14:paraId="7637475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pacing w:val="-2"/>
                <w:sz w:val="21"/>
                <w:szCs w:val="21"/>
              </w:rPr>
            </w:pPr>
          </w:p>
        </w:tc>
        <w:tc>
          <w:tcPr>
            <w:tcW w:w="1312" w:type="dxa"/>
            <w:tcBorders>
              <w:tl2br w:val="nil"/>
              <w:tr2bl w:val="nil"/>
            </w:tcBorders>
            <w:noWrap w:val="0"/>
            <w:vAlign w:val="center"/>
          </w:tcPr>
          <w:p w14:paraId="1E6E060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Times New Roman"/>
                <w:snapToGrid w:val="0"/>
                <w:color w:val="auto"/>
                <w:kern w:val="21"/>
                <w:sz w:val="21"/>
                <w:szCs w:val="21"/>
              </w:rPr>
            </w:pPr>
          </w:p>
        </w:tc>
        <w:tc>
          <w:tcPr>
            <w:tcW w:w="1669" w:type="dxa"/>
            <w:tcBorders>
              <w:tl2br w:val="nil"/>
              <w:tr2bl w:val="nil"/>
            </w:tcBorders>
            <w:noWrap w:val="0"/>
            <w:vAlign w:val="center"/>
          </w:tcPr>
          <w:p w14:paraId="0245C92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542" w:type="dxa"/>
            <w:tcBorders>
              <w:tl2br w:val="nil"/>
              <w:tr2bl w:val="nil"/>
            </w:tcBorders>
            <w:noWrap w:val="0"/>
            <w:vAlign w:val="center"/>
          </w:tcPr>
          <w:p w14:paraId="7D8CF449">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1.769</w:t>
            </w:r>
          </w:p>
        </w:tc>
        <w:tc>
          <w:tcPr>
            <w:tcW w:w="1500" w:type="dxa"/>
            <w:tcBorders>
              <w:tl2br w:val="nil"/>
              <w:tr2bl w:val="nil"/>
            </w:tcBorders>
            <w:noWrap w:val="0"/>
            <w:vAlign w:val="center"/>
          </w:tcPr>
          <w:p w14:paraId="54980E1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25" w:type="dxa"/>
            <w:tcBorders>
              <w:tl2br w:val="nil"/>
              <w:tr2bl w:val="nil"/>
            </w:tcBorders>
            <w:noWrap w:val="0"/>
            <w:vAlign w:val="center"/>
          </w:tcPr>
          <w:p w14:paraId="201F0414">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cs="Times New Roman"/>
                <w:snapToGrid w:val="0"/>
                <w:color w:val="auto"/>
                <w:kern w:val="21"/>
                <w:sz w:val="21"/>
                <w:szCs w:val="21"/>
                <w:lang w:val="en-US" w:eastAsia="zh-CN"/>
              </w:rPr>
              <w:t>1.769</w:t>
            </w:r>
          </w:p>
        </w:tc>
        <w:tc>
          <w:tcPr>
            <w:tcW w:w="1516" w:type="dxa"/>
            <w:tcBorders>
              <w:tl2br w:val="nil"/>
              <w:tr2bl w:val="nil"/>
            </w:tcBorders>
            <w:noWrap w:val="0"/>
            <w:vAlign w:val="center"/>
          </w:tcPr>
          <w:p w14:paraId="6A21BAB5">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firstLine="0" w:firstLineChars="0"/>
              <w:jc w:val="center"/>
              <w:textAlignment w:val="auto"/>
              <w:rPr>
                <w:rFonts w:hint="eastAsia" w:hAnsi="Times New Roman" w:cs="Times New Roman"/>
                <w:snapToGrid w:val="0"/>
                <w:color w:val="auto"/>
                <w:kern w:val="21"/>
                <w:sz w:val="21"/>
                <w:szCs w:val="21"/>
              </w:rPr>
            </w:pPr>
            <w:r>
              <w:rPr>
                <w:rFonts w:hint="eastAsia" w:ascii="Times New Roman" w:cs="Times New Roman"/>
                <w:snapToGrid w:val="0"/>
                <w:color w:val="auto"/>
                <w:kern w:val="21"/>
                <w:sz w:val="21"/>
                <w:szCs w:val="21"/>
                <w:lang w:val="en-US" w:eastAsia="zh-CN"/>
              </w:rPr>
              <w:t>1.769</w:t>
            </w:r>
          </w:p>
        </w:tc>
      </w:tr>
      <w:tr w14:paraId="715F4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3" w:type="dxa"/>
            <w:vMerge w:val="continue"/>
            <w:tcBorders>
              <w:tl2br w:val="nil"/>
              <w:tr2bl w:val="nil"/>
            </w:tcBorders>
            <w:noWrap w:val="0"/>
            <w:vAlign w:val="center"/>
          </w:tcPr>
          <w:p w14:paraId="3CC501BD">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napToGrid w:val="0"/>
                <w:color w:val="auto"/>
                <w:kern w:val="21"/>
                <w:sz w:val="21"/>
                <w:szCs w:val="21"/>
              </w:rPr>
            </w:pPr>
          </w:p>
        </w:tc>
        <w:tc>
          <w:tcPr>
            <w:tcW w:w="1674" w:type="dxa"/>
            <w:tcBorders>
              <w:tl2br w:val="nil"/>
              <w:tr2bl w:val="nil"/>
            </w:tcBorders>
            <w:noWrap w:val="0"/>
            <w:vAlign w:val="center"/>
          </w:tcPr>
          <w:p w14:paraId="6709393E">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VOCs</w:t>
            </w:r>
          </w:p>
        </w:tc>
        <w:tc>
          <w:tcPr>
            <w:tcW w:w="1567" w:type="dxa"/>
            <w:tcBorders>
              <w:tl2br w:val="nil"/>
              <w:tr2bl w:val="nil"/>
            </w:tcBorders>
            <w:noWrap w:val="0"/>
            <w:vAlign w:val="center"/>
          </w:tcPr>
          <w:p w14:paraId="72486D5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pacing w:val="-2"/>
                <w:sz w:val="21"/>
                <w:szCs w:val="21"/>
              </w:rPr>
            </w:pPr>
          </w:p>
        </w:tc>
        <w:tc>
          <w:tcPr>
            <w:tcW w:w="1312" w:type="dxa"/>
            <w:tcBorders>
              <w:tl2br w:val="nil"/>
              <w:tr2bl w:val="nil"/>
            </w:tcBorders>
            <w:noWrap w:val="0"/>
            <w:vAlign w:val="center"/>
          </w:tcPr>
          <w:p w14:paraId="28F6966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Times New Roman"/>
                <w:snapToGrid w:val="0"/>
                <w:color w:val="auto"/>
                <w:kern w:val="21"/>
                <w:sz w:val="21"/>
                <w:szCs w:val="21"/>
              </w:rPr>
            </w:pPr>
          </w:p>
        </w:tc>
        <w:tc>
          <w:tcPr>
            <w:tcW w:w="1669" w:type="dxa"/>
            <w:tcBorders>
              <w:tl2br w:val="nil"/>
              <w:tr2bl w:val="nil"/>
            </w:tcBorders>
            <w:noWrap w:val="0"/>
            <w:vAlign w:val="center"/>
          </w:tcPr>
          <w:p w14:paraId="04B0E58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542" w:type="dxa"/>
            <w:tcBorders>
              <w:tl2br w:val="nil"/>
              <w:tr2bl w:val="nil"/>
            </w:tcBorders>
            <w:noWrap w:val="0"/>
            <w:vAlign w:val="center"/>
          </w:tcPr>
          <w:p w14:paraId="7FAD9113">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0.046</w:t>
            </w:r>
          </w:p>
        </w:tc>
        <w:tc>
          <w:tcPr>
            <w:tcW w:w="1500" w:type="dxa"/>
            <w:tcBorders>
              <w:tl2br w:val="nil"/>
              <w:tr2bl w:val="nil"/>
            </w:tcBorders>
            <w:noWrap w:val="0"/>
            <w:vAlign w:val="center"/>
          </w:tcPr>
          <w:p w14:paraId="1F73662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25" w:type="dxa"/>
            <w:tcBorders>
              <w:tl2br w:val="nil"/>
              <w:tr2bl w:val="nil"/>
            </w:tcBorders>
            <w:noWrap w:val="0"/>
            <w:vAlign w:val="center"/>
          </w:tcPr>
          <w:p w14:paraId="67108A24">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0.046</w:t>
            </w:r>
          </w:p>
        </w:tc>
        <w:tc>
          <w:tcPr>
            <w:tcW w:w="1516" w:type="dxa"/>
            <w:tcBorders>
              <w:tl2br w:val="nil"/>
              <w:tr2bl w:val="nil"/>
            </w:tcBorders>
            <w:noWrap w:val="0"/>
            <w:vAlign w:val="center"/>
          </w:tcPr>
          <w:p w14:paraId="40670D87">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firstLine="0" w:firstLineChars="0"/>
              <w:jc w:val="center"/>
              <w:textAlignment w:val="auto"/>
              <w:rPr>
                <w:rFonts w:hint="eastAsia"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0.046</w:t>
            </w:r>
          </w:p>
        </w:tc>
      </w:tr>
      <w:tr w14:paraId="2702C0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3" w:type="dxa"/>
            <w:vMerge w:val="restart"/>
            <w:tcBorders>
              <w:tl2br w:val="nil"/>
              <w:tr2bl w:val="nil"/>
            </w:tcBorders>
            <w:noWrap w:val="0"/>
            <w:vAlign w:val="center"/>
          </w:tcPr>
          <w:p w14:paraId="0AF561BB">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废水</w:t>
            </w:r>
          </w:p>
        </w:tc>
        <w:tc>
          <w:tcPr>
            <w:tcW w:w="1674" w:type="dxa"/>
            <w:tcBorders>
              <w:tl2br w:val="nil"/>
              <w:tr2bl w:val="nil"/>
            </w:tcBorders>
            <w:shd w:val="clear" w:color="auto" w:fill="auto"/>
            <w:noWrap w:val="0"/>
            <w:vAlign w:val="center"/>
          </w:tcPr>
          <w:p w14:paraId="4AE3BD66">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 w:val="21"/>
                <w:szCs w:val="21"/>
              </w:rPr>
              <w:t>COD</w:t>
            </w:r>
          </w:p>
        </w:tc>
        <w:tc>
          <w:tcPr>
            <w:tcW w:w="1567" w:type="dxa"/>
            <w:tcBorders>
              <w:tl2br w:val="nil"/>
              <w:tr2bl w:val="nil"/>
            </w:tcBorders>
            <w:shd w:val="clear" w:color="auto" w:fill="auto"/>
            <w:noWrap w:val="0"/>
            <w:vAlign w:val="center"/>
          </w:tcPr>
          <w:p w14:paraId="081803B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312" w:type="dxa"/>
            <w:tcBorders>
              <w:tl2br w:val="nil"/>
              <w:tr2bl w:val="nil"/>
            </w:tcBorders>
            <w:shd w:val="clear" w:color="auto" w:fill="auto"/>
            <w:noWrap w:val="0"/>
            <w:vAlign w:val="center"/>
          </w:tcPr>
          <w:p w14:paraId="4AD9DB5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669" w:type="dxa"/>
            <w:tcBorders>
              <w:tl2br w:val="nil"/>
              <w:tr2bl w:val="nil"/>
            </w:tcBorders>
            <w:shd w:val="clear" w:color="auto" w:fill="auto"/>
            <w:noWrap w:val="0"/>
            <w:vAlign w:val="center"/>
          </w:tcPr>
          <w:p w14:paraId="5B6D3E8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542" w:type="dxa"/>
            <w:tcBorders>
              <w:tl2br w:val="nil"/>
              <w:tr2bl w:val="nil"/>
            </w:tcBorders>
            <w:shd w:val="clear" w:color="auto" w:fill="auto"/>
            <w:noWrap w:val="0"/>
            <w:vAlign w:val="center"/>
          </w:tcPr>
          <w:p w14:paraId="4047CF4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5.948</w:t>
            </w:r>
          </w:p>
        </w:tc>
        <w:tc>
          <w:tcPr>
            <w:tcW w:w="1500" w:type="dxa"/>
            <w:tcBorders>
              <w:tl2br w:val="nil"/>
              <w:tr2bl w:val="nil"/>
            </w:tcBorders>
            <w:shd w:val="clear" w:color="auto" w:fill="auto"/>
            <w:noWrap w:val="0"/>
            <w:vAlign w:val="center"/>
          </w:tcPr>
          <w:p w14:paraId="5887387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725" w:type="dxa"/>
            <w:tcBorders>
              <w:tl2br w:val="nil"/>
              <w:tr2bl w:val="nil"/>
            </w:tcBorders>
            <w:shd w:val="clear" w:color="auto" w:fill="auto"/>
            <w:noWrap w:val="0"/>
            <w:vAlign w:val="center"/>
          </w:tcPr>
          <w:p w14:paraId="67F7282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5.948</w:t>
            </w:r>
          </w:p>
        </w:tc>
        <w:tc>
          <w:tcPr>
            <w:tcW w:w="1516" w:type="dxa"/>
            <w:tcBorders>
              <w:tl2br w:val="nil"/>
              <w:tr2bl w:val="nil"/>
            </w:tcBorders>
            <w:shd w:val="clear" w:color="auto" w:fill="auto"/>
            <w:noWrap w:val="0"/>
            <w:vAlign w:val="center"/>
          </w:tcPr>
          <w:p w14:paraId="55AA095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snapToGrid w:val="0"/>
                <w:color w:val="auto"/>
                <w:kern w:val="21"/>
                <w:sz w:val="21"/>
                <w:szCs w:val="21"/>
                <w:lang w:val="en-US" w:eastAsia="zh-CN"/>
              </w:rPr>
              <w:t>5.948</w:t>
            </w:r>
          </w:p>
        </w:tc>
      </w:tr>
      <w:tr w14:paraId="23FBB3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3" w:type="dxa"/>
            <w:vMerge w:val="continue"/>
            <w:tcBorders>
              <w:tl2br w:val="nil"/>
              <w:tr2bl w:val="nil"/>
            </w:tcBorders>
            <w:noWrap w:val="0"/>
            <w:vAlign w:val="center"/>
          </w:tcPr>
          <w:p w14:paraId="3BF840AF">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napToGrid w:val="0"/>
                <w:color w:val="auto"/>
                <w:kern w:val="21"/>
                <w:sz w:val="21"/>
                <w:szCs w:val="21"/>
              </w:rPr>
            </w:pPr>
          </w:p>
        </w:tc>
        <w:tc>
          <w:tcPr>
            <w:tcW w:w="1674" w:type="dxa"/>
            <w:tcBorders>
              <w:tl2br w:val="nil"/>
              <w:tr2bl w:val="nil"/>
            </w:tcBorders>
            <w:shd w:val="clear" w:color="auto" w:fill="auto"/>
            <w:noWrap w:val="0"/>
            <w:vAlign w:val="center"/>
          </w:tcPr>
          <w:p w14:paraId="4663A759">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 w:val="21"/>
                <w:szCs w:val="21"/>
              </w:rPr>
              <w:t>NH</w:t>
            </w:r>
            <w:r>
              <w:rPr>
                <w:rFonts w:hint="eastAsia" w:ascii="Times New Roman" w:hAnsi="Times New Roman" w:cs="Times New Roman"/>
                <w:snapToGrid w:val="0"/>
                <w:color w:val="auto"/>
                <w:kern w:val="21"/>
                <w:sz w:val="21"/>
                <w:szCs w:val="21"/>
                <w:vertAlign w:val="subscript"/>
              </w:rPr>
              <w:t>3</w:t>
            </w:r>
            <w:r>
              <w:rPr>
                <w:rFonts w:hint="eastAsia" w:ascii="Times New Roman" w:hAnsi="Times New Roman" w:cs="Times New Roman"/>
                <w:snapToGrid w:val="0"/>
                <w:color w:val="auto"/>
                <w:kern w:val="21"/>
                <w:sz w:val="21"/>
                <w:szCs w:val="21"/>
              </w:rPr>
              <w:t>-N</w:t>
            </w:r>
          </w:p>
        </w:tc>
        <w:tc>
          <w:tcPr>
            <w:tcW w:w="1567" w:type="dxa"/>
            <w:tcBorders>
              <w:tl2br w:val="nil"/>
              <w:tr2bl w:val="nil"/>
            </w:tcBorders>
            <w:shd w:val="clear" w:color="auto" w:fill="auto"/>
            <w:noWrap w:val="0"/>
            <w:vAlign w:val="center"/>
          </w:tcPr>
          <w:p w14:paraId="09BB005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312" w:type="dxa"/>
            <w:tcBorders>
              <w:tl2br w:val="nil"/>
              <w:tr2bl w:val="nil"/>
            </w:tcBorders>
            <w:shd w:val="clear" w:color="auto" w:fill="auto"/>
            <w:noWrap w:val="0"/>
            <w:vAlign w:val="center"/>
          </w:tcPr>
          <w:p w14:paraId="166E002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p>
        </w:tc>
        <w:tc>
          <w:tcPr>
            <w:tcW w:w="1669" w:type="dxa"/>
            <w:tcBorders>
              <w:tl2br w:val="nil"/>
              <w:tr2bl w:val="nil"/>
            </w:tcBorders>
            <w:shd w:val="clear" w:color="auto" w:fill="auto"/>
            <w:noWrap w:val="0"/>
            <w:vAlign w:val="center"/>
          </w:tcPr>
          <w:p w14:paraId="060054D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542" w:type="dxa"/>
            <w:tcBorders>
              <w:tl2br w:val="nil"/>
              <w:tr2bl w:val="nil"/>
            </w:tcBorders>
            <w:shd w:val="clear" w:color="auto" w:fill="auto"/>
            <w:noWrap w:val="0"/>
            <w:vAlign w:val="center"/>
          </w:tcPr>
          <w:p w14:paraId="1F3A23F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 w:val="21"/>
                <w:szCs w:val="21"/>
                <w:lang w:val="en-US" w:eastAsia="zh-CN"/>
              </w:rPr>
              <w:t>0.535</w:t>
            </w:r>
          </w:p>
        </w:tc>
        <w:tc>
          <w:tcPr>
            <w:tcW w:w="1500" w:type="dxa"/>
            <w:tcBorders>
              <w:tl2br w:val="nil"/>
              <w:tr2bl w:val="nil"/>
            </w:tcBorders>
            <w:shd w:val="clear" w:color="auto" w:fill="auto"/>
            <w:noWrap w:val="0"/>
            <w:vAlign w:val="center"/>
          </w:tcPr>
          <w:p w14:paraId="278C0EB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p>
        </w:tc>
        <w:tc>
          <w:tcPr>
            <w:tcW w:w="1725" w:type="dxa"/>
            <w:tcBorders>
              <w:tl2br w:val="nil"/>
              <w:tr2bl w:val="nil"/>
            </w:tcBorders>
            <w:shd w:val="clear" w:color="auto" w:fill="auto"/>
            <w:noWrap w:val="0"/>
            <w:vAlign w:val="center"/>
          </w:tcPr>
          <w:p w14:paraId="5E09750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 w:val="21"/>
                <w:szCs w:val="21"/>
                <w:lang w:val="en-US" w:eastAsia="zh-CN"/>
              </w:rPr>
              <w:t>0.535</w:t>
            </w:r>
          </w:p>
        </w:tc>
        <w:tc>
          <w:tcPr>
            <w:tcW w:w="1516" w:type="dxa"/>
            <w:tcBorders>
              <w:tl2br w:val="nil"/>
              <w:tr2bl w:val="nil"/>
            </w:tcBorders>
            <w:shd w:val="clear" w:color="auto" w:fill="auto"/>
            <w:noWrap w:val="0"/>
            <w:vAlign w:val="center"/>
          </w:tcPr>
          <w:p w14:paraId="6EE2FFA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snapToGrid w:val="0"/>
                <w:color w:val="auto"/>
                <w:kern w:val="21"/>
                <w:sz w:val="21"/>
                <w:szCs w:val="21"/>
                <w:lang w:val="en-US" w:eastAsia="zh-CN"/>
              </w:rPr>
              <w:t>0.535</w:t>
            </w:r>
          </w:p>
        </w:tc>
      </w:tr>
      <w:tr w14:paraId="06920A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3" w:type="dxa"/>
            <w:vMerge w:val="continue"/>
            <w:tcBorders>
              <w:tl2br w:val="nil"/>
              <w:tr2bl w:val="nil"/>
            </w:tcBorders>
            <w:noWrap w:val="0"/>
            <w:vAlign w:val="center"/>
          </w:tcPr>
          <w:p w14:paraId="3CA6E675">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napToGrid w:val="0"/>
                <w:color w:val="auto"/>
                <w:kern w:val="21"/>
                <w:sz w:val="21"/>
                <w:szCs w:val="21"/>
              </w:rPr>
            </w:pPr>
          </w:p>
        </w:tc>
        <w:tc>
          <w:tcPr>
            <w:tcW w:w="1674" w:type="dxa"/>
            <w:tcBorders>
              <w:tl2br w:val="nil"/>
              <w:tr2bl w:val="nil"/>
            </w:tcBorders>
            <w:shd w:val="clear" w:color="auto" w:fill="auto"/>
            <w:noWrap w:val="0"/>
            <w:vAlign w:val="center"/>
          </w:tcPr>
          <w:p w14:paraId="20CCCD1E">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 w:val="21"/>
                <w:szCs w:val="21"/>
                <w:lang w:val="en-US" w:eastAsia="zh-CN"/>
              </w:rPr>
              <w:t>TP</w:t>
            </w:r>
          </w:p>
        </w:tc>
        <w:tc>
          <w:tcPr>
            <w:tcW w:w="1567" w:type="dxa"/>
            <w:tcBorders>
              <w:tl2br w:val="nil"/>
              <w:tr2bl w:val="nil"/>
            </w:tcBorders>
            <w:shd w:val="clear" w:color="auto" w:fill="auto"/>
            <w:noWrap w:val="0"/>
            <w:vAlign w:val="center"/>
          </w:tcPr>
          <w:p w14:paraId="62597A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312" w:type="dxa"/>
            <w:tcBorders>
              <w:tl2br w:val="nil"/>
              <w:tr2bl w:val="nil"/>
            </w:tcBorders>
            <w:shd w:val="clear" w:color="auto" w:fill="auto"/>
            <w:noWrap w:val="0"/>
            <w:vAlign w:val="center"/>
          </w:tcPr>
          <w:p w14:paraId="055B69C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p>
        </w:tc>
        <w:tc>
          <w:tcPr>
            <w:tcW w:w="1669" w:type="dxa"/>
            <w:tcBorders>
              <w:tl2br w:val="nil"/>
              <w:tr2bl w:val="nil"/>
            </w:tcBorders>
            <w:shd w:val="clear" w:color="auto" w:fill="auto"/>
            <w:noWrap w:val="0"/>
            <w:vAlign w:val="center"/>
          </w:tcPr>
          <w:p w14:paraId="6B1FCA2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542" w:type="dxa"/>
            <w:tcBorders>
              <w:tl2br w:val="nil"/>
              <w:tr2bl w:val="nil"/>
            </w:tcBorders>
            <w:shd w:val="clear" w:color="auto" w:fill="auto"/>
            <w:noWrap w:val="0"/>
            <w:vAlign w:val="center"/>
          </w:tcPr>
          <w:p w14:paraId="43ADEC5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 w:val="21"/>
                <w:szCs w:val="21"/>
                <w:lang w:val="en-US" w:eastAsia="zh-CN"/>
              </w:rPr>
              <w:t>0.059</w:t>
            </w:r>
          </w:p>
        </w:tc>
        <w:tc>
          <w:tcPr>
            <w:tcW w:w="1500" w:type="dxa"/>
            <w:tcBorders>
              <w:tl2br w:val="nil"/>
              <w:tr2bl w:val="nil"/>
            </w:tcBorders>
            <w:shd w:val="clear" w:color="auto" w:fill="auto"/>
            <w:noWrap w:val="0"/>
            <w:vAlign w:val="center"/>
          </w:tcPr>
          <w:p w14:paraId="243910F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p>
        </w:tc>
        <w:tc>
          <w:tcPr>
            <w:tcW w:w="1725" w:type="dxa"/>
            <w:tcBorders>
              <w:tl2br w:val="nil"/>
              <w:tr2bl w:val="nil"/>
            </w:tcBorders>
            <w:shd w:val="clear" w:color="auto" w:fill="auto"/>
            <w:noWrap w:val="0"/>
            <w:vAlign w:val="center"/>
          </w:tcPr>
          <w:p w14:paraId="2C6807F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 w:val="21"/>
                <w:szCs w:val="21"/>
                <w:lang w:val="en-US" w:eastAsia="zh-CN"/>
              </w:rPr>
              <w:t>0.059</w:t>
            </w:r>
          </w:p>
        </w:tc>
        <w:tc>
          <w:tcPr>
            <w:tcW w:w="1516" w:type="dxa"/>
            <w:tcBorders>
              <w:tl2br w:val="nil"/>
              <w:tr2bl w:val="nil"/>
            </w:tcBorders>
            <w:shd w:val="clear" w:color="auto" w:fill="auto"/>
            <w:noWrap w:val="0"/>
            <w:vAlign w:val="center"/>
          </w:tcPr>
          <w:p w14:paraId="49EA91F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snapToGrid w:val="0"/>
                <w:color w:val="auto"/>
                <w:kern w:val="21"/>
                <w:sz w:val="21"/>
                <w:szCs w:val="21"/>
                <w:lang w:val="en-US" w:eastAsia="zh-CN"/>
              </w:rPr>
              <w:t>0.059</w:t>
            </w:r>
          </w:p>
        </w:tc>
      </w:tr>
      <w:tr w14:paraId="1EA13F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3" w:type="dxa"/>
            <w:vMerge w:val="restart"/>
            <w:tcBorders>
              <w:tl2br w:val="nil"/>
              <w:tr2bl w:val="nil"/>
            </w:tcBorders>
            <w:noWrap w:val="0"/>
            <w:vAlign w:val="center"/>
          </w:tcPr>
          <w:p w14:paraId="4055EE4C">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一般固体废物</w:t>
            </w:r>
          </w:p>
        </w:tc>
        <w:tc>
          <w:tcPr>
            <w:tcW w:w="1674" w:type="dxa"/>
            <w:tcBorders>
              <w:tl2br w:val="nil"/>
              <w:tr2bl w:val="nil"/>
            </w:tcBorders>
            <w:noWrap w:val="0"/>
            <w:vAlign w:val="center"/>
          </w:tcPr>
          <w:p w14:paraId="5B25293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color w:val="auto"/>
                <w:sz w:val="21"/>
                <w:szCs w:val="21"/>
              </w:rPr>
              <w:t>废包装袋</w:t>
            </w:r>
          </w:p>
        </w:tc>
        <w:tc>
          <w:tcPr>
            <w:tcW w:w="1567" w:type="dxa"/>
            <w:tcBorders>
              <w:tl2br w:val="nil"/>
              <w:tr2bl w:val="nil"/>
            </w:tcBorders>
            <w:noWrap w:val="0"/>
            <w:vAlign w:val="center"/>
          </w:tcPr>
          <w:p w14:paraId="4609EC7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312" w:type="dxa"/>
            <w:tcBorders>
              <w:tl2br w:val="nil"/>
              <w:tr2bl w:val="nil"/>
            </w:tcBorders>
            <w:noWrap w:val="0"/>
            <w:vAlign w:val="center"/>
          </w:tcPr>
          <w:p w14:paraId="49D04DC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669" w:type="dxa"/>
            <w:tcBorders>
              <w:tl2br w:val="nil"/>
              <w:tr2bl w:val="nil"/>
            </w:tcBorders>
            <w:noWrap w:val="0"/>
            <w:vAlign w:val="center"/>
          </w:tcPr>
          <w:p w14:paraId="6124946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542" w:type="dxa"/>
            <w:tcBorders>
              <w:tl2br w:val="nil"/>
              <w:tr2bl w:val="nil"/>
            </w:tcBorders>
            <w:noWrap w:val="0"/>
            <w:vAlign w:val="center"/>
          </w:tcPr>
          <w:p w14:paraId="5732D41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21"/>
                <w:sz w:val="21"/>
                <w:szCs w:val="21"/>
              </w:rPr>
            </w:pPr>
            <w:r>
              <w:rPr>
                <w:rFonts w:hint="eastAsia" w:ascii="Times New Roman" w:hAnsi="Times New Roman" w:cs="Times New Roman"/>
                <w:color w:val="auto"/>
                <w:sz w:val="21"/>
                <w:szCs w:val="21"/>
                <w:lang w:val="en-US" w:eastAsia="zh-CN"/>
              </w:rPr>
              <w:t>0.01</w:t>
            </w:r>
          </w:p>
        </w:tc>
        <w:tc>
          <w:tcPr>
            <w:tcW w:w="1500" w:type="dxa"/>
            <w:tcBorders>
              <w:tl2br w:val="nil"/>
              <w:tr2bl w:val="nil"/>
            </w:tcBorders>
            <w:noWrap w:val="0"/>
            <w:vAlign w:val="center"/>
          </w:tcPr>
          <w:p w14:paraId="342BC18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25" w:type="dxa"/>
            <w:tcBorders>
              <w:tl2br w:val="nil"/>
              <w:tr2bl w:val="nil"/>
            </w:tcBorders>
            <w:noWrap w:val="0"/>
            <w:vAlign w:val="center"/>
          </w:tcPr>
          <w:p w14:paraId="615A5E9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21"/>
                <w:sz w:val="21"/>
                <w:szCs w:val="21"/>
              </w:rPr>
            </w:pPr>
            <w:r>
              <w:rPr>
                <w:rFonts w:hint="eastAsia" w:ascii="Times New Roman" w:hAnsi="Times New Roman" w:cs="Times New Roman"/>
                <w:color w:val="auto"/>
                <w:sz w:val="21"/>
                <w:szCs w:val="21"/>
                <w:lang w:val="en-US" w:eastAsia="zh-CN"/>
              </w:rPr>
              <w:t>0.01</w:t>
            </w:r>
          </w:p>
        </w:tc>
        <w:tc>
          <w:tcPr>
            <w:tcW w:w="1516" w:type="dxa"/>
            <w:tcBorders>
              <w:tl2br w:val="nil"/>
              <w:tr2bl w:val="nil"/>
            </w:tcBorders>
            <w:noWrap w:val="0"/>
            <w:vAlign w:val="center"/>
          </w:tcPr>
          <w:p w14:paraId="0ECE0C9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21"/>
                <w:sz w:val="21"/>
                <w:szCs w:val="21"/>
              </w:rPr>
            </w:pPr>
            <w:r>
              <w:rPr>
                <w:rFonts w:hint="eastAsia" w:ascii="Times New Roman" w:hAnsi="Times New Roman" w:cs="Times New Roman"/>
                <w:color w:val="auto"/>
                <w:sz w:val="21"/>
                <w:szCs w:val="21"/>
                <w:lang w:val="en-US" w:eastAsia="zh-CN"/>
              </w:rPr>
              <w:t>0.01</w:t>
            </w:r>
          </w:p>
        </w:tc>
      </w:tr>
      <w:tr w14:paraId="23912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3" w:type="dxa"/>
            <w:vMerge w:val="continue"/>
            <w:tcBorders>
              <w:tl2br w:val="nil"/>
              <w:tr2bl w:val="nil"/>
            </w:tcBorders>
            <w:noWrap w:val="0"/>
            <w:vAlign w:val="center"/>
          </w:tcPr>
          <w:p w14:paraId="536FADDE">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cs="Times New Roman"/>
                <w:snapToGrid w:val="0"/>
                <w:color w:val="auto"/>
                <w:kern w:val="21"/>
                <w:sz w:val="21"/>
                <w:szCs w:val="21"/>
              </w:rPr>
            </w:pPr>
          </w:p>
        </w:tc>
        <w:tc>
          <w:tcPr>
            <w:tcW w:w="1674" w:type="dxa"/>
            <w:tcBorders>
              <w:tl2br w:val="nil"/>
              <w:tr2bl w:val="nil"/>
            </w:tcBorders>
            <w:noWrap w:val="0"/>
            <w:vAlign w:val="center"/>
          </w:tcPr>
          <w:p w14:paraId="27F73D5D">
            <w:pPr>
              <w:keepNext w:val="0"/>
              <w:keepLines w:val="0"/>
              <w:suppressLineNumbers w:val="0"/>
              <w:adjustRightInd w:val="0"/>
              <w:spacing w:before="0" w:beforeAutospacing="0" w:after="0" w:afterAutospacing="0" w:line="240" w:lineRule="auto"/>
              <w:ind w:left="0" w:right="0"/>
              <w:jc w:val="center"/>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bCs/>
                <w:color w:val="auto"/>
                <w:kern w:val="0"/>
                <w:sz w:val="21"/>
                <w:szCs w:val="21"/>
              </w:rPr>
              <w:t>锅炉燃烧灰渣</w:t>
            </w:r>
          </w:p>
        </w:tc>
        <w:tc>
          <w:tcPr>
            <w:tcW w:w="1567" w:type="dxa"/>
            <w:tcBorders>
              <w:tl2br w:val="nil"/>
              <w:tr2bl w:val="nil"/>
            </w:tcBorders>
            <w:noWrap w:val="0"/>
            <w:vAlign w:val="center"/>
          </w:tcPr>
          <w:p w14:paraId="2CF0A3D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312" w:type="dxa"/>
            <w:tcBorders>
              <w:tl2br w:val="nil"/>
              <w:tr2bl w:val="nil"/>
            </w:tcBorders>
            <w:noWrap w:val="0"/>
            <w:vAlign w:val="center"/>
          </w:tcPr>
          <w:p w14:paraId="74F7031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669" w:type="dxa"/>
            <w:tcBorders>
              <w:tl2br w:val="nil"/>
              <w:tr2bl w:val="nil"/>
            </w:tcBorders>
            <w:noWrap w:val="0"/>
            <w:vAlign w:val="center"/>
          </w:tcPr>
          <w:p w14:paraId="4388B52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542" w:type="dxa"/>
            <w:tcBorders>
              <w:tl2br w:val="nil"/>
              <w:tr2bl w:val="nil"/>
            </w:tcBorders>
            <w:noWrap w:val="0"/>
            <w:vAlign w:val="center"/>
          </w:tcPr>
          <w:p w14:paraId="6E6CD41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21"/>
                <w:sz w:val="21"/>
                <w:szCs w:val="21"/>
              </w:rPr>
            </w:pPr>
            <w:r>
              <w:rPr>
                <w:rFonts w:hint="eastAsia" w:cs="Times New Roman"/>
                <w:bCs/>
                <w:color w:val="auto"/>
                <w:sz w:val="21"/>
                <w:szCs w:val="21"/>
                <w:lang w:val="en-US" w:eastAsia="zh-CN"/>
              </w:rPr>
              <w:t>122.4</w:t>
            </w:r>
          </w:p>
        </w:tc>
        <w:tc>
          <w:tcPr>
            <w:tcW w:w="1500" w:type="dxa"/>
            <w:tcBorders>
              <w:tl2br w:val="nil"/>
              <w:tr2bl w:val="nil"/>
            </w:tcBorders>
            <w:noWrap w:val="0"/>
            <w:vAlign w:val="center"/>
          </w:tcPr>
          <w:p w14:paraId="06CB4E3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25" w:type="dxa"/>
            <w:tcBorders>
              <w:tl2br w:val="nil"/>
              <w:tr2bl w:val="nil"/>
            </w:tcBorders>
            <w:noWrap w:val="0"/>
            <w:vAlign w:val="center"/>
          </w:tcPr>
          <w:p w14:paraId="6F6E589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21"/>
                <w:sz w:val="21"/>
                <w:szCs w:val="21"/>
              </w:rPr>
            </w:pPr>
            <w:r>
              <w:rPr>
                <w:rFonts w:hint="eastAsia" w:cs="Times New Roman"/>
                <w:bCs/>
                <w:color w:val="auto"/>
                <w:sz w:val="21"/>
                <w:szCs w:val="21"/>
                <w:lang w:val="en-US" w:eastAsia="zh-CN"/>
              </w:rPr>
              <w:t>122.4</w:t>
            </w:r>
          </w:p>
        </w:tc>
        <w:tc>
          <w:tcPr>
            <w:tcW w:w="1516" w:type="dxa"/>
            <w:tcBorders>
              <w:tl2br w:val="nil"/>
              <w:tr2bl w:val="nil"/>
            </w:tcBorders>
            <w:noWrap w:val="0"/>
            <w:vAlign w:val="center"/>
          </w:tcPr>
          <w:p w14:paraId="0047EEF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21"/>
                <w:sz w:val="21"/>
                <w:szCs w:val="21"/>
              </w:rPr>
            </w:pPr>
            <w:r>
              <w:rPr>
                <w:rFonts w:hint="eastAsia" w:cs="Times New Roman"/>
                <w:bCs/>
                <w:color w:val="auto"/>
                <w:sz w:val="21"/>
                <w:szCs w:val="21"/>
                <w:lang w:val="en-US" w:eastAsia="zh-CN"/>
              </w:rPr>
              <w:t>122.4</w:t>
            </w:r>
          </w:p>
        </w:tc>
      </w:tr>
      <w:tr w14:paraId="61E33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3" w:type="dxa"/>
            <w:vMerge w:val="continue"/>
            <w:tcBorders>
              <w:tl2br w:val="nil"/>
              <w:tr2bl w:val="nil"/>
            </w:tcBorders>
            <w:noWrap w:val="0"/>
            <w:vAlign w:val="center"/>
          </w:tcPr>
          <w:p w14:paraId="59F20818">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cs="Times New Roman"/>
                <w:snapToGrid w:val="0"/>
                <w:color w:val="auto"/>
                <w:kern w:val="21"/>
                <w:sz w:val="21"/>
                <w:szCs w:val="21"/>
              </w:rPr>
            </w:pPr>
          </w:p>
        </w:tc>
        <w:tc>
          <w:tcPr>
            <w:tcW w:w="1674" w:type="dxa"/>
            <w:tcBorders>
              <w:tl2br w:val="nil"/>
              <w:tr2bl w:val="nil"/>
            </w:tcBorders>
            <w:noWrap w:val="0"/>
            <w:vAlign w:val="center"/>
          </w:tcPr>
          <w:p w14:paraId="57BF5676">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color w:val="auto"/>
                <w:sz w:val="21"/>
                <w:szCs w:val="21"/>
                <w:lang w:val="en-US" w:eastAsia="zh-CN"/>
              </w:rPr>
              <w:t>破碎</w:t>
            </w:r>
            <w:r>
              <w:rPr>
                <w:rFonts w:hint="eastAsia" w:ascii="Times New Roman" w:hAnsi="Times New Roman" w:cs="Times New Roman"/>
                <w:color w:val="auto"/>
                <w:sz w:val="21"/>
                <w:szCs w:val="21"/>
              </w:rPr>
              <w:t>除尘灰</w:t>
            </w:r>
          </w:p>
        </w:tc>
        <w:tc>
          <w:tcPr>
            <w:tcW w:w="1567" w:type="dxa"/>
            <w:tcBorders>
              <w:tl2br w:val="nil"/>
              <w:tr2bl w:val="nil"/>
            </w:tcBorders>
            <w:noWrap w:val="0"/>
            <w:vAlign w:val="center"/>
          </w:tcPr>
          <w:p w14:paraId="1D1D4FA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312" w:type="dxa"/>
            <w:tcBorders>
              <w:tl2br w:val="nil"/>
              <w:tr2bl w:val="nil"/>
            </w:tcBorders>
            <w:noWrap w:val="0"/>
            <w:vAlign w:val="center"/>
          </w:tcPr>
          <w:p w14:paraId="0109A14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669" w:type="dxa"/>
            <w:tcBorders>
              <w:tl2br w:val="nil"/>
              <w:tr2bl w:val="nil"/>
            </w:tcBorders>
            <w:noWrap w:val="0"/>
            <w:vAlign w:val="center"/>
          </w:tcPr>
          <w:p w14:paraId="1C4F96C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542" w:type="dxa"/>
            <w:tcBorders>
              <w:tl2br w:val="nil"/>
              <w:tr2bl w:val="nil"/>
            </w:tcBorders>
            <w:noWrap w:val="0"/>
            <w:vAlign w:val="center"/>
          </w:tcPr>
          <w:p w14:paraId="09B45B7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21"/>
                <w:sz w:val="21"/>
                <w:szCs w:val="21"/>
                <w:lang w:val="en-US"/>
              </w:rPr>
            </w:pPr>
            <w:r>
              <w:rPr>
                <w:rFonts w:hint="eastAsia" w:cs="Times New Roman"/>
                <w:color w:val="auto"/>
                <w:sz w:val="21"/>
                <w:szCs w:val="21"/>
                <w:lang w:val="en-US" w:eastAsia="zh-CN"/>
              </w:rPr>
              <w:t>4.886</w:t>
            </w:r>
          </w:p>
        </w:tc>
        <w:tc>
          <w:tcPr>
            <w:tcW w:w="1500" w:type="dxa"/>
            <w:tcBorders>
              <w:tl2br w:val="nil"/>
              <w:tr2bl w:val="nil"/>
            </w:tcBorders>
            <w:noWrap w:val="0"/>
            <w:vAlign w:val="center"/>
          </w:tcPr>
          <w:p w14:paraId="60AB85C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25" w:type="dxa"/>
            <w:tcBorders>
              <w:tl2br w:val="nil"/>
              <w:tr2bl w:val="nil"/>
            </w:tcBorders>
            <w:noWrap w:val="0"/>
            <w:vAlign w:val="center"/>
          </w:tcPr>
          <w:p w14:paraId="39A812B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4.886</w:t>
            </w:r>
          </w:p>
        </w:tc>
        <w:tc>
          <w:tcPr>
            <w:tcW w:w="1516" w:type="dxa"/>
            <w:tcBorders>
              <w:tl2br w:val="nil"/>
              <w:tr2bl w:val="nil"/>
            </w:tcBorders>
            <w:noWrap w:val="0"/>
            <w:vAlign w:val="center"/>
          </w:tcPr>
          <w:p w14:paraId="5893307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4.886</w:t>
            </w:r>
          </w:p>
        </w:tc>
      </w:tr>
      <w:tr w14:paraId="4ED3D7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3" w:type="dxa"/>
            <w:vMerge w:val="continue"/>
            <w:tcBorders>
              <w:tl2br w:val="nil"/>
              <w:tr2bl w:val="nil"/>
            </w:tcBorders>
            <w:noWrap w:val="0"/>
            <w:vAlign w:val="center"/>
          </w:tcPr>
          <w:p w14:paraId="70F9ED68">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cs="Times New Roman"/>
                <w:snapToGrid w:val="0"/>
                <w:color w:val="auto"/>
                <w:kern w:val="21"/>
                <w:sz w:val="21"/>
                <w:szCs w:val="21"/>
              </w:rPr>
            </w:pPr>
          </w:p>
        </w:tc>
        <w:tc>
          <w:tcPr>
            <w:tcW w:w="1674" w:type="dxa"/>
            <w:tcBorders>
              <w:tl2br w:val="nil"/>
              <w:tr2bl w:val="nil"/>
            </w:tcBorders>
            <w:noWrap w:val="0"/>
            <w:vAlign w:val="center"/>
          </w:tcPr>
          <w:p w14:paraId="3F492E4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color w:val="auto"/>
                <w:sz w:val="21"/>
                <w:szCs w:val="21"/>
                <w:lang w:val="en-US" w:eastAsia="zh-CN"/>
              </w:rPr>
              <w:t>锅炉废气处理除尘灰</w:t>
            </w:r>
          </w:p>
        </w:tc>
        <w:tc>
          <w:tcPr>
            <w:tcW w:w="1567" w:type="dxa"/>
            <w:tcBorders>
              <w:tl2br w:val="nil"/>
              <w:tr2bl w:val="nil"/>
            </w:tcBorders>
            <w:noWrap w:val="0"/>
            <w:vAlign w:val="center"/>
          </w:tcPr>
          <w:p w14:paraId="5E99889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312" w:type="dxa"/>
            <w:tcBorders>
              <w:tl2br w:val="nil"/>
              <w:tr2bl w:val="nil"/>
            </w:tcBorders>
            <w:noWrap w:val="0"/>
            <w:vAlign w:val="center"/>
          </w:tcPr>
          <w:p w14:paraId="7E84BCA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669" w:type="dxa"/>
            <w:tcBorders>
              <w:tl2br w:val="nil"/>
              <w:tr2bl w:val="nil"/>
            </w:tcBorders>
            <w:noWrap w:val="0"/>
            <w:vAlign w:val="center"/>
          </w:tcPr>
          <w:p w14:paraId="763B27F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542" w:type="dxa"/>
            <w:tcBorders>
              <w:tl2br w:val="nil"/>
              <w:tr2bl w:val="nil"/>
            </w:tcBorders>
            <w:noWrap w:val="0"/>
            <w:vAlign w:val="center"/>
          </w:tcPr>
          <w:p w14:paraId="4C83F47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 xml:space="preserve">76.397 </w:t>
            </w:r>
          </w:p>
        </w:tc>
        <w:tc>
          <w:tcPr>
            <w:tcW w:w="1500" w:type="dxa"/>
            <w:tcBorders>
              <w:tl2br w:val="nil"/>
              <w:tr2bl w:val="nil"/>
            </w:tcBorders>
            <w:noWrap w:val="0"/>
            <w:vAlign w:val="center"/>
          </w:tcPr>
          <w:p w14:paraId="0796C53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25" w:type="dxa"/>
            <w:tcBorders>
              <w:tl2br w:val="nil"/>
              <w:tr2bl w:val="nil"/>
            </w:tcBorders>
            <w:noWrap w:val="0"/>
            <w:vAlign w:val="center"/>
          </w:tcPr>
          <w:p w14:paraId="6333E3E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 xml:space="preserve">76.397 </w:t>
            </w:r>
          </w:p>
        </w:tc>
        <w:tc>
          <w:tcPr>
            <w:tcW w:w="1516" w:type="dxa"/>
            <w:tcBorders>
              <w:tl2br w:val="nil"/>
              <w:tr2bl w:val="nil"/>
            </w:tcBorders>
            <w:noWrap w:val="0"/>
            <w:vAlign w:val="center"/>
          </w:tcPr>
          <w:p w14:paraId="32690A8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 xml:space="preserve">76.397 </w:t>
            </w:r>
          </w:p>
        </w:tc>
      </w:tr>
      <w:tr w14:paraId="174F86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3" w:type="dxa"/>
            <w:vMerge w:val="continue"/>
            <w:tcBorders>
              <w:tl2br w:val="nil"/>
              <w:tr2bl w:val="nil"/>
            </w:tcBorders>
            <w:noWrap w:val="0"/>
            <w:vAlign w:val="center"/>
          </w:tcPr>
          <w:p w14:paraId="278E0E3F">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cs="Times New Roman"/>
                <w:snapToGrid w:val="0"/>
                <w:color w:val="auto"/>
                <w:kern w:val="21"/>
                <w:sz w:val="21"/>
                <w:szCs w:val="21"/>
              </w:rPr>
            </w:pPr>
          </w:p>
        </w:tc>
        <w:tc>
          <w:tcPr>
            <w:tcW w:w="1674" w:type="dxa"/>
            <w:tcBorders>
              <w:tl2br w:val="nil"/>
              <w:tr2bl w:val="nil"/>
            </w:tcBorders>
            <w:noWrap w:val="0"/>
            <w:vAlign w:val="center"/>
          </w:tcPr>
          <w:p w14:paraId="01D954D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color w:val="auto"/>
                <w:sz w:val="21"/>
                <w:szCs w:val="21"/>
                <w:lang w:val="en-US" w:eastAsia="zh-CN"/>
              </w:rPr>
              <w:t>离子交换树脂</w:t>
            </w:r>
          </w:p>
        </w:tc>
        <w:tc>
          <w:tcPr>
            <w:tcW w:w="1567" w:type="dxa"/>
            <w:tcBorders>
              <w:tl2br w:val="nil"/>
              <w:tr2bl w:val="nil"/>
            </w:tcBorders>
            <w:noWrap w:val="0"/>
            <w:vAlign w:val="center"/>
          </w:tcPr>
          <w:p w14:paraId="4D0333F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312" w:type="dxa"/>
            <w:tcBorders>
              <w:tl2br w:val="nil"/>
              <w:tr2bl w:val="nil"/>
            </w:tcBorders>
            <w:noWrap w:val="0"/>
            <w:vAlign w:val="center"/>
          </w:tcPr>
          <w:p w14:paraId="204EC4B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669" w:type="dxa"/>
            <w:tcBorders>
              <w:tl2br w:val="nil"/>
              <w:tr2bl w:val="nil"/>
            </w:tcBorders>
            <w:noWrap w:val="0"/>
            <w:vAlign w:val="center"/>
          </w:tcPr>
          <w:p w14:paraId="0CAD2D2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542" w:type="dxa"/>
            <w:tcBorders>
              <w:tl2br w:val="nil"/>
              <w:tr2bl w:val="nil"/>
            </w:tcBorders>
            <w:noWrap w:val="0"/>
            <w:vAlign w:val="center"/>
          </w:tcPr>
          <w:p w14:paraId="457F2FB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21"/>
                <w:sz w:val="21"/>
                <w:szCs w:val="21"/>
              </w:rPr>
            </w:pPr>
            <w:r>
              <w:rPr>
                <w:rFonts w:hint="eastAsia" w:ascii="Times New Roman" w:hAnsi="Times New Roman" w:cs="Times New Roman"/>
                <w:color w:val="auto"/>
                <w:sz w:val="21"/>
                <w:szCs w:val="21"/>
                <w:lang w:val="en-US" w:eastAsia="zh-CN"/>
              </w:rPr>
              <w:t>0.3</w:t>
            </w:r>
          </w:p>
        </w:tc>
        <w:tc>
          <w:tcPr>
            <w:tcW w:w="1500" w:type="dxa"/>
            <w:tcBorders>
              <w:tl2br w:val="nil"/>
              <w:tr2bl w:val="nil"/>
            </w:tcBorders>
            <w:noWrap w:val="0"/>
            <w:vAlign w:val="center"/>
          </w:tcPr>
          <w:p w14:paraId="2709664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25" w:type="dxa"/>
            <w:tcBorders>
              <w:tl2br w:val="nil"/>
              <w:tr2bl w:val="nil"/>
            </w:tcBorders>
            <w:noWrap w:val="0"/>
            <w:vAlign w:val="center"/>
          </w:tcPr>
          <w:p w14:paraId="4016625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21"/>
                <w:sz w:val="21"/>
                <w:szCs w:val="21"/>
              </w:rPr>
            </w:pPr>
            <w:r>
              <w:rPr>
                <w:rFonts w:hint="eastAsia" w:ascii="Times New Roman" w:hAnsi="Times New Roman" w:cs="Times New Roman"/>
                <w:color w:val="auto"/>
                <w:sz w:val="21"/>
                <w:szCs w:val="21"/>
                <w:lang w:val="en-US" w:eastAsia="zh-CN"/>
              </w:rPr>
              <w:t>0.3</w:t>
            </w:r>
          </w:p>
        </w:tc>
        <w:tc>
          <w:tcPr>
            <w:tcW w:w="1516" w:type="dxa"/>
            <w:tcBorders>
              <w:tl2br w:val="nil"/>
              <w:tr2bl w:val="nil"/>
            </w:tcBorders>
            <w:noWrap w:val="0"/>
            <w:vAlign w:val="center"/>
          </w:tcPr>
          <w:p w14:paraId="65F5B80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21"/>
                <w:sz w:val="21"/>
                <w:szCs w:val="21"/>
              </w:rPr>
            </w:pPr>
            <w:r>
              <w:rPr>
                <w:rFonts w:hint="eastAsia" w:ascii="Times New Roman" w:hAnsi="Times New Roman" w:cs="Times New Roman"/>
                <w:color w:val="auto"/>
                <w:sz w:val="21"/>
                <w:szCs w:val="21"/>
                <w:lang w:val="en-US" w:eastAsia="zh-CN"/>
              </w:rPr>
              <w:t>0.3</w:t>
            </w:r>
          </w:p>
        </w:tc>
      </w:tr>
      <w:tr w14:paraId="2BED2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3" w:type="dxa"/>
            <w:vMerge w:val="restart"/>
            <w:tcBorders>
              <w:tl2br w:val="nil"/>
              <w:tr2bl w:val="nil"/>
            </w:tcBorders>
            <w:noWrap w:val="0"/>
            <w:vAlign w:val="center"/>
          </w:tcPr>
          <w:p w14:paraId="50EB53C8">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危险废物</w:t>
            </w:r>
          </w:p>
        </w:tc>
        <w:tc>
          <w:tcPr>
            <w:tcW w:w="1674" w:type="dxa"/>
            <w:tcBorders>
              <w:tl2br w:val="nil"/>
              <w:tr2bl w:val="nil"/>
            </w:tcBorders>
            <w:shd w:val="clear" w:color="auto" w:fill="auto"/>
            <w:noWrap w:val="0"/>
            <w:vAlign w:val="center"/>
          </w:tcPr>
          <w:p w14:paraId="61BC16FB">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cs="Calibri"/>
                <w:color w:val="auto"/>
                <w:sz w:val="21"/>
                <w:szCs w:val="21"/>
              </w:rPr>
              <w:t>废吸油布</w:t>
            </w:r>
          </w:p>
        </w:tc>
        <w:tc>
          <w:tcPr>
            <w:tcW w:w="1567" w:type="dxa"/>
            <w:tcBorders>
              <w:tl2br w:val="nil"/>
              <w:tr2bl w:val="nil"/>
            </w:tcBorders>
            <w:shd w:val="clear" w:color="auto" w:fill="auto"/>
            <w:noWrap w:val="0"/>
            <w:vAlign w:val="center"/>
          </w:tcPr>
          <w:p w14:paraId="07E1ADE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p>
        </w:tc>
        <w:tc>
          <w:tcPr>
            <w:tcW w:w="1312" w:type="dxa"/>
            <w:tcBorders>
              <w:tl2br w:val="nil"/>
              <w:tr2bl w:val="nil"/>
            </w:tcBorders>
            <w:shd w:val="clear" w:color="auto" w:fill="auto"/>
            <w:noWrap w:val="0"/>
            <w:vAlign w:val="center"/>
          </w:tcPr>
          <w:p w14:paraId="4AD7227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p>
        </w:tc>
        <w:tc>
          <w:tcPr>
            <w:tcW w:w="1669" w:type="dxa"/>
            <w:tcBorders>
              <w:tl2br w:val="nil"/>
              <w:tr2bl w:val="nil"/>
            </w:tcBorders>
            <w:shd w:val="clear" w:color="auto" w:fill="auto"/>
            <w:noWrap w:val="0"/>
            <w:vAlign w:val="center"/>
          </w:tcPr>
          <w:p w14:paraId="2D0C65F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p>
        </w:tc>
        <w:tc>
          <w:tcPr>
            <w:tcW w:w="1542" w:type="dxa"/>
            <w:tcBorders>
              <w:tl2br w:val="nil"/>
              <w:tr2bl w:val="nil"/>
            </w:tcBorders>
            <w:shd w:val="clear" w:color="auto" w:fill="auto"/>
            <w:noWrap w:val="0"/>
            <w:vAlign w:val="center"/>
          </w:tcPr>
          <w:p w14:paraId="1B12B988">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cs="Calibri"/>
                <w:color w:val="auto"/>
                <w:kern w:val="2"/>
                <w:sz w:val="21"/>
                <w:szCs w:val="21"/>
                <w:lang w:val="en-US" w:eastAsia="zh-CN" w:bidi="ar-SA"/>
              </w:rPr>
              <w:t>0.15</w:t>
            </w:r>
          </w:p>
        </w:tc>
        <w:tc>
          <w:tcPr>
            <w:tcW w:w="1500" w:type="dxa"/>
            <w:tcBorders>
              <w:tl2br w:val="nil"/>
              <w:tr2bl w:val="nil"/>
            </w:tcBorders>
            <w:shd w:val="clear" w:color="auto" w:fill="auto"/>
            <w:noWrap w:val="0"/>
            <w:vAlign w:val="center"/>
          </w:tcPr>
          <w:p w14:paraId="7B407C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p>
        </w:tc>
        <w:tc>
          <w:tcPr>
            <w:tcW w:w="1725" w:type="dxa"/>
            <w:tcBorders>
              <w:tl2br w:val="nil"/>
              <w:tr2bl w:val="nil"/>
            </w:tcBorders>
            <w:shd w:val="clear" w:color="auto" w:fill="auto"/>
            <w:noWrap w:val="0"/>
            <w:vAlign w:val="center"/>
          </w:tcPr>
          <w:p w14:paraId="19E72E31">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cs="Calibri"/>
                <w:color w:val="auto"/>
                <w:kern w:val="2"/>
                <w:sz w:val="21"/>
                <w:szCs w:val="21"/>
                <w:lang w:val="en-US" w:eastAsia="zh-CN" w:bidi="ar-SA"/>
              </w:rPr>
              <w:t>0.15</w:t>
            </w:r>
          </w:p>
        </w:tc>
        <w:tc>
          <w:tcPr>
            <w:tcW w:w="1516" w:type="dxa"/>
            <w:tcBorders>
              <w:tl2br w:val="nil"/>
              <w:tr2bl w:val="nil"/>
            </w:tcBorders>
            <w:shd w:val="clear" w:color="auto" w:fill="auto"/>
            <w:noWrap w:val="0"/>
            <w:vAlign w:val="center"/>
          </w:tcPr>
          <w:p w14:paraId="0889F827">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cs="Calibri"/>
                <w:color w:val="auto"/>
                <w:kern w:val="2"/>
                <w:sz w:val="21"/>
                <w:szCs w:val="21"/>
                <w:lang w:val="en-US" w:eastAsia="zh-CN" w:bidi="ar-SA"/>
              </w:rPr>
              <w:t>0.15</w:t>
            </w:r>
          </w:p>
        </w:tc>
      </w:tr>
      <w:tr w14:paraId="19D937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3" w:type="dxa"/>
            <w:vMerge w:val="continue"/>
            <w:tcBorders>
              <w:tl2br w:val="nil"/>
              <w:tr2bl w:val="nil"/>
            </w:tcBorders>
            <w:noWrap w:val="0"/>
            <w:vAlign w:val="center"/>
          </w:tcPr>
          <w:p w14:paraId="1D3D2B93">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cs="Times New Roman"/>
                <w:snapToGrid w:val="0"/>
                <w:color w:val="auto"/>
                <w:kern w:val="21"/>
                <w:sz w:val="21"/>
                <w:szCs w:val="21"/>
              </w:rPr>
            </w:pPr>
          </w:p>
        </w:tc>
        <w:tc>
          <w:tcPr>
            <w:tcW w:w="1674" w:type="dxa"/>
            <w:tcBorders>
              <w:tl2br w:val="nil"/>
              <w:tr2bl w:val="nil"/>
            </w:tcBorders>
            <w:shd w:val="clear" w:color="auto" w:fill="auto"/>
            <w:noWrap w:val="0"/>
            <w:vAlign w:val="center"/>
          </w:tcPr>
          <w:p w14:paraId="66858BB5">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Calibri"/>
                <w:snapToGrid w:val="0"/>
                <w:color w:val="auto"/>
                <w:kern w:val="21"/>
                <w:sz w:val="21"/>
                <w:szCs w:val="21"/>
                <w:lang w:val="en-US" w:eastAsia="zh-CN" w:bidi="ar-SA"/>
              </w:rPr>
            </w:pPr>
            <w:r>
              <w:rPr>
                <w:rFonts w:hint="eastAsia" w:ascii="Times New Roman" w:hAnsi="Times New Roman" w:cs="Calibri"/>
                <w:snapToGrid w:val="0"/>
                <w:color w:val="auto"/>
                <w:kern w:val="21"/>
                <w:sz w:val="21"/>
                <w:szCs w:val="21"/>
                <w:lang w:val="en-US" w:eastAsia="zh-CN"/>
              </w:rPr>
              <w:t>废活性炭</w:t>
            </w:r>
          </w:p>
        </w:tc>
        <w:tc>
          <w:tcPr>
            <w:tcW w:w="1567" w:type="dxa"/>
            <w:tcBorders>
              <w:tl2br w:val="nil"/>
              <w:tr2bl w:val="nil"/>
            </w:tcBorders>
            <w:shd w:val="clear" w:color="auto" w:fill="auto"/>
            <w:noWrap w:val="0"/>
            <w:vAlign w:val="center"/>
          </w:tcPr>
          <w:p w14:paraId="46213C4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Calibri"/>
                <w:snapToGrid w:val="0"/>
                <w:color w:val="auto"/>
                <w:kern w:val="21"/>
                <w:sz w:val="21"/>
                <w:szCs w:val="21"/>
                <w:lang w:val="en-US" w:eastAsia="zh-CN" w:bidi="ar-SA"/>
              </w:rPr>
            </w:pPr>
          </w:p>
        </w:tc>
        <w:tc>
          <w:tcPr>
            <w:tcW w:w="1312" w:type="dxa"/>
            <w:tcBorders>
              <w:tl2br w:val="nil"/>
              <w:tr2bl w:val="nil"/>
            </w:tcBorders>
            <w:shd w:val="clear" w:color="auto" w:fill="auto"/>
            <w:noWrap w:val="0"/>
            <w:vAlign w:val="center"/>
          </w:tcPr>
          <w:p w14:paraId="4A3A813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Calibri"/>
                <w:snapToGrid w:val="0"/>
                <w:color w:val="auto"/>
                <w:kern w:val="21"/>
                <w:sz w:val="21"/>
                <w:szCs w:val="21"/>
                <w:lang w:val="en-US" w:eastAsia="zh-CN" w:bidi="ar-SA"/>
              </w:rPr>
            </w:pPr>
          </w:p>
        </w:tc>
        <w:tc>
          <w:tcPr>
            <w:tcW w:w="1669" w:type="dxa"/>
            <w:tcBorders>
              <w:tl2br w:val="nil"/>
              <w:tr2bl w:val="nil"/>
            </w:tcBorders>
            <w:shd w:val="clear" w:color="auto" w:fill="auto"/>
            <w:noWrap w:val="0"/>
            <w:vAlign w:val="center"/>
          </w:tcPr>
          <w:p w14:paraId="028BEA8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Calibri"/>
                <w:snapToGrid w:val="0"/>
                <w:color w:val="auto"/>
                <w:kern w:val="21"/>
                <w:sz w:val="21"/>
                <w:szCs w:val="21"/>
                <w:lang w:val="en-US" w:eastAsia="zh-CN" w:bidi="ar-SA"/>
              </w:rPr>
            </w:pPr>
          </w:p>
        </w:tc>
        <w:tc>
          <w:tcPr>
            <w:tcW w:w="1542" w:type="dxa"/>
            <w:tcBorders>
              <w:tl2br w:val="nil"/>
              <w:tr2bl w:val="nil"/>
            </w:tcBorders>
            <w:shd w:val="clear" w:color="auto" w:fill="auto"/>
            <w:noWrap w:val="0"/>
            <w:vAlign w:val="center"/>
          </w:tcPr>
          <w:p w14:paraId="6DB6D5DA">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Calibri"/>
                <w:snapToGrid w:val="0"/>
                <w:color w:val="auto"/>
                <w:kern w:val="21"/>
                <w:sz w:val="21"/>
                <w:szCs w:val="21"/>
                <w:lang w:val="en-US" w:eastAsia="zh-CN" w:bidi="ar-SA"/>
              </w:rPr>
            </w:pPr>
            <w:r>
              <w:rPr>
                <w:rFonts w:hint="eastAsia" w:cs="Calibri"/>
                <w:color w:val="auto"/>
                <w:sz w:val="21"/>
                <w:szCs w:val="21"/>
                <w:lang w:val="en-US" w:eastAsia="zh-CN"/>
              </w:rPr>
              <w:t>2</w:t>
            </w:r>
          </w:p>
        </w:tc>
        <w:tc>
          <w:tcPr>
            <w:tcW w:w="1500" w:type="dxa"/>
            <w:tcBorders>
              <w:tl2br w:val="nil"/>
              <w:tr2bl w:val="nil"/>
            </w:tcBorders>
            <w:shd w:val="clear" w:color="auto" w:fill="auto"/>
            <w:noWrap w:val="0"/>
            <w:vAlign w:val="center"/>
          </w:tcPr>
          <w:p w14:paraId="33CC4BA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Calibri"/>
                <w:snapToGrid w:val="0"/>
                <w:color w:val="auto"/>
                <w:kern w:val="21"/>
                <w:sz w:val="21"/>
                <w:szCs w:val="21"/>
                <w:lang w:val="en-US" w:eastAsia="zh-CN" w:bidi="ar-SA"/>
              </w:rPr>
            </w:pPr>
          </w:p>
        </w:tc>
        <w:tc>
          <w:tcPr>
            <w:tcW w:w="1725" w:type="dxa"/>
            <w:tcBorders>
              <w:tl2br w:val="nil"/>
              <w:tr2bl w:val="nil"/>
            </w:tcBorders>
            <w:shd w:val="clear" w:color="auto" w:fill="auto"/>
            <w:noWrap w:val="0"/>
            <w:vAlign w:val="center"/>
          </w:tcPr>
          <w:p w14:paraId="683A9B0B">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Calibri"/>
                <w:snapToGrid w:val="0"/>
                <w:color w:val="auto"/>
                <w:kern w:val="21"/>
                <w:sz w:val="21"/>
                <w:szCs w:val="21"/>
                <w:lang w:val="en-US" w:eastAsia="zh-CN" w:bidi="ar-SA"/>
              </w:rPr>
            </w:pPr>
            <w:r>
              <w:rPr>
                <w:rFonts w:hint="eastAsia" w:cs="Calibri"/>
                <w:color w:val="auto"/>
                <w:sz w:val="21"/>
                <w:szCs w:val="21"/>
                <w:lang w:val="en-US" w:eastAsia="zh-CN"/>
              </w:rPr>
              <w:t>2</w:t>
            </w:r>
          </w:p>
        </w:tc>
        <w:tc>
          <w:tcPr>
            <w:tcW w:w="1516" w:type="dxa"/>
            <w:tcBorders>
              <w:tl2br w:val="nil"/>
              <w:tr2bl w:val="nil"/>
            </w:tcBorders>
            <w:shd w:val="clear" w:color="auto" w:fill="auto"/>
            <w:noWrap w:val="0"/>
            <w:vAlign w:val="center"/>
          </w:tcPr>
          <w:p w14:paraId="7E9507C9">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Calibri"/>
                <w:snapToGrid w:val="0"/>
                <w:color w:val="auto"/>
                <w:kern w:val="21"/>
                <w:sz w:val="21"/>
                <w:szCs w:val="21"/>
                <w:lang w:val="en-US" w:eastAsia="zh-CN" w:bidi="ar-SA"/>
              </w:rPr>
            </w:pPr>
            <w:r>
              <w:rPr>
                <w:rFonts w:hint="eastAsia" w:cs="Calibri"/>
                <w:color w:val="auto"/>
                <w:sz w:val="21"/>
                <w:szCs w:val="21"/>
                <w:lang w:val="en-US" w:eastAsia="zh-CN"/>
              </w:rPr>
              <w:t>2</w:t>
            </w:r>
          </w:p>
        </w:tc>
      </w:tr>
      <w:tr w14:paraId="7EA590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3" w:type="dxa"/>
            <w:vMerge w:val="continue"/>
            <w:tcBorders>
              <w:tl2br w:val="nil"/>
              <w:tr2bl w:val="nil"/>
            </w:tcBorders>
            <w:noWrap w:val="0"/>
            <w:vAlign w:val="center"/>
          </w:tcPr>
          <w:p w14:paraId="3FDBA282">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napToGrid w:val="0"/>
                <w:color w:val="auto"/>
                <w:kern w:val="21"/>
                <w:sz w:val="21"/>
                <w:szCs w:val="21"/>
              </w:rPr>
            </w:pPr>
          </w:p>
        </w:tc>
        <w:tc>
          <w:tcPr>
            <w:tcW w:w="1674" w:type="dxa"/>
            <w:tcBorders>
              <w:tl2br w:val="nil"/>
              <w:tr2bl w:val="nil"/>
            </w:tcBorders>
            <w:noWrap w:val="0"/>
            <w:vAlign w:val="center"/>
          </w:tcPr>
          <w:p w14:paraId="121091F5">
            <w:pPr>
              <w:pStyle w:val="49"/>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Calibri"/>
                <w:snapToGrid w:val="0"/>
                <w:color w:val="auto"/>
                <w:kern w:val="21"/>
                <w:sz w:val="21"/>
                <w:szCs w:val="21"/>
                <w:lang w:val="en-US" w:eastAsia="zh-CN"/>
              </w:rPr>
            </w:pPr>
            <w:r>
              <w:rPr>
                <w:rFonts w:hint="eastAsia" w:ascii="Times New Roman" w:hAnsi="Times New Roman" w:cs="Calibri"/>
                <w:snapToGrid w:val="0"/>
                <w:color w:val="auto"/>
                <w:kern w:val="21"/>
                <w:sz w:val="21"/>
                <w:szCs w:val="21"/>
                <w:lang w:val="en-US" w:eastAsia="zh-CN"/>
              </w:rPr>
              <w:t>废机油</w:t>
            </w:r>
          </w:p>
        </w:tc>
        <w:tc>
          <w:tcPr>
            <w:tcW w:w="1567" w:type="dxa"/>
            <w:tcBorders>
              <w:tl2br w:val="nil"/>
              <w:tr2bl w:val="nil"/>
            </w:tcBorders>
            <w:noWrap w:val="0"/>
            <w:vAlign w:val="center"/>
          </w:tcPr>
          <w:p w14:paraId="514DD0C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Calibri"/>
                <w:snapToGrid w:val="0"/>
                <w:color w:val="auto"/>
                <w:kern w:val="21"/>
                <w:sz w:val="21"/>
                <w:szCs w:val="21"/>
              </w:rPr>
            </w:pPr>
          </w:p>
        </w:tc>
        <w:tc>
          <w:tcPr>
            <w:tcW w:w="1312" w:type="dxa"/>
            <w:tcBorders>
              <w:tl2br w:val="nil"/>
              <w:tr2bl w:val="nil"/>
            </w:tcBorders>
            <w:noWrap w:val="0"/>
            <w:vAlign w:val="center"/>
          </w:tcPr>
          <w:p w14:paraId="2B099EC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Calibri"/>
                <w:snapToGrid w:val="0"/>
                <w:color w:val="auto"/>
                <w:kern w:val="21"/>
                <w:sz w:val="21"/>
                <w:szCs w:val="21"/>
              </w:rPr>
            </w:pPr>
          </w:p>
        </w:tc>
        <w:tc>
          <w:tcPr>
            <w:tcW w:w="1669" w:type="dxa"/>
            <w:tcBorders>
              <w:tl2br w:val="nil"/>
              <w:tr2bl w:val="nil"/>
            </w:tcBorders>
            <w:noWrap w:val="0"/>
            <w:vAlign w:val="center"/>
          </w:tcPr>
          <w:p w14:paraId="1A21A12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Calibri"/>
                <w:snapToGrid w:val="0"/>
                <w:color w:val="auto"/>
                <w:kern w:val="21"/>
                <w:sz w:val="21"/>
                <w:szCs w:val="21"/>
              </w:rPr>
            </w:pPr>
          </w:p>
        </w:tc>
        <w:tc>
          <w:tcPr>
            <w:tcW w:w="1542" w:type="dxa"/>
            <w:tcBorders>
              <w:tl2br w:val="nil"/>
              <w:tr2bl w:val="nil"/>
            </w:tcBorders>
            <w:noWrap w:val="0"/>
            <w:vAlign w:val="center"/>
          </w:tcPr>
          <w:p w14:paraId="0163EAF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Calibri"/>
                <w:snapToGrid w:val="0"/>
                <w:color w:val="auto"/>
                <w:kern w:val="21"/>
                <w:sz w:val="21"/>
                <w:szCs w:val="21"/>
              </w:rPr>
            </w:pPr>
            <w:r>
              <w:rPr>
                <w:rFonts w:hint="eastAsia" w:ascii="Times New Roman" w:hAnsi="Times New Roman" w:cs="Calibri"/>
                <w:color w:val="auto"/>
                <w:sz w:val="21"/>
                <w:szCs w:val="21"/>
                <w:lang w:val="en-US" w:eastAsia="zh-CN"/>
              </w:rPr>
              <w:t>0.01</w:t>
            </w:r>
          </w:p>
        </w:tc>
        <w:tc>
          <w:tcPr>
            <w:tcW w:w="1500" w:type="dxa"/>
            <w:tcBorders>
              <w:tl2br w:val="nil"/>
              <w:tr2bl w:val="nil"/>
            </w:tcBorders>
            <w:noWrap w:val="0"/>
            <w:vAlign w:val="center"/>
          </w:tcPr>
          <w:p w14:paraId="3B23C22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Calibri"/>
                <w:snapToGrid w:val="0"/>
                <w:color w:val="auto"/>
                <w:kern w:val="21"/>
                <w:sz w:val="21"/>
                <w:szCs w:val="21"/>
              </w:rPr>
            </w:pPr>
          </w:p>
        </w:tc>
        <w:tc>
          <w:tcPr>
            <w:tcW w:w="1725" w:type="dxa"/>
            <w:tcBorders>
              <w:tl2br w:val="nil"/>
              <w:tr2bl w:val="nil"/>
            </w:tcBorders>
            <w:noWrap w:val="0"/>
            <w:vAlign w:val="center"/>
          </w:tcPr>
          <w:p w14:paraId="68045A4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Calibri"/>
                <w:snapToGrid w:val="0"/>
                <w:color w:val="auto"/>
                <w:kern w:val="21"/>
                <w:sz w:val="21"/>
                <w:szCs w:val="21"/>
              </w:rPr>
            </w:pPr>
            <w:r>
              <w:rPr>
                <w:rFonts w:hint="eastAsia" w:ascii="Times New Roman" w:hAnsi="Times New Roman" w:cs="Calibri"/>
                <w:color w:val="auto"/>
                <w:sz w:val="21"/>
                <w:szCs w:val="21"/>
                <w:lang w:val="en-US" w:eastAsia="zh-CN"/>
              </w:rPr>
              <w:t>0.01</w:t>
            </w:r>
          </w:p>
        </w:tc>
        <w:tc>
          <w:tcPr>
            <w:tcW w:w="1516" w:type="dxa"/>
            <w:tcBorders>
              <w:tl2br w:val="nil"/>
              <w:tr2bl w:val="nil"/>
            </w:tcBorders>
            <w:noWrap w:val="0"/>
            <w:vAlign w:val="center"/>
          </w:tcPr>
          <w:p w14:paraId="74B20AAE">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Calibri"/>
                <w:snapToGrid w:val="0"/>
                <w:color w:val="auto"/>
                <w:kern w:val="21"/>
                <w:sz w:val="21"/>
                <w:szCs w:val="21"/>
              </w:rPr>
            </w:pPr>
            <w:r>
              <w:rPr>
                <w:rFonts w:hint="eastAsia" w:ascii="Times New Roman" w:hAnsi="Times New Roman" w:cs="Calibri"/>
                <w:color w:val="auto"/>
                <w:sz w:val="21"/>
                <w:szCs w:val="21"/>
                <w:lang w:val="en-US" w:eastAsia="zh-CN"/>
              </w:rPr>
              <w:t>0.01</w:t>
            </w:r>
          </w:p>
        </w:tc>
      </w:tr>
    </w:tbl>
    <w:p w14:paraId="693AC9CD">
      <w:pPr>
        <w:pStyle w:val="49"/>
        <w:keepNext w:val="0"/>
        <w:keepLines w:val="0"/>
        <w:pageBreakBefore w:val="0"/>
        <w:widowControl w:val="0"/>
        <w:kinsoku/>
        <w:wordWrap/>
        <w:overflowPunct/>
        <w:topLinePunct w:val="0"/>
        <w:autoSpaceDE/>
        <w:autoSpaceDN/>
        <w:bidi w:val="0"/>
        <w:spacing w:before="192" w:beforeLines="80" w:after="24" w:line="240" w:lineRule="auto"/>
        <w:ind w:left="0" w:hanging="600"/>
        <w:jc w:val="left"/>
        <w:textAlignment w:val="auto"/>
        <w:rPr>
          <w:rFonts w:hint="eastAsia" w:ascii="Times New Roman"/>
          <w:snapToGrid w:val="0"/>
          <w:color w:val="auto"/>
          <w:spacing w:val="-6"/>
          <w:kern w:val="21"/>
          <w:sz w:val="21"/>
          <w:szCs w:val="21"/>
        </w:rPr>
      </w:pPr>
      <w:r>
        <w:rPr>
          <w:rFonts w:ascii="Times New Roman"/>
          <w:snapToGrid w:val="0"/>
          <w:color w:val="auto"/>
          <w:kern w:val="21"/>
          <w:sz w:val="21"/>
          <w:szCs w:val="21"/>
        </w:rPr>
        <w:t>注：</w:t>
      </w:r>
      <w:r>
        <w:rPr>
          <w:rFonts w:ascii="Times New Roman"/>
          <w:snapToGrid w:val="0"/>
          <w:color w:val="auto"/>
          <w:spacing w:val="-16"/>
          <w:kern w:val="21"/>
          <w:sz w:val="21"/>
          <w:szCs w:val="21"/>
        </w:rPr>
        <w:fldChar w:fldCharType="begin"/>
      </w:r>
      <w:r>
        <w:rPr>
          <w:rFonts w:ascii="Times New Roman"/>
          <w:snapToGrid w:val="0"/>
          <w:color w:val="auto"/>
          <w:spacing w:val="-16"/>
          <w:kern w:val="21"/>
          <w:sz w:val="21"/>
          <w:szCs w:val="21"/>
        </w:rPr>
        <w:instrText xml:space="preserve"> = 6 \* GB3 \* MERGEFORMAT </w:instrText>
      </w:r>
      <w:r>
        <w:rPr>
          <w:rFonts w:ascii="Times New Roman"/>
          <w:snapToGrid w:val="0"/>
          <w:color w:val="auto"/>
          <w:spacing w:val="-16"/>
          <w:kern w:val="21"/>
          <w:sz w:val="21"/>
          <w:szCs w:val="21"/>
        </w:rPr>
        <w:fldChar w:fldCharType="separate"/>
      </w:r>
      <w:r>
        <w:rPr>
          <w:rFonts w:hint="eastAsia" w:ascii="Times New Roman"/>
          <w:color w:val="auto"/>
          <w:sz w:val="21"/>
          <w:szCs w:val="21"/>
        </w:rPr>
        <w:t>⑥</w:t>
      </w:r>
      <w:r>
        <w:rPr>
          <w:rFonts w:ascii="Times New Roman"/>
          <w:snapToGrid w:val="0"/>
          <w:color w:val="auto"/>
          <w:spacing w:val="-16"/>
          <w:kern w:val="21"/>
          <w:sz w:val="21"/>
          <w:szCs w:val="21"/>
        </w:rPr>
        <w:fldChar w:fldCharType="end"/>
      </w:r>
      <w:r>
        <w:rPr>
          <w:rFonts w:ascii="Times New Roman"/>
          <w:snapToGrid w:val="0"/>
          <w:color w:val="auto"/>
          <w:spacing w:val="-16"/>
          <w:kern w:val="21"/>
          <w:sz w:val="21"/>
          <w:szCs w:val="21"/>
        </w:rPr>
        <w:t>=</w:t>
      </w: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1 \* GB3 \* MERGEFORMAT </w:instrText>
      </w:r>
      <w:r>
        <w:rPr>
          <w:rFonts w:ascii="Times New Roman"/>
          <w:snapToGrid w:val="0"/>
          <w:color w:val="auto"/>
          <w:spacing w:val="-6"/>
          <w:kern w:val="21"/>
          <w:sz w:val="21"/>
          <w:szCs w:val="21"/>
        </w:rPr>
        <w:fldChar w:fldCharType="separate"/>
      </w:r>
      <w:r>
        <w:rPr>
          <w:rFonts w:hint="eastAsia" w:ascii="Times New Roman"/>
          <w:color w:val="auto"/>
          <w:sz w:val="21"/>
          <w:szCs w:val="21"/>
        </w:rPr>
        <w:t>①</w:t>
      </w:r>
      <w:r>
        <w:rPr>
          <w:rFonts w:ascii="Times New Roman"/>
          <w:snapToGrid w:val="0"/>
          <w:color w:val="auto"/>
          <w:spacing w:val="-6"/>
          <w:kern w:val="21"/>
          <w:sz w:val="21"/>
          <w:szCs w:val="21"/>
        </w:rPr>
        <w:fldChar w:fldCharType="end"/>
      </w:r>
      <w:r>
        <w:rPr>
          <w:rFonts w:ascii="Times New Roman"/>
          <w:snapToGrid w:val="0"/>
          <w:color w:val="auto"/>
          <w:spacing w:val="-6"/>
          <w:kern w:val="21"/>
          <w:sz w:val="21"/>
          <w:szCs w:val="21"/>
        </w:rPr>
        <w:t>+</w:t>
      </w: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3 \* GB3 \* MERGEFORMAT </w:instrText>
      </w:r>
      <w:r>
        <w:rPr>
          <w:rFonts w:ascii="Times New Roman"/>
          <w:snapToGrid w:val="0"/>
          <w:color w:val="auto"/>
          <w:spacing w:val="-6"/>
          <w:kern w:val="21"/>
          <w:sz w:val="21"/>
          <w:szCs w:val="21"/>
        </w:rPr>
        <w:fldChar w:fldCharType="separate"/>
      </w:r>
      <w:r>
        <w:rPr>
          <w:rFonts w:hint="eastAsia" w:ascii="Times New Roman"/>
          <w:color w:val="auto"/>
          <w:sz w:val="21"/>
          <w:szCs w:val="21"/>
        </w:rPr>
        <w:t>③</w:t>
      </w:r>
      <w:r>
        <w:rPr>
          <w:rFonts w:ascii="Times New Roman"/>
          <w:snapToGrid w:val="0"/>
          <w:color w:val="auto"/>
          <w:spacing w:val="-6"/>
          <w:kern w:val="21"/>
          <w:sz w:val="21"/>
          <w:szCs w:val="21"/>
        </w:rPr>
        <w:fldChar w:fldCharType="end"/>
      </w:r>
      <w:r>
        <w:rPr>
          <w:rFonts w:ascii="Times New Roman"/>
          <w:snapToGrid w:val="0"/>
          <w:color w:val="auto"/>
          <w:spacing w:val="-6"/>
          <w:kern w:val="21"/>
          <w:sz w:val="21"/>
          <w:szCs w:val="21"/>
        </w:rPr>
        <w:t>+</w:t>
      </w: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4 \* GB3 \* MERGEFORMAT </w:instrText>
      </w:r>
      <w:r>
        <w:rPr>
          <w:rFonts w:ascii="Times New Roman"/>
          <w:snapToGrid w:val="0"/>
          <w:color w:val="auto"/>
          <w:spacing w:val="-6"/>
          <w:kern w:val="21"/>
          <w:sz w:val="21"/>
          <w:szCs w:val="21"/>
        </w:rPr>
        <w:fldChar w:fldCharType="separate"/>
      </w:r>
      <w:r>
        <w:rPr>
          <w:rFonts w:hint="eastAsia" w:ascii="Times New Roman"/>
          <w:color w:val="auto"/>
          <w:sz w:val="21"/>
          <w:szCs w:val="21"/>
        </w:rPr>
        <w:t>④</w:t>
      </w:r>
      <w:r>
        <w:rPr>
          <w:rFonts w:ascii="Times New Roman"/>
          <w:snapToGrid w:val="0"/>
          <w:color w:val="auto"/>
          <w:spacing w:val="-6"/>
          <w:kern w:val="21"/>
          <w:sz w:val="21"/>
          <w:szCs w:val="21"/>
        </w:rPr>
        <w:fldChar w:fldCharType="end"/>
      </w:r>
      <w:r>
        <w:rPr>
          <w:rFonts w:ascii="Times New Roman"/>
          <w:snapToGrid w:val="0"/>
          <w:color w:val="auto"/>
          <w:spacing w:val="-6"/>
          <w:kern w:val="21"/>
          <w:sz w:val="21"/>
          <w:szCs w:val="21"/>
        </w:rPr>
        <w:t>-</w:t>
      </w:r>
      <w:r>
        <w:rPr>
          <w:rFonts w:ascii="Times New Roman"/>
          <w:snapToGrid w:val="0"/>
          <w:color w:val="auto"/>
          <w:spacing w:val="-16"/>
          <w:kern w:val="21"/>
          <w:sz w:val="21"/>
          <w:szCs w:val="21"/>
        </w:rPr>
        <w:fldChar w:fldCharType="begin"/>
      </w:r>
      <w:r>
        <w:rPr>
          <w:rFonts w:ascii="Times New Roman"/>
          <w:snapToGrid w:val="0"/>
          <w:color w:val="auto"/>
          <w:spacing w:val="-16"/>
          <w:kern w:val="21"/>
          <w:sz w:val="21"/>
          <w:szCs w:val="21"/>
        </w:rPr>
        <w:instrText xml:space="preserve"> = 5 \* GB3 \* MERGEFORMAT </w:instrText>
      </w:r>
      <w:r>
        <w:rPr>
          <w:rFonts w:ascii="Times New Roman"/>
          <w:snapToGrid w:val="0"/>
          <w:color w:val="auto"/>
          <w:spacing w:val="-16"/>
          <w:kern w:val="21"/>
          <w:sz w:val="21"/>
          <w:szCs w:val="21"/>
        </w:rPr>
        <w:fldChar w:fldCharType="separate"/>
      </w:r>
      <w:r>
        <w:rPr>
          <w:rFonts w:hint="eastAsia" w:ascii="Times New Roman"/>
          <w:color w:val="auto"/>
          <w:sz w:val="21"/>
          <w:szCs w:val="21"/>
        </w:rPr>
        <w:t>⑤</w:t>
      </w:r>
      <w:r>
        <w:rPr>
          <w:rFonts w:ascii="Times New Roman"/>
          <w:snapToGrid w:val="0"/>
          <w:color w:val="auto"/>
          <w:spacing w:val="-16"/>
          <w:kern w:val="21"/>
          <w:sz w:val="21"/>
          <w:szCs w:val="21"/>
        </w:rPr>
        <w:fldChar w:fldCharType="end"/>
      </w:r>
      <w:r>
        <w:rPr>
          <w:rFonts w:ascii="Times New Roman"/>
          <w:snapToGrid w:val="0"/>
          <w:color w:val="auto"/>
          <w:spacing w:val="-16"/>
          <w:kern w:val="21"/>
          <w:sz w:val="21"/>
          <w:szCs w:val="21"/>
        </w:rPr>
        <w:t>；</w:t>
      </w: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7 \* GB3 \* MERGEFORMAT </w:instrText>
      </w:r>
      <w:r>
        <w:rPr>
          <w:rFonts w:ascii="Times New Roman"/>
          <w:snapToGrid w:val="0"/>
          <w:color w:val="auto"/>
          <w:spacing w:val="-6"/>
          <w:kern w:val="21"/>
          <w:sz w:val="21"/>
          <w:szCs w:val="21"/>
        </w:rPr>
        <w:fldChar w:fldCharType="separate"/>
      </w:r>
      <w:r>
        <w:rPr>
          <w:rFonts w:hint="eastAsia" w:ascii="Times New Roman"/>
          <w:color w:val="auto"/>
          <w:sz w:val="21"/>
          <w:szCs w:val="21"/>
        </w:rPr>
        <w:t>⑦</w:t>
      </w:r>
      <w:r>
        <w:rPr>
          <w:rFonts w:ascii="Times New Roman"/>
          <w:snapToGrid w:val="0"/>
          <w:color w:val="auto"/>
          <w:spacing w:val="-6"/>
          <w:kern w:val="21"/>
          <w:sz w:val="21"/>
          <w:szCs w:val="21"/>
        </w:rPr>
        <w:fldChar w:fldCharType="end"/>
      </w:r>
      <w:r>
        <w:rPr>
          <w:rFonts w:ascii="Times New Roman"/>
          <w:snapToGrid w:val="0"/>
          <w:color w:val="auto"/>
          <w:spacing w:val="-6"/>
          <w:kern w:val="21"/>
          <w:sz w:val="21"/>
          <w:szCs w:val="21"/>
        </w:rPr>
        <w:t>=</w:t>
      </w:r>
      <w:r>
        <w:rPr>
          <w:rFonts w:ascii="Times New Roman"/>
          <w:snapToGrid w:val="0"/>
          <w:color w:val="auto"/>
          <w:spacing w:val="-16"/>
          <w:kern w:val="21"/>
          <w:sz w:val="21"/>
          <w:szCs w:val="21"/>
        </w:rPr>
        <w:fldChar w:fldCharType="begin"/>
      </w:r>
      <w:r>
        <w:rPr>
          <w:rFonts w:ascii="Times New Roman"/>
          <w:snapToGrid w:val="0"/>
          <w:color w:val="auto"/>
          <w:spacing w:val="-16"/>
          <w:kern w:val="21"/>
          <w:sz w:val="21"/>
          <w:szCs w:val="21"/>
        </w:rPr>
        <w:instrText xml:space="preserve"> = 6 \* GB3 \* MERGEFORMAT </w:instrText>
      </w:r>
      <w:r>
        <w:rPr>
          <w:rFonts w:ascii="Times New Roman"/>
          <w:snapToGrid w:val="0"/>
          <w:color w:val="auto"/>
          <w:spacing w:val="-16"/>
          <w:kern w:val="21"/>
          <w:sz w:val="21"/>
          <w:szCs w:val="21"/>
        </w:rPr>
        <w:fldChar w:fldCharType="separate"/>
      </w:r>
      <w:r>
        <w:rPr>
          <w:rFonts w:hint="eastAsia" w:ascii="Times New Roman"/>
          <w:color w:val="auto"/>
          <w:sz w:val="21"/>
          <w:szCs w:val="21"/>
        </w:rPr>
        <w:t>⑥</w:t>
      </w:r>
      <w:r>
        <w:rPr>
          <w:rFonts w:ascii="Times New Roman"/>
          <w:snapToGrid w:val="0"/>
          <w:color w:val="auto"/>
          <w:spacing w:val="-16"/>
          <w:kern w:val="21"/>
          <w:sz w:val="21"/>
          <w:szCs w:val="21"/>
        </w:rPr>
        <w:fldChar w:fldCharType="end"/>
      </w:r>
      <w:r>
        <w:rPr>
          <w:rFonts w:ascii="Times New Roman"/>
          <w:snapToGrid w:val="0"/>
          <w:color w:val="auto"/>
          <w:spacing w:val="-16"/>
          <w:kern w:val="21"/>
          <w:sz w:val="21"/>
          <w:szCs w:val="21"/>
        </w:rPr>
        <w:t>-</w:t>
      </w: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1 \* GB3 \* MERGEFORMAT </w:instrText>
      </w:r>
      <w:r>
        <w:rPr>
          <w:rFonts w:ascii="Times New Roman"/>
          <w:snapToGrid w:val="0"/>
          <w:color w:val="auto"/>
          <w:spacing w:val="-6"/>
          <w:kern w:val="21"/>
          <w:sz w:val="21"/>
          <w:szCs w:val="21"/>
        </w:rPr>
        <w:fldChar w:fldCharType="separate"/>
      </w:r>
      <w:r>
        <w:rPr>
          <w:rFonts w:hint="eastAsia" w:ascii="Times New Roman"/>
          <w:color w:val="auto"/>
          <w:sz w:val="21"/>
          <w:szCs w:val="21"/>
        </w:rPr>
        <w:t>①</w:t>
      </w:r>
      <w:r>
        <w:rPr>
          <w:rFonts w:ascii="Times New Roman"/>
          <w:snapToGrid w:val="0"/>
          <w:color w:val="auto"/>
          <w:spacing w:val="-6"/>
          <w:kern w:val="21"/>
          <w:sz w:val="21"/>
          <w:szCs w:val="21"/>
        </w:rPr>
        <w:fldChar w:fldCharType="end"/>
      </w: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Arial Unicode MS">
    <w:altName w:val="宋体"/>
    <w:panose1 w:val="020B0604020202020204"/>
    <w:charset w:val="86"/>
    <w:family w:val="auto"/>
    <w:pitch w:val="default"/>
    <w:sig w:usb0="00000000" w:usb1="00000000" w:usb2="0000007F" w:usb3="00000000" w:csb0="203F01FF" w:csb1="DFFF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roman"/>
    <w:pitch w:val="default"/>
    <w:sig w:usb0="00000000" w:usb1="00000000" w:usb2="00000000" w:usb3="00000000" w:csb0="00000001" w:csb1="00000000"/>
  </w:font>
  <w:font w:name="T">
    <w:altName w:val="Times New Roman"/>
    <w:panose1 w:val="00000000000000000000"/>
    <w:charset w:val="00"/>
    <w:family w:val="roman"/>
    <w:pitch w:val="default"/>
    <w:sig w:usb0="00000000" w:usb1="00000000" w:usb2="00000000"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FAE4E">
    <w:pPr>
      <w:pStyle w:val="20"/>
      <w:spacing w:line="240" w:lineRule="auto"/>
      <w:ind w:right="360" w:firstLine="360"/>
      <w:rPr>
        <w:rFonts w:ascii="Times New Roman" w:hAnsi="Times New Roman" w:eastAsia="宋体"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1A31B">
    <w:pPr>
      <w:pStyle w:val="20"/>
      <w:framePr w:wrap="around" w:vAnchor="text" w:hAnchor="margin" w:xAlign="center" w:y="1"/>
      <w:spacing w:line="240" w:lineRule="auto"/>
      <w:rPr>
        <w:rStyle w:val="32"/>
        <w:rFonts w:ascii="Times New Roman" w:hAnsi="Times New Roman" w:eastAsia="宋体" w:cs="Times New Roman"/>
      </w:rPr>
    </w:pPr>
    <w:r>
      <w:rPr>
        <w:rFonts w:ascii="Times New Roman" w:hAnsi="Times New Roman" w:eastAsia="宋体" w:cs="Times New Roman"/>
      </w:rPr>
      <w:fldChar w:fldCharType="begin"/>
    </w:r>
    <w:r>
      <w:rPr>
        <w:rStyle w:val="32"/>
        <w:rFonts w:ascii="Times New Roman" w:hAnsi="Times New Roman" w:eastAsia="宋体" w:cs="Times New Roman"/>
        <w:kern w:val="2"/>
        <w:sz w:val="21"/>
        <w:szCs w:val="24"/>
      </w:rPr>
      <w:instrText xml:space="preserve">PAGE  </w:instrText>
    </w:r>
    <w:r>
      <w:rPr>
        <w:rFonts w:ascii="Times New Roman" w:hAnsi="Times New Roman" w:eastAsia="宋体" w:cs="Times New Roman"/>
      </w:rPr>
      <w:fldChar w:fldCharType="end"/>
    </w:r>
  </w:p>
  <w:p w14:paraId="003841C3">
    <w:pPr>
      <w:pStyle w:val="20"/>
      <w:spacing w:line="240" w:lineRule="auto"/>
      <w:ind w:right="360" w:firstLine="360"/>
      <w:rPr>
        <w:rFonts w:ascii="Times New Roman" w:hAnsi="Times New Roman" w:eastAsia="宋体"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928C2">
    <w:pPr>
      <w:pStyle w:val="2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78B7DE">
                          <w:pPr>
                            <w:pStyle w:val="20"/>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66</w:t>
                          </w:r>
                          <w:r>
                            <w:rPr>
                              <w:sz w:val="18"/>
                              <w:szCs w:val="18"/>
                            </w:rPr>
                            <w:fldChar w:fldCharType="end"/>
                          </w:r>
                        </w:p>
                      </w:txbxContent>
                    </wps:txbx>
                    <wps:bodyPr vert="horz" wrap="none" lIns="0" tIns="0" rIns="0" bIns="0" anchor="t" anchorCtr="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gbr6w4QEAAMIDAAAOAAAA&#10;AAAAAAEAIAAAAB4BAABkcnMvZTJvRG9jLnhtbFBLBQYAAAAABgAGAFkBAABxBQAAAAA=&#10;">
              <v:fill on="f" focussize="0,0"/>
              <v:stroke on="f"/>
              <v:imagedata o:title=""/>
              <o:lock v:ext="edit" aspectratio="f"/>
              <v:textbox inset="0mm,0mm,0mm,0mm" style="mso-fit-shape-to-text:t;">
                <w:txbxContent>
                  <w:p w14:paraId="6778B7DE">
                    <w:pPr>
                      <w:pStyle w:val="20"/>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66</w:t>
                    </w:r>
                    <w:r>
                      <w:rPr>
                        <w:sz w:val="18"/>
                        <w:szCs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ABEB3">
    <w:pPr>
      <w:pStyle w:val="20"/>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B4524A">
                          <w:pPr>
                            <w:pStyle w:val="20"/>
                            <w:rPr>
                              <w:rStyle w:val="32"/>
                              <w:rFonts w:hint="default" w:ascii="Times New Roman" w:hAnsi="Times New Roman" w:eastAsia="宋体" w:cs="Times New Roman"/>
                              <w:sz w:val="21"/>
                              <w:szCs w:val="21"/>
                            </w:rPr>
                          </w:pPr>
                          <w:r>
                            <w:rPr>
                              <w:rFonts w:hint="default" w:ascii="Times New Roman" w:hAnsi="Times New Roman" w:eastAsia="宋体" w:cs="Times New Roman"/>
                              <w:sz w:val="18"/>
                              <w:szCs w:val="18"/>
                            </w:rPr>
                            <w:fldChar w:fldCharType="begin"/>
                          </w:r>
                          <w:r>
                            <w:rPr>
                              <w:rStyle w:val="32"/>
                              <w:rFonts w:hint="default" w:ascii="Times New Roman" w:hAnsi="Times New Roman" w:eastAsia="宋体" w:cs="Times New Roman"/>
                              <w:sz w:val="18"/>
                              <w:szCs w:val="18"/>
                            </w:rPr>
                            <w:instrText xml:space="preserve">PAGE  </w:instrText>
                          </w:r>
                          <w:r>
                            <w:rPr>
                              <w:rFonts w:hint="default" w:ascii="Times New Roman" w:hAnsi="Times New Roman" w:eastAsia="宋体" w:cs="Times New Roman"/>
                              <w:sz w:val="18"/>
                              <w:szCs w:val="18"/>
                            </w:rPr>
                            <w:fldChar w:fldCharType="separate"/>
                          </w:r>
                          <w:r>
                            <w:rPr>
                              <w:rStyle w:val="32"/>
                              <w:rFonts w:hint="default" w:ascii="Times New Roman" w:hAnsi="Times New Roman" w:eastAsia="宋体" w:cs="Times New Roman"/>
                              <w:sz w:val="18"/>
                              <w:szCs w:val="18"/>
                            </w:rPr>
                            <w:t>85</w:t>
                          </w:r>
                          <w:r>
                            <w:rPr>
                              <w:rFonts w:hint="default" w:ascii="Times New Roman" w:hAnsi="Times New Roman" w:eastAsia="宋体" w:cs="Times New Roman"/>
                              <w:sz w:val="18"/>
                              <w:szCs w:val="18"/>
                            </w:rPr>
                            <w:fldChar w:fldCharType="end"/>
                          </w:r>
                          <w:r>
                            <w:rPr>
                              <w:rStyle w:val="32"/>
                              <w:rFonts w:hint="default" w:ascii="Times New Roman" w:hAnsi="Times New Roman" w:eastAsia="宋体" w:cs="Times New Roman"/>
                              <w:sz w:val="21"/>
                              <w:szCs w:val="21"/>
                            </w:rPr>
                            <w:t xml:space="preserve"> </w:t>
                          </w:r>
                        </w:p>
                      </w:txbxContent>
                    </wps:txbx>
                    <wps:bodyPr vert="horz" wrap="none" lIns="0" tIns="0" rIns="0" bIns="0" anchor="t" anchorCtr="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YGPv44QEAAMIDAAAOAAAA&#10;AAAAAAEAIAAAAB4BAABkcnMvZTJvRG9jLnhtbFBLBQYAAAAABgAGAFkBAABxBQAAAAA=&#10;">
              <v:fill on="f" focussize="0,0"/>
              <v:stroke on="f"/>
              <v:imagedata o:title=""/>
              <o:lock v:ext="edit" aspectratio="f"/>
              <v:textbox inset="0mm,0mm,0mm,0mm" style="mso-fit-shape-to-text:t;">
                <w:txbxContent>
                  <w:p w14:paraId="33B4524A">
                    <w:pPr>
                      <w:pStyle w:val="20"/>
                      <w:rPr>
                        <w:rStyle w:val="32"/>
                        <w:rFonts w:hint="default" w:ascii="Times New Roman" w:hAnsi="Times New Roman" w:eastAsia="宋体" w:cs="Times New Roman"/>
                        <w:sz w:val="21"/>
                        <w:szCs w:val="21"/>
                      </w:rPr>
                    </w:pPr>
                    <w:r>
                      <w:rPr>
                        <w:rFonts w:hint="default" w:ascii="Times New Roman" w:hAnsi="Times New Roman" w:eastAsia="宋体" w:cs="Times New Roman"/>
                        <w:sz w:val="18"/>
                        <w:szCs w:val="18"/>
                      </w:rPr>
                      <w:fldChar w:fldCharType="begin"/>
                    </w:r>
                    <w:r>
                      <w:rPr>
                        <w:rStyle w:val="32"/>
                        <w:rFonts w:hint="default" w:ascii="Times New Roman" w:hAnsi="Times New Roman" w:eastAsia="宋体" w:cs="Times New Roman"/>
                        <w:sz w:val="18"/>
                        <w:szCs w:val="18"/>
                      </w:rPr>
                      <w:instrText xml:space="preserve">PAGE  </w:instrText>
                    </w:r>
                    <w:r>
                      <w:rPr>
                        <w:rFonts w:hint="default" w:ascii="Times New Roman" w:hAnsi="Times New Roman" w:eastAsia="宋体" w:cs="Times New Roman"/>
                        <w:sz w:val="18"/>
                        <w:szCs w:val="18"/>
                      </w:rPr>
                      <w:fldChar w:fldCharType="separate"/>
                    </w:r>
                    <w:r>
                      <w:rPr>
                        <w:rStyle w:val="32"/>
                        <w:rFonts w:hint="default" w:ascii="Times New Roman" w:hAnsi="Times New Roman" w:eastAsia="宋体" w:cs="Times New Roman"/>
                        <w:sz w:val="18"/>
                        <w:szCs w:val="18"/>
                      </w:rPr>
                      <w:t>85</w:t>
                    </w:r>
                    <w:r>
                      <w:rPr>
                        <w:rFonts w:hint="default" w:ascii="Times New Roman" w:hAnsi="Times New Roman" w:eastAsia="宋体" w:cs="Times New Roman"/>
                        <w:sz w:val="18"/>
                        <w:szCs w:val="18"/>
                      </w:rPr>
                      <w:fldChar w:fldCharType="end"/>
                    </w:r>
                    <w:r>
                      <w:rPr>
                        <w:rStyle w:val="32"/>
                        <w:rFonts w:hint="default" w:ascii="Times New Roman" w:hAnsi="Times New Roman" w:eastAsia="宋体" w:cs="Times New Roman"/>
                        <w:sz w:val="21"/>
                        <w:szCs w:val="21"/>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A2628E"/>
    <w:multiLevelType w:val="singleLevel"/>
    <w:tmpl w:val="8AA2628E"/>
    <w:lvl w:ilvl="0" w:tentative="0">
      <w:start w:val="3"/>
      <w:numFmt w:val="chineseCounting"/>
      <w:suff w:val="nothing"/>
      <w:lvlText w:val="%1、"/>
      <w:lvlJc w:val="left"/>
      <w:rPr>
        <w:rFonts w:hint="eastAsia"/>
      </w:rPr>
    </w:lvl>
  </w:abstractNum>
  <w:abstractNum w:abstractNumId="1">
    <w:nsid w:val="9527BE61"/>
    <w:multiLevelType w:val="singleLevel"/>
    <w:tmpl w:val="9527BE61"/>
    <w:lvl w:ilvl="0" w:tentative="0">
      <w:start w:val="1"/>
      <w:numFmt w:val="decimal"/>
      <w:suff w:val="nothing"/>
      <w:lvlText w:val="%1、"/>
      <w:lvlJc w:val="left"/>
    </w:lvl>
  </w:abstractNum>
  <w:abstractNum w:abstractNumId="2">
    <w:nsid w:val="9C195AEA"/>
    <w:multiLevelType w:val="singleLevel"/>
    <w:tmpl w:val="9C195AEA"/>
    <w:lvl w:ilvl="0" w:tentative="0">
      <w:start w:val="1"/>
      <w:numFmt w:val="decimal"/>
      <w:suff w:val="nothing"/>
      <w:lvlText w:val="（%1）"/>
      <w:lvlJc w:val="left"/>
    </w:lvl>
  </w:abstractNum>
  <w:abstractNum w:abstractNumId="3">
    <w:nsid w:val="A6E22B71"/>
    <w:multiLevelType w:val="singleLevel"/>
    <w:tmpl w:val="A6E22B71"/>
    <w:lvl w:ilvl="0" w:tentative="0">
      <w:start w:val="1"/>
      <w:numFmt w:val="decimal"/>
      <w:suff w:val="nothing"/>
      <w:lvlText w:val="（%1）"/>
      <w:lvlJc w:val="left"/>
    </w:lvl>
  </w:abstractNum>
  <w:abstractNum w:abstractNumId="4">
    <w:nsid w:val="B0884ADF"/>
    <w:multiLevelType w:val="singleLevel"/>
    <w:tmpl w:val="B0884ADF"/>
    <w:lvl w:ilvl="0" w:tentative="0">
      <w:start w:val="1"/>
      <w:numFmt w:val="decimal"/>
      <w:suff w:val="nothing"/>
      <w:lvlText w:val="（%1）"/>
      <w:lvlJc w:val="left"/>
    </w:lvl>
  </w:abstractNum>
  <w:abstractNum w:abstractNumId="5">
    <w:nsid w:val="E7743BFE"/>
    <w:multiLevelType w:val="singleLevel"/>
    <w:tmpl w:val="E7743BFE"/>
    <w:lvl w:ilvl="0" w:tentative="0">
      <w:start w:val="1"/>
      <w:numFmt w:val="decimal"/>
      <w:suff w:val="nothing"/>
      <w:lvlText w:val="%1）"/>
      <w:lvlJc w:val="left"/>
    </w:lvl>
  </w:abstractNum>
  <w:abstractNum w:abstractNumId="6">
    <w:nsid w:val="17AE785F"/>
    <w:multiLevelType w:val="singleLevel"/>
    <w:tmpl w:val="17AE785F"/>
    <w:lvl w:ilvl="0" w:tentative="0">
      <w:start w:val="2"/>
      <w:numFmt w:val="decimal"/>
      <w:suff w:val="nothing"/>
      <w:lvlText w:val="%1）"/>
      <w:lvlJc w:val="left"/>
    </w:lvl>
  </w:abstractNum>
  <w:abstractNum w:abstractNumId="7">
    <w:nsid w:val="23708787"/>
    <w:multiLevelType w:val="singleLevel"/>
    <w:tmpl w:val="23708787"/>
    <w:lvl w:ilvl="0" w:tentative="0">
      <w:start w:val="5"/>
      <w:numFmt w:val="decimal"/>
      <w:suff w:val="nothing"/>
      <w:lvlText w:val="%1、"/>
      <w:lvlJc w:val="left"/>
    </w:lvl>
  </w:abstractNum>
  <w:abstractNum w:abstractNumId="8">
    <w:nsid w:val="413181D7"/>
    <w:multiLevelType w:val="singleLevel"/>
    <w:tmpl w:val="413181D7"/>
    <w:lvl w:ilvl="0" w:tentative="0">
      <w:start w:val="2"/>
      <w:numFmt w:val="decimal"/>
      <w:suff w:val="nothing"/>
      <w:lvlText w:val="%1、"/>
      <w:lvlJc w:val="left"/>
    </w:lvl>
  </w:abstractNum>
  <w:num w:numId="1">
    <w:abstractNumId w:val="1"/>
  </w:num>
  <w:num w:numId="2">
    <w:abstractNumId w:val="0"/>
  </w:num>
  <w:num w:numId="3">
    <w:abstractNumId w:val="6"/>
  </w:num>
  <w:num w:numId="4">
    <w:abstractNumId w:val="8"/>
  </w:num>
  <w:num w:numId="5">
    <w:abstractNumId w:val="3"/>
  </w:num>
  <w:num w:numId="6">
    <w:abstractNumId w:val="2"/>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kZmE3ZGI4MDhjMTc4NmMzZmRjMmZlYTRhODQ2NGIifQ=="/>
  </w:docVars>
  <w:rsids>
    <w:rsidRoot w:val="00172A27"/>
    <w:rsid w:val="00000E73"/>
    <w:rsid w:val="000060B3"/>
    <w:rsid w:val="0004364B"/>
    <w:rsid w:val="00061B1F"/>
    <w:rsid w:val="00067A98"/>
    <w:rsid w:val="000733C4"/>
    <w:rsid w:val="00074783"/>
    <w:rsid w:val="0008070B"/>
    <w:rsid w:val="000810AC"/>
    <w:rsid w:val="00081A02"/>
    <w:rsid w:val="00082231"/>
    <w:rsid w:val="00092D38"/>
    <w:rsid w:val="0009377B"/>
    <w:rsid w:val="000A20C9"/>
    <w:rsid w:val="000A4557"/>
    <w:rsid w:val="000B058F"/>
    <w:rsid w:val="000B4467"/>
    <w:rsid w:val="000B4DB9"/>
    <w:rsid w:val="000C09AC"/>
    <w:rsid w:val="000C767F"/>
    <w:rsid w:val="000D45E8"/>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02E9"/>
    <w:rsid w:val="001B72B8"/>
    <w:rsid w:val="001C69B3"/>
    <w:rsid w:val="001D313C"/>
    <w:rsid w:val="001D5595"/>
    <w:rsid w:val="001D7874"/>
    <w:rsid w:val="001D7F22"/>
    <w:rsid w:val="001F0F17"/>
    <w:rsid w:val="001F3347"/>
    <w:rsid w:val="001F3EC8"/>
    <w:rsid w:val="001F69E4"/>
    <w:rsid w:val="002125B4"/>
    <w:rsid w:val="002155B8"/>
    <w:rsid w:val="0021594F"/>
    <w:rsid w:val="00224839"/>
    <w:rsid w:val="002249B2"/>
    <w:rsid w:val="00226574"/>
    <w:rsid w:val="002278EC"/>
    <w:rsid w:val="0023082D"/>
    <w:rsid w:val="0023280E"/>
    <w:rsid w:val="002377D1"/>
    <w:rsid w:val="002506BC"/>
    <w:rsid w:val="00254345"/>
    <w:rsid w:val="00264557"/>
    <w:rsid w:val="002743B3"/>
    <w:rsid w:val="002805AB"/>
    <w:rsid w:val="00284204"/>
    <w:rsid w:val="00291773"/>
    <w:rsid w:val="002A168C"/>
    <w:rsid w:val="002A3DC7"/>
    <w:rsid w:val="002B24E2"/>
    <w:rsid w:val="002B49E2"/>
    <w:rsid w:val="002B7B00"/>
    <w:rsid w:val="002B7C44"/>
    <w:rsid w:val="002C2B17"/>
    <w:rsid w:val="002D3DD0"/>
    <w:rsid w:val="002E0A62"/>
    <w:rsid w:val="002E1F3A"/>
    <w:rsid w:val="002E298A"/>
    <w:rsid w:val="00301978"/>
    <w:rsid w:val="0030332C"/>
    <w:rsid w:val="003051C2"/>
    <w:rsid w:val="00312296"/>
    <w:rsid w:val="003130CB"/>
    <w:rsid w:val="00314F0E"/>
    <w:rsid w:val="00321D8E"/>
    <w:rsid w:val="00325928"/>
    <w:rsid w:val="00332863"/>
    <w:rsid w:val="0033684D"/>
    <w:rsid w:val="00337B42"/>
    <w:rsid w:val="00341B42"/>
    <w:rsid w:val="0034348F"/>
    <w:rsid w:val="00353AF0"/>
    <w:rsid w:val="00356653"/>
    <w:rsid w:val="00357081"/>
    <w:rsid w:val="0035743F"/>
    <w:rsid w:val="00357BE2"/>
    <w:rsid w:val="0036170C"/>
    <w:rsid w:val="00366E0F"/>
    <w:rsid w:val="00375C55"/>
    <w:rsid w:val="00381A72"/>
    <w:rsid w:val="00384676"/>
    <w:rsid w:val="00390857"/>
    <w:rsid w:val="003A4BF3"/>
    <w:rsid w:val="003B420D"/>
    <w:rsid w:val="003C6C16"/>
    <w:rsid w:val="003D794D"/>
    <w:rsid w:val="003E3058"/>
    <w:rsid w:val="003E76A9"/>
    <w:rsid w:val="003F0809"/>
    <w:rsid w:val="003F380A"/>
    <w:rsid w:val="003F6A8C"/>
    <w:rsid w:val="003F755C"/>
    <w:rsid w:val="00406F01"/>
    <w:rsid w:val="00416D50"/>
    <w:rsid w:val="00416FD5"/>
    <w:rsid w:val="00417772"/>
    <w:rsid w:val="00420E6A"/>
    <w:rsid w:val="00425A9E"/>
    <w:rsid w:val="00426D6B"/>
    <w:rsid w:val="00431E6C"/>
    <w:rsid w:val="00433CE7"/>
    <w:rsid w:val="00441DBA"/>
    <w:rsid w:val="00452738"/>
    <w:rsid w:val="00456091"/>
    <w:rsid w:val="00466321"/>
    <w:rsid w:val="00484B9B"/>
    <w:rsid w:val="004855F6"/>
    <w:rsid w:val="0048661E"/>
    <w:rsid w:val="00494670"/>
    <w:rsid w:val="004A3823"/>
    <w:rsid w:val="004D2364"/>
    <w:rsid w:val="004E38C7"/>
    <w:rsid w:val="004E6946"/>
    <w:rsid w:val="004F1AD8"/>
    <w:rsid w:val="004F3610"/>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1914"/>
    <w:rsid w:val="005A68A7"/>
    <w:rsid w:val="005D36AB"/>
    <w:rsid w:val="00617CC3"/>
    <w:rsid w:val="00627452"/>
    <w:rsid w:val="006377A6"/>
    <w:rsid w:val="00637A3D"/>
    <w:rsid w:val="006411EF"/>
    <w:rsid w:val="006748B8"/>
    <w:rsid w:val="006775C3"/>
    <w:rsid w:val="0069290A"/>
    <w:rsid w:val="0069775A"/>
    <w:rsid w:val="00697813"/>
    <w:rsid w:val="006A3EE8"/>
    <w:rsid w:val="006A72BF"/>
    <w:rsid w:val="006B03F2"/>
    <w:rsid w:val="006B37DC"/>
    <w:rsid w:val="006B3A91"/>
    <w:rsid w:val="006B4F68"/>
    <w:rsid w:val="006C0592"/>
    <w:rsid w:val="006C272E"/>
    <w:rsid w:val="006C5479"/>
    <w:rsid w:val="006D13B5"/>
    <w:rsid w:val="006E12FF"/>
    <w:rsid w:val="006E607E"/>
    <w:rsid w:val="00706C5D"/>
    <w:rsid w:val="00713659"/>
    <w:rsid w:val="00732922"/>
    <w:rsid w:val="00750055"/>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2FCA"/>
    <w:rsid w:val="007E4BD2"/>
    <w:rsid w:val="00801393"/>
    <w:rsid w:val="00802F88"/>
    <w:rsid w:val="0081293E"/>
    <w:rsid w:val="00815465"/>
    <w:rsid w:val="00817E9A"/>
    <w:rsid w:val="008306BD"/>
    <w:rsid w:val="00831A80"/>
    <w:rsid w:val="00833743"/>
    <w:rsid w:val="008340A4"/>
    <w:rsid w:val="008366AE"/>
    <w:rsid w:val="0087135F"/>
    <w:rsid w:val="00872D94"/>
    <w:rsid w:val="00880364"/>
    <w:rsid w:val="00891592"/>
    <w:rsid w:val="00891E9E"/>
    <w:rsid w:val="00897F03"/>
    <w:rsid w:val="008A2F68"/>
    <w:rsid w:val="008B4FA6"/>
    <w:rsid w:val="008B5282"/>
    <w:rsid w:val="008B70C7"/>
    <w:rsid w:val="008B7C17"/>
    <w:rsid w:val="008C2D01"/>
    <w:rsid w:val="008C40E6"/>
    <w:rsid w:val="008D0F7A"/>
    <w:rsid w:val="008D5F58"/>
    <w:rsid w:val="008D68E4"/>
    <w:rsid w:val="008E0506"/>
    <w:rsid w:val="008E0CFF"/>
    <w:rsid w:val="008E5CEA"/>
    <w:rsid w:val="008E5D6B"/>
    <w:rsid w:val="008E76F0"/>
    <w:rsid w:val="008F15FE"/>
    <w:rsid w:val="008F2D29"/>
    <w:rsid w:val="008F5187"/>
    <w:rsid w:val="008F58BE"/>
    <w:rsid w:val="008F60D8"/>
    <w:rsid w:val="00902727"/>
    <w:rsid w:val="0090312B"/>
    <w:rsid w:val="0091736D"/>
    <w:rsid w:val="00926FFC"/>
    <w:rsid w:val="0093037A"/>
    <w:rsid w:val="00934144"/>
    <w:rsid w:val="0094154D"/>
    <w:rsid w:val="009459A3"/>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A560B"/>
    <w:rsid w:val="009B0897"/>
    <w:rsid w:val="009B7BD9"/>
    <w:rsid w:val="009C7DD5"/>
    <w:rsid w:val="009D10EE"/>
    <w:rsid w:val="009D5E23"/>
    <w:rsid w:val="009E227D"/>
    <w:rsid w:val="009E5019"/>
    <w:rsid w:val="00A04F1B"/>
    <w:rsid w:val="00A0501B"/>
    <w:rsid w:val="00A14947"/>
    <w:rsid w:val="00A253E4"/>
    <w:rsid w:val="00A32A83"/>
    <w:rsid w:val="00A368DB"/>
    <w:rsid w:val="00A423AA"/>
    <w:rsid w:val="00A53EC6"/>
    <w:rsid w:val="00A55C0F"/>
    <w:rsid w:val="00A748F5"/>
    <w:rsid w:val="00A86133"/>
    <w:rsid w:val="00A8713F"/>
    <w:rsid w:val="00A90BA1"/>
    <w:rsid w:val="00A9311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B6FA1"/>
    <w:rsid w:val="00BC32DC"/>
    <w:rsid w:val="00BC35B6"/>
    <w:rsid w:val="00BD1B51"/>
    <w:rsid w:val="00BD4596"/>
    <w:rsid w:val="00BE1405"/>
    <w:rsid w:val="00BE312D"/>
    <w:rsid w:val="00BF1C20"/>
    <w:rsid w:val="00C10578"/>
    <w:rsid w:val="00C13369"/>
    <w:rsid w:val="00C135BC"/>
    <w:rsid w:val="00C15C95"/>
    <w:rsid w:val="00C2518B"/>
    <w:rsid w:val="00C2596A"/>
    <w:rsid w:val="00C27537"/>
    <w:rsid w:val="00C328FE"/>
    <w:rsid w:val="00C33507"/>
    <w:rsid w:val="00C404F0"/>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619E"/>
    <w:rsid w:val="00CA7EF8"/>
    <w:rsid w:val="00CC489B"/>
    <w:rsid w:val="00CD271C"/>
    <w:rsid w:val="00CD2BCD"/>
    <w:rsid w:val="00CD3A4C"/>
    <w:rsid w:val="00CE10E9"/>
    <w:rsid w:val="00CE2910"/>
    <w:rsid w:val="00CE5393"/>
    <w:rsid w:val="00CF1861"/>
    <w:rsid w:val="00CF36BE"/>
    <w:rsid w:val="00CF6000"/>
    <w:rsid w:val="00D003F3"/>
    <w:rsid w:val="00D0364F"/>
    <w:rsid w:val="00D06834"/>
    <w:rsid w:val="00D308ED"/>
    <w:rsid w:val="00D36D86"/>
    <w:rsid w:val="00D428AA"/>
    <w:rsid w:val="00D50A34"/>
    <w:rsid w:val="00D5385B"/>
    <w:rsid w:val="00D53EFA"/>
    <w:rsid w:val="00D87769"/>
    <w:rsid w:val="00D91F49"/>
    <w:rsid w:val="00D94A7C"/>
    <w:rsid w:val="00D95896"/>
    <w:rsid w:val="00DB09E1"/>
    <w:rsid w:val="00DB2983"/>
    <w:rsid w:val="00DC1257"/>
    <w:rsid w:val="00DC3DC0"/>
    <w:rsid w:val="00DC5B2B"/>
    <w:rsid w:val="00DD318D"/>
    <w:rsid w:val="00DE6D85"/>
    <w:rsid w:val="00DF2E12"/>
    <w:rsid w:val="00DF514A"/>
    <w:rsid w:val="00DF6690"/>
    <w:rsid w:val="00DF6804"/>
    <w:rsid w:val="00E0358D"/>
    <w:rsid w:val="00E04323"/>
    <w:rsid w:val="00E070A2"/>
    <w:rsid w:val="00E14000"/>
    <w:rsid w:val="00E1591A"/>
    <w:rsid w:val="00E2656A"/>
    <w:rsid w:val="00E412D0"/>
    <w:rsid w:val="00E56322"/>
    <w:rsid w:val="00E60982"/>
    <w:rsid w:val="00E60E48"/>
    <w:rsid w:val="00E62C62"/>
    <w:rsid w:val="00E654C1"/>
    <w:rsid w:val="00E65D97"/>
    <w:rsid w:val="00E72A5A"/>
    <w:rsid w:val="00E73354"/>
    <w:rsid w:val="00E9242D"/>
    <w:rsid w:val="00EB5255"/>
    <w:rsid w:val="00EB5C47"/>
    <w:rsid w:val="00EC4028"/>
    <w:rsid w:val="00EC6673"/>
    <w:rsid w:val="00ED0639"/>
    <w:rsid w:val="00EE0E51"/>
    <w:rsid w:val="00EE6D8D"/>
    <w:rsid w:val="00EE7EDD"/>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97BE5"/>
    <w:rsid w:val="00FA406A"/>
    <w:rsid w:val="00FB503A"/>
    <w:rsid w:val="00FB516C"/>
    <w:rsid w:val="00FD0236"/>
    <w:rsid w:val="00FD18F4"/>
    <w:rsid w:val="00FD54DB"/>
    <w:rsid w:val="00FD619F"/>
    <w:rsid w:val="01145E72"/>
    <w:rsid w:val="01290F7E"/>
    <w:rsid w:val="01332A33"/>
    <w:rsid w:val="01514A9F"/>
    <w:rsid w:val="015D1E09"/>
    <w:rsid w:val="01797718"/>
    <w:rsid w:val="018E53BB"/>
    <w:rsid w:val="019C7A5E"/>
    <w:rsid w:val="01C655D0"/>
    <w:rsid w:val="024B6260"/>
    <w:rsid w:val="02697903"/>
    <w:rsid w:val="02744FE9"/>
    <w:rsid w:val="02A134F8"/>
    <w:rsid w:val="02B5235D"/>
    <w:rsid w:val="02BA36DC"/>
    <w:rsid w:val="02BB05EE"/>
    <w:rsid w:val="02F96569"/>
    <w:rsid w:val="032A74D6"/>
    <w:rsid w:val="0333632F"/>
    <w:rsid w:val="03443858"/>
    <w:rsid w:val="03544995"/>
    <w:rsid w:val="035E577F"/>
    <w:rsid w:val="03B23174"/>
    <w:rsid w:val="03CD47BC"/>
    <w:rsid w:val="03DD38F2"/>
    <w:rsid w:val="03EA7B21"/>
    <w:rsid w:val="04130691"/>
    <w:rsid w:val="045E32AB"/>
    <w:rsid w:val="04DD4942"/>
    <w:rsid w:val="050B0532"/>
    <w:rsid w:val="053C6EDC"/>
    <w:rsid w:val="056E4A0A"/>
    <w:rsid w:val="05CB3C1A"/>
    <w:rsid w:val="05F83EAE"/>
    <w:rsid w:val="060C0EE4"/>
    <w:rsid w:val="06250536"/>
    <w:rsid w:val="063E7D85"/>
    <w:rsid w:val="06470398"/>
    <w:rsid w:val="070329B6"/>
    <w:rsid w:val="07133834"/>
    <w:rsid w:val="07293586"/>
    <w:rsid w:val="07295285"/>
    <w:rsid w:val="075774C9"/>
    <w:rsid w:val="075F30EA"/>
    <w:rsid w:val="07636392"/>
    <w:rsid w:val="07737C5D"/>
    <w:rsid w:val="07770C56"/>
    <w:rsid w:val="07904E6B"/>
    <w:rsid w:val="07BE3F37"/>
    <w:rsid w:val="07FA4B62"/>
    <w:rsid w:val="08262D5D"/>
    <w:rsid w:val="08351A65"/>
    <w:rsid w:val="08555D59"/>
    <w:rsid w:val="089D751F"/>
    <w:rsid w:val="08C55FEC"/>
    <w:rsid w:val="08E46AB2"/>
    <w:rsid w:val="08ED291D"/>
    <w:rsid w:val="08F125F3"/>
    <w:rsid w:val="090E666B"/>
    <w:rsid w:val="092217DD"/>
    <w:rsid w:val="093A7294"/>
    <w:rsid w:val="09434CDD"/>
    <w:rsid w:val="095D447D"/>
    <w:rsid w:val="0962421F"/>
    <w:rsid w:val="09A655B2"/>
    <w:rsid w:val="09A95A70"/>
    <w:rsid w:val="09C733B2"/>
    <w:rsid w:val="09CE1EC5"/>
    <w:rsid w:val="09D749DA"/>
    <w:rsid w:val="0A080892"/>
    <w:rsid w:val="0A135000"/>
    <w:rsid w:val="0A263993"/>
    <w:rsid w:val="0A2D3AC2"/>
    <w:rsid w:val="0A3D6A8B"/>
    <w:rsid w:val="0A527705"/>
    <w:rsid w:val="0A843E2F"/>
    <w:rsid w:val="0AA738CB"/>
    <w:rsid w:val="0AA755DF"/>
    <w:rsid w:val="0ABA2226"/>
    <w:rsid w:val="0ADE5F5C"/>
    <w:rsid w:val="0B120D44"/>
    <w:rsid w:val="0B335694"/>
    <w:rsid w:val="0B6A0D4F"/>
    <w:rsid w:val="0B8E35A1"/>
    <w:rsid w:val="0B933C9B"/>
    <w:rsid w:val="0BA43FF0"/>
    <w:rsid w:val="0BA85078"/>
    <w:rsid w:val="0BBA5C60"/>
    <w:rsid w:val="0BD27BF6"/>
    <w:rsid w:val="0BE33FC0"/>
    <w:rsid w:val="0BEE006C"/>
    <w:rsid w:val="0BF902A3"/>
    <w:rsid w:val="0C046EBB"/>
    <w:rsid w:val="0C3B3C7D"/>
    <w:rsid w:val="0C5757D4"/>
    <w:rsid w:val="0C824039"/>
    <w:rsid w:val="0C955790"/>
    <w:rsid w:val="0C9C7FA0"/>
    <w:rsid w:val="0C9D29D5"/>
    <w:rsid w:val="0CAB2EAE"/>
    <w:rsid w:val="0CC51EAD"/>
    <w:rsid w:val="0CC63FBA"/>
    <w:rsid w:val="0CD25F79"/>
    <w:rsid w:val="0CFB74D5"/>
    <w:rsid w:val="0D20413C"/>
    <w:rsid w:val="0D2D3669"/>
    <w:rsid w:val="0D621C7D"/>
    <w:rsid w:val="0D6F3D8C"/>
    <w:rsid w:val="0D7D3A82"/>
    <w:rsid w:val="0D8E229F"/>
    <w:rsid w:val="0D956A58"/>
    <w:rsid w:val="0DCD5E3B"/>
    <w:rsid w:val="0DE83627"/>
    <w:rsid w:val="0E0B38F0"/>
    <w:rsid w:val="0E2220F9"/>
    <w:rsid w:val="0E2455BE"/>
    <w:rsid w:val="0E255651"/>
    <w:rsid w:val="0E2B66F5"/>
    <w:rsid w:val="0E464928"/>
    <w:rsid w:val="0E484ACA"/>
    <w:rsid w:val="0E73034D"/>
    <w:rsid w:val="0E937399"/>
    <w:rsid w:val="0ECD4ECC"/>
    <w:rsid w:val="0EE10E2C"/>
    <w:rsid w:val="0F066C88"/>
    <w:rsid w:val="0F13775A"/>
    <w:rsid w:val="0F156E9E"/>
    <w:rsid w:val="0F2471DA"/>
    <w:rsid w:val="0F2F2144"/>
    <w:rsid w:val="0F5F45FE"/>
    <w:rsid w:val="0F6A08D2"/>
    <w:rsid w:val="0F6A108E"/>
    <w:rsid w:val="0F7E48A0"/>
    <w:rsid w:val="0F9A112B"/>
    <w:rsid w:val="0FB96EF5"/>
    <w:rsid w:val="0FCD6C45"/>
    <w:rsid w:val="0FEA3E3C"/>
    <w:rsid w:val="0FF34816"/>
    <w:rsid w:val="0FF94689"/>
    <w:rsid w:val="100F608E"/>
    <w:rsid w:val="101330C8"/>
    <w:rsid w:val="102853EB"/>
    <w:rsid w:val="106D2F64"/>
    <w:rsid w:val="108A6B13"/>
    <w:rsid w:val="10A372CB"/>
    <w:rsid w:val="10B63710"/>
    <w:rsid w:val="10D71EAE"/>
    <w:rsid w:val="10ED373C"/>
    <w:rsid w:val="10F10820"/>
    <w:rsid w:val="10F568FF"/>
    <w:rsid w:val="111C2F7A"/>
    <w:rsid w:val="1159215C"/>
    <w:rsid w:val="11654045"/>
    <w:rsid w:val="11665CA1"/>
    <w:rsid w:val="11AA148C"/>
    <w:rsid w:val="11C128DD"/>
    <w:rsid w:val="120A7CD8"/>
    <w:rsid w:val="12294F5C"/>
    <w:rsid w:val="12522F11"/>
    <w:rsid w:val="12983266"/>
    <w:rsid w:val="12B20CED"/>
    <w:rsid w:val="12B31F10"/>
    <w:rsid w:val="12BA7B38"/>
    <w:rsid w:val="12BC5797"/>
    <w:rsid w:val="12D818C2"/>
    <w:rsid w:val="12EB470F"/>
    <w:rsid w:val="130C73A1"/>
    <w:rsid w:val="13403DAB"/>
    <w:rsid w:val="134C3D96"/>
    <w:rsid w:val="135172E5"/>
    <w:rsid w:val="137E4DB5"/>
    <w:rsid w:val="13830461"/>
    <w:rsid w:val="13951726"/>
    <w:rsid w:val="13FC6C89"/>
    <w:rsid w:val="14223EB3"/>
    <w:rsid w:val="14253FB2"/>
    <w:rsid w:val="142F6DBF"/>
    <w:rsid w:val="14396509"/>
    <w:rsid w:val="143C4803"/>
    <w:rsid w:val="14734E10"/>
    <w:rsid w:val="14A94715"/>
    <w:rsid w:val="14B86D10"/>
    <w:rsid w:val="14BF5DC8"/>
    <w:rsid w:val="14D379EA"/>
    <w:rsid w:val="14D47BE9"/>
    <w:rsid w:val="14DB2FAA"/>
    <w:rsid w:val="14DD2C3C"/>
    <w:rsid w:val="151C6E71"/>
    <w:rsid w:val="151D79AA"/>
    <w:rsid w:val="15273291"/>
    <w:rsid w:val="15330A11"/>
    <w:rsid w:val="154550B2"/>
    <w:rsid w:val="15642572"/>
    <w:rsid w:val="156C55BD"/>
    <w:rsid w:val="15A24DF3"/>
    <w:rsid w:val="15BA4274"/>
    <w:rsid w:val="15EA0800"/>
    <w:rsid w:val="16031EB2"/>
    <w:rsid w:val="16087E1D"/>
    <w:rsid w:val="1616555C"/>
    <w:rsid w:val="164163E6"/>
    <w:rsid w:val="165E5ED0"/>
    <w:rsid w:val="1670673A"/>
    <w:rsid w:val="16990B56"/>
    <w:rsid w:val="16AD5FF1"/>
    <w:rsid w:val="16B23AF5"/>
    <w:rsid w:val="173A048F"/>
    <w:rsid w:val="17701D14"/>
    <w:rsid w:val="17735226"/>
    <w:rsid w:val="179A7454"/>
    <w:rsid w:val="17D76F57"/>
    <w:rsid w:val="17D77D7E"/>
    <w:rsid w:val="18051677"/>
    <w:rsid w:val="18114E1E"/>
    <w:rsid w:val="18534F76"/>
    <w:rsid w:val="18994B1E"/>
    <w:rsid w:val="189F624C"/>
    <w:rsid w:val="18C01796"/>
    <w:rsid w:val="18C17588"/>
    <w:rsid w:val="18D01D87"/>
    <w:rsid w:val="18DA3E9E"/>
    <w:rsid w:val="18EE2CDC"/>
    <w:rsid w:val="190767E1"/>
    <w:rsid w:val="190E09EA"/>
    <w:rsid w:val="19113C2F"/>
    <w:rsid w:val="19336E4C"/>
    <w:rsid w:val="19835723"/>
    <w:rsid w:val="199D1109"/>
    <w:rsid w:val="19A32DF1"/>
    <w:rsid w:val="19A76ADF"/>
    <w:rsid w:val="19AF64AD"/>
    <w:rsid w:val="19B56DD6"/>
    <w:rsid w:val="19D03A16"/>
    <w:rsid w:val="1A1C66C0"/>
    <w:rsid w:val="1A3218CF"/>
    <w:rsid w:val="1A42393B"/>
    <w:rsid w:val="1A425536"/>
    <w:rsid w:val="1A427656"/>
    <w:rsid w:val="1A9B4076"/>
    <w:rsid w:val="1AAD45DE"/>
    <w:rsid w:val="1AB61C9F"/>
    <w:rsid w:val="1AF53677"/>
    <w:rsid w:val="1AFB27F7"/>
    <w:rsid w:val="1B0002C2"/>
    <w:rsid w:val="1B046F80"/>
    <w:rsid w:val="1B0F714A"/>
    <w:rsid w:val="1B1312F2"/>
    <w:rsid w:val="1B190004"/>
    <w:rsid w:val="1B3267B5"/>
    <w:rsid w:val="1B40161D"/>
    <w:rsid w:val="1B441859"/>
    <w:rsid w:val="1B6606B1"/>
    <w:rsid w:val="1B895B5B"/>
    <w:rsid w:val="1BCB525E"/>
    <w:rsid w:val="1C012360"/>
    <w:rsid w:val="1C5E2D15"/>
    <w:rsid w:val="1C5E7925"/>
    <w:rsid w:val="1C9F7470"/>
    <w:rsid w:val="1CCB6879"/>
    <w:rsid w:val="1CDD5397"/>
    <w:rsid w:val="1CE25890"/>
    <w:rsid w:val="1CFD070F"/>
    <w:rsid w:val="1D5F6196"/>
    <w:rsid w:val="1D60691F"/>
    <w:rsid w:val="1D6132A5"/>
    <w:rsid w:val="1D6F2833"/>
    <w:rsid w:val="1D8C6627"/>
    <w:rsid w:val="1D8E56D5"/>
    <w:rsid w:val="1DBC2AE2"/>
    <w:rsid w:val="1DFC7525"/>
    <w:rsid w:val="1E045B4C"/>
    <w:rsid w:val="1E343D17"/>
    <w:rsid w:val="1E4C6A11"/>
    <w:rsid w:val="1E4F0F39"/>
    <w:rsid w:val="1E55645C"/>
    <w:rsid w:val="1E5972AF"/>
    <w:rsid w:val="1E5A4900"/>
    <w:rsid w:val="1E6B0A5A"/>
    <w:rsid w:val="1E751D70"/>
    <w:rsid w:val="1E7A43DA"/>
    <w:rsid w:val="1E9C5CA2"/>
    <w:rsid w:val="1EDE53F0"/>
    <w:rsid w:val="1F1515FD"/>
    <w:rsid w:val="1F852746"/>
    <w:rsid w:val="1FAD5EA9"/>
    <w:rsid w:val="1FC8069E"/>
    <w:rsid w:val="1FE04D80"/>
    <w:rsid w:val="1FE24685"/>
    <w:rsid w:val="1FE7539E"/>
    <w:rsid w:val="201941B4"/>
    <w:rsid w:val="20221BDA"/>
    <w:rsid w:val="20272CBE"/>
    <w:rsid w:val="20461915"/>
    <w:rsid w:val="20671BE0"/>
    <w:rsid w:val="206B1AB6"/>
    <w:rsid w:val="20963CB8"/>
    <w:rsid w:val="20A81A1B"/>
    <w:rsid w:val="20B07FB6"/>
    <w:rsid w:val="20B646FB"/>
    <w:rsid w:val="20C27005"/>
    <w:rsid w:val="211848AD"/>
    <w:rsid w:val="21255D12"/>
    <w:rsid w:val="213B74B1"/>
    <w:rsid w:val="215A2310"/>
    <w:rsid w:val="21612D9E"/>
    <w:rsid w:val="21772A5F"/>
    <w:rsid w:val="217C3617"/>
    <w:rsid w:val="21BB4F01"/>
    <w:rsid w:val="21DE318A"/>
    <w:rsid w:val="21EF5B80"/>
    <w:rsid w:val="223D373A"/>
    <w:rsid w:val="22567820"/>
    <w:rsid w:val="22576990"/>
    <w:rsid w:val="225E3778"/>
    <w:rsid w:val="22BB2BB3"/>
    <w:rsid w:val="22F47480"/>
    <w:rsid w:val="232217C0"/>
    <w:rsid w:val="23261B81"/>
    <w:rsid w:val="235B49F7"/>
    <w:rsid w:val="236069A1"/>
    <w:rsid w:val="236E373C"/>
    <w:rsid w:val="238B4AA7"/>
    <w:rsid w:val="23C6213C"/>
    <w:rsid w:val="23DE1C48"/>
    <w:rsid w:val="240210CD"/>
    <w:rsid w:val="24094727"/>
    <w:rsid w:val="244A0FE6"/>
    <w:rsid w:val="245F3F65"/>
    <w:rsid w:val="247C68F3"/>
    <w:rsid w:val="24885480"/>
    <w:rsid w:val="249C2104"/>
    <w:rsid w:val="24A1325A"/>
    <w:rsid w:val="24A26E79"/>
    <w:rsid w:val="24A70933"/>
    <w:rsid w:val="24A763B6"/>
    <w:rsid w:val="24BF09F7"/>
    <w:rsid w:val="24DB3256"/>
    <w:rsid w:val="252B43C8"/>
    <w:rsid w:val="252C6572"/>
    <w:rsid w:val="252D53FE"/>
    <w:rsid w:val="2531186D"/>
    <w:rsid w:val="25375B8C"/>
    <w:rsid w:val="254427AB"/>
    <w:rsid w:val="256C3AEE"/>
    <w:rsid w:val="258B3855"/>
    <w:rsid w:val="25A64995"/>
    <w:rsid w:val="25EC2D81"/>
    <w:rsid w:val="25FA1921"/>
    <w:rsid w:val="26133342"/>
    <w:rsid w:val="261E73D7"/>
    <w:rsid w:val="26616FCB"/>
    <w:rsid w:val="267962E6"/>
    <w:rsid w:val="26C53ED4"/>
    <w:rsid w:val="26DB60FD"/>
    <w:rsid w:val="27244D4F"/>
    <w:rsid w:val="2764616A"/>
    <w:rsid w:val="277057A2"/>
    <w:rsid w:val="27B677D9"/>
    <w:rsid w:val="27C748E6"/>
    <w:rsid w:val="27CB5E7A"/>
    <w:rsid w:val="27E91576"/>
    <w:rsid w:val="27F40885"/>
    <w:rsid w:val="280975CA"/>
    <w:rsid w:val="28416434"/>
    <w:rsid w:val="28433F5A"/>
    <w:rsid w:val="2868233F"/>
    <w:rsid w:val="28794769"/>
    <w:rsid w:val="2881434C"/>
    <w:rsid w:val="28B74948"/>
    <w:rsid w:val="28C770C6"/>
    <w:rsid w:val="28CD5071"/>
    <w:rsid w:val="28EE0448"/>
    <w:rsid w:val="291B1CBC"/>
    <w:rsid w:val="29206EB8"/>
    <w:rsid w:val="293C3891"/>
    <w:rsid w:val="29595666"/>
    <w:rsid w:val="29874881"/>
    <w:rsid w:val="29E325E0"/>
    <w:rsid w:val="29F6324E"/>
    <w:rsid w:val="2A137E2C"/>
    <w:rsid w:val="2A190B70"/>
    <w:rsid w:val="2A371C85"/>
    <w:rsid w:val="2A452503"/>
    <w:rsid w:val="2A4E14DD"/>
    <w:rsid w:val="2A80408F"/>
    <w:rsid w:val="2A826861"/>
    <w:rsid w:val="2AC26E13"/>
    <w:rsid w:val="2ACA70C9"/>
    <w:rsid w:val="2ADC2246"/>
    <w:rsid w:val="2ADF139C"/>
    <w:rsid w:val="2AE200DD"/>
    <w:rsid w:val="2AE7749E"/>
    <w:rsid w:val="2B431A74"/>
    <w:rsid w:val="2B4C0592"/>
    <w:rsid w:val="2B6515AF"/>
    <w:rsid w:val="2B671200"/>
    <w:rsid w:val="2B68032C"/>
    <w:rsid w:val="2BA14007"/>
    <w:rsid w:val="2BA936A8"/>
    <w:rsid w:val="2BD169F0"/>
    <w:rsid w:val="2BDB0BB8"/>
    <w:rsid w:val="2BE745C7"/>
    <w:rsid w:val="2BFE34FA"/>
    <w:rsid w:val="2C2C601B"/>
    <w:rsid w:val="2C315A5A"/>
    <w:rsid w:val="2C4A295B"/>
    <w:rsid w:val="2C4B1C25"/>
    <w:rsid w:val="2C6D01DE"/>
    <w:rsid w:val="2CEA351F"/>
    <w:rsid w:val="2CFA4C7F"/>
    <w:rsid w:val="2D2524EB"/>
    <w:rsid w:val="2D2C3F93"/>
    <w:rsid w:val="2D700CB4"/>
    <w:rsid w:val="2D8F138C"/>
    <w:rsid w:val="2D9E56F5"/>
    <w:rsid w:val="2DCA7F15"/>
    <w:rsid w:val="2DD5777B"/>
    <w:rsid w:val="2DEE20D9"/>
    <w:rsid w:val="2DEF3608"/>
    <w:rsid w:val="2DF456D1"/>
    <w:rsid w:val="2E050EB9"/>
    <w:rsid w:val="2E240BDF"/>
    <w:rsid w:val="2E4061A4"/>
    <w:rsid w:val="2E4069A5"/>
    <w:rsid w:val="2E5938AB"/>
    <w:rsid w:val="2E667F96"/>
    <w:rsid w:val="2E8226AB"/>
    <w:rsid w:val="2E9D67F1"/>
    <w:rsid w:val="2EA17C5A"/>
    <w:rsid w:val="2EC31AB7"/>
    <w:rsid w:val="2F035B73"/>
    <w:rsid w:val="2F0E5872"/>
    <w:rsid w:val="2F212B1B"/>
    <w:rsid w:val="2F80409E"/>
    <w:rsid w:val="2F886C3C"/>
    <w:rsid w:val="2F911F06"/>
    <w:rsid w:val="2FB9148C"/>
    <w:rsid w:val="2FD065E6"/>
    <w:rsid w:val="2FD96870"/>
    <w:rsid w:val="2FDF3A55"/>
    <w:rsid w:val="2FE75F39"/>
    <w:rsid w:val="2FEE0502"/>
    <w:rsid w:val="30061361"/>
    <w:rsid w:val="301C5A0E"/>
    <w:rsid w:val="30580BC9"/>
    <w:rsid w:val="30A752A2"/>
    <w:rsid w:val="30CC5651"/>
    <w:rsid w:val="31061AC7"/>
    <w:rsid w:val="310676C0"/>
    <w:rsid w:val="31181B9C"/>
    <w:rsid w:val="311D6581"/>
    <w:rsid w:val="311E2ED7"/>
    <w:rsid w:val="313003EB"/>
    <w:rsid w:val="3134605E"/>
    <w:rsid w:val="3143532D"/>
    <w:rsid w:val="315619EE"/>
    <w:rsid w:val="315C449C"/>
    <w:rsid w:val="315D49D0"/>
    <w:rsid w:val="316A4ECE"/>
    <w:rsid w:val="317F725F"/>
    <w:rsid w:val="31B82709"/>
    <w:rsid w:val="31C80963"/>
    <w:rsid w:val="31D05482"/>
    <w:rsid w:val="31E02A0A"/>
    <w:rsid w:val="32400B34"/>
    <w:rsid w:val="32490C4D"/>
    <w:rsid w:val="324F174E"/>
    <w:rsid w:val="324F70C7"/>
    <w:rsid w:val="32596756"/>
    <w:rsid w:val="32713298"/>
    <w:rsid w:val="32762719"/>
    <w:rsid w:val="329E6876"/>
    <w:rsid w:val="32BB4BAE"/>
    <w:rsid w:val="32F82453"/>
    <w:rsid w:val="3319188F"/>
    <w:rsid w:val="333015F2"/>
    <w:rsid w:val="334B6320"/>
    <w:rsid w:val="33A75459"/>
    <w:rsid w:val="33B35716"/>
    <w:rsid w:val="33D934D4"/>
    <w:rsid w:val="33DE7E01"/>
    <w:rsid w:val="33EE590D"/>
    <w:rsid w:val="33FE2F6A"/>
    <w:rsid w:val="340178CD"/>
    <w:rsid w:val="340E07E5"/>
    <w:rsid w:val="34167110"/>
    <w:rsid w:val="341B5E75"/>
    <w:rsid w:val="34235BF7"/>
    <w:rsid w:val="34650CC0"/>
    <w:rsid w:val="346F0C9F"/>
    <w:rsid w:val="34701CAA"/>
    <w:rsid w:val="347C51CB"/>
    <w:rsid w:val="34842C2E"/>
    <w:rsid w:val="34A273A9"/>
    <w:rsid w:val="34C256DD"/>
    <w:rsid w:val="34D66A30"/>
    <w:rsid w:val="34DC0727"/>
    <w:rsid w:val="358C5FA8"/>
    <w:rsid w:val="35C15DF1"/>
    <w:rsid w:val="35FF605C"/>
    <w:rsid w:val="36074A7F"/>
    <w:rsid w:val="361D213A"/>
    <w:rsid w:val="361E7E65"/>
    <w:rsid w:val="36923549"/>
    <w:rsid w:val="36AA7A4B"/>
    <w:rsid w:val="36B218EA"/>
    <w:rsid w:val="36B27EC8"/>
    <w:rsid w:val="36B75FBF"/>
    <w:rsid w:val="36BD0C45"/>
    <w:rsid w:val="36C21021"/>
    <w:rsid w:val="36D5116C"/>
    <w:rsid w:val="37005687"/>
    <w:rsid w:val="3703594C"/>
    <w:rsid w:val="375E2002"/>
    <w:rsid w:val="377F748A"/>
    <w:rsid w:val="379B457B"/>
    <w:rsid w:val="37AF1D87"/>
    <w:rsid w:val="37B9179D"/>
    <w:rsid w:val="37CF5709"/>
    <w:rsid w:val="37E00298"/>
    <w:rsid w:val="37F718E9"/>
    <w:rsid w:val="382B550F"/>
    <w:rsid w:val="385F0656"/>
    <w:rsid w:val="38604E58"/>
    <w:rsid w:val="38775DE3"/>
    <w:rsid w:val="38873905"/>
    <w:rsid w:val="38B302F9"/>
    <w:rsid w:val="38C95AFB"/>
    <w:rsid w:val="38CC7383"/>
    <w:rsid w:val="38DD6010"/>
    <w:rsid w:val="38F12CD3"/>
    <w:rsid w:val="38F94775"/>
    <w:rsid w:val="392971ED"/>
    <w:rsid w:val="39325651"/>
    <w:rsid w:val="39343546"/>
    <w:rsid w:val="39343DCB"/>
    <w:rsid w:val="39350D19"/>
    <w:rsid w:val="39433967"/>
    <w:rsid w:val="396F5D7F"/>
    <w:rsid w:val="39757943"/>
    <w:rsid w:val="39835C59"/>
    <w:rsid w:val="3A667997"/>
    <w:rsid w:val="3A71163B"/>
    <w:rsid w:val="3A872856"/>
    <w:rsid w:val="3AA076AE"/>
    <w:rsid w:val="3AE500DD"/>
    <w:rsid w:val="3AFE1A26"/>
    <w:rsid w:val="3B117F1B"/>
    <w:rsid w:val="3B3763D1"/>
    <w:rsid w:val="3B565F45"/>
    <w:rsid w:val="3B5B77AD"/>
    <w:rsid w:val="3B5E532E"/>
    <w:rsid w:val="3B717525"/>
    <w:rsid w:val="3B7D31C1"/>
    <w:rsid w:val="3B7D47F0"/>
    <w:rsid w:val="3BCE230C"/>
    <w:rsid w:val="3BFC6FE7"/>
    <w:rsid w:val="3BFE03D5"/>
    <w:rsid w:val="3C24509E"/>
    <w:rsid w:val="3C283789"/>
    <w:rsid w:val="3C2F6E1E"/>
    <w:rsid w:val="3C4F64BA"/>
    <w:rsid w:val="3C58770F"/>
    <w:rsid w:val="3C6B25F3"/>
    <w:rsid w:val="3C740F08"/>
    <w:rsid w:val="3C962F1C"/>
    <w:rsid w:val="3CDA245A"/>
    <w:rsid w:val="3CF640BC"/>
    <w:rsid w:val="3D0D1B37"/>
    <w:rsid w:val="3D0E2D2C"/>
    <w:rsid w:val="3D1E06B7"/>
    <w:rsid w:val="3D3C33A0"/>
    <w:rsid w:val="3D4963D8"/>
    <w:rsid w:val="3DFE04CE"/>
    <w:rsid w:val="3E245340"/>
    <w:rsid w:val="3E340867"/>
    <w:rsid w:val="3E5D2D6B"/>
    <w:rsid w:val="3E5D4F67"/>
    <w:rsid w:val="3EA01D8C"/>
    <w:rsid w:val="3EA864FE"/>
    <w:rsid w:val="3EAE4FA7"/>
    <w:rsid w:val="3EDA0523"/>
    <w:rsid w:val="3EDC71C6"/>
    <w:rsid w:val="3EE07D50"/>
    <w:rsid w:val="3EFC757B"/>
    <w:rsid w:val="3F225E9A"/>
    <w:rsid w:val="3F437A6E"/>
    <w:rsid w:val="3F4C2A06"/>
    <w:rsid w:val="3F620D12"/>
    <w:rsid w:val="3F746C97"/>
    <w:rsid w:val="3F845664"/>
    <w:rsid w:val="3F9442A1"/>
    <w:rsid w:val="3FD339BE"/>
    <w:rsid w:val="3FD91CE7"/>
    <w:rsid w:val="4000310E"/>
    <w:rsid w:val="40026051"/>
    <w:rsid w:val="40611567"/>
    <w:rsid w:val="407A6407"/>
    <w:rsid w:val="40842E96"/>
    <w:rsid w:val="40C86262"/>
    <w:rsid w:val="40D774DE"/>
    <w:rsid w:val="40E452F0"/>
    <w:rsid w:val="41052488"/>
    <w:rsid w:val="4105578E"/>
    <w:rsid w:val="412D2874"/>
    <w:rsid w:val="413C1AC8"/>
    <w:rsid w:val="414741EF"/>
    <w:rsid w:val="414962C9"/>
    <w:rsid w:val="41544A21"/>
    <w:rsid w:val="41722280"/>
    <w:rsid w:val="41AE140A"/>
    <w:rsid w:val="4200449D"/>
    <w:rsid w:val="422D7327"/>
    <w:rsid w:val="423A3BCC"/>
    <w:rsid w:val="424E57D2"/>
    <w:rsid w:val="425C6502"/>
    <w:rsid w:val="427C033D"/>
    <w:rsid w:val="42814EC0"/>
    <w:rsid w:val="42AE1E12"/>
    <w:rsid w:val="42B26C49"/>
    <w:rsid w:val="42B45C27"/>
    <w:rsid w:val="42D22958"/>
    <w:rsid w:val="42E52C06"/>
    <w:rsid w:val="42EF6011"/>
    <w:rsid w:val="42F43678"/>
    <w:rsid w:val="433A6FE6"/>
    <w:rsid w:val="43480868"/>
    <w:rsid w:val="4350713C"/>
    <w:rsid w:val="435F1F7F"/>
    <w:rsid w:val="436653E0"/>
    <w:rsid w:val="436A096A"/>
    <w:rsid w:val="43702F2E"/>
    <w:rsid w:val="4384458C"/>
    <w:rsid w:val="43C4431A"/>
    <w:rsid w:val="43EC32A0"/>
    <w:rsid w:val="43FF6EC4"/>
    <w:rsid w:val="44152594"/>
    <w:rsid w:val="445F7A24"/>
    <w:rsid w:val="44A5156F"/>
    <w:rsid w:val="44B951CC"/>
    <w:rsid w:val="44CD14E0"/>
    <w:rsid w:val="44CD4F7C"/>
    <w:rsid w:val="44E81CBA"/>
    <w:rsid w:val="44ED7585"/>
    <w:rsid w:val="44F20B0B"/>
    <w:rsid w:val="450F44F0"/>
    <w:rsid w:val="452C6715"/>
    <w:rsid w:val="452E5F4C"/>
    <w:rsid w:val="45314722"/>
    <w:rsid w:val="45333828"/>
    <w:rsid w:val="45612018"/>
    <w:rsid w:val="45613C61"/>
    <w:rsid w:val="458946E9"/>
    <w:rsid w:val="458D3152"/>
    <w:rsid w:val="458D4ABE"/>
    <w:rsid w:val="45A47C0E"/>
    <w:rsid w:val="45D17443"/>
    <w:rsid w:val="45E96BB2"/>
    <w:rsid w:val="4604077E"/>
    <w:rsid w:val="461A2919"/>
    <w:rsid w:val="46577FD6"/>
    <w:rsid w:val="4660006D"/>
    <w:rsid w:val="467B6B5D"/>
    <w:rsid w:val="46AE02A1"/>
    <w:rsid w:val="46B70261"/>
    <w:rsid w:val="46D955A7"/>
    <w:rsid w:val="46E82B94"/>
    <w:rsid w:val="46E9672D"/>
    <w:rsid w:val="47133957"/>
    <w:rsid w:val="471A5A3D"/>
    <w:rsid w:val="47302052"/>
    <w:rsid w:val="473E26F2"/>
    <w:rsid w:val="47555E6F"/>
    <w:rsid w:val="477E06B3"/>
    <w:rsid w:val="47924E7B"/>
    <w:rsid w:val="47A07E0C"/>
    <w:rsid w:val="47A63560"/>
    <w:rsid w:val="47BD47E6"/>
    <w:rsid w:val="47D4228F"/>
    <w:rsid w:val="47EC4104"/>
    <w:rsid w:val="480D1099"/>
    <w:rsid w:val="48105457"/>
    <w:rsid w:val="48177A23"/>
    <w:rsid w:val="481E6D39"/>
    <w:rsid w:val="4828061F"/>
    <w:rsid w:val="483147EC"/>
    <w:rsid w:val="483511E4"/>
    <w:rsid w:val="483E5A6A"/>
    <w:rsid w:val="48422724"/>
    <w:rsid w:val="484D7CA4"/>
    <w:rsid w:val="485C2A08"/>
    <w:rsid w:val="4870272E"/>
    <w:rsid w:val="48CF769C"/>
    <w:rsid w:val="48D2625E"/>
    <w:rsid w:val="48DA5DBD"/>
    <w:rsid w:val="48FE2C1A"/>
    <w:rsid w:val="490948F4"/>
    <w:rsid w:val="490A6F9D"/>
    <w:rsid w:val="493A312A"/>
    <w:rsid w:val="496A0015"/>
    <w:rsid w:val="496B7329"/>
    <w:rsid w:val="49717523"/>
    <w:rsid w:val="499B79B8"/>
    <w:rsid w:val="49A522CE"/>
    <w:rsid w:val="49BF0D95"/>
    <w:rsid w:val="49DC7715"/>
    <w:rsid w:val="49FD2417"/>
    <w:rsid w:val="4A023139"/>
    <w:rsid w:val="4A050E7A"/>
    <w:rsid w:val="4A171D75"/>
    <w:rsid w:val="4A2540DF"/>
    <w:rsid w:val="4A2F079B"/>
    <w:rsid w:val="4A657D5A"/>
    <w:rsid w:val="4A7B576F"/>
    <w:rsid w:val="4ABE6FD5"/>
    <w:rsid w:val="4ACD476C"/>
    <w:rsid w:val="4AE5143A"/>
    <w:rsid w:val="4AF561A9"/>
    <w:rsid w:val="4B0851C4"/>
    <w:rsid w:val="4B335DFE"/>
    <w:rsid w:val="4B6952E7"/>
    <w:rsid w:val="4B8C3EF5"/>
    <w:rsid w:val="4B924F19"/>
    <w:rsid w:val="4BC760E1"/>
    <w:rsid w:val="4C0B78FC"/>
    <w:rsid w:val="4C116972"/>
    <w:rsid w:val="4C2335F4"/>
    <w:rsid w:val="4C2D0845"/>
    <w:rsid w:val="4C4A0649"/>
    <w:rsid w:val="4C5821D4"/>
    <w:rsid w:val="4C7E5ECA"/>
    <w:rsid w:val="4C876AA5"/>
    <w:rsid w:val="4CCD0706"/>
    <w:rsid w:val="4D0E00FB"/>
    <w:rsid w:val="4D173FB7"/>
    <w:rsid w:val="4D176606"/>
    <w:rsid w:val="4D2D1C08"/>
    <w:rsid w:val="4D512ABF"/>
    <w:rsid w:val="4D650598"/>
    <w:rsid w:val="4DB93F36"/>
    <w:rsid w:val="4DEC4FB0"/>
    <w:rsid w:val="4DFA0FB9"/>
    <w:rsid w:val="4E075D8A"/>
    <w:rsid w:val="4E093F3E"/>
    <w:rsid w:val="4E110369"/>
    <w:rsid w:val="4E7754C4"/>
    <w:rsid w:val="4E9852E0"/>
    <w:rsid w:val="4EC00FAD"/>
    <w:rsid w:val="4EDA48C4"/>
    <w:rsid w:val="4F1E3915"/>
    <w:rsid w:val="4F3527CB"/>
    <w:rsid w:val="4F3E04B5"/>
    <w:rsid w:val="4F732449"/>
    <w:rsid w:val="4F9843DC"/>
    <w:rsid w:val="4FC42183"/>
    <w:rsid w:val="4FC62A8C"/>
    <w:rsid w:val="4FD50D99"/>
    <w:rsid w:val="4FE20F0D"/>
    <w:rsid w:val="4FE51552"/>
    <w:rsid w:val="5007215A"/>
    <w:rsid w:val="500978E9"/>
    <w:rsid w:val="5022163C"/>
    <w:rsid w:val="5027638C"/>
    <w:rsid w:val="50461356"/>
    <w:rsid w:val="504F3374"/>
    <w:rsid w:val="50504C4B"/>
    <w:rsid w:val="506E1E07"/>
    <w:rsid w:val="50747051"/>
    <w:rsid w:val="508D5E8E"/>
    <w:rsid w:val="50966A6E"/>
    <w:rsid w:val="509C6E7C"/>
    <w:rsid w:val="50C24A22"/>
    <w:rsid w:val="50D37839"/>
    <w:rsid w:val="50ED63A6"/>
    <w:rsid w:val="510E020E"/>
    <w:rsid w:val="51356FDD"/>
    <w:rsid w:val="51362D6A"/>
    <w:rsid w:val="515C4B3A"/>
    <w:rsid w:val="5162104E"/>
    <w:rsid w:val="51B630E0"/>
    <w:rsid w:val="51C3626E"/>
    <w:rsid w:val="522540ED"/>
    <w:rsid w:val="524D296E"/>
    <w:rsid w:val="528B76CE"/>
    <w:rsid w:val="52C20F57"/>
    <w:rsid w:val="52ED20DE"/>
    <w:rsid w:val="533231EF"/>
    <w:rsid w:val="533E5981"/>
    <w:rsid w:val="53443B44"/>
    <w:rsid w:val="534722A1"/>
    <w:rsid w:val="53A039CC"/>
    <w:rsid w:val="53A1505A"/>
    <w:rsid w:val="53E363C6"/>
    <w:rsid w:val="53F41F08"/>
    <w:rsid w:val="53F96B75"/>
    <w:rsid w:val="54063E08"/>
    <w:rsid w:val="543437E8"/>
    <w:rsid w:val="547E2DCC"/>
    <w:rsid w:val="549D6DCD"/>
    <w:rsid w:val="54F04310"/>
    <w:rsid w:val="54F14CF1"/>
    <w:rsid w:val="54F73313"/>
    <w:rsid w:val="54F80955"/>
    <w:rsid w:val="5508391C"/>
    <w:rsid w:val="55131D46"/>
    <w:rsid w:val="552B7A29"/>
    <w:rsid w:val="55326378"/>
    <w:rsid w:val="553B3EF1"/>
    <w:rsid w:val="55491510"/>
    <w:rsid w:val="555170A7"/>
    <w:rsid w:val="5587536D"/>
    <w:rsid w:val="5588576D"/>
    <w:rsid w:val="559B174B"/>
    <w:rsid w:val="55BF6A41"/>
    <w:rsid w:val="55C94910"/>
    <w:rsid w:val="55CE0CF4"/>
    <w:rsid w:val="564A44FE"/>
    <w:rsid w:val="565A3841"/>
    <w:rsid w:val="566018F0"/>
    <w:rsid w:val="567964FE"/>
    <w:rsid w:val="56855E38"/>
    <w:rsid w:val="568E01E7"/>
    <w:rsid w:val="569A3F70"/>
    <w:rsid w:val="569F72DB"/>
    <w:rsid w:val="56B22A9C"/>
    <w:rsid w:val="56D27909"/>
    <w:rsid w:val="574861B6"/>
    <w:rsid w:val="578F0018"/>
    <w:rsid w:val="57B72A76"/>
    <w:rsid w:val="57C178E1"/>
    <w:rsid w:val="57C3426C"/>
    <w:rsid w:val="57CE1F93"/>
    <w:rsid w:val="57D92F6A"/>
    <w:rsid w:val="57E86067"/>
    <w:rsid w:val="57E86C67"/>
    <w:rsid w:val="57FB589C"/>
    <w:rsid w:val="581B2E59"/>
    <w:rsid w:val="58351C49"/>
    <w:rsid w:val="58527368"/>
    <w:rsid w:val="5855546B"/>
    <w:rsid w:val="58784513"/>
    <w:rsid w:val="588743D1"/>
    <w:rsid w:val="5887701A"/>
    <w:rsid w:val="58A21734"/>
    <w:rsid w:val="58C539AF"/>
    <w:rsid w:val="58D736D4"/>
    <w:rsid w:val="590F0994"/>
    <w:rsid w:val="592117E6"/>
    <w:rsid w:val="593B0B7D"/>
    <w:rsid w:val="599704C3"/>
    <w:rsid w:val="599865D7"/>
    <w:rsid w:val="599C6C92"/>
    <w:rsid w:val="59A23B4B"/>
    <w:rsid w:val="59B93F1C"/>
    <w:rsid w:val="59C0439F"/>
    <w:rsid w:val="5A3F0176"/>
    <w:rsid w:val="5A401929"/>
    <w:rsid w:val="5A7613CD"/>
    <w:rsid w:val="5ABD575D"/>
    <w:rsid w:val="5ABE2233"/>
    <w:rsid w:val="5ACF1E95"/>
    <w:rsid w:val="5AD0356A"/>
    <w:rsid w:val="5AF54CD9"/>
    <w:rsid w:val="5AFC2936"/>
    <w:rsid w:val="5B2B153F"/>
    <w:rsid w:val="5B321A89"/>
    <w:rsid w:val="5B650AD9"/>
    <w:rsid w:val="5B9166FE"/>
    <w:rsid w:val="5BDF5D95"/>
    <w:rsid w:val="5BE30FD5"/>
    <w:rsid w:val="5BFE7528"/>
    <w:rsid w:val="5C222822"/>
    <w:rsid w:val="5C2913FE"/>
    <w:rsid w:val="5C2C7BC9"/>
    <w:rsid w:val="5C8D5947"/>
    <w:rsid w:val="5CCB1B45"/>
    <w:rsid w:val="5CE24C1E"/>
    <w:rsid w:val="5D364C13"/>
    <w:rsid w:val="5D557CB4"/>
    <w:rsid w:val="5D6479A4"/>
    <w:rsid w:val="5D7E0CAA"/>
    <w:rsid w:val="5DCB0B59"/>
    <w:rsid w:val="5E1511C3"/>
    <w:rsid w:val="5E186BEC"/>
    <w:rsid w:val="5E2467F1"/>
    <w:rsid w:val="5E6526B6"/>
    <w:rsid w:val="5E8D3721"/>
    <w:rsid w:val="5E981BB7"/>
    <w:rsid w:val="5ED335B5"/>
    <w:rsid w:val="5F007013"/>
    <w:rsid w:val="5F051A6E"/>
    <w:rsid w:val="5F1A2B43"/>
    <w:rsid w:val="5F2E297F"/>
    <w:rsid w:val="5F2E76B6"/>
    <w:rsid w:val="5F4A3EC9"/>
    <w:rsid w:val="5F7C17DC"/>
    <w:rsid w:val="5F97023A"/>
    <w:rsid w:val="5FB837BB"/>
    <w:rsid w:val="5FBA3FD4"/>
    <w:rsid w:val="5FE20D6A"/>
    <w:rsid w:val="60337FE7"/>
    <w:rsid w:val="60587770"/>
    <w:rsid w:val="605F244D"/>
    <w:rsid w:val="60842241"/>
    <w:rsid w:val="60975DCC"/>
    <w:rsid w:val="609774DA"/>
    <w:rsid w:val="60985B58"/>
    <w:rsid w:val="60CC405A"/>
    <w:rsid w:val="60F012A8"/>
    <w:rsid w:val="60F82E2D"/>
    <w:rsid w:val="61050B14"/>
    <w:rsid w:val="61201699"/>
    <w:rsid w:val="614E5143"/>
    <w:rsid w:val="6158616E"/>
    <w:rsid w:val="617E28C5"/>
    <w:rsid w:val="61991CB4"/>
    <w:rsid w:val="61A06084"/>
    <w:rsid w:val="61C634F9"/>
    <w:rsid w:val="61CD7A80"/>
    <w:rsid w:val="61E215D8"/>
    <w:rsid w:val="61F76909"/>
    <w:rsid w:val="621B3775"/>
    <w:rsid w:val="622720C5"/>
    <w:rsid w:val="62364782"/>
    <w:rsid w:val="62657B4F"/>
    <w:rsid w:val="62DB6947"/>
    <w:rsid w:val="62DC471F"/>
    <w:rsid w:val="62F556F1"/>
    <w:rsid w:val="635245A2"/>
    <w:rsid w:val="635C43B4"/>
    <w:rsid w:val="636E073C"/>
    <w:rsid w:val="638A6949"/>
    <w:rsid w:val="638B4C49"/>
    <w:rsid w:val="6394356A"/>
    <w:rsid w:val="639B1151"/>
    <w:rsid w:val="63C61B2C"/>
    <w:rsid w:val="63D21256"/>
    <w:rsid w:val="63D40BE9"/>
    <w:rsid w:val="63DF2770"/>
    <w:rsid w:val="63E500B8"/>
    <w:rsid w:val="640A1B23"/>
    <w:rsid w:val="64102431"/>
    <w:rsid w:val="646C4B59"/>
    <w:rsid w:val="64A5243A"/>
    <w:rsid w:val="64A541BE"/>
    <w:rsid w:val="64AD7F36"/>
    <w:rsid w:val="64B60848"/>
    <w:rsid w:val="64C07A39"/>
    <w:rsid w:val="64D46980"/>
    <w:rsid w:val="64EF6415"/>
    <w:rsid w:val="64F531DE"/>
    <w:rsid w:val="65277478"/>
    <w:rsid w:val="65367DBE"/>
    <w:rsid w:val="65373578"/>
    <w:rsid w:val="65512767"/>
    <w:rsid w:val="658B3D84"/>
    <w:rsid w:val="659D5316"/>
    <w:rsid w:val="65C82074"/>
    <w:rsid w:val="65DE37F1"/>
    <w:rsid w:val="65F6708B"/>
    <w:rsid w:val="660A59C1"/>
    <w:rsid w:val="662063F4"/>
    <w:rsid w:val="665133D3"/>
    <w:rsid w:val="665D6C35"/>
    <w:rsid w:val="66B62CF4"/>
    <w:rsid w:val="66DB1C6C"/>
    <w:rsid w:val="66DC4266"/>
    <w:rsid w:val="66E87DA3"/>
    <w:rsid w:val="66F145A6"/>
    <w:rsid w:val="671E3DF0"/>
    <w:rsid w:val="671F124A"/>
    <w:rsid w:val="67450AA5"/>
    <w:rsid w:val="677A33C6"/>
    <w:rsid w:val="67812D83"/>
    <w:rsid w:val="67BB21C6"/>
    <w:rsid w:val="67E707D3"/>
    <w:rsid w:val="68061D8D"/>
    <w:rsid w:val="68153F8C"/>
    <w:rsid w:val="681F6961"/>
    <w:rsid w:val="682D5085"/>
    <w:rsid w:val="68610A2F"/>
    <w:rsid w:val="68805514"/>
    <w:rsid w:val="68840C20"/>
    <w:rsid w:val="68AD5C80"/>
    <w:rsid w:val="68BC2A9E"/>
    <w:rsid w:val="68C00E0A"/>
    <w:rsid w:val="68D22CCD"/>
    <w:rsid w:val="68E36DF6"/>
    <w:rsid w:val="692C655C"/>
    <w:rsid w:val="69316E2F"/>
    <w:rsid w:val="694E2071"/>
    <w:rsid w:val="695B4030"/>
    <w:rsid w:val="69766163"/>
    <w:rsid w:val="697A3B33"/>
    <w:rsid w:val="69924642"/>
    <w:rsid w:val="69987874"/>
    <w:rsid w:val="69AA706F"/>
    <w:rsid w:val="69D44760"/>
    <w:rsid w:val="69DE6FB0"/>
    <w:rsid w:val="6A0B7AC9"/>
    <w:rsid w:val="6A2B7DCF"/>
    <w:rsid w:val="6A520EC7"/>
    <w:rsid w:val="6A9572B9"/>
    <w:rsid w:val="6AA7777C"/>
    <w:rsid w:val="6AD36FED"/>
    <w:rsid w:val="6AF612DE"/>
    <w:rsid w:val="6AF87E20"/>
    <w:rsid w:val="6B0718C8"/>
    <w:rsid w:val="6B1E12A9"/>
    <w:rsid w:val="6B221653"/>
    <w:rsid w:val="6B322639"/>
    <w:rsid w:val="6B324802"/>
    <w:rsid w:val="6B5D57EA"/>
    <w:rsid w:val="6B60787D"/>
    <w:rsid w:val="6BC95AF1"/>
    <w:rsid w:val="6C302658"/>
    <w:rsid w:val="6C636C38"/>
    <w:rsid w:val="6D061CB7"/>
    <w:rsid w:val="6D2F3EE6"/>
    <w:rsid w:val="6D321474"/>
    <w:rsid w:val="6D4079BC"/>
    <w:rsid w:val="6D480C98"/>
    <w:rsid w:val="6D567B80"/>
    <w:rsid w:val="6D5F4998"/>
    <w:rsid w:val="6D617BA5"/>
    <w:rsid w:val="6D635AD2"/>
    <w:rsid w:val="6D70717F"/>
    <w:rsid w:val="6DA726E8"/>
    <w:rsid w:val="6DB34098"/>
    <w:rsid w:val="6DB545B6"/>
    <w:rsid w:val="6DB86395"/>
    <w:rsid w:val="6DD13511"/>
    <w:rsid w:val="6DE02FB4"/>
    <w:rsid w:val="6E350130"/>
    <w:rsid w:val="6E3B076B"/>
    <w:rsid w:val="6E514CED"/>
    <w:rsid w:val="6EB563D5"/>
    <w:rsid w:val="6ED92677"/>
    <w:rsid w:val="6F0E7C46"/>
    <w:rsid w:val="6F225983"/>
    <w:rsid w:val="6F560E5C"/>
    <w:rsid w:val="6F6D30EC"/>
    <w:rsid w:val="6F7C6EB5"/>
    <w:rsid w:val="6FC37418"/>
    <w:rsid w:val="6FE239FD"/>
    <w:rsid w:val="6FE56B62"/>
    <w:rsid w:val="6FEE136B"/>
    <w:rsid w:val="6FFC5590"/>
    <w:rsid w:val="6FFE6B6F"/>
    <w:rsid w:val="7036074D"/>
    <w:rsid w:val="70406668"/>
    <w:rsid w:val="705C39FA"/>
    <w:rsid w:val="705D607F"/>
    <w:rsid w:val="70663744"/>
    <w:rsid w:val="706D1DD0"/>
    <w:rsid w:val="70856B87"/>
    <w:rsid w:val="7085735B"/>
    <w:rsid w:val="70D527EE"/>
    <w:rsid w:val="70F25D5E"/>
    <w:rsid w:val="70F267DA"/>
    <w:rsid w:val="70F43D08"/>
    <w:rsid w:val="71566FA7"/>
    <w:rsid w:val="715B5300"/>
    <w:rsid w:val="71CD20B4"/>
    <w:rsid w:val="71D27F8A"/>
    <w:rsid w:val="71F9607D"/>
    <w:rsid w:val="721034BB"/>
    <w:rsid w:val="721942E3"/>
    <w:rsid w:val="72203F91"/>
    <w:rsid w:val="72254CE7"/>
    <w:rsid w:val="723637B5"/>
    <w:rsid w:val="72433361"/>
    <w:rsid w:val="72514749"/>
    <w:rsid w:val="72553024"/>
    <w:rsid w:val="72692806"/>
    <w:rsid w:val="72755107"/>
    <w:rsid w:val="727C15C5"/>
    <w:rsid w:val="72AC2F97"/>
    <w:rsid w:val="72F97E58"/>
    <w:rsid w:val="73041B05"/>
    <w:rsid w:val="73122968"/>
    <w:rsid w:val="731F5D5E"/>
    <w:rsid w:val="736E619F"/>
    <w:rsid w:val="736F4DF3"/>
    <w:rsid w:val="738433D9"/>
    <w:rsid w:val="738A2AA2"/>
    <w:rsid w:val="73946C8C"/>
    <w:rsid w:val="73C51AD5"/>
    <w:rsid w:val="74111CD4"/>
    <w:rsid w:val="741E793C"/>
    <w:rsid w:val="74205C9F"/>
    <w:rsid w:val="742A633F"/>
    <w:rsid w:val="745E3944"/>
    <w:rsid w:val="746F5B7A"/>
    <w:rsid w:val="74740816"/>
    <w:rsid w:val="747A2501"/>
    <w:rsid w:val="74921FC7"/>
    <w:rsid w:val="74AA6EB7"/>
    <w:rsid w:val="74B03CF2"/>
    <w:rsid w:val="74BF6B39"/>
    <w:rsid w:val="74CD29DE"/>
    <w:rsid w:val="74D53759"/>
    <w:rsid w:val="74DA7F27"/>
    <w:rsid w:val="750F6268"/>
    <w:rsid w:val="75410DEE"/>
    <w:rsid w:val="754F61B6"/>
    <w:rsid w:val="758B40D9"/>
    <w:rsid w:val="759901BF"/>
    <w:rsid w:val="75BF00FD"/>
    <w:rsid w:val="75C64E50"/>
    <w:rsid w:val="75CA3D52"/>
    <w:rsid w:val="75E115AB"/>
    <w:rsid w:val="75F71DCD"/>
    <w:rsid w:val="76077540"/>
    <w:rsid w:val="76291B6F"/>
    <w:rsid w:val="7635099D"/>
    <w:rsid w:val="764E6933"/>
    <w:rsid w:val="768371E5"/>
    <w:rsid w:val="76A944CA"/>
    <w:rsid w:val="76BD0080"/>
    <w:rsid w:val="77091498"/>
    <w:rsid w:val="771420B5"/>
    <w:rsid w:val="772500CA"/>
    <w:rsid w:val="77304C77"/>
    <w:rsid w:val="776B1F68"/>
    <w:rsid w:val="77762421"/>
    <w:rsid w:val="779737C1"/>
    <w:rsid w:val="779A6594"/>
    <w:rsid w:val="779E2BD3"/>
    <w:rsid w:val="77B56B1F"/>
    <w:rsid w:val="77FF651A"/>
    <w:rsid w:val="780F09F4"/>
    <w:rsid w:val="781359E0"/>
    <w:rsid w:val="78210BA7"/>
    <w:rsid w:val="78627157"/>
    <w:rsid w:val="78A15596"/>
    <w:rsid w:val="78A67206"/>
    <w:rsid w:val="78A90480"/>
    <w:rsid w:val="78D55718"/>
    <w:rsid w:val="78E15D77"/>
    <w:rsid w:val="78FD3E76"/>
    <w:rsid w:val="791C59DF"/>
    <w:rsid w:val="793E0667"/>
    <w:rsid w:val="79A35ED8"/>
    <w:rsid w:val="7A0C2970"/>
    <w:rsid w:val="7A1F4E87"/>
    <w:rsid w:val="7A364017"/>
    <w:rsid w:val="7A682979"/>
    <w:rsid w:val="7A8265E1"/>
    <w:rsid w:val="7AB5677F"/>
    <w:rsid w:val="7AE4298A"/>
    <w:rsid w:val="7B565B7A"/>
    <w:rsid w:val="7B686D42"/>
    <w:rsid w:val="7B6E5D6D"/>
    <w:rsid w:val="7B7E4670"/>
    <w:rsid w:val="7B841746"/>
    <w:rsid w:val="7C293AD7"/>
    <w:rsid w:val="7C2B4619"/>
    <w:rsid w:val="7C604C56"/>
    <w:rsid w:val="7C6C5AC7"/>
    <w:rsid w:val="7C786539"/>
    <w:rsid w:val="7C8D239B"/>
    <w:rsid w:val="7C973C27"/>
    <w:rsid w:val="7CA80744"/>
    <w:rsid w:val="7CB7253A"/>
    <w:rsid w:val="7CBC2177"/>
    <w:rsid w:val="7CC6544B"/>
    <w:rsid w:val="7CC96131"/>
    <w:rsid w:val="7CCA3081"/>
    <w:rsid w:val="7CCB087C"/>
    <w:rsid w:val="7CD12AB9"/>
    <w:rsid w:val="7D0239FF"/>
    <w:rsid w:val="7D0705F6"/>
    <w:rsid w:val="7D314ACD"/>
    <w:rsid w:val="7D316F31"/>
    <w:rsid w:val="7D5E40CD"/>
    <w:rsid w:val="7D6E722C"/>
    <w:rsid w:val="7D7548E4"/>
    <w:rsid w:val="7D871368"/>
    <w:rsid w:val="7D8C4BD1"/>
    <w:rsid w:val="7DB165C4"/>
    <w:rsid w:val="7DBB1CC8"/>
    <w:rsid w:val="7DCC599C"/>
    <w:rsid w:val="7DCD56F2"/>
    <w:rsid w:val="7E317F9E"/>
    <w:rsid w:val="7E88638E"/>
    <w:rsid w:val="7EE67A74"/>
    <w:rsid w:val="7F001CE7"/>
    <w:rsid w:val="7F1D5C1A"/>
    <w:rsid w:val="7FA62DC1"/>
    <w:rsid w:val="7FC55D9A"/>
    <w:rsid w:val="7FCF6FF7"/>
    <w:rsid w:val="7FE47E50"/>
    <w:rsid w:val="7FF133C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9"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iPriority="99"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36"/>
    <w:qFormat/>
    <w:locked/>
    <w:uiPriority w:val="0"/>
    <w:pPr>
      <w:keepNext/>
      <w:keepLines/>
      <w:widowControl w:val="0"/>
      <w:suppressLineNumbers w:val="0"/>
      <w:spacing w:before="0" w:beforeAutospacing="0" w:after="0" w:afterAutospacing="0" w:line="360" w:lineRule="auto"/>
      <w:ind w:left="0" w:right="0" w:firstLine="1446" w:firstLineChars="200"/>
      <w:jc w:val="both"/>
      <w:outlineLvl w:val="1"/>
    </w:pPr>
    <w:rPr>
      <w:rFonts w:hint="default" w:ascii="Times New Roman" w:hAnsi="Times New Roman" w:eastAsia="宋体" w:cs="Cambria"/>
      <w:b/>
      <w:bCs/>
      <w:kern w:val="2"/>
      <w:sz w:val="28"/>
      <w:szCs w:val="32"/>
      <w:lang w:val="en-US" w:eastAsia="zh-CN" w:bidi="ar"/>
    </w:rPr>
  </w:style>
  <w:style w:type="paragraph" w:styleId="4">
    <w:name w:val="heading 3"/>
    <w:basedOn w:val="1"/>
    <w:next w:val="1"/>
    <w:qFormat/>
    <w:locked/>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qFormat/>
    <w:locked/>
    <w:uiPriority w:val="0"/>
    <w:pPr>
      <w:keepNext/>
      <w:keepLines/>
      <w:adjustRightInd w:val="0"/>
      <w:spacing w:before="280" w:after="290" w:line="376" w:lineRule="atLeast"/>
      <w:jc w:val="left"/>
      <w:textAlignment w:val="baseline"/>
      <w:outlineLvl w:val="3"/>
    </w:pPr>
    <w:rPr>
      <w:rFonts w:ascii="Arial" w:hAnsi="Arial" w:eastAsia="黑体"/>
      <w:b/>
      <w:kern w:val="0"/>
      <w:sz w:val="28"/>
      <w:szCs w:val="20"/>
    </w:rPr>
  </w:style>
  <w:style w:type="paragraph" w:styleId="6">
    <w:name w:val="heading 5"/>
    <w:basedOn w:val="1"/>
    <w:next w:val="1"/>
    <w:qFormat/>
    <w:locked/>
    <w:uiPriority w:val="9"/>
    <w:pPr>
      <w:keepNext/>
      <w:keepLines/>
      <w:spacing w:line="240" w:lineRule="auto"/>
      <w:ind w:firstLine="0" w:firstLineChars="0"/>
      <w:jc w:val="center"/>
      <w:outlineLvl w:val="4"/>
    </w:pPr>
    <w:rPr>
      <w:b/>
      <w:bCs/>
      <w:sz w:val="21"/>
      <w:szCs w:val="21"/>
    </w:rPr>
  </w:style>
  <w:style w:type="character" w:default="1" w:styleId="30">
    <w:name w:val="Default Paragraph Font"/>
    <w:semiHidden/>
    <w:qFormat/>
    <w:uiPriority w:val="0"/>
  </w:style>
  <w:style w:type="table" w:default="1" w:styleId="2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next w:val="1"/>
    <w:qFormat/>
    <w:locked/>
    <w:uiPriority w:val="0"/>
    <w:pPr>
      <w:adjustRightInd w:val="0"/>
      <w:snapToGrid w:val="0"/>
      <w:spacing w:line="300" w:lineRule="auto"/>
      <w:ind w:firstLine="200" w:firstLineChars="200"/>
    </w:pPr>
    <w:rPr>
      <w:rFonts w:ascii="仿宋_GB2312" w:eastAsia="仿宋_GB2312"/>
      <w:sz w:val="28"/>
    </w:rPr>
  </w:style>
  <w:style w:type="paragraph" w:styleId="8">
    <w:name w:val="toa heading"/>
    <w:basedOn w:val="1"/>
    <w:next w:val="1"/>
    <w:link w:val="102"/>
    <w:unhideWhenUsed/>
    <w:qFormat/>
    <w:locked/>
    <w:uiPriority w:val="99"/>
    <w:pPr>
      <w:spacing w:before="120" w:line="360" w:lineRule="auto"/>
    </w:pPr>
    <w:rPr>
      <w:rFonts w:ascii="Arial" w:hAnsi="Arial" w:cs="Arial"/>
      <w:kern w:val="0"/>
      <w:sz w:val="24"/>
      <w:szCs w:val="20"/>
    </w:rPr>
  </w:style>
  <w:style w:type="paragraph" w:styleId="9">
    <w:name w:val="annotation text"/>
    <w:basedOn w:val="1"/>
    <w:link w:val="37"/>
    <w:semiHidden/>
    <w:qFormat/>
    <w:uiPriority w:val="0"/>
    <w:pPr>
      <w:jc w:val="left"/>
    </w:pPr>
    <w:rPr>
      <w:kern w:val="0"/>
      <w:sz w:val="24"/>
      <w:szCs w:val="20"/>
    </w:rPr>
  </w:style>
  <w:style w:type="paragraph" w:styleId="10">
    <w:name w:val="Body Text 3"/>
    <w:basedOn w:val="1"/>
    <w:qFormat/>
    <w:locked/>
    <w:uiPriority w:val="0"/>
    <w:pPr>
      <w:spacing w:after="120"/>
    </w:pPr>
    <w:rPr>
      <w:kern w:val="0"/>
      <w:sz w:val="16"/>
      <w:szCs w:val="16"/>
    </w:rPr>
  </w:style>
  <w:style w:type="paragraph" w:styleId="11">
    <w:name w:val="Body Text"/>
    <w:basedOn w:val="1"/>
    <w:next w:val="1"/>
    <w:link w:val="38"/>
    <w:qFormat/>
    <w:uiPriority w:val="0"/>
    <w:pPr>
      <w:widowControl/>
      <w:snapToGrid w:val="0"/>
      <w:spacing w:before="60" w:after="160" w:line="259" w:lineRule="auto"/>
      <w:ind w:right="113"/>
    </w:pPr>
    <w:rPr>
      <w:kern w:val="0"/>
      <w:sz w:val="18"/>
      <w:szCs w:val="20"/>
    </w:rPr>
  </w:style>
  <w:style w:type="paragraph" w:styleId="12">
    <w:name w:val="Body Text Indent"/>
    <w:basedOn w:val="1"/>
    <w:next w:val="1"/>
    <w:link w:val="39"/>
    <w:qFormat/>
    <w:uiPriority w:val="0"/>
    <w:pPr>
      <w:spacing w:after="120"/>
      <w:ind w:left="420" w:leftChars="200"/>
    </w:pPr>
    <w:rPr>
      <w:kern w:val="0"/>
      <w:sz w:val="24"/>
      <w:szCs w:val="20"/>
    </w:rPr>
  </w:style>
  <w:style w:type="paragraph" w:styleId="13">
    <w:name w:val="Block Text"/>
    <w:basedOn w:val="1"/>
    <w:qFormat/>
    <w:locked/>
    <w:uiPriority w:val="0"/>
    <w:pPr>
      <w:adjustRightInd w:val="0"/>
      <w:snapToGrid w:val="0"/>
      <w:spacing w:line="440" w:lineRule="exact"/>
      <w:ind w:left="140" w:right="118" w:firstLine="560"/>
    </w:pPr>
    <w:rPr>
      <w:rFonts w:ascii="宋体"/>
      <w:color w:val="0000FF"/>
      <w:sz w:val="27"/>
      <w:szCs w:val="27"/>
    </w:rPr>
  </w:style>
  <w:style w:type="paragraph" w:styleId="14">
    <w:name w:val="Plain Text"/>
    <w:basedOn w:val="1"/>
    <w:next w:val="1"/>
    <w:qFormat/>
    <w:locked/>
    <w:uiPriority w:val="0"/>
    <w:rPr>
      <w:rFonts w:ascii="宋体" w:hAnsi="Courier New"/>
      <w:szCs w:val="20"/>
    </w:rPr>
  </w:style>
  <w:style w:type="paragraph" w:styleId="15">
    <w:name w:val="Date"/>
    <w:basedOn w:val="1"/>
    <w:next w:val="1"/>
    <w:link w:val="40"/>
    <w:qFormat/>
    <w:uiPriority w:val="0"/>
    <w:pPr>
      <w:ind w:left="100" w:leftChars="2500"/>
    </w:pPr>
    <w:rPr>
      <w:kern w:val="0"/>
      <w:sz w:val="24"/>
      <w:szCs w:val="20"/>
    </w:rPr>
  </w:style>
  <w:style w:type="paragraph" w:styleId="16">
    <w:name w:val="Body Text Indent 2"/>
    <w:basedOn w:val="1"/>
    <w:next w:val="17"/>
    <w:qFormat/>
    <w:locked/>
    <w:uiPriority w:val="0"/>
    <w:pPr>
      <w:spacing w:line="420" w:lineRule="auto"/>
    </w:pPr>
  </w:style>
  <w:style w:type="paragraph" w:customStyle="1" w:styleId="17">
    <w:name w:val="简单回函地址"/>
    <w:basedOn w:val="1"/>
    <w:next w:val="18"/>
    <w:qFormat/>
    <w:uiPriority w:val="0"/>
  </w:style>
  <w:style w:type="paragraph" w:customStyle="1" w:styleId="18">
    <w:name w:val="正文2"/>
    <w:basedOn w:val="1"/>
    <w:qFormat/>
    <w:uiPriority w:val="0"/>
    <w:pPr>
      <w:autoSpaceDE w:val="0"/>
      <w:autoSpaceDN w:val="0"/>
      <w:spacing w:line="480" w:lineRule="exact"/>
      <w:ind w:left="556"/>
      <w:textAlignment w:val="bottom"/>
    </w:pPr>
    <w:rPr>
      <w:color w:val="000000"/>
      <w:sz w:val="28"/>
    </w:rPr>
  </w:style>
  <w:style w:type="paragraph" w:styleId="19">
    <w:name w:val="Balloon Text"/>
    <w:basedOn w:val="1"/>
    <w:link w:val="41"/>
    <w:semiHidden/>
    <w:qFormat/>
    <w:uiPriority w:val="0"/>
    <w:rPr>
      <w:kern w:val="0"/>
      <w:sz w:val="18"/>
      <w:szCs w:val="20"/>
    </w:rPr>
  </w:style>
  <w:style w:type="paragraph" w:styleId="20">
    <w:name w:val="footer"/>
    <w:basedOn w:val="1"/>
    <w:link w:val="42"/>
    <w:qFormat/>
    <w:uiPriority w:val="99"/>
    <w:pPr>
      <w:tabs>
        <w:tab w:val="center" w:pos="4153"/>
        <w:tab w:val="right" w:pos="8306"/>
      </w:tabs>
      <w:snapToGrid w:val="0"/>
      <w:jc w:val="left"/>
    </w:pPr>
    <w:rPr>
      <w:kern w:val="0"/>
      <w:sz w:val="18"/>
      <w:szCs w:val="20"/>
    </w:rPr>
  </w:style>
  <w:style w:type="paragraph" w:styleId="21">
    <w:name w:val="header"/>
    <w:basedOn w:val="1"/>
    <w:next w:val="11"/>
    <w:link w:val="43"/>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List"/>
    <w:basedOn w:val="1"/>
    <w:qFormat/>
    <w:locked/>
    <w:uiPriority w:val="0"/>
    <w:pPr>
      <w:ind w:left="200" w:hanging="200" w:hangingChars="200"/>
    </w:pPr>
    <w:rPr>
      <w:sz w:val="30"/>
      <w:szCs w:val="20"/>
    </w:rPr>
  </w:style>
  <w:style w:type="paragraph" w:styleId="23">
    <w:name w:val="Body Text Indent 3"/>
    <w:basedOn w:val="1"/>
    <w:qFormat/>
    <w:locked/>
    <w:uiPriority w:val="0"/>
    <w:pPr>
      <w:ind w:firstLine="560" w:firstLineChars="200"/>
    </w:pPr>
    <w:rPr>
      <w:rFonts w:ascii="楷体_GB2312" w:eastAsia="楷体_GB2312"/>
      <w:sz w:val="28"/>
    </w:rPr>
  </w:style>
  <w:style w:type="paragraph" w:styleId="24">
    <w:name w:val="table of figures"/>
    <w:basedOn w:val="1"/>
    <w:next w:val="1"/>
    <w:semiHidden/>
    <w:qFormat/>
    <w:locked/>
    <w:uiPriority w:val="0"/>
    <w:pPr>
      <w:ind w:left="200" w:leftChars="200" w:hanging="200" w:hangingChars="200"/>
    </w:pPr>
    <w:rPr>
      <w:rFonts w:ascii="仿宋_GB2312" w:hAnsi="仿宋_GB2312" w:cs="仿宋_GB2312"/>
    </w:rPr>
  </w:style>
  <w:style w:type="paragraph" w:styleId="25">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9"/>
    <w:next w:val="9"/>
    <w:link w:val="45"/>
    <w:semiHidden/>
    <w:qFormat/>
    <w:uiPriority w:val="0"/>
    <w:rPr>
      <w:b/>
      <w:sz w:val="24"/>
      <w:szCs w:val="20"/>
    </w:rPr>
  </w:style>
  <w:style w:type="paragraph" w:styleId="27">
    <w:name w:val="Body Text First Indent"/>
    <w:basedOn w:val="11"/>
    <w:qFormat/>
    <w:locked/>
    <w:uiPriority w:val="0"/>
    <w:pPr>
      <w:ind w:firstLine="420" w:firstLineChars="100"/>
    </w:pPr>
  </w:style>
  <w:style w:type="table" w:styleId="29">
    <w:name w:val="Table Grid"/>
    <w:basedOn w:val="2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locked/>
    <w:uiPriority w:val="0"/>
    <w:rPr>
      <w:b/>
    </w:rPr>
  </w:style>
  <w:style w:type="character" w:styleId="32">
    <w:name w:val="page number"/>
    <w:qFormat/>
    <w:locked/>
    <w:uiPriority w:val="0"/>
  </w:style>
  <w:style w:type="character" w:styleId="33">
    <w:name w:val="Emphasis"/>
    <w:basedOn w:val="30"/>
    <w:qFormat/>
    <w:locked/>
    <w:uiPriority w:val="0"/>
    <w:rPr>
      <w:i/>
    </w:rPr>
  </w:style>
  <w:style w:type="character" w:styleId="34">
    <w:name w:val="Hyperlink"/>
    <w:qFormat/>
    <w:locked/>
    <w:uiPriority w:val="0"/>
    <w:rPr>
      <w:color w:val="0000FF"/>
      <w:u w:val="single"/>
    </w:rPr>
  </w:style>
  <w:style w:type="character" w:styleId="35">
    <w:name w:val="annotation reference"/>
    <w:semiHidden/>
    <w:qFormat/>
    <w:uiPriority w:val="0"/>
    <w:rPr>
      <w:sz w:val="21"/>
    </w:rPr>
  </w:style>
  <w:style w:type="character" w:customStyle="1" w:styleId="36">
    <w:name w:val="标题 2 字符"/>
    <w:link w:val="3"/>
    <w:qFormat/>
    <w:uiPriority w:val="0"/>
    <w:rPr>
      <w:rFonts w:ascii="Cambria" w:hAnsi="Cambria" w:eastAsia="宋体" w:cs="Times New Roman"/>
      <w:b/>
      <w:bCs/>
      <w:kern w:val="2"/>
      <w:sz w:val="32"/>
      <w:szCs w:val="32"/>
    </w:rPr>
  </w:style>
  <w:style w:type="character" w:customStyle="1" w:styleId="37">
    <w:name w:val="批注文字 字符"/>
    <w:link w:val="9"/>
    <w:qFormat/>
    <w:locked/>
    <w:uiPriority w:val="0"/>
    <w:rPr>
      <w:rFonts w:ascii="Times New Roman" w:hAnsi="Times New Roman" w:eastAsia="宋体"/>
      <w:sz w:val="24"/>
    </w:rPr>
  </w:style>
  <w:style w:type="character" w:customStyle="1" w:styleId="38">
    <w:name w:val="正文文本 字符"/>
    <w:link w:val="11"/>
    <w:qFormat/>
    <w:locked/>
    <w:uiPriority w:val="0"/>
    <w:rPr>
      <w:sz w:val="18"/>
    </w:rPr>
  </w:style>
  <w:style w:type="character" w:customStyle="1" w:styleId="39">
    <w:name w:val="正文文本缩进 字符"/>
    <w:link w:val="12"/>
    <w:semiHidden/>
    <w:qFormat/>
    <w:locked/>
    <w:uiPriority w:val="0"/>
    <w:rPr>
      <w:rFonts w:ascii="Times New Roman" w:hAnsi="Times New Roman" w:eastAsia="宋体"/>
      <w:sz w:val="24"/>
    </w:rPr>
  </w:style>
  <w:style w:type="character" w:customStyle="1" w:styleId="40">
    <w:name w:val="日期 字符1"/>
    <w:link w:val="15"/>
    <w:qFormat/>
    <w:locked/>
    <w:uiPriority w:val="0"/>
    <w:rPr>
      <w:rFonts w:ascii="Times New Roman" w:hAnsi="Times New Roman" w:eastAsia="宋体"/>
      <w:sz w:val="24"/>
    </w:rPr>
  </w:style>
  <w:style w:type="character" w:customStyle="1" w:styleId="41">
    <w:name w:val="批注框文本 字符"/>
    <w:link w:val="19"/>
    <w:semiHidden/>
    <w:qFormat/>
    <w:locked/>
    <w:uiPriority w:val="0"/>
    <w:rPr>
      <w:rFonts w:ascii="Times New Roman" w:hAnsi="Times New Roman" w:eastAsia="宋体"/>
      <w:sz w:val="18"/>
    </w:rPr>
  </w:style>
  <w:style w:type="character" w:customStyle="1" w:styleId="42">
    <w:name w:val="页脚 字符1"/>
    <w:link w:val="20"/>
    <w:qFormat/>
    <w:locked/>
    <w:uiPriority w:val="99"/>
    <w:rPr>
      <w:sz w:val="18"/>
    </w:rPr>
  </w:style>
  <w:style w:type="character" w:customStyle="1" w:styleId="43">
    <w:name w:val="页眉 字符"/>
    <w:link w:val="21"/>
    <w:qFormat/>
    <w:locked/>
    <w:uiPriority w:val="0"/>
    <w:rPr>
      <w:sz w:val="18"/>
    </w:rPr>
  </w:style>
  <w:style w:type="character" w:customStyle="1" w:styleId="44">
    <w:name w:val="普通(网站) 字符"/>
    <w:link w:val="25"/>
    <w:qFormat/>
    <w:locked/>
    <w:uiPriority w:val="0"/>
    <w:rPr>
      <w:rFonts w:ascii="宋体" w:hAnsi="宋体" w:eastAsia="宋体"/>
      <w:sz w:val="24"/>
    </w:rPr>
  </w:style>
  <w:style w:type="character" w:customStyle="1" w:styleId="45">
    <w:name w:val="批注主题 字符"/>
    <w:link w:val="26"/>
    <w:semiHidden/>
    <w:qFormat/>
    <w:locked/>
    <w:uiPriority w:val="0"/>
    <w:rPr>
      <w:rFonts w:ascii="Times New Roman" w:hAnsi="Times New Roman" w:eastAsia="宋体"/>
      <w:b/>
      <w:kern w:val="2"/>
      <w:sz w:val="24"/>
    </w:rPr>
  </w:style>
  <w:style w:type="paragraph" w:customStyle="1" w:styleId="46">
    <w:name w:val="Default"/>
    <w:basedOn w:val="47"/>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7">
    <w:name w:val="纯文本1"/>
    <w:basedOn w:val="1"/>
    <w:qFormat/>
    <w:uiPriority w:val="0"/>
    <w:pPr>
      <w:adjustRightInd w:val="0"/>
    </w:pPr>
    <w:rPr>
      <w:rFonts w:ascii="宋体" w:hAnsi="Courier New"/>
      <w:szCs w:val="20"/>
    </w:rPr>
  </w:style>
  <w:style w:type="character" w:customStyle="1" w:styleId="48">
    <w:name w:val="表格 Char"/>
    <w:link w:val="49"/>
    <w:qFormat/>
    <w:locked/>
    <w:uiPriority w:val="0"/>
    <w:rPr>
      <w:rFonts w:ascii="宋体"/>
      <w:sz w:val="21"/>
    </w:rPr>
  </w:style>
  <w:style w:type="paragraph" w:customStyle="1" w:styleId="49">
    <w:name w:val="表格"/>
    <w:basedOn w:val="22"/>
    <w:next w:val="1"/>
    <w:link w:val="48"/>
    <w:qFormat/>
    <w:uiPriority w:val="0"/>
    <w:pPr>
      <w:adjustRightInd w:val="0"/>
      <w:snapToGrid w:val="0"/>
      <w:spacing w:beforeLines="10" w:afterLines="10" w:line="259" w:lineRule="auto"/>
      <w:jc w:val="center"/>
    </w:pPr>
    <w:rPr>
      <w:rFonts w:ascii="宋体"/>
      <w:kern w:val="0"/>
      <w:szCs w:val="20"/>
    </w:rPr>
  </w:style>
  <w:style w:type="character" w:customStyle="1" w:styleId="50">
    <w:name w:val="日期 字符"/>
    <w:semiHidden/>
    <w:qFormat/>
    <w:uiPriority w:val="0"/>
    <w:rPr>
      <w:rFonts w:ascii="Times New Roman" w:hAnsi="Times New Roman" w:eastAsia="宋体"/>
      <w:sz w:val="24"/>
    </w:rPr>
  </w:style>
  <w:style w:type="character" w:customStyle="1" w:styleId="51">
    <w:name w:val="批注文字 字符1"/>
    <w:semiHidden/>
    <w:qFormat/>
    <w:uiPriority w:val="0"/>
    <w:rPr>
      <w:rFonts w:ascii="Times New Roman" w:hAnsi="Times New Roman" w:eastAsia="宋体"/>
      <w:sz w:val="24"/>
    </w:rPr>
  </w:style>
  <w:style w:type="character" w:customStyle="1" w:styleId="52">
    <w:name w:val="页脚 字符"/>
    <w:qFormat/>
    <w:uiPriority w:val="99"/>
  </w:style>
  <w:style w:type="character" w:customStyle="1" w:styleId="53">
    <w:name w:val="正文文本 字符1"/>
    <w:semiHidden/>
    <w:qFormat/>
    <w:uiPriority w:val="0"/>
    <w:rPr>
      <w:rFonts w:ascii="Times New Roman" w:hAnsi="Times New Roman" w:eastAsia="宋体"/>
      <w:sz w:val="24"/>
    </w:rPr>
  </w:style>
  <w:style w:type="paragraph" w:customStyle="1" w:styleId="54">
    <w:name w:val="表格标题"/>
    <w:basedOn w:val="1"/>
    <w:next w:val="1"/>
    <w:qFormat/>
    <w:uiPriority w:val="0"/>
    <w:pPr>
      <w:spacing w:line="240" w:lineRule="auto"/>
      <w:ind w:firstLine="0" w:firstLineChars="0"/>
      <w:jc w:val="center"/>
    </w:pPr>
    <w:rPr>
      <w:rFonts w:eastAsia="黑体"/>
      <w:b/>
      <w:sz w:val="21"/>
    </w:rPr>
  </w:style>
  <w:style w:type="paragraph" w:customStyle="1" w:styleId="5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7">
    <w:name w:val="p0"/>
    <w:basedOn w:val="1"/>
    <w:qFormat/>
    <w:uiPriority w:val="0"/>
    <w:pPr>
      <w:widowControl/>
    </w:pPr>
    <w:rPr>
      <w:rFonts w:ascii="Calibri" w:hAnsi="Calibri" w:cs="Calibri"/>
      <w:kern w:val="0"/>
      <w:szCs w:val="21"/>
    </w:rPr>
  </w:style>
  <w:style w:type="paragraph" w:customStyle="1" w:styleId="58">
    <w:name w:val="无间隔1"/>
    <w:qFormat/>
    <w:uiPriority w:val="0"/>
    <w:pPr>
      <w:widowControl w:val="0"/>
      <w:contextualSpacing/>
      <w:jc w:val="center"/>
    </w:pPr>
    <w:rPr>
      <w:rFonts w:ascii="Times New Roman" w:hAnsi="Times New Roman" w:eastAsia="仿宋_GB2312" w:cs="Times New Roman"/>
      <w:szCs w:val="21"/>
      <w:lang w:val="en-US" w:eastAsia="zh-CN" w:bidi="ar-SA"/>
    </w:rPr>
  </w:style>
  <w:style w:type="paragraph" w:customStyle="1" w:styleId="59">
    <w:name w:val="环评表头"/>
    <w:basedOn w:val="60"/>
    <w:next w:val="60"/>
    <w:qFormat/>
    <w:uiPriority w:val="0"/>
    <w:pPr>
      <w:spacing w:line="360" w:lineRule="auto"/>
      <w:ind w:firstLine="0"/>
      <w:jc w:val="center"/>
    </w:pPr>
    <w:rPr>
      <w:rFonts w:hint="eastAsia" w:ascii="宋体" w:hAnsi="宋体" w:eastAsia="宋体"/>
      <w:b/>
      <w:bCs/>
      <w:sz w:val="24"/>
    </w:rPr>
  </w:style>
  <w:style w:type="paragraph" w:customStyle="1" w:styleId="60">
    <w:name w:val="【正文】"/>
    <w:basedOn w:val="1"/>
    <w:qFormat/>
    <w:uiPriority w:val="0"/>
    <w:pPr>
      <w:spacing w:line="440" w:lineRule="exact"/>
      <w:ind w:firstLine="544" w:firstLineChars="200"/>
    </w:pPr>
    <w:rPr>
      <w:sz w:val="24"/>
      <w:szCs w:val="20"/>
    </w:rPr>
  </w:style>
  <w:style w:type="paragraph" w:customStyle="1" w:styleId="61">
    <w:name w:val="环评正文"/>
    <w:basedOn w:val="1"/>
    <w:qFormat/>
    <w:uiPriority w:val="0"/>
    <w:pPr>
      <w:adjustRightInd w:val="0"/>
      <w:snapToGrid w:val="0"/>
      <w:spacing w:line="420" w:lineRule="auto"/>
      <w:ind w:firstLine="720" w:firstLineChars="200"/>
      <w:jc w:val="left"/>
    </w:pPr>
    <w:rPr>
      <w:rFonts w:hint="eastAsia" w:ascii="宋体" w:hAnsi="宋体" w:eastAsia="宋体" w:cs="宋体"/>
      <w:szCs w:val="21"/>
    </w:rPr>
  </w:style>
  <w:style w:type="paragraph" w:customStyle="1" w:styleId="62">
    <w:name w:val="标题 段落4级"/>
    <w:qFormat/>
    <w:uiPriority w:val="0"/>
    <w:pPr>
      <w:spacing w:line="500" w:lineRule="exact"/>
      <w:outlineLvl w:val="3"/>
    </w:pPr>
    <w:rPr>
      <w:rFonts w:ascii="Times New Roman" w:hAnsi="Times New Roman" w:eastAsia="仿宋_GB2312" w:cs="Times New Roman"/>
      <w:b/>
      <w:kern w:val="2"/>
      <w:sz w:val="28"/>
      <w:szCs w:val="24"/>
      <w:lang w:val="en-US" w:eastAsia="zh-CN" w:bidi="ar-SA"/>
    </w:rPr>
  </w:style>
  <w:style w:type="paragraph" w:customStyle="1" w:styleId="63">
    <w:name w:val="报告"/>
    <w:basedOn w:val="1"/>
    <w:qFormat/>
    <w:uiPriority w:val="0"/>
    <w:pPr>
      <w:adjustRightInd w:val="0"/>
      <w:spacing w:line="360" w:lineRule="auto"/>
      <w:ind w:firstLine="505"/>
      <w:jc w:val="left"/>
      <w:textAlignment w:val="baseline"/>
    </w:pPr>
    <w:rPr>
      <w:kern w:val="0"/>
      <w:sz w:val="24"/>
      <w:szCs w:val="20"/>
    </w:rPr>
  </w:style>
  <w:style w:type="paragraph" w:customStyle="1" w:styleId="64">
    <w:name w:val="样式2"/>
    <w:basedOn w:val="1"/>
    <w:qFormat/>
    <w:uiPriority w:val="0"/>
    <w:pPr>
      <w:adjustRightInd w:val="0"/>
      <w:ind w:left="170"/>
      <w:jc w:val="left"/>
      <w:textAlignment w:val="baseline"/>
    </w:pPr>
    <w:rPr>
      <w:b/>
      <w:kern w:val="0"/>
      <w:sz w:val="24"/>
      <w:szCs w:val="20"/>
    </w:rPr>
  </w:style>
  <w:style w:type="paragraph" w:customStyle="1" w:styleId="65">
    <w:name w:val="列出段落1"/>
    <w:basedOn w:val="1"/>
    <w:qFormat/>
    <w:uiPriority w:val="99"/>
    <w:pPr>
      <w:ind w:firstLine="420" w:firstLineChars="200"/>
    </w:pPr>
    <w:rPr>
      <w:szCs w:val="20"/>
    </w:rPr>
  </w:style>
  <w:style w:type="paragraph" w:customStyle="1" w:styleId="66">
    <w:name w:val="电镀正文"/>
    <w:basedOn w:val="7"/>
    <w:qFormat/>
    <w:uiPriority w:val="0"/>
    <w:pPr>
      <w:spacing w:line="400" w:lineRule="exact"/>
      <w:ind w:firstLine="200"/>
    </w:pPr>
    <w:rPr>
      <w:sz w:val="24"/>
    </w:rPr>
  </w:style>
  <w:style w:type="paragraph" w:customStyle="1" w:styleId="67">
    <w:name w:val="正文(康健城)"/>
    <w:basedOn w:val="1"/>
    <w:qFormat/>
    <w:uiPriority w:val="0"/>
    <w:pPr>
      <w:adjustRightInd w:val="0"/>
      <w:snapToGrid w:val="0"/>
      <w:ind w:firstLine="480" w:firstLineChars="200"/>
      <w:textAlignment w:val="baseline"/>
    </w:pPr>
    <w:rPr>
      <w:kern w:val="0"/>
    </w:rPr>
  </w:style>
  <w:style w:type="paragraph" w:customStyle="1" w:styleId="68">
    <w:name w:val="正文01"/>
    <w:basedOn w:val="1"/>
    <w:qFormat/>
    <w:uiPriority w:val="0"/>
    <w:pPr>
      <w:spacing w:before="60" w:line="460" w:lineRule="exact"/>
      <w:ind w:firstLine="200" w:firstLineChars="200"/>
    </w:pPr>
    <w:rPr>
      <w:kern w:val="0"/>
      <w:sz w:val="24"/>
      <w:szCs w:val="20"/>
    </w:rPr>
  </w:style>
  <w:style w:type="paragraph" w:styleId="69">
    <w:name w:val="No Spacing"/>
    <w:basedOn w:val="10"/>
    <w:qFormat/>
    <w:uiPriority w:val="99"/>
    <w:pPr>
      <w:widowControl w:val="0"/>
      <w:spacing w:line="360" w:lineRule="exact"/>
      <w:jc w:val="center"/>
    </w:pPr>
    <w:rPr>
      <w:kern w:val="2"/>
      <w:sz w:val="21"/>
      <w:szCs w:val="24"/>
      <w:lang w:val="en-US" w:eastAsia="zh-CN" w:bidi="ar-SA"/>
    </w:rPr>
  </w:style>
  <w:style w:type="paragraph" w:customStyle="1" w:styleId="70">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71">
    <w:name w:val="【表头】"/>
    <w:basedOn w:val="1"/>
    <w:qFormat/>
    <w:uiPriority w:val="0"/>
    <w:pPr>
      <w:snapToGrid w:val="0"/>
      <w:spacing w:line="360" w:lineRule="auto"/>
      <w:ind w:firstLine="200" w:firstLineChars="200"/>
      <w:jc w:val="center"/>
    </w:pPr>
    <w:rPr>
      <w:rFonts w:cs="宋体"/>
      <w:b/>
      <w:spacing w:val="4"/>
      <w:sz w:val="24"/>
      <w:szCs w:val="24"/>
    </w:rPr>
  </w:style>
  <w:style w:type="paragraph" w:customStyle="1" w:styleId="72">
    <w:name w:val="正文00"/>
    <w:qFormat/>
    <w:uiPriority w:val="0"/>
    <w:pPr>
      <w:overflowPunct w:val="0"/>
      <w:topLinePunct/>
      <w:adjustRightInd w:val="0"/>
      <w:snapToGrid w:val="0"/>
      <w:spacing w:line="360" w:lineRule="auto"/>
      <w:ind w:firstLine="200" w:firstLineChars="200"/>
      <w:jc w:val="both"/>
    </w:pPr>
    <w:rPr>
      <w:rFonts w:ascii="Times New Roman" w:hAnsi="Times New Roman" w:eastAsia="宋体" w:cs="Times New Roman"/>
      <w:color w:val="000000"/>
      <w:kern w:val="2"/>
      <w:sz w:val="24"/>
      <w:szCs w:val="24"/>
      <w:lang w:val="en-US" w:eastAsia="zh-CN" w:bidi="ar-SA"/>
    </w:rPr>
  </w:style>
  <w:style w:type="paragraph" w:customStyle="1" w:styleId="73">
    <w:name w:val="1表格标题"/>
    <w:qFormat/>
    <w:uiPriority w:val="0"/>
    <w:pPr>
      <w:adjustRightInd w:val="0"/>
      <w:snapToGrid w:val="0"/>
      <w:spacing w:before="50" w:beforeLines="50"/>
      <w:jc w:val="center"/>
    </w:pPr>
    <w:rPr>
      <w:rFonts w:ascii="Times New Roman" w:hAnsi="Times New Roman" w:eastAsia="仿宋" w:cs="Times New Roman"/>
      <w:b/>
      <w:bCs/>
      <w:snapToGrid w:val="0"/>
      <w:sz w:val="21"/>
      <w:szCs w:val="21"/>
      <w:lang w:val="en-US" w:eastAsia="zh-CN" w:bidi="ar-SA"/>
    </w:rPr>
  </w:style>
  <w:style w:type="paragraph" w:customStyle="1" w:styleId="74">
    <w:name w:val="样式1-表格"/>
    <w:basedOn w:val="75"/>
    <w:qFormat/>
    <w:uiPriority w:val="0"/>
    <w:pPr>
      <w:spacing w:before="0" w:beforeLines="0" w:line="240" w:lineRule="auto"/>
      <w:ind w:firstLine="0" w:firstLineChars="0"/>
      <w:jc w:val="center"/>
    </w:pPr>
    <w:rPr>
      <w:rFonts w:ascii="Times New Roman" w:hAnsi="Times New Roman" w:eastAsia="宋体"/>
      <w:sz w:val="21"/>
    </w:rPr>
  </w:style>
  <w:style w:type="paragraph" w:customStyle="1" w:styleId="75">
    <w:name w:val="样式1-正文"/>
    <w:basedOn w:val="1"/>
    <w:qFormat/>
    <w:uiPriority w:val="0"/>
    <w:pPr>
      <w:spacing w:line="360" w:lineRule="auto"/>
      <w:ind w:firstLine="200" w:firstLineChars="200"/>
    </w:pPr>
    <w:rPr>
      <w:rFonts w:ascii="Times New Roman" w:hAnsi="Times New Roman" w:eastAsia="宋体"/>
      <w:kern w:val="0"/>
      <w:sz w:val="24"/>
    </w:rPr>
  </w:style>
  <w:style w:type="paragraph" w:customStyle="1" w:styleId="76">
    <w:name w:val="无间隔3"/>
    <w:qFormat/>
    <w:uiPriority w:val="1"/>
    <w:pPr>
      <w:adjustRightInd w:val="0"/>
      <w:snapToGrid w:val="0"/>
      <w:jc w:val="center"/>
    </w:pPr>
    <w:rPr>
      <w:rFonts w:ascii="Times New Roman" w:hAnsi="Times New Roman" w:eastAsia="宋体" w:cs="Times New Roman"/>
      <w:sz w:val="21"/>
      <w:szCs w:val="22"/>
      <w:lang w:val="en-US" w:eastAsia="zh-CN" w:bidi="ar-SA"/>
    </w:rPr>
  </w:style>
  <w:style w:type="paragraph" w:customStyle="1" w:styleId="77">
    <w:name w:val="正文-欣欣"/>
    <w:basedOn w:val="16"/>
    <w:qFormat/>
    <w:uiPriority w:val="0"/>
    <w:pPr>
      <w:widowControl w:val="0"/>
      <w:spacing w:after="0" w:line="360" w:lineRule="auto"/>
      <w:ind w:firstLine="200" w:firstLineChars="200"/>
    </w:pPr>
    <w:rPr>
      <w:rFonts w:ascii="Times New Roman" w:hAnsi="Times New Roman" w:eastAsia="宋体"/>
      <w:kern w:val="2"/>
      <w:sz w:val="24"/>
      <w:szCs w:val="30"/>
    </w:rPr>
  </w:style>
  <w:style w:type="paragraph" w:customStyle="1" w:styleId="78">
    <w:name w:val="表格内容"/>
    <w:basedOn w:val="1"/>
    <w:next w:val="1"/>
    <w:qFormat/>
    <w:uiPriority w:val="0"/>
    <w:pPr>
      <w:adjustRightInd w:val="0"/>
      <w:snapToGrid w:val="0"/>
      <w:spacing w:line="240" w:lineRule="auto"/>
      <w:jc w:val="center"/>
    </w:pPr>
    <w:rPr>
      <w:rFonts w:ascii="Times New Roman" w:hAnsi="Times New Roman"/>
      <w:color w:val="auto"/>
      <w:sz w:val="21"/>
      <w:szCs w:val="21"/>
    </w:rPr>
  </w:style>
  <w:style w:type="paragraph" w:customStyle="1" w:styleId="79">
    <w:name w:val="真·小标题"/>
    <w:basedOn w:val="1"/>
    <w:next w:val="1"/>
    <w:qFormat/>
    <w:uiPriority w:val="0"/>
    <w:pPr>
      <w:adjustRightInd w:val="0"/>
      <w:snapToGrid w:val="0"/>
      <w:spacing w:line="360" w:lineRule="auto"/>
      <w:ind w:firstLine="200" w:firstLineChars="200"/>
      <w:jc w:val="left"/>
    </w:pPr>
    <w:rPr>
      <w:rFonts w:ascii="Times New Roman" w:hAnsi="Times New Roman" w:eastAsia="黑体"/>
      <w:kern w:val="0"/>
      <w:sz w:val="24"/>
      <w:szCs w:val="24"/>
    </w:rPr>
  </w:style>
  <w:style w:type="paragraph" w:customStyle="1" w:styleId="80">
    <w:name w:val="真·表头"/>
    <w:basedOn w:val="1"/>
    <w:qFormat/>
    <w:uiPriority w:val="0"/>
    <w:pPr>
      <w:adjustRightInd w:val="0"/>
      <w:snapToGrid w:val="0"/>
      <w:spacing w:beforeLines="50" w:line="360" w:lineRule="auto"/>
      <w:jc w:val="center"/>
    </w:pPr>
    <w:rPr>
      <w:rFonts w:ascii="Times New Roman" w:hAnsi="Times New Roman" w:eastAsia="黑体"/>
      <w:sz w:val="24"/>
      <w:szCs w:val="30"/>
    </w:rPr>
  </w:style>
  <w:style w:type="paragraph" w:customStyle="1" w:styleId="81">
    <w:name w:val="CM94"/>
    <w:basedOn w:val="46"/>
    <w:next w:val="46"/>
    <w:qFormat/>
    <w:uiPriority w:val="99"/>
    <w:pPr>
      <w:spacing w:line="468" w:lineRule="atLeast"/>
    </w:pPr>
    <w:rPr>
      <w:rFonts w:ascii="黑体" w:hAnsi="Calibri" w:eastAsia="黑体" w:cs="Times New Roman"/>
      <w:color w:val="auto"/>
    </w:rPr>
  </w:style>
  <w:style w:type="paragraph" w:customStyle="1" w:styleId="82">
    <w:name w:val="真·正文"/>
    <w:basedOn w:val="70"/>
    <w:next w:val="83"/>
    <w:qFormat/>
    <w:uiPriority w:val="0"/>
    <w:pPr>
      <w:adjustRightInd w:val="0"/>
      <w:snapToGrid w:val="0"/>
      <w:spacing w:line="360" w:lineRule="auto"/>
      <w:ind w:firstLine="200" w:firstLineChars="200"/>
      <w:jc w:val="left"/>
    </w:pPr>
    <w:rPr>
      <w:sz w:val="24"/>
      <w:szCs w:val="21"/>
    </w:rPr>
  </w:style>
  <w:style w:type="paragraph" w:customStyle="1" w:styleId="83">
    <w:name w:val="1表格"/>
    <w:basedOn w:val="1"/>
    <w:qFormat/>
    <w:uiPriority w:val="0"/>
    <w:pPr>
      <w:snapToGrid w:val="0"/>
      <w:spacing w:line="160" w:lineRule="atLeast"/>
      <w:jc w:val="center"/>
    </w:pPr>
    <w:rPr>
      <w:rFonts w:ascii="Times New Roman" w:hAnsi="Times New Roman" w:eastAsia="仿宋_GB2312"/>
      <w:szCs w:val="20"/>
    </w:rPr>
  </w:style>
  <w:style w:type="table" w:customStyle="1" w:styleId="84">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85">
    <w:name w:val="1   正文   表头"/>
    <w:qFormat/>
    <w:uiPriority w:val="0"/>
    <w:pPr>
      <w:jc w:val="center"/>
    </w:pPr>
    <w:rPr>
      <w:rFonts w:ascii="Times New Roman" w:hAnsi="Times New Roman" w:eastAsia="宋体" w:cs="Times New Roman"/>
      <w:b/>
      <w:kern w:val="2"/>
      <w:sz w:val="21"/>
      <w:szCs w:val="21"/>
      <w:lang w:val="en-US" w:eastAsia="zh-CN" w:bidi="ar-SA"/>
    </w:rPr>
  </w:style>
  <w:style w:type="paragraph" w:customStyle="1" w:styleId="86">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87">
    <w:name w:val="font81"/>
    <w:qFormat/>
    <w:uiPriority w:val="0"/>
    <w:rPr>
      <w:rFonts w:hint="eastAsia" w:ascii="宋体" w:hAnsi="宋体" w:eastAsia="宋体" w:cs="宋体"/>
      <w:color w:val="000000"/>
      <w:sz w:val="22"/>
      <w:szCs w:val="22"/>
      <w:u w:val="none"/>
    </w:rPr>
  </w:style>
  <w:style w:type="character" w:customStyle="1" w:styleId="88">
    <w:name w:val="font41"/>
    <w:qFormat/>
    <w:uiPriority w:val="0"/>
    <w:rPr>
      <w:rFonts w:hint="default" w:ascii="Times New Roman" w:hAnsi="Times New Roman" w:cs="Times New Roman"/>
      <w:color w:val="000000"/>
      <w:sz w:val="22"/>
      <w:szCs w:val="22"/>
      <w:u w:val="none"/>
    </w:rPr>
  </w:style>
  <w:style w:type="paragraph" w:customStyle="1" w:styleId="89">
    <w:name w:val="1   正文   2字符  首行缩进"/>
    <w:basedOn w:val="1"/>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Times New Roman" w:eastAsia="宋体" w:cs="Times New Roman"/>
      <w:kern w:val="2"/>
      <w:sz w:val="24"/>
      <w:szCs w:val="22"/>
      <w:lang w:val="en-US" w:eastAsia="zh-CN" w:bidi="ar"/>
    </w:rPr>
  </w:style>
  <w:style w:type="character" w:customStyle="1" w:styleId="90">
    <w:name w:val="font91"/>
    <w:qFormat/>
    <w:uiPriority w:val="0"/>
    <w:rPr>
      <w:rFonts w:hint="default" w:ascii="Times New Roman" w:hAnsi="Times New Roman" w:cs="Times New Roman"/>
      <w:b/>
      <w:color w:val="000000"/>
      <w:sz w:val="21"/>
      <w:szCs w:val="21"/>
      <w:u w:val="none"/>
      <w:vertAlign w:val="superscript"/>
    </w:rPr>
  </w:style>
  <w:style w:type="character" w:customStyle="1" w:styleId="91">
    <w:name w:val="font71"/>
    <w:qFormat/>
    <w:uiPriority w:val="0"/>
    <w:rPr>
      <w:rFonts w:hint="default" w:ascii="Times New Roman" w:hAnsi="Times New Roman" w:cs="Times New Roman"/>
      <w:b/>
      <w:color w:val="000000"/>
      <w:sz w:val="21"/>
      <w:szCs w:val="21"/>
      <w:u w:val="none"/>
    </w:rPr>
  </w:style>
  <w:style w:type="character" w:customStyle="1" w:styleId="92">
    <w:name w:val="font61"/>
    <w:qFormat/>
    <w:uiPriority w:val="0"/>
    <w:rPr>
      <w:rFonts w:hint="default" w:ascii="Times New Roman" w:hAnsi="Times New Roman" w:cs="Times New Roman"/>
      <w:b/>
      <w:color w:val="000000"/>
      <w:sz w:val="21"/>
      <w:szCs w:val="21"/>
      <w:u w:val="none"/>
      <w:vertAlign w:val="superscript"/>
    </w:rPr>
  </w:style>
  <w:style w:type="character" w:customStyle="1" w:styleId="93">
    <w:name w:val="font11"/>
    <w:qFormat/>
    <w:uiPriority w:val="0"/>
    <w:rPr>
      <w:rFonts w:hint="default" w:ascii="Times New Roman" w:hAnsi="Times New Roman" w:cs="Times New Roman"/>
      <w:color w:val="000000"/>
      <w:sz w:val="22"/>
      <w:szCs w:val="22"/>
      <w:u w:val="none"/>
      <w:vertAlign w:val="subscript"/>
    </w:rPr>
  </w:style>
  <w:style w:type="paragraph" w:customStyle="1" w:styleId="94">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bidi="ar-SA"/>
    </w:rPr>
  </w:style>
  <w:style w:type="paragraph" w:customStyle="1" w:styleId="95">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96">
    <w:name w:val="Table Grid_0"/>
    <w:basedOn w:val="28"/>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7">
    <w:name w:val="二级标题"/>
    <w:basedOn w:val="1"/>
    <w:qFormat/>
    <w:uiPriority w:val="0"/>
    <w:pPr>
      <w:adjustRightInd w:val="0"/>
      <w:spacing w:before="120" w:after="120" w:line="400" w:lineRule="atLeast"/>
      <w:ind w:firstLine="0" w:firstLineChars="0"/>
      <w:textAlignment w:val="baseline"/>
    </w:pPr>
    <w:rPr>
      <w:rFonts w:eastAsia="黑体"/>
      <w:kern w:val="0"/>
      <w:sz w:val="28"/>
      <w:szCs w:val="20"/>
    </w:rPr>
  </w:style>
  <w:style w:type="paragraph" w:customStyle="1" w:styleId="98">
    <w:name w:val="_Style 4"/>
    <w:basedOn w:val="83"/>
    <w:qFormat/>
    <w:uiPriority w:val="0"/>
    <w:pPr>
      <w:spacing w:line="340" w:lineRule="exact"/>
      <w:ind w:firstLine="0" w:firstLineChars="0"/>
    </w:pPr>
    <w:rPr>
      <w:rFonts w:eastAsia="宋体"/>
      <w:snapToGrid w:val="0"/>
      <w:sz w:val="21"/>
      <w:szCs w:val="21"/>
      <w:lang w:val="zh-CN"/>
    </w:rPr>
  </w:style>
  <w:style w:type="character" w:customStyle="1" w:styleId="99">
    <w:name w:val="font01"/>
    <w:basedOn w:val="30"/>
    <w:qFormat/>
    <w:uiPriority w:val="0"/>
    <w:rPr>
      <w:rFonts w:hint="eastAsia" w:ascii="宋体" w:hAnsi="宋体" w:eastAsia="宋体" w:cs="宋体"/>
      <w:color w:val="000000"/>
      <w:sz w:val="22"/>
      <w:szCs w:val="22"/>
      <w:u w:val="none"/>
    </w:rPr>
  </w:style>
  <w:style w:type="paragraph" w:customStyle="1" w:styleId="100">
    <w:name w:val="XW正文"/>
    <w:basedOn w:val="12"/>
    <w:unhideWhenUsed/>
    <w:qFormat/>
    <w:uiPriority w:val="0"/>
    <w:pPr>
      <w:adjustRightInd w:val="0"/>
      <w:spacing w:afterLines="0"/>
      <w:ind w:firstLine="360" w:firstLineChars="150"/>
      <w:jc w:val="left"/>
      <w:textAlignment w:val="baseline"/>
    </w:pPr>
    <w:rPr>
      <w:rFonts w:hint="eastAsia" w:ascii="宋体" w:hAnsi="宋体" w:eastAsia="宋体"/>
      <w:sz w:val="24"/>
    </w:rPr>
  </w:style>
  <w:style w:type="paragraph" w:customStyle="1" w:styleId="101">
    <w:name w:val="1、表名"/>
    <w:basedOn w:val="1"/>
    <w:qFormat/>
    <w:uiPriority w:val="0"/>
    <w:pPr>
      <w:autoSpaceDE w:val="0"/>
      <w:autoSpaceDN w:val="0"/>
      <w:adjustRightInd w:val="0"/>
      <w:spacing w:line="240" w:lineRule="auto"/>
      <w:ind w:firstLine="0" w:firstLineChars="0"/>
      <w:jc w:val="center"/>
      <w:textAlignment w:val="baseline"/>
    </w:pPr>
    <w:rPr>
      <w:rFonts w:ascii="Times New Roman" w:hAnsi="Times New Roman" w:eastAsia="宋体"/>
      <w:b/>
      <w:kern w:val="0"/>
    </w:rPr>
  </w:style>
  <w:style w:type="character" w:customStyle="1" w:styleId="102">
    <w:name w:val="引文目录标题 Char"/>
    <w:link w:val="8"/>
    <w:qFormat/>
    <w:uiPriority w:val="99"/>
    <w:rPr>
      <w:rFonts w:ascii="Arial" w:hAnsi="Arial" w:cs="Arial"/>
      <w:kern w:val="0"/>
      <w:sz w:val="24"/>
      <w:szCs w:val="20"/>
    </w:rPr>
  </w:style>
  <w:style w:type="paragraph" w:customStyle="1" w:styleId="103">
    <w:name w:val="Other|1"/>
    <w:basedOn w:val="1"/>
    <w:qFormat/>
    <w:uiPriority w:val="0"/>
    <w:pPr>
      <w:widowControl w:val="0"/>
      <w:shd w:val="clear" w:color="auto" w:fill="auto"/>
      <w:spacing w:line="311" w:lineRule="exact"/>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jpe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emf"/><Relationship Id="rId25" Type="http://schemas.openxmlformats.org/officeDocument/2006/relationships/oleObject" Target="embeddings/oleObject4.bin"/><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emf"/><Relationship Id="rId21" Type="http://schemas.openxmlformats.org/officeDocument/2006/relationships/oleObject" Target="embeddings/oleObject3.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8.emf"/><Relationship Id="rId17" Type="http://schemas.openxmlformats.org/officeDocument/2006/relationships/oleObject" Target="embeddings/oleObject1.bin"/><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97</Pages>
  <Words>7762</Words>
  <Characters>8413</Characters>
  <Lines>439</Lines>
  <Paragraphs>123</Paragraphs>
  <TotalTime>5</TotalTime>
  <ScaleCrop>false</ScaleCrop>
  <LinksUpToDate>false</LinksUpToDate>
  <CharactersWithSpaces>8519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a.洋</cp:lastModifiedBy>
  <cp:lastPrinted>2020-12-29T02:43:00Z</cp:lastPrinted>
  <dcterms:modified xsi:type="dcterms:W3CDTF">2024-12-13T08:29:17Z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32FC77A1CA6448078F1B398810BBC685_13</vt:lpwstr>
  </property>
  <property fmtid="{D5CDD505-2E9C-101B-9397-08002B2CF9AE}" pid="4" name="commondata">
    <vt:lpwstr>eyJoZGlkIjoiNWQ1NDBlMTFmNzY0OGQ1OGMwMTI0NDE1OTJhNmVmZTUifQ==</vt:lpwstr>
  </property>
</Properties>
</file>