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textAlignment w:val="baseline"/>
        <w:rPr>
          <w:rFonts w:ascii="仿宋_GB2312" w:eastAsia="仿宋_GB2312"/>
          <w:sz w:val="32"/>
          <w:szCs w:val="32"/>
        </w:rPr>
      </w:pPr>
      <w:r>
        <w:rPr>
          <w:rFonts w:hint="eastAsia" w:ascii="仿宋_GB2312" w:eastAsia="仿宋_GB2312"/>
          <w:sz w:val="32"/>
          <w:szCs w:val="32"/>
        </w:rPr>
        <w:t xml:space="preserve">                        </w:t>
      </w:r>
    </w:p>
    <w:p>
      <w:pPr>
        <w:spacing w:line="576" w:lineRule="exact"/>
        <w:jc w:val="center"/>
        <w:textAlignment w:val="baseline"/>
        <w:rPr>
          <w:rFonts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遂蓬环诺审〔2024〕</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号</w:t>
      </w:r>
    </w:p>
    <w:p>
      <w:pPr>
        <w:spacing w:line="576" w:lineRule="exact"/>
        <w:jc w:val="center"/>
        <w:textAlignment w:val="baseline"/>
        <w:rPr>
          <w:rFonts w:ascii="仿宋_GB2312" w:eastAsia="仿宋_GB2312"/>
          <w:sz w:val="32"/>
          <w:szCs w:val="32"/>
        </w:rPr>
      </w:pPr>
    </w:p>
    <w:p>
      <w:pPr>
        <w:snapToGrid w:val="0"/>
        <w:spacing w:line="576"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遂宁市蓬溪生态环境局关于遂宁市蓬溪县</w:t>
      </w:r>
    </w:p>
    <w:p>
      <w:pPr>
        <w:snapToGrid w:val="0"/>
        <w:spacing w:line="576"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幸福美丽乡村路（乡村振兴共富路）</w:t>
      </w:r>
    </w:p>
    <w:p>
      <w:pPr>
        <w:snapToGrid w:val="0"/>
        <w:spacing w:line="576"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蓬溪县天福镇至红江镇段公路改建</w:t>
      </w:r>
    </w:p>
    <w:p>
      <w:pPr>
        <w:snapToGrid w:val="0"/>
        <w:spacing w:line="576"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工程建设项目环境影响</w:t>
      </w:r>
    </w:p>
    <w:p>
      <w:pPr>
        <w:snapToGrid w:val="0"/>
        <w:spacing w:line="576"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报告表的批复</w:t>
      </w:r>
    </w:p>
    <w:p>
      <w:pPr>
        <w:snapToGrid w:val="0"/>
        <w:spacing w:line="576" w:lineRule="exact"/>
        <w:jc w:val="center"/>
        <w:rPr>
          <w:rFonts w:ascii="方正小标宋简体" w:hAnsi="方正小标宋简体" w:eastAsia="方正小标宋简体" w:cs="方正小标宋简体"/>
          <w:sz w:val="44"/>
          <w:szCs w:val="32"/>
        </w:rPr>
      </w:pPr>
    </w:p>
    <w:p>
      <w:pPr>
        <w:adjustRightInd w:val="0"/>
        <w:snapToGrid w:val="0"/>
        <w:spacing w:line="576" w:lineRule="exact"/>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蓬溪闰禾农业开发有限公司：</w:t>
      </w:r>
    </w:p>
    <w:p>
      <w:pPr>
        <w:pStyle w:val="16"/>
        <w:widowControl w:val="0"/>
        <w:spacing w:line="576" w:lineRule="exact"/>
        <w:ind w:firstLine="656"/>
        <w:rPr>
          <w:rFonts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你公司《遂宁市蓬溪县幸福美丽乡村路（乡村振兴共富路） 蓬溪县天福镇至红江镇段公路改建工程建设项目环境影响报告表》(下称“报告表”)以及《遂宁市建设项目环境影响报告表报批承诺书》收悉。项目位于遂宁市蓬溪县天福镇至红江镇境内。主要建设内容包括：本工程位于遂宁市蓬溪县，起点与成渝环线高速红江互通出口连接线相接，经天福镇白鹤林村、马道村、红江镇红江村，止点与红江大桥引道相接，路线全长约5.775km，其中大修路段长度2km（K2+000-K4+000），中修路段长度3.755km（K0+000-K2+000，K4+000-K4+240、K4+820-K6+355）；大纵坡路段（K2+580-K2+740段，纵坡约10%）优化设计降低原纵坡；清淤利用原涵洞26道。涉及道路工程、涵洞工程、交叉工程、交通工程及绿化工程等。项目总投资2774.96万元，其中环保投资105万元，环保投资占比4.62%。</w:t>
      </w:r>
    </w:p>
    <w:p>
      <w:pPr>
        <w:pStyle w:val="16"/>
        <w:widowControl w:val="0"/>
        <w:spacing w:line="576" w:lineRule="exact"/>
        <w:ind w:firstLine="656"/>
        <w:rPr>
          <w:rFonts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蓬溪县发展和改革局对该项目可行性研究报告作出了批复（蓬发改审</w:t>
      </w:r>
      <w:r>
        <w:rPr>
          <w:rFonts w:hint="eastAsia" w:ascii="仿宋_GB2312" w:hAnsi="仿宋_GB2312" w:eastAsia="仿宋_GB2312" w:cs="仿宋_GB2312"/>
          <w:bCs/>
          <w:sz w:val="32"/>
          <w:szCs w:val="32"/>
        </w:rPr>
        <w:t>〔2023〕107号</w:t>
      </w:r>
      <w:r>
        <w:rPr>
          <w:rFonts w:hint="eastAsia" w:ascii="仿宋_GB2312" w:hAnsi="仿宋_GB2312" w:eastAsia="仿宋_GB2312" w:cs="仿宋_GB2312"/>
          <w:spacing w:val="4"/>
          <w:kern w:val="2"/>
          <w:sz w:val="32"/>
          <w:szCs w:val="32"/>
        </w:rPr>
        <w:t>），根据四川启创环保科技有限公司（社会信用代码91510124MA6C8HAN0N）对该项目开展环境影响评价的结论、承诺以及建设单位的承诺，在全面落实报告表提出的各项防治生态破坏和环境污染措施的前提下，工程建设对环境的不利影响能够得到缓解和控制。我局原则同意该项目环境影响报告表中所列建设项目的性质、规模、地点以及拟采取的环境保护措施。</w:t>
      </w:r>
    </w:p>
    <w:p>
      <w:pPr>
        <w:pStyle w:val="16"/>
        <w:widowControl w:val="0"/>
        <w:spacing w:line="576" w:lineRule="exact"/>
        <w:ind w:firstLine="656"/>
        <w:rPr>
          <w:rFonts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按照《建设项目环境保护管理条例》（国务院第682号令）的要求，配套建设的环境保护设施与主体工程同时设计、同时施工、同时投产使用的环境保护“三同时”制度。在项目发生实际排污行为之前，必须依法申领排污许可证或办理排污许可登记，不得无证排污和不按证排污。项目竣工后，你公司是建设项目竣工环境保护验收的责任主体，应当按照规定的程序和标准，组织对配套建设的环境保护设施进行验收，编制验收报告，公开相关信息，接受社会监督，验收合格后方可投入生产或使用。</w:t>
      </w:r>
    </w:p>
    <w:p>
      <w:pPr>
        <w:pStyle w:val="16"/>
        <w:widowControl w:val="0"/>
        <w:spacing w:line="576" w:lineRule="exact"/>
        <w:ind w:firstLine="656"/>
        <w:rPr>
          <w:rFonts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对环境影响报告表的内容和结论负责。对不落实生态环境保护主体责任，存在承诺弄虚作假，建设项目严重违法，环评文件有严重质量问题等情形的，我局可依法撤销行政审批决定，对环评违法行为依法查处并公开曝光，你公司基于该行政审批决定取得的利益不受保护，一切后果由你公司承担。</w:t>
      </w:r>
    </w:p>
    <w:p>
      <w:pPr>
        <w:wordWrap w:val="0"/>
        <w:spacing w:line="576" w:lineRule="exact"/>
        <w:ind w:right="24"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请遂宁市蓬溪生态环境保护综合行政执法大队加强对该项</w:t>
      </w:r>
    </w:p>
    <w:p>
      <w:pPr>
        <w:wordWrap w:val="0"/>
        <w:spacing w:line="576" w:lineRule="exact"/>
        <w:ind w:right="24"/>
        <w:rPr>
          <w:rFonts w:ascii="仿宋_GB2312" w:hAnsi="仿宋_GB2312" w:eastAsia="仿宋_GB2312" w:cs="仿宋_GB2312"/>
          <w:sz w:val="32"/>
          <w:szCs w:val="32"/>
        </w:rPr>
      </w:pPr>
      <w:r>
        <w:rPr>
          <w:rFonts w:hint="eastAsia" w:ascii="仿宋_GB2312" w:hAnsi="仿宋_GB2312" w:eastAsia="仿宋_GB2312" w:cs="仿宋_GB2312"/>
          <w:sz w:val="32"/>
          <w:szCs w:val="32"/>
        </w:rPr>
        <w:t>目的“事中事后”和环境保护“三同时”监督检查及日常监督管理工作。</w:t>
      </w:r>
    </w:p>
    <w:p>
      <w:pPr>
        <w:wordWrap w:val="0"/>
        <w:spacing w:line="576" w:lineRule="exact"/>
        <w:ind w:right="24"/>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你公司在收到本批复15个工作日内将批复后的环境影响报告表送遂宁市蓬溪生态环境保护综合行政执法大队备案，并按规</w:t>
      </w:r>
    </w:p>
    <w:p>
      <w:pPr>
        <w:wordWrap w:val="0"/>
        <w:spacing w:line="576" w:lineRule="exact"/>
        <w:ind w:right="24"/>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定接受各级生态环境行政主管部门监督检查。</w:t>
      </w:r>
    </w:p>
    <w:p>
      <w:pPr>
        <w:wordWrap w:val="0"/>
        <w:spacing w:line="576" w:lineRule="exact"/>
        <w:ind w:right="24"/>
        <w:jc w:val="right"/>
        <w:rPr>
          <w:rFonts w:ascii="仿宋_GB2312" w:hAnsi="仿宋_GB2312" w:eastAsia="仿宋_GB2312" w:cs="仿宋_GB2312"/>
          <w:kern w:val="0"/>
          <w:sz w:val="32"/>
          <w:szCs w:val="32"/>
        </w:rPr>
      </w:pPr>
    </w:p>
    <w:p>
      <w:pPr>
        <w:wordWrap w:val="0"/>
        <w:spacing w:line="576" w:lineRule="exact"/>
        <w:ind w:right="24"/>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遂宁市蓬溪生态环境局     </w:t>
      </w:r>
    </w:p>
    <w:p>
      <w:pPr>
        <w:pStyle w:val="2"/>
        <w:spacing w:line="576"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pStyle w:val="2"/>
        <w:spacing w:line="576" w:lineRule="exact"/>
        <w:rPr>
          <w:rFonts w:ascii="仿宋_GB2312" w:eastAsia="仿宋_GB2312"/>
          <w:sz w:val="28"/>
          <w:szCs w:val="28"/>
        </w:rPr>
      </w:pPr>
    </w:p>
    <w:p>
      <w:pPr>
        <w:pStyle w:val="2"/>
        <w:spacing w:line="576" w:lineRule="exact"/>
        <w:rPr>
          <w:rFonts w:ascii="仿宋_GB2312" w:eastAsia="仿宋_GB2312"/>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tbl>
      <w:tblPr>
        <w:tblStyle w:val="9"/>
        <w:tblpPr w:leftFromText="180" w:rightFromText="180" w:vertAnchor="text" w:horzAnchor="page" w:tblpX="1592" w:tblpY="9452"/>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tcPr>
          <w:p>
            <w:pPr>
              <w:pStyle w:val="2"/>
              <w:spacing w:line="576" w:lineRule="exact"/>
              <w:rPr>
                <w:rFonts w:ascii="仿宋_GB2312" w:eastAsia="仿宋_GB2312"/>
                <w:sz w:val="28"/>
                <w:szCs w:val="28"/>
              </w:rPr>
            </w:pPr>
            <w:r>
              <w:rPr>
                <w:rFonts w:hint="eastAsia" w:ascii="仿宋_GB2312" w:eastAsia="仿宋_GB2312"/>
                <w:sz w:val="28"/>
                <w:szCs w:val="28"/>
              </w:rPr>
              <w:t>抄送：市生态环境局，环评编制单位，蓬溪生态环境保护行政执法大队。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tcPr>
          <w:p>
            <w:pPr>
              <w:adjustRightInd w:val="0"/>
              <w:snapToGrid w:val="0"/>
              <w:spacing w:line="576" w:lineRule="exact"/>
              <w:ind w:right="136" w:rightChars="65"/>
              <w:rPr>
                <w:rFonts w:ascii="仿宋_GB2312" w:eastAsia="仿宋_GB2312"/>
                <w:sz w:val="28"/>
                <w:szCs w:val="28"/>
              </w:rPr>
            </w:pPr>
            <w:r>
              <w:rPr>
                <w:rFonts w:hint="eastAsia" w:ascii="仿宋_GB2312" w:eastAsia="仿宋_GB2312"/>
                <w:sz w:val="28"/>
                <w:szCs w:val="28"/>
              </w:rPr>
              <w:t xml:space="preserve">遂宁市蓬溪生态环境局办公室    </w:t>
            </w:r>
            <w:r>
              <w:rPr>
                <w:rFonts w:hint="eastAsia"/>
                <w:sz w:val="28"/>
                <w:szCs w:val="28"/>
              </w:rPr>
              <w:t xml:space="preserve"> </w:t>
            </w:r>
            <w:r>
              <w:rPr>
                <w:rFonts w:hint="eastAsia" w:ascii="仿宋_GB2312" w:eastAsia="仿宋_GB2312"/>
                <w:sz w:val="28"/>
                <w:szCs w:val="28"/>
              </w:rPr>
              <w:t xml:space="preserve">          2024年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16</w:t>
            </w:r>
            <w:r>
              <w:rPr>
                <w:rFonts w:hint="eastAsia" w:ascii="仿宋_GB2312" w:eastAsia="仿宋_GB2312"/>
                <w:sz w:val="28"/>
                <w:szCs w:val="28"/>
              </w:rPr>
              <w:t>日印发</w:t>
            </w:r>
          </w:p>
        </w:tc>
      </w:tr>
    </w:tbl>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60288;mso-width-relative:page;mso-height-relative:page;" filled="f" stroked="f" coordsize="21600,21600" o:gfxdata="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7NAOPVAAAABgEAAA8A&#10;AAAAAAAAAQAgAAAAOAAAAGRycy9kb3ducmV2LnhtbFBLAQIUABQAAAAIAIdO4kAGqfEtywEAAJID&#10;AAAOAAAAAAAAAAEAIAAAADoBAABkcnMvZTJvRG9jLnhtbFBLBQYAAAAABgAGAFkBAAB3BQ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9264;mso-width-relative:page;mso-height-relative:page;" filled="f" stroked="f" coordsize="21600,21600" o:gfxdata="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4&#10;7oeg1AAAAAMBAAAPAAAAAAAAAAEAIAAAADgAAABkcnMvZG93bnJldi54bWxQSwECFAAUAAAACACH&#10;TuJAhPkRRdkBAACsAwAADgAAAAAAAAABACAAAAA5AQAAZHJzL2Uyb0RvYy54bWxQSwUGAAAAAAYA&#10;BgBZAQAAhAU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mMxYWM2Mjc1MzQ0OGU5M2U3ZGNkNjcxNDQyMGYifQ=="/>
  </w:docVars>
  <w:rsids>
    <w:rsidRoot w:val="003A50A7"/>
    <w:rsid w:val="0000758D"/>
    <w:rsid w:val="000106E6"/>
    <w:rsid w:val="00015A95"/>
    <w:rsid w:val="00042DDD"/>
    <w:rsid w:val="00045725"/>
    <w:rsid w:val="0005146C"/>
    <w:rsid w:val="0006412D"/>
    <w:rsid w:val="000978F3"/>
    <w:rsid w:val="000A3B80"/>
    <w:rsid w:val="000A4CFA"/>
    <w:rsid w:val="000B0B05"/>
    <w:rsid w:val="00105505"/>
    <w:rsid w:val="00123C21"/>
    <w:rsid w:val="00151B3B"/>
    <w:rsid w:val="001737FA"/>
    <w:rsid w:val="00180C6C"/>
    <w:rsid w:val="0018575B"/>
    <w:rsid w:val="001911FB"/>
    <w:rsid w:val="001C07D1"/>
    <w:rsid w:val="001C15BD"/>
    <w:rsid w:val="001D0163"/>
    <w:rsid w:val="001D0348"/>
    <w:rsid w:val="001D0382"/>
    <w:rsid w:val="001D4B34"/>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8313D"/>
    <w:rsid w:val="004910FA"/>
    <w:rsid w:val="004A387C"/>
    <w:rsid w:val="004B2DA6"/>
    <w:rsid w:val="004B4C0D"/>
    <w:rsid w:val="004D0479"/>
    <w:rsid w:val="004D2A44"/>
    <w:rsid w:val="004D59C2"/>
    <w:rsid w:val="004E4715"/>
    <w:rsid w:val="00507E63"/>
    <w:rsid w:val="00513CCA"/>
    <w:rsid w:val="00524E1D"/>
    <w:rsid w:val="00525311"/>
    <w:rsid w:val="0054491A"/>
    <w:rsid w:val="00561FEE"/>
    <w:rsid w:val="005748D0"/>
    <w:rsid w:val="00592F76"/>
    <w:rsid w:val="005A323B"/>
    <w:rsid w:val="005B044E"/>
    <w:rsid w:val="005C3095"/>
    <w:rsid w:val="005D656F"/>
    <w:rsid w:val="005E002C"/>
    <w:rsid w:val="005F0D23"/>
    <w:rsid w:val="00605F40"/>
    <w:rsid w:val="00635D76"/>
    <w:rsid w:val="0067540F"/>
    <w:rsid w:val="006773B7"/>
    <w:rsid w:val="006D00C6"/>
    <w:rsid w:val="006D0C04"/>
    <w:rsid w:val="006D37A4"/>
    <w:rsid w:val="006F0971"/>
    <w:rsid w:val="007160A9"/>
    <w:rsid w:val="00717ACB"/>
    <w:rsid w:val="00734674"/>
    <w:rsid w:val="00737AA6"/>
    <w:rsid w:val="00744810"/>
    <w:rsid w:val="00753B5D"/>
    <w:rsid w:val="00767A1A"/>
    <w:rsid w:val="0077263A"/>
    <w:rsid w:val="0078065B"/>
    <w:rsid w:val="007843A1"/>
    <w:rsid w:val="007858C0"/>
    <w:rsid w:val="00793A02"/>
    <w:rsid w:val="007C419A"/>
    <w:rsid w:val="007D40A4"/>
    <w:rsid w:val="007F3F1C"/>
    <w:rsid w:val="00814A29"/>
    <w:rsid w:val="00837CB8"/>
    <w:rsid w:val="00850415"/>
    <w:rsid w:val="008749F5"/>
    <w:rsid w:val="008763BB"/>
    <w:rsid w:val="00876F77"/>
    <w:rsid w:val="00877EAE"/>
    <w:rsid w:val="00882B5D"/>
    <w:rsid w:val="00886E3A"/>
    <w:rsid w:val="00893DF7"/>
    <w:rsid w:val="008A7FAD"/>
    <w:rsid w:val="008C5C17"/>
    <w:rsid w:val="008D3F1B"/>
    <w:rsid w:val="008E46CC"/>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048F2"/>
    <w:rsid w:val="00B41382"/>
    <w:rsid w:val="00B5043F"/>
    <w:rsid w:val="00B56CBE"/>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3596F"/>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2D09"/>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1C80D84"/>
    <w:rsid w:val="024D6A30"/>
    <w:rsid w:val="03B10F83"/>
    <w:rsid w:val="05A47670"/>
    <w:rsid w:val="06016658"/>
    <w:rsid w:val="07B20A05"/>
    <w:rsid w:val="0834190D"/>
    <w:rsid w:val="09727060"/>
    <w:rsid w:val="09C2683B"/>
    <w:rsid w:val="0A663FA0"/>
    <w:rsid w:val="0B2E06E7"/>
    <w:rsid w:val="0B422091"/>
    <w:rsid w:val="0B88458A"/>
    <w:rsid w:val="0B9403CD"/>
    <w:rsid w:val="0CCD42F0"/>
    <w:rsid w:val="11E00BBE"/>
    <w:rsid w:val="153D4A9F"/>
    <w:rsid w:val="158833C7"/>
    <w:rsid w:val="19446FDB"/>
    <w:rsid w:val="198C5D23"/>
    <w:rsid w:val="19C77E97"/>
    <w:rsid w:val="1AF647CF"/>
    <w:rsid w:val="1C2B75F6"/>
    <w:rsid w:val="1DBF62E0"/>
    <w:rsid w:val="1E8F530F"/>
    <w:rsid w:val="1FED064B"/>
    <w:rsid w:val="1FEF142E"/>
    <w:rsid w:val="1FEF724E"/>
    <w:rsid w:val="235B35EA"/>
    <w:rsid w:val="23AF090E"/>
    <w:rsid w:val="27AA55F0"/>
    <w:rsid w:val="286A07A8"/>
    <w:rsid w:val="29FE26A7"/>
    <w:rsid w:val="2B73312F"/>
    <w:rsid w:val="2CC9782D"/>
    <w:rsid w:val="2F0B119F"/>
    <w:rsid w:val="3048434C"/>
    <w:rsid w:val="30672A32"/>
    <w:rsid w:val="3080700A"/>
    <w:rsid w:val="30E858D0"/>
    <w:rsid w:val="322C39CA"/>
    <w:rsid w:val="32935D24"/>
    <w:rsid w:val="32CA35BC"/>
    <w:rsid w:val="3329416B"/>
    <w:rsid w:val="37191933"/>
    <w:rsid w:val="38815A68"/>
    <w:rsid w:val="39141141"/>
    <w:rsid w:val="3934369C"/>
    <w:rsid w:val="39FA24CE"/>
    <w:rsid w:val="3A5A6B95"/>
    <w:rsid w:val="3A961003"/>
    <w:rsid w:val="3BC17A2A"/>
    <w:rsid w:val="3D212747"/>
    <w:rsid w:val="3DFC66AC"/>
    <w:rsid w:val="3F570C8F"/>
    <w:rsid w:val="41981390"/>
    <w:rsid w:val="43037B45"/>
    <w:rsid w:val="44027228"/>
    <w:rsid w:val="45084259"/>
    <w:rsid w:val="4AB8333B"/>
    <w:rsid w:val="4BE713E9"/>
    <w:rsid w:val="4C6B5FE9"/>
    <w:rsid w:val="4C850154"/>
    <w:rsid w:val="4D3D14B1"/>
    <w:rsid w:val="4EA7694A"/>
    <w:rsid w:val="4F350F59"/>
    <w:rsid w:val="526A7078"/>
    <w:rsid w:val="547D5923"/>
    <w:rsid w:val="5B8C3125"/>
    <w:rsid w:val="5E346704"/>
    <w:rsid w:val="5E7511A4"/>
    <w:rsid w:val="5EF256FE"/>
    <w:rsid w:val="5EF7FBC2"/>
    <w:rsid w:val="5FF95C72"/>
    <w:rsid w:val="60B920D0"/>
    <w:rsid w:val="61766BBE"/>
    <w:rsid w:val="61A16218"/>
    <w:rsid w:val="61E612B3"/>
    <w:rsid w:val="64E717FA"/>
    <w:rsid w:val="666612EC"/>
    <w:rsid w:val="6757328E"/>
    <w:rsid w:val="67B55ED4"/>
    <w:rsid w:val="6DCF42A1"/>
    <w:rsid w:val="718E7A27"/>
    <w:rsid w:val="73443141"/>
    <w:rsid w:val="7882188C"/>
    <w:rsid w:val="7AE91D48"/>
    <w:rsid w:val="7EB75DA8"/>
    <w:rsid w:val="7EFA23D9"/>
    <w:rsid w:val="7FFFAF31"/>
    <w:rsid w:val="FBDFBA91"/>
    <w:rsid w:val="FBF2D2F6"/>
    <w:rsid w:val="FD7D8502"/>
    <w:rsid w:val="FFF98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字符"/>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5</Pages>
  <Words>210</Words>
  <Characters>1201</Characters>
  <Lines>10</Lines>
  <Paragraphs>2</Paragraphs>
  <TotalTime>1</TotalTime>
  <ScaleCrop>false</ScaleCrop>
  <LinksUpToDate>false</LinksUpToDate>
  <CharactersWithSpaces>1409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2019-07-19T07:07:00Z</dcterms:created>
  <dc:creator>微软中国</dc:creator>
  <cp:lastModifiedBy>hbj2</cp:lastModifiedBy>
  <cp:lastPrinted>2023-11-25T01:35:00Z</cp:lastPrinted>
  <dcterms:modified xsi:type="dcterms:W3CDTF">2024-08-20T11:13:57Z</dcterms:modified>
  <dc:title>蓬环函〔2011〕  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429C551D3EBA0E15ECB1BD66EC86045A</vt:lpwstr>
  </property>
</Properties>
</file>